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142240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ind w:left="800" w:hanging="454"/>
        <w:spacing w:after="0"/>
        <w:tabs>
          <w:tab w:leader="none" w:pos="80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00" w:right="80" w:hanging="454"/>
        <w:spacing w:after="0" w:line="256" w:lineRule="auto"/>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530" w:right="259" w:bottom="0" w:gutter="0" w:footer="0" w:header="0"/>
        </w:sectPr>
      </w:pPr>
    </w:p>
    <w:p>
      <w:pPr>
        <w:spacing w:after="0" w:line="199"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040" w:space="720"/>
            <w:col w:w="600" w:space="720"/>
            <w:col w:w="3320"/>
          </w:cols>
          <w:pgMar w:left="240" w:top="530" w:right="259" w:bottom="0"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1-13199</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SL GREEN REALTY CORP.</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400"/>
          </w:cols>
          <w:pgMar w:left="240" w:top="530" w:right="259" w:bottom="0" w:gutter="0" w:footer="0" w:header="0"/>
          <w:type w:val="continuous"/>
        </w:sectPr>
      </w:pPr>
    </w:p>
    <w:p>
      <w:pPr>
        <w:spacing w:after="0" w:line="217"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13-3956755</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60" w:space="720"/>
            <w:col w:w="3420"/>
          </w:cols>
          <w:pgMar w:left="240" w:top="530" w:right="25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 Lexington Avenue, New York, NY 10170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594-2700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9"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5400" w:type="dxa"/>
            <w:vAlign w:val="bottom"/>
          </w:tcPr>
          <w:p>
            <w:pPr>
              <w:ind w:left="1340"/>
              <w:spacing w:after="0"/>
              <w:rPr>
                <w:sz w:val="20"/>
                <w:szCs w:val="20"/>
                <w:color w:val="auto"/>
              </w:rPr>
            </w:pPr>
            <w:r>
              <w:rPr>
                <w:rFonts w:ascii="Arial" w:cs="Arial" w:eastAsia="Arial" w:hAnsi="Arial"/>
                <w:sz w:val="14"/>
                <w:szCs w:val="14"/>
                <w:b w:val="1"/>
                <w:bCs w:val="1"/>
                <w:color w:val="auto"/>
              </w:rPr>
              <w:t>Title of Each Class</w:t>
            </w:r>
          </w:p>
        </w:tc>
        <w:tc>
          <w:tcPr>
            <w:tcW w:w="4360" w:type="dxa"/>
            <w:vAlign w:val="bottom"/>
          </w:tcPr>
          <w:p>
            <w:pPr>
              <w:jc w:val="center"/>
              <w:ind w:left="1454"/>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4360" w:type="dxa"/>
            <w:vAlign w:val="bottom"/>
          </w:tcPr>
          <w:p>
            <w:pPr>
              <w:jc w:val="center"/>
              <w:ind w:left="1454"/>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7.625% Series C Cumulative Redeemable Preferred</w:t>
            </w:r>
          </w:p>
        </w:tc>
        <w:tc>
          <w:tcPr>
            <w:tcW w:w="4360" w:type="dxa"/>
            <w:vAlign w:val="bottom"/>
          </w:tcPr>
          <w:p>
            <w:pPr>
              <w:jc w:val="center"/>
              <w:ind w:left="1454"/>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Stock, $0.01 par value, $25.00 mandatory liquidation</w:t>
            </w:r>
          </w:p>
        </w:tc>
        <w:tc>
          <w:tcPr>
            <w:tcW w:w="436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preference</w:t>
            </w:r>
          </w:p>
        </w:tc>
        <w:tc>
          <w:tcPr>
            <w:tcW w:w="436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7.875% Series D Cumulative Redeemable Preferred</w:t>
            </w:r>
          </w:p>
        </w:tc>
        <w:tc>
          <w:tcPr>
            <w:tcW w:w="4360" w:type="dxa"/>
            <w:vAlign w:val="bottom"/>
          </w:tcPr>
          <w:p>
            <w:pPr>
              <w:jc w:val="center"/>
              <w:ind w:left="1454"/>
              <w:spacing w:after="0"/>
              <w:rPr>
                <w:sz w:val="20"/>
                <w:szCs w:val="20"/>
                <w:color w:val="auto"/>
              </w:rPr>
            </w:pPr>
            <w:r>
              <w:rPr>
                <w:rFonts w:ascii="Arial" w:cs="Arial" w:eastAsia="Arial" w:hAnsi="Arial"/>
                <w:sz w:val="18"/>
                <w:szCs w:val="18"/>
                <w:color w:val="auto"/>
                <w:w w:val="91"/>
              </w:rPr>
              <w:t>New York Stock Exchange</w:t>
            </w:r>
          </w:p>
        </w:tc>
      </w:tr>
    </w:tbl>
    <w:p>
      <w:pPr>
        <w:ind w:left="580"/>
        <w:spacing w:after="0"/>
        <w:rPr>
          <w:sz w:val="20"/>
          <w:szCs w:val="20"/>
          <w:color w:val="auto"/>
        </w:rPr>
      </w:pPr>
      <w:r>
        <w:rPr>
          <w:rFonts w:ascii="Arial" w:cs="Arial" w:eastAsia="Arial" w:hAnsi="Arial"/>
          <w:sz w:val="18"/>
          <w:szCs w:val="18"/>
          <w:color w:val="auto"/>
        </w:rPr>
        <w:t>Stock, $0.01 par value, $25.00 mandatory liquidation</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preference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x No o</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225" w:lineRule="exact"/>
        <w:rPr>
          <w:sz w:val="24"/>
          <w:szCs w:val="24"/>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right="900" w:firstLine="64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Securities Exchange Act of 1934).</w:t>
      </w:r>
    </w:p>
    <w:p>
      <w:pPr>
        <w:spacing w:after="0" w:line="170" w:lineRule="exact"/>
        <w:rPr>
          <w:sz w:val="24"/>
          <w:szCs w:val="24"/>
          <w:color w:val="auto"/>
        </w:rPr>
      </w:pPr>
    </w:p>
    <w:p>
      <w:pPr>
        <w:ind w:left="1040"/>
        <w:spacing w:after="0"/>
        <w:tabs>
          <w:tab w:leader="none" w:pos="502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25"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As of February 22, 2007, there were 59,169,987 shares of the Registrant’s common stock outstanding. The aggregate market value of the common stock, held by non-affiliates of the Registrant (42,270,674 shares) at June 30, 2006 was $4,627,370,683. The aggregate market value was calculated by using the closing price of the common stock as of that date on the New York Stock Exchange.</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00"/>
          </w:cols>
          <w:pgMar w:left="240" w:top="530" w:right="259" w:bottom="0" w:gutter="0" w:footer="0" w:header="0"/>
          <w:type w:val="continuous"/>
        </w:sectPr>
      </w:pPr>
    </w:p>
    <w:bookmarkStart w:id="1" w:name="page2"/>
    <w:bookmarkEnd w:id="1"/>
    <w:p>
      <w:pPr>
        <w:spacing w:after="0" w:line="1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Portions of the Registrant’s Proxy Statement for the Annual Stockholders’ Meeting, to be held on May 24, 2007,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10-K PART AND ITEM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Business</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1.A</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Risk Factors</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hyperlink w:anchor="page14">
        <w:r>
          <w:rPr>
            <w:rFonts w:ascii="Arial" w:cs="Arial" w:eastAsia="Arial" w:hAnsi="Arial"/>
            <w:sz w:val="18"/>
            <w:szCs w:val="18"/>
            <w:u w:val="single" w:color="auto"/>
            <w:color w:val="0000EE"/>
          </w:rPr>
          <w:t>1.B</w:t>
        </w:r>
      </w:hyperlink>
      <w:r>
        <w:rPr>
          <w:rFonts w:ascii="Arial" w:cs="Arial" w:eastAsia="Arial" w:hAnsi="Arial"/>
          <w:sz w:val="18"/>
          <w:szCs w:val="18"/>
          <w:u w:val="single" w:color="auto"/>
          <w:color w:val="0000EE"/>
        </w:rPr>
        <w:tab/>
      </w:r>
      <w:hyperlink w:anchor="page14">
        <w:r>
          <w:rPr>
            <w:rFonts w:ascii="Arial" w:cs="Arial" w:eastAsia="Arial" w:hAnsi="Arial"/>
            <w:sz w:val="16"/>
            <w:szCs w:val="16"/>
            <w:u w:val="single" w:color="auto"/>
            <w:color w:val="0000EE"/>
          </w:rPr>
          <w:t>Unresolved Staff Comments</w:t>
        </w:r>
      </w:hyperlink>
    </w:p>
    <w:p>
      <w:pPr>
        <w:spacing w:after="0" w:line="225" w:lineRule="exact"/>
        <w:rPr>
          <w:sz w:val="20"/>
          <w:szCs w:val="20"/>
          <w:color w:val="auto"/>
        </w:rPr>
      </w:pPr>
    </w:p>
    <w:p>
      <w:pPr>
        <w:ind w:left="620" w:hanging="612"/>
        <w:spacing w:after="0"/>
        <w:tabs>
          <w:tab w:leader="none" w:pos="620" w:val="left"/>
        </w:tabs>
        <w:numPr>
          <w:ilvl w:val="0"/>
          <w:numId w:val="4"/>
        </w:numPr>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Properties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4"/>
        </w:numPr>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Legal Proceedings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4"/>
        </w:numPr>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Submission of Matters to a Vote of Security Holders</w:t>
        </w:r>
      </w:hyperlink>
    </w:p>
    <w:p>
      <w:pPr>
        <w:spacing w:after="0" w:line="22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PART II</w:t>
      </w:r>
    </w:p>
    <w:p>
      <w:pPr>
        <w:spacing w:after="0" w:line="229"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5"/>
        </w:numPr>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Market for Registrant’s Common Equity, Related Stockholders Matters and Issuer Purchases of Equity Securities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5"/>
        </w:numPr>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Selected Financial Data</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5"/>
        </w:numPr>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w:t>
        </w:r>
      </w:hyperlink>
    </w:p>
    <w:p>
      <w:pPr>
        <w:spacing w:after="0" w:line="225" w:lineRule="exact"/>
        <w:rPr>
          <w:rFonts w:ascii="Arial" w:cs="Arial" w:eastAsia="Arial" w:hAnsi="Arial"/>
          <w:sz w:val="18"/>
          <w:szCs w:val="18"/>
          <w:u w:val="single" w:color="auto"/>
          <w:color w:val="0000EE"/>
        </w:rPr>
      </w:pPr>
    </w:p>
    <w:p>
      <w:pPr>
        <w:spacing w:after="0"/>
        <w:tabs>
          <w:tab w:leader="none" w:pos="60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7A.</w:t>
      </w:r>
      <w:r>
        <w:rPr>
          <w:sz w:val="20"/>
          <w:szCs w:val="20"/>
          <w:color w:val="auto"/>
        </w:rPr>
        <w:tab/>
      </w:r>
      <w:hyperlink w:anchor="page35">
        <w:r>
          <w:rPr>
            <w:rFonts w:ascii="Arial" w:cs="Arial" w:eastAsia="Arial" w:hAnsi="Arial"/>
            <w:sz w:val="18"/>
            <w:szCs w:val="18"/>
            <w:u w:val="single" w:color="auto"/>
            <w:color w:val="0000EE"/>
          </w:rPr>
          <w:t>Quantitative and Qualitative Disclosures about Market Risk</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6"/>
        </w:numPr>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Financial Statements and Supplementary Data</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6"/>
        </w:numPr>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Changes in and Disagreements with Accountants on Accounting and Financial Disclosure</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5"/>
          <w:szCs w:val="15"/>
          <w:u w:val="single" w:color="auto"/>
          <w:color w:val="0000EE"/>
        </w:rPr>
      </w:pPr>
      <w:r>
        <w:rPr>
          <w:rFonts w:ascii="Arial" w:cs="Arial" w:eastAsia="Arial" w:hAnsi="Arial"/>
          <w:sz w:val="18"/>
          <w:szCs w:val="18"/>
          <w:u w:val="single" w:color="auto"/>
          <w:color w:val="0000EE"/>
        </w:rPr>
        <w:t>9A.</w:t>
      </w:r>
      <w:hyperlink w:anchor="page72">
        <w:r>
          <w:rPr>
            <w:rFonts w:ascii="Arial" w:cs="Arial" w:eastAsia="Arial" w:hAnsi="Arial"/>
            <w:sz w:val="15"/>
            <w:szCs w:val="15"/>
            <w:u w:val="single" w:color="auto"/>
            <w:color w:val="0000EE"/>
          </w:rPr>
          <w:t>Controls and Procedures</w:t>
        </w:r>
      </w:hyperlink>
    </w:p>
    <w:p>
      <w:pPr>
        <w:spacing w:after="0" w:line="225" w:lineRule="exact"/>
        <w:rPr>
          <w:rFonts w:ascii="Arial" w:cs="Arial" w:eastAsia="Arial" w:hAnsi="Arial"/>
          <w:sz w:val="15"/>
          <w:szCs w:val="15"/>
          <w:u w:val="single" w:color="auto"/>
          <w:color w:val="0000EE"/>
        </w:rPr>
      </w:pPr>
    </w:p>
    <w:p>
      <w:pPr>
        <w:spacing w:after="0"/>
        <w:rPr>
          <w:rFonts w:ascii="Arial" w:cs="Arial" w:eastAsia="Arial" w:hAnsi="Arial"/>
          <w:sz w:val="16"/>
          <w:szCs w:val="16"/>
          <w:u w:val="single" w:color="auto"/>
          <w:color w:val="0000EE"/>
        </w:rPr>
      </w:pPr>
      <w:r>
        <w:rPr>
          <w:rFonts w:ascii="Arial" w:cs="Arial" w:eastAsia="Arial" w:hAnsi="Arial"/>
          <w:sz w:val="18"/>
          <w:szCs w:val="18"/>
          <w:u w:val="single" w:color="auto"/>
          <w:color w:val="0000EE"/>
        </w:rPr>
        <w:t>9B.</w:t>
      </w:r>
      <w:hyperlink w:anchor="page73">
        <w:r>
          <w:rPr>
            <w:rFonts w:ascii="Arial" w:cs="Arial" w:eastAsia="Arial" w:hAnsi="Arial"/>
            <w:sz w:val="16"/>
            <w:szCs w:val="16"/>
            <w:u w:val="single" w:color="auto"/>
            <w:color w:val="0000EE"/>
          </w:rPr>
          <w:t>Other Information</w:t>
        </w:r>
      </w:hyperlink>
    </w:p>
    <w:p>
      <w:pPr>
        <w:spacing w:after="0" w:line="22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7"/>
        </w:numPr>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Directors, Executive Officers and Corporate Governance of the Registrant</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7"/>
        </w:numPr>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Executive Compensation</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7"/>
        </w:numPr>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Security Ownership of Certain Beneficial Owners and Management and Related Stockholder Matters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7"/>
        </w:numPr>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Certain Relationships and Related Transactions and Director Independence</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7"/>
        </w:numPr>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Principal Accounting Fees and Services</w:t>
        </w:r>
      </w:hyperlink>
    </w:p>
    <w:p>
      <w:pPr>
        <w:spacing w:after="0" w:line="22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PART IV</w:t>
      </w:r>
    </w:p>
    <w:p>
      <w:pPr>
        <w:spacing w:after="0" w:line="229"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8"/>
        </w:numPr>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Exhibits, Financial Statements and Schedules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6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rFonts w:ascii="Arial" w:cs="Arial" w:eastAsia="Arial" w:hAnsi="Arial"/>
          <w:sz w:val="18"/>
          <w:szCs w:val="18"/>
          <w:u w:val="single" w:color="auto"/>
          <w:color w:val="0000EE"/>
        </w:rPr>
      </w:pPr>
    </w:p>
    <w:p>
      <w:pPr>
        <w:spacing w:after="0" w:line="257" w:lineRule="auto"/>
        <w:rPr>
          <w:sz w:val="20"/>
          <w:szCs w:val="20"/>
          <w:color w:val="auto"/>
        </w:rPr>
      </w:pPr>
      <w:r>
        <w:rPr>
          <w:rFonts w:ascii="Arial" w:cs="Arial" w:eastAsia="Arial" w:hAnsi="Arial"/>
          <w:sz w:val="18"/>
          <w:szCs w:val="18"/>
          <w:color w:val="auto"/>
        </w:rPr>
        <w:t>SL Green Realty Corp. is a self-managed real estate investment trust, or REIT, with in-house capabilities in property management, acquisitions, financing, development, construction and leasing. We were formed in June 1997 for the purpose of continuing the commercial real estate business of S.L. Green Properties, Inc., our predecessor entity. S.L. Green Properties, Inc., which was founded in 1980 by Stephen L. Green, our Chairman and former Chief Executive Officer, had been engaged in the business of owning, managing, leasing, acquiring and repositioning office properties in Manhattan, a borough of New York City, or Manhattan.</w:t>
      </w:r>
    </w:p>
    <w:p>
      <w:pPr>
        <w:sectPr>
          <w:pgSz w:w="11900" w:h="16857" w:orient="portrait"/>
          <w:cols w:equalWidth="0" w:num="1">
            <w:col w:w="11260"/>
          </w:cols>
          <w:pgMar w:left="240" w:top="125" w:right="399" w:bottom="0" w:gutter="0" w:footer="0" w:header="0"/>
        </w:sectPr>
      </w:pPr>
    </w:p>
    <w:bookmarkStart w:id="2" w:name="page3"/>
    <w:bookmarkEnd w:id="2"/>
    <w:p>
      <w:pPr>
        <w:spacing w:after="0" w:line="7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As of December 31, 2006, our portfolio, which included interests in 28 properties aggregating 19.0 million square feet, consisted of 20 wholly-owned commercial office properties, or the wholly-owned properties, and eight partially-owned commercial office properties encompassing approximately 10.1 million and 8.9 million rentable square feet, respectively, located primarily in midtown Manhattan. Our wholly-owned interests in these properties represent fee ownership (15 properties), including ownership in condominium units, leasehold ownership (three properties) and operating sublease ownership (two properties). Pursuant to the operating sublease arrangements, we, as tenant under the operating sublease, perform the functions traditionally performed by landlords with respect to its subtenants. We are responsible for not only collecting rent from subtenants, but also maintaining the property and paying expenses relating to the property. As of December 31, 2006, the weighted average occupancy (total leased square feet divided by total available square feet) of our wholly-owned properties was 96.9%. Our eight partially-owned commercial office properties, which we own through unconsolidated joint ventures, are comprised of fee ownership (seven) and leasehold ownership (one). As of December 31, 2006 the weighted average occupancy of our partially-owned properties was 97.1%. We refer to our wholly-owned properties and unconsolidated joint ventures collectively as our portfolio. We also own interests in eight retail properties encompassing approximately 296,000 square feet and one residential redevelopment property encompassing 220,000 square feet. In addition, we manage three office properties owned by third-parties and affiliated companies encompassing approximately 1.0 million rentable square feet.</w:t>
      </w:r>
    </w:p>
    <w:p>
      <w:pPr>
        <w:spacing w:after="0" w:line="16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Our corporate offices are located in midtown Manhattan at 420 Lexington Avenue, New York, New York 10170. As of December 31, 2006, our corporate staff consists of approximately 205 persons, including 161 professionals experienced in all aspects of commercial real estate. We can be contacted at (212) 594-2700. We maintain a website at </w:t>
      </w:r>
      <w:r>
        <w:rPr>
          <w:rFonts w:ascii="Arial" w:cs="Arial" w:eastAsia="Arial" w:hAnsi="Arial"/>
          <w:sz w:val="17"/>
          <w:szCs w:val="17"/>
          <w:i w:val="1"/>
          <w:iCs w:val="1"/>
          <w:color w:val="auto"/>
        </w:rPr>
        <w:t>www.slgreen.com</w:t>
      </w:r>
      <w:r>
        <w:rPr>
          <w:rFonts w:ascii="Arial" w:cs="Arial" w:eastAsia="Arial" w:hAnsi="Arial"/>
          <w:sz w:val="17"/>
          <w:szCs w:val="17"/>
          <w:color w:val="auto"/>
        </w:rPr>
        <w:t>. On our website, you can obtain, free of charge, a copy of our annual reports on Form 10-K, quarterly reports on Form 10-Q, current reports on Form 8-K, and amendments to those reports filed or furnished pursuant to Section 13(a) or 15(d) of the Securities Exchange Act of 1934, as amended, as soon as practicable after we file such material electronically with, or furnish it to, the Securities and Exchange Commission. We have also made available on our website our audit committee charter, compensation committee charter, corporate governance and nominating committee charter, code of business conduct and ethics and corporate governance principles.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the context requires otherwise, all references to “we,” “our” and “us” in this annual report means SL Green Realty Corp., a Maryland corporation, and one or more of its subsidiaries, including SL Green Operating Partnership, L.P., a Delaware limited partnership, or the operating partnership, and the predecessors thereof, or the SL Green Predecessor, or, as the context may require, SL Green Realty Corp. only or SL Green Operating Partnership, L.P. only and “S.L. Green Properties” means S.L. Green Properties, Inc., a New York corporation, as well as the affiliated partnerships and other entities through which Stephen L. Green has historically conducted commercial real estate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our initial public offering, or IPO, in August 1997, our operating partnership received a contribution of interests in real estate properties as well as a 95% economic, non-voting interest in the management, leasing and construction companies affiliated with S.L. Green Properties. We refer to this management entity as the “Service Corporation.” We are organized so as to qualify and have elected to qualify as a REIT under the Internal Revenue Code of 1986, as amended, or the Code.</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Substantially all of our assets are held by, and all of our operations are conducted through, our operating partnership. We are the sole managing general partner of, and as of December 31, 2006, were the owner of approximately 94.9% of the economic interests in, our operating partnership. All of the management and leasing operations with respect to our wholly-owned properties are conducted through SL Green Management LLC, or Management LLC. Our operating partnership owns a 100% interest in Management LLC.</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order to maintain our qualification as a REIT while realizing income from management, leasing and construction contracts with third parties and joint venture properties, all of these service operations are conducted through the Service Corporation. We, through our operating partnership, own 100% of the non-voting common stock (representing 95% of the total equity) of the Service Corporation. Through dividends on our equity interest, we expect to receive substantially all of the cash flow from the Service Corporation’s operations. All of the voting common stock of the Service Corporation (representing 5% of the total equity) is held by a Company affiliate. This controlling interest gives the affiliate the power to elect all directors of the Service Corporation. Since July 1,</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2003, we have consolidated the operations of the Service Corporation into our financial results. Effective January 1, 2001, the Service Corporation elected to be taxed as a taxable REIT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Growth Strategies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primary business objective is to maximize total return to stockholders through growth in funds from operations and appreciation in the value of our assets during any business cycle. We seek to achieve this objective by assembling a high quality portfolio of Manhattan office properties and capitalizing on current opportunities in the Manhattan office market through: (i) property acquisitions (directly or through joint ventures) - acquiring office properties at significant discounts to replacement costs and with fully escalated in-place rents at a discount to current market rents which provide attractive initial yields and the potential for cash flow growth, as well as properties with significant vacancies; (ii) property repositioning - repositioning acquired retail and commercial office properties that are under-performing through renovations, active management and proactive leasing; (iii) property dispositions; (iv) integrated leasing and property management; and (v) structured finance investments inclusive of our investment in Gramercy Capital Corp., or Gramercy (NYSE:GKK), in the greater New York area. Generally, we focus on properties that are within a ten-minute walk of midtown Manhattan’s primary commuter stations.</w:t>
      </w:r>
    </w:p>
    <w:p>
      <w:pPr>
        <w:spacing w:after="0" w:line="166"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i w:val="1"/>
          <w:iCs w:val="1"/>
          <w:u w:val="single" w:color="auto"/>
          <w:color w:val="auto"/>
        </w:rPr>
        <w:t>Property Acquisitions.</w:t>
      </w:r>
      <w:r>
        <w:rPr>
          <w:rFonts w:ascii="Arial" w:cs="Arial" w:eastAsia="Arial" w:hAnsi="Arial"/>
          <w:sz w:val="16"/>
          <w:szCs w:val="16"/>
          <w:i w:val="1"/>
          <w:iCs w:val="1"/>
          <w:color w:val="auto"/>
        </w:rPr>
        <w:t xml:space="preserve"> </w:t>
      </w:r>
      <w:r>
        <w:rPr>
          <w:rFonts w:ascii="Arial" w:cs="Arial" w:eastAsia="Arial" w:hAnsi="Arial"/>
          <w:sz w:val="16"/>
          <w:szCs w:val="16"/>
          <w:color w:val="auto"/>
        </w:rPr>
        <w:t>We acquire properties for long term appreciation and earnings growth (core assets) or for shorter term holding periods where we</w:t>
      </w:r>
      <w:r>
        <w:rPr>
          <w:rFonts w:ascii="Arial" w:cs="Arial" w:eastAsia="Arial" w:hAnsi="Arial"/>
          <w:sz w:val="16"/>
          <w:szCs w:val="16"/>
          <w:i w:val="1"/>
          <w:iCs w:val="1"/>
          <w:color w:val="auto"/>
        </w:rPr>
        <w:t xml:space="preserve"> </w:t>
      </w:r>
      <w:r>
        <w:rPr>
          <w:rFonts w:ascii="Arial" w:cs="Arial" w:eastAsia="Arial" w:hAnsi="Arial"/>
          <w:sz w:val="16"/>
          <w:szCs w:val="16"/>
          <w:color w:val="auto"/>
        </w:rPr>
        <w:t>attempt to create significant increases in value which, when sold, result in capital gains that increase our investment capital base (non-core assets). In acquiring (core and non-core) properties, directly or through joint ventures with the highest quality institutional investors, we believe that we have the following advantages over our competitors: (i) senior management’s average 20 years of experience as a full-service, fully-integrated real estate company focused on the office market in Manhattan; (ii) enhanced access to capital as a public company (as compared to the generally fragmented institutional or venture oriented sources of capital available to private companies); (iii) the ability to offer tax-advantaged structures to sellers through the exchange of ownership interests as opposed to solely cash transactions; and (iv) the ability to close a transaction quickly despite complicated ownership structures.</w:t>
      </w:r>
    </w:p>
    <w:p>
      <w:pPr>
        <w:spacing w:after="0" w:line="16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i w:val="1"/>
          <w:iCs w:val="1"/>
          <w:u w:val="single" w:color="auto"/>
          <w:color w:val="auto"/>
        </w:rPr>
        <w:t>Property Repositioning</w:t>
      </w:r>
      <w:r>
        <w:rPr>
          <w:rFonts w:ascii="Arial" w:cs="Arial" w:eastAsia="Arial" w:hAnsi="Arial"/>
          <w:sz w:val="16"/>
          <w:szCs w:val="16"/>
          <w:color w:val="auto"/>
        </w:rPr>
        <w:t>. We apply our management’s experience in enhancing property cash flow and value by renovating and repositioning properties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among the best in their sub-markets. Many of the retail and commercial office buildings we own or acquire are located in or near sub-market(s) which are undergoing major reinvestment and where the properties in these markets have relatively low vacancy rates compared to other sub-markets. Because the</w:t>
      </w:r>
    </w:p>
    <w:p>
      <w:pPr>
        <w:sectPr>
          <w:pgSz w:w="11900" w:h="16912" w:orient="portrait"/>
          <w:cols w:equalWidth="0" w:num="1">
            <w:col w:w="11400"/>
          </w:cols>
          <w:pgMar w:left="240" w:top="125" w:right="259" w:bottom="0" w:gutter="0" w:footer="0" w:header="0"/>
        </w:sectPr>
      </w:pPr>
    </w:p>
    <w:bookmarkStart w:id="3" w:name="page4"/>
    <w:bookmarkEnd w:id="3"/>
    <w:p>
      <w:pPr>
        <w:ind w:right="160"/>
        <w:spacing w:after="0" w:line="277" w:lineRule="auto"/>
        <w:rPr>
          <w:sz w:val="20"/>
          <w:szCs w:val="20"/>
          <w:color w:val="auto"/>
        </w:rPr>
      </w:pPr>
      <w:r>
        <w:rPr>
          <w:rFonts w:ascii="Arial" w:cs="Arial" w:eastAsia="Arial" w:hAnsi="Arial"/>
          <w:sz w:val="18"/>
          <w:szCs w:val="18"/>
          <w:color w:val="auto"/>
        </w:rPr>
        <w:t>properties feature unique architectural design, large floor plates or other amenities and functionally appealing characteristics, reinvestment in them provides us an opportunity to meet market needs and generate favorable returns.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Property Dispositions</w:t>
      </w:r>
      <w:r>
        <w:rPr>
          <w:rFonts w:ascii="Arial" w:cs="Arial" w:eastAsia="Arial" w:hAnsi="Arial"/>
          <w:sz w:val="18"/>
          <w:szCs w:val="18"/>
          <w:color w:val="auto"/>
        </w:rPr>
        <w:t>. We continuously evaluate our properties to identify which are most suitable to meet our long-term earnings growth objectives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 to increasing portfolio value. Properties such as smaller side-street properties or properties that simply no longer meet our earnings objectives are identified as non-core holdings, and are targeted for sale to create investment capital. We believe that we will be able to re-deploy capital generated from the disposition of non-core holdings into property acquisitions or investments in high-yield structured finance investments, which will provide enhanced future capital gain and earnings growth opportunities.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Leasing and Property Management</w:t>
      </w:r>
      <w:r>
        <w:rPr>
          <w:rFonts w:ascii="Arial" w:cs="Arial" w:eastAsia="Arial" w:hAnsi="Arial"/>
          <w:sz w:val="18"/>
          <w:szCs w:val="18"/>
          <w:color w:val="auto"/>
        </w:rPr>
        <w:t>. We seek to capitalize on our management’s extensive knowledge of the Manhattan marketplace and the needs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tenants therein by continuing a proactive approach to leasing and management, which includes: (i) use of in-depth market research; (ii) utilization of an extensive network of third-party brokers; (iii) use of comprehensive building management analysis and planning; and (iv) a commitment to tenant satisfaction by providing high quality tenant services at affordable rental rates. We believe proactive leasing efforts have contributed to average occupancy rates in our portfolio consistently exceeding the market average.</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u w:val="single" w:color="auto"/>
          <w:color w:val="auto"/>
        </w:rPr>
        <w:t>Structured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We seek to invest in high-yield structured finance investments. These investments generally provide high current returns and, 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cases, a potential for future capital gains. These investments may also serve as a potential source of real estate acquisitions for us. These investments include both floating rate and fixed rate investments. Our floating rate investments serve as a natural hedge for our unhedged floating rate debt. We intend to invest not more than 10% of our total market capitalization in structured finance investments. With the commencement of operations of Gramercy, in August 2004, we have reduced our focus on direct structured finance investments made by us. We may make additional structured finance investments, subject to certain limitations, where Gramercy has determined that such investments do not fit its investment profile or where investments represent the refinancing of one of our existing investments or in connection with the sale of one of our properties. We hold a 25% non-controlling interest in Gramercy. Gramercy is managed by GKK Manager LLC, an affiliate of ours. Structured finance investments include first mortgages, mortgage participations, subordinate loans, bridge loans and preferred equity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Manhattan office market is a competitive marketplace. Although currently no other publicly traded REITs have been formed solely to acquire, own, reposition and manage Manhattan commercial office properties, we may in the future compete with such other REITs. In addition, we face competition from other real estate companies (including other REITs that currently invest in markets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other than or in addition to Manhattan) that may have greater financial resources or access to capital than we do or that are willing to acquire properties in transactions which are more highly leveraged or are less attractive from a financial viewpoint than we are willing to pursue.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Manhattan Office Market Overview</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Manhattan is by far the largest office market in the United States, containing more rentable square feet than the next five largest central business district office markets combined. The properties in our portfolio are concentrated in some of Manhattan’s most prominent Midtown locations.</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Manhattan has a total inventory of 391 million square feet, including 237 million square feet in Midtown. Based on current construction activity, we estimate that Midtown Manhattan will have approximately 3.6 million square feet of new construction becoming available in the next two years, 84% of which is pre-leased. This will add approximately 1.0% to Manhattan’s total inventory.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Leases in the Midtown Manhattan Markets</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Leases entered into for space in the midtown Manhattan markets typically contain terms which may not be contained in leases in other U.S. office markets. The initial term of leases entered into for space in excess of 10,000 square feet in the midtown markets generally is seven to ten years. The tenant often will negotiate an option to extend the term of the lease for one or two renewal periods of five years each. The base rent during the initial term often will provide for agreed upon periodic increases over the term of the lease. Base rent for renewal terms, and base rent for the final years of a long-term lease (in those leases which do not provide an agreed upon rent during such final years), often is based upon a percentage of the fair market rental value of the premises (determined by binding arbitration in the event the landlord and the tenant are unable to mutually agree upon the fair market value).</w:t>
      </w:r>
    </w:p>
    <w:p>
      <w:pPr>
        <w:spacing w:after="0" w:line="16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to base rent, the tenant also generally will pay the tenant’s pro rata share of increases in real estate taxes and operating expenses for the building over a base year. In some leases, in lieu of paying additional rent based upon increases in building operating expenses, the tenant will pay additional rent based upon increases in the wage rate paid to porters over the porters’ wage rate in effect during a base year, increases in the consumer price index over the index value in effect during a base year, or a fixed percentage increase over base rent.</w:t>
      </w:r>
    </w:p>
    <w:p>
      <w:pPr>
        <w:spacing w:after="0" w:line="17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typically are provided at no additional cost, with the tenant paying additional rent only for services which exceed base building services or for services which are provided other than during normal business hours. During the year ended December 31, 2006, we were able to recover approximately 85.5% of our electric costs.</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 typical lease for a new tenant, the landlord will deliver the premises with all existing improvements demolished and any asbestos abated. The landlord also typically will provide a tenant improvement allowance, which is a fixed sum that the landlord makes available to the tenant to reimburse the tenant for all or a portion of the tenant’s initial construction of its premises. Such sum typically is payable as work progresses, upon submission of invoices for the cost of construction. However, in certain leases (most often for relatively small amounts of space), the landlord will construct the premises for the tenant.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Occupancy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weighted average occupancy rates at our properties based on space leased as of December 31, 2006, 2005 and 2004:</w:t>
      </w:r>
    </w:p>
    <w:p>
      <w:pPr>
        <w:sectPr>
          <w:pgSz w:w="11900" w:h="16838" w:orient="portrait"/>
          <w:cols w:equalWidth="0" w:num="1">
            <w:col w:w="11400"/>
          </w:cols>
          <w:pgMar w:left="240" w:top="125" w:right="25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1"/>
        </w:trPr>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260" w:type="dxa"/>
            <w:vAlign w:val="bottom"/>
            <w:vMerge w:val="restart"/>
          </w:tcPr>
          <w:p>
            <w:pPr>
              <w:spacing w:after="0"/>
              <w:rPr>
                <w:sz w:val="14"/>
                <w:szCs w:val="14"/>
                <w:color w:val="auto"/>
              </w:rPr>
            </w:pPr>
          </w:p>
        </w:tc>
        <w:tc>
          <w:tcPr>
            <w:tcW w:w="3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0"/>
              </w:rPr>
              <w:t>Percent Occupied as of December 31,</w:t>
            </w:r>
          </w:p>
        </w:tc>
        <w:tc>
          <w:tcPr>
            <w:tcW w:w="0" w:type="dxa"/>
            <w:vAlign w:val="bottom"/>
          </w:tcPr>
          <w:p>
            <w:pPr>
              <w:spacing w:after="0"/>
              <w:rPr>
                <w:sz w:val="1"/>
                <w:szCs w:val="1"/>
                <w:color w:val="auto"/>
              </w:rPr>
            </w:pPr>
          </w:p>
        </w:tc>
      </w:tr>
      <w:tr>
        <w:trPr>
          <w:trHeight w:val="129"/>
        </w:trPr>
        <w:tc>
          <w:tcPr>
            <w:tcW w:w="8080" w:type="dxa"/>
            <w:vAlign w:val="bottom"/>
            <w:tcBorders>
              <w:bottom w:val="single" w:sz="8" w:color="auto"/>
            </w:tcBorders>
            <w:gridSpan w:val="2"/>
            <w:vMerge w:val="continue"/>
          </w:tcPr>
          <w:p>
            <w:pPr>
              <w:spacing w:after="0"/>
              <w:rPr>
                <w:sz w:val="11"/>
                <w:szCs w:val="11"/>
                <w:color w:val="auto"/>
              </w:rPr>
            </w:pPr>
          </w:p>
        </w:tc>
        <w:tc>
          <w:tcPr>
            <w:tcW w:w="260" w:type="dxa"/>
            <w:vAlign w:val="bottom"/>
            <w:tcBorders>
              <w:bottom w:val="single" w:sz="8" w:color="CCEEFF"/>
            </w:tcBorders>
            <w:vMerge w:val="continue"/>
          </w:tcPr>
          <w:p>
            <w:pPr>
              <w:spacing w:after="0"/>
              <w:rPr>
                <w:sz w:val="11"/>
                <w:szCs w:val="11"/>
                <w:color w:val="auto"/>
              </w:rPr>
            </w:pPr>
          </w:p>
        </w:tc>
        <w:tc>
          <w:tcPr>
            <w:tcW w:w="74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2006</w:t>
            </w:r>
          </w:p>
        </w:tc>
        <w:tc>
          <w:tcPr>
            <w:tcW w:w="320" w:type="dxa"/>
            <w:vAlign w:val="bottom"/>
            <w:tcBorders>
              <w:top w:val="single" w:sz="8" w:color="auto"/>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Same-Store Properties (1)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8340" w:type="dxa"/>
            <w:vAlign w:val="bottom"/>
            <w:gridSpan w:val="3"/>
          </w:tcPr>
          <w:p>
            <w:pPr>
              <w:spacing w:after="0"/>
              <w:rPr>
                <w:sz w:val="20"/>
                <w:szCs w:val="20"/>
                <w:color w:val="auto"/>
              </w:rPr>
            </w:pPr>
            <w:r>
              <w:rPr>
                <w:rFonts w:ascii="Arial" w:cs="Arial" w:eastAsia="Arial" w:hAnsi="Arial"/>
                <w:sz w:val="18"/>
                <w:szCs w:val="18"/>
                <w:color w:val="auto"/>
              </w:rPr>
              <w:t>Joint Venture Properties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97.1%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97.4%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Portfolio</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108"/>
        </w:trPr>
        <w:tc>
          <w:tcPr>
            <w:tcW w:w="2200" w:type="dxa"/>
            <w:vAlign w:val="bottom"/>
            <w:tcBorders>
              <w:bottom w:val="single" w:sz="8" w:color="auto"/>
            </w:tcBorders>
          </w:tcPr>
          <w:p>
            <w:pPr>
              <w:spacing w:after="0"/>
              <w:rPr>
                <w:sz w:val="9"/>
                <w:szCs w:val="9"/>
                <w:color w:val="auto"/>
              </w:rPr>
            </w:pPr>
          </w:p>
        </w:tc>
        <w:tc>
          <w:tcPr>
            <w:tcW w:w="5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Represents 16 of our 20 wholly-owned properties owned by us at December 31, 2004 and still owned by us at December 31,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Growth</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estimate that rents in place, at December 31, 2006, in our wholly-owned properties are approximately 30.2% below current market asking rents. We estimate that rents in place at December 31, 2006 in our properties owned through joint ventures are approximately 40.9% below current market asking rents. This comparative measure was approximately 18.7% at December 31, 2005 for the wholly-owned properties and 38.4% for the joint venture properties. As of December 31, 2006, 38.5% and 38.8% of all leases in-place in our wholly-owned and joint venture properties, respectively, are scheduled to expire during the next five years. We expect to capitalize on embedded rent growth as these leases and future leases expire by renewing or replacing these tenant leases at higher prevailing market rents. There can be no assurances that our estimates of current market rents are accurate, that market rents currently prevailing will not erode in the future or that we will realize any rent growth. However, we believe the degree that rents in the current portfolio are below market provides a potential for long-term internal growth.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Segments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are a REIT that acquires, owns, repositions, manages and leases commercial office properties in Manhattan and have two reportable segments, office real estate and structured finance investments. We evaluate real estate performance and allocate resources based on earnings contribution to net operating income.</w:t>
      </w:r>
    </w:p>
    <w:p>
      <w:pPr>
        <w:spacing w:after="0" w:line="12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At December 31, 2006, our real estate portfolio was primarily located in one geographical market, namely, Manhattan. The primary sources of revenue are generated from tenant rents and escalations and reimbursement revenue. Real estate property operating expenses consist primarily of security, maintenance, utility costs, real estate taxes and ground rent expense (at certain applicable properties). As of December 31, 2006, one tenant in our portfolio contributed approximately 7.9% of our portfolio annualized rent. No other tenant contributed more than 4.4% of our portfolio annualized rent. In addition, 420 Lexington Avenue contributed in excess of 10% of our consolidated revenue for 2006. See Item 2 “Properties — 420 Lexington Avenue” for a further discussion on this property. Portfolio annualized rent includes our consolidated annualized revenue and our share of joint venture annualized revenue. In addition, one borrower accounted for more than 10.0% of the revenue earned on structured finance investments at December 31, 2006.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At December 31, 2006, we employed approximately 814 employees, over 161 of whom were managers and professionals, approximately 611 of whom were hourly-paid employees involved in building operations and approximately 42 of whom were clerical, data processing and other administrative employees. There are currently three collective bargaining agreements which cover the workforce that services substantially all of our properties.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During 2006, we acquired two wholly-owned properties, namely, 521 Fifth Avenue and 609 Fifth Avenue, and a tenancy-in-common interest representing a 50 percent interest in 55 Corporate Drive, NJ, for an aggregate gross purchase price of $510.0 million and encompassing 1.3 million rentable square feet. We also acquired most of the remaining interest in 485 Lexington Avenue at an implied value of $578.0 million. In addition, we acquired a 50% ownership interest in three retail properties, namely, 25/27-29 West 34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for a gross aggregate purchase price of $30.0 million. These properties encompass approximately 51,000 rentable square feet. We invested in two joint ventures valued at approximately $412.5 million and encompassing approximately 1.4 million rentable square feet. We also invested in the retail condominium and 1 floor of office space at 717 Fifth Avenue at an implied value of approximately $235.0 million. This property encompasses approximately 76,400 rentable square feet.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2006, we sold the properties located at 286/290 Madison Avenue and 1140 of the Americas for a gross sale of $160.5 million. We realized gains of approximately $94.0 million on the sales of these properties, which encompassed 340,000 rentable square feet.</w:t>
      </w:r>
    </w:p>
    <w:p>
      <w:pPr>
        <w:spacing w:after="0" w:line="170"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During 2006, we sold a 49.9% interest in the 460,000 square foot property located at 521 Fifth Avenue for $240.0 million. We realized a gain of approximately $3.5 million on the sale of this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Structured Finance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2006, we originated approximately $240.7 million in structured finance and preferred equity investments (net of discount). There were also approximately $195.7 million in repayments and participations in 2006. We also made a $20.1 million investment in Gramercy, maintaining our 25%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2006, we sold 6,498,100 shares of our common stock, raising net proceeds of approximately $800.3 million in two separate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also closed on mortgage financings at four properties totaling approximately $472.5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January 2007, we acquired Reckson Associates Realty Corp. for approximately $6.0 billion, inclusive of transaction costs. Simultaneously, we sold approximately $2.0 billion of the Reckson assets to an asset purchasing venture which includes certain former members of Reckson’s senior management.</w:t>
      </w:r>
    </w:p>
    <w:p>
      <w:pPr>
        <w:sectPr>
          <w:pgSz w:w="11900" w:h="16838" w:orient="portrait"/>
          <w:cols w:equalWidth="0" w:num="1">
            <w:col w:w="11420"/>
          </w:cols>
          <w:pgMar w:left="240" w:top="104" w:right="239" w:bottom="0" w:gutter="0" w:footer="0" w:header="0"/>
        </w:sectPr>
      </w:pPr>
    </w:p>
    <w:bookmarkStart w:id="5" w:name="page6"/>
    <w:bookmarkEnd w:id="5"/>
    <w:p>
      <w:pPr>
        <w:ind w:right="60"/>
        <w:spacing w:after="0" w:line="276" w:lineRule="auto"/>
        <w:rPr>
          <w:sz w:val="20"/>
          <w:szCs w:val="20"/>
          <w:color w:val="auto"/>
        </w:rPr>
      </w:pPr>
      <w:r>
        <w:rPr>
          <w:rFonts w:ascii="Arial" w:cs="Arial" w:eastAsia="Arial" w:hAnsi="Arial"/>
          <w:sz w:val="17"/>
          <w:szCs w:val="17"/>
          <w:color w:val="auto"/>
        </w:rPr>
        <w:t>The transaction includes the acquisition of 30 properties encompassing approximately 9.2 million square feet, of which five properties encompassing approximately 4.2 million square feet are located in Manhattan. In connection with the acquisition, we issued approximately 9.0 million shares of our common stock, closed on $298.0 million of new mortgage financing and a $500.0 million term loan, and assumed approximately $238.6 million of mortgage debt, approximately $967.8 million of public unsecured notes and approximately $287.5 million of public convertible debt. In connection with the Reckson acquisition, we made loans totaling $215.0 million to the asset purchasing venture. We may syndicate all or a portion of these loans.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January 2007, we exercised the accordion feature in our unsecured revolving line of credit. As a result, the capacity under the unsecured revolver increased by $300.0 million to $800.0 million.</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January 29, 2007, we completed a refinancing of the first mortgage loan on 485 Lexington Avenue for $450.0 million. The ten-year interest only mortgage has an effective interest rate of 5.566%. The mortgage matures in January 2017.</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January 30, 2007, a joint venture of SL Green, SITQ Immobilier and SEB Immobilier - Investment GMbH announced that it is selling One Park Avenue for $550.0 million. We expect to receive approximately $108.0 million in proceeds from the sale, a substantial portion of which will represent an incentive distribution under our joint venture arrangement with SEB. The proceeds may be utilized in a tax efficient 1031-exchange. The sale, which is subject to customary closing conditions, is expected to close in the first quarter of 2007.</w:t>
      </w:r>
    </w:p>
    <w:p>
      <w:pPr>
        <w:spacing w:after="0" w:line="187" w:lineRule="exact"/>
        <w:rPr>
          <w:sz w:val="20"/>
          <w:szCs w:val="20"/>
          <w:color w:val="auto"/>
        </w:rPr>
      </w:pPr>
    </w:p>
    <w:p>
      <w:pPr>
        <w:ind w:right="600"/>
        <w:spacing w:after="0" w:line="282" w:lineRule="auto"/>
        <w:rPr>
          <w:sz w:val="20"/>
          <w:szCs w:val="20"/>
          <w:color w:val="auto"/>
        </w:rPr>
      </w:pPr>
      <w:r>
        <w:rPr>
          <w:rFonts w:ascii="Arial" w:cs="Arial" w:eastAsia="Arial" w:hAnsi="Arial"/>
          <w:sz w:val="16"/>
          <w:szCs w:val="16"/>
          <w:color w:val="auto"/>
        </w:rPr>
        <w:t>On January 30, 2007, we announced that we have entered into an agreement to sell 70 West 36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Street for $61.5 million. The sale, which is subject to customary closing conditions, is expected to close in the first quarter of 2007. The proceeds may be utilized in a tax efficient 1031-exchange.</w:t>
      </w:r>
    </w:p>
    <w:p>
      <w:pPr>
        <w:spacing w:after="0" w:line="16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January, 2007, we acquired 300 Main Street in Stamford, Connecticut and 399 Knollwood Road in White Plains, New York for approximately $46.6 million, inclusive of 50,000 square feet of garage parking at 300 Main Street, from affiliates of RPW Group. These properties are being managed and leased by our management team and by the former Reckson management team located in White Plains, NY.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Declines in the demand for office space in New York City, and in particular, in midtown Manhattan, resulting from general economic conditions could adversely affect the value of our real estate portfolio and our results of operations and, consequently, our ability to service current debt and to pay dividends to stockholders.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Most of our office properties are located in midtown Manhattan. As a result, our business is dependent on the condition of the New York City economy in general and the market for office space in midtown Manhattan, in particular. Weakness in the New York City economy could materially reduce the value of our real estate portfolio and our revenues, and thus adversely affect our ability to service current debt and to pay dividends to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renew leases or relet space as leases expire.</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When our tenants decide not to renew their leases upon their expiration, we may not be able to relet the space. Even if tenants do renew or we can relet the space, the terms of renewal or reletting, including the cost of required renovations, may be less favorable than current lease terms. Over the next five years, through the end of 2011, leases will expire on approximately 38.5% and 38.8% of the rentable square feet at our wholly-owned and joint venture properties, respectively. As of December 31, 2006, approximately 3.9 million and 3.3 million square feet are scheduled to expire by December 31, 2011 at our wholly-owned and joint venture properties, respectively, and these leases currently have annualized escalated rental income totaling approximately $164.3 million and $164.2 million, respectively. If we are unable to promptly renew the leases or relet this space at similar rates, our cash flow and ability to service debt and pay dividends to stockholders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expiration of long term leases or operating sublease interests could adversely affect our results of operations.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interest in six of our commercial office properties is through either long-term leasehold or operating sublease interests in the land and the improvements, rather than by a fee interest in the land. Unless we can purchase a fee interest in the underlying land or extend the terms of these leases before their expiration, we will lose our right to operate these properties and our interest in the improvements upon expiration of the leases, which would significantly adversely affect our results of operations. These properties are 673 First Avenue, 420 Lexington Avenue, 461 Fifth Avenue, 711 Third Avenue, 625 Madison Avenue and 521 Fifth Avenue. The average remaining term of these long-term leases, including our unilateral extension rights on each of the properties, is approximately 30 years. Pursuant to the operating sublease arrangements, we, as tenant under the operating sublease, perform the functions traditionally performed by landlords with respect to our subtenants. We are responsible for not only collecting rent from our subtenants, but also maintaining the property and paying expenses relating to the property. The annualized escalated rents of these properties at December 31, 2006 totaled approximately $152.9 million, or 24.3%, of our share of total portfolio annualized revenue associated with these properties.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major tenants and insolvency or bankruptcy of these and other tenants could adversely affect our results of operations.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Giving effect to leases in effect as of December 31, 2006 for wholly-owned and joint venture properties as of that date, our five largest tenants, based on square footage leased, accounted for approximately 22.4% of our share of portfolio annualized rent, and, other than three tenants, Viacom International Inc., Credit Suisse Securities (USA) LLC and Citigroup, N.A. who accounted for approximately 7.9%, 4.4% and 4.4% of our share of portfolio annualized rent, respectively, no tenant accounted for more than 3.3% of that total. Our business would be adversely affected if any of these tenants or any other tenants became insolvent, declared bankruptcy or otherwise refused to pay rent in a timely fashion or at all.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suffer adverse consequences if our revenues decline since our operating costs do not necessarily decline in proportion to our revenue.</w:t>
      </w:r>
    </w:p>
    <w:p>
      <w:pPr>
        <w:sectPr>
          <w:pgSz w:w="11900" w:h="16838" w:orient="portrait"/>
          <w:cols w:equalWidth="0" w:num="1">
            <w:col w:w="11380"/>
          </w:cols>
          <w:pgMar w:left="240" w:top="125" w:right="279" w:bottom="0" w:gutter="0" w:footer="0" w:header="0"/>
        </w:sectPr>
      </w:pPr>
    </w:p>
    <w:bookmarkStart w:id="6" w:name="page7"/>
    <w:bookmarkEnd w:id="6"/>
    <w:p>
      <w:pPr>
        <w:ind w:right="100"/>
        <w:spacing w:after="0" w:line="259" w:lineRule="auto"/>
        <w:rPr>
          <w:sz w:val="20"/>
          <w:szCs w:val="20"/>
          <w:color w:val="auto"/>
        </w:rPr>
      </w:pPr>
      <w:r>
        <w:rPr>
          <w:rFonts w:ascii="Arial" w:cs="Arial" w:eastAsia="Arial" w:hAnsi="Arial"/>
          <w:sz w:val="18"/>
          <w:szCs w:val="18"/>
          <w:color w:val="auto"/>
        </w:rPr>
        <w:t>We earn a significant portion of our income from renting our properties. Our operating costs, however, do not necessarily fluctuate in relation to changes in our rental revenue. This means that our costs will not necessarily decline even if our revenues do. Our operating costs could also increase while our revenues do not. If our operating costs increase but our rental revenues do not, we may be forced to borrow to cover our costs, we may incur losses and we may not have cash available for distributions to our stockholders.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property acquisitions.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Since our initial public offering, we have made acquisitions of individual properties and portfolios of properties. We intend to continue to acquire individual properties and portfolios of properties, including large portfolios that could significantly increase our size and alter our capital structure. Our acquisition activities and their success may be exposed to the following risks:</w:t>
      </w:r>
    </w:p>
    <w:p>
      <w:pPr>
        <w:spacing w:after="0" w:line="181" w:lineRule="exact"/>
        <w:rPr>
          <w:sz w:val="20"/>
          <w:szCs w:val="20"/>
          <w:color w:val="auto"/>
        </w:rPr>
      </w:pPr>
    </w:p>
    <w:p>
      <w:pPr>
        <w:ind w:left="1300" w:right="420" w:hanging="320"/>
        <w:spacing w:after="0" w:line="277" w:lineRule="auto"/>
        <w:tabs>
          <w:tab w:leader="none" w:pos="1229"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acquire a desired property because of competition from other well capitalized real estate investors, including publicly traded REITs, institutional investment funds and private investors or at all;</w:t>
      </w:r>
    </w:p>
    <w:p>
      <w:pPr>
        <w:spacing w:after="0" w:line="170" w:lineRule="exact"/>
        <w:rPr>
          <w:rFonts w:ascii="Arial" w:cs="Arial" w:eastAsia="Arial" w:hAnsi="Arial"/>
          <w:sz w:val="18"/>
          <w:szCs w:val="18"/>
          <w:color w:val="auto"/>
        </w:rPr>
      </w:pPr>
    </w:p>
    <w:p>
      <w:pPr>
        <w:ind w:left="1300" w:right="280" w:hanging="320"/>
        <w:spacing w:after="0" w:line="277" w:lineRule="auto"/>
        <w:tabs>
          <w:tab w:leader="none" w:pos="1229"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we enter into an acquisition agreement for a property, it is usually subject to customary conditions to closing, including due diligence investigations to our satisfaction;</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even if we are able to acquire a desired property, competition from other real estate investors may significantly increase the purchase price;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finance acquisitions on favorable terms or at all;</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acquired properties may fail to perform as we expected;</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estimates of the costs of repositioning or redeveloping acquired properties may be inaccurate;</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obtain adequate insurance coverage for new properties;</w:t>
      </w:r>
    </w:p>
    <w:p>
      <w:pPr>
        <w:spacing w:after="0" w:line="225" w:lineRule="exact"/>
        <w:rPr>
          <w:rFonts w:ascii="Arial" w:cs="Arial" w:eastAsia="Arial" w:hAnsi="Arial"/>
          <w:sz w:val="18"/>
          <w:szCs w:val="18"/>
          <w:color w:val="auto"/>
        </w:rPr>
      </w:pPr>
    </w:p>
    <w:p>
      <w:pPr>
        <w:ind w:left="1300" w:hanging="320"/>
        <w:spacing w:after="0" w:line="342" w:lineRule="auto"/>
        <w:tabs>
          <w:tab w:leader="none" w:pos="1229" w:val="left"/>
        </w:tabs>
        <w:numPr>
          <w:ilvl w:val="0"/>
          <w:numId w:val="9"/>
        </w:numPr>
        <w:rPr>
          <w:rFonts w:ascii="Arial" w:cs="Arial" w:eastAsia="Arial" w:hAnsi="Arial"/>
          <w:sz w:val="16"/>
          <w:szCs w:val="16"/>
          <w:color w:val="auto"/>
        </w:rPr>
      </w:pPr>
      <w:r>
        <w:rPr>
          <w:rFonts w:ascii="Arial" w:cs="Arial" w:eastAsia="Arial" w:hAnsi="Arial"/>
          <w:sz w:val="16"/>
          <w:szCs w:val="16"/>
          <w:color w:val="auto"/>
        </w:rPr>
        <w:t>acquired properties may be located in new markets where we may face risks associated with a lack of market knowledge or understanding of the local economy, lack of business relationships in the area and unfamiliarity with local governmental and permitting procedures;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229"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quickly and efficiently integrate new acquisitions, particularly acquisitions of portfolios of properties, into our existing operations, and as a result our results of operations and financial condition could be adversely affected.</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may acquire properties subject to liabilities and without any recourse, or with only limited recourse, with respect to unknown liabilities. As a result, if a liability were asserted against us based upon those properties, we might have to pay substantial sums to settle it, which could adversely affect our cash flow. Unknown liabilities with respect to properties acquired might include:</w:t>
      </w:r>
    </w:p>
    <w:p>
      <w:pPr>
        <w:spacing w:after="0" w:line="181" w:lineRule="exact"/>
        <w:rPr>
          <w:sz w:val="20"/>
          <w:szCs w:val="20"/>
          <w:color w:val="auto"/>
        </w:rPr>
      </w:pPr>
    </w:p>
    <w:p>
      <w:pPr>
        <w:ind w:left="1240" w:hanging="260"/>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liabilities for clean-up of undisclosed environmental contamination;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tenants, vendors or other persons dealing with the former owners of the properties;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liabilities incurred in the ordinary course of business; and</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for indemnification by general partners, directors, officers and others indemnified by the former owners of the properties.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 for acquisitions may reduce the number of acquisition opportunities available to us and increase the costs of those acquisitions.</w:t>
      </w:r>
    </w:p>
    <w:p>
      <w:pPr>
        <w:spacing w:after="0" w:line="252"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color w:val="auto"/>
        </w:rPr>
        <w:t>We plan to continue to acquire properties as we are presented with attractive opportunities. We may face competition for acquisition opportunities with other investors, particularly private investors who can incur more leverage, and this competition may adversely affect us by subjecting us to the following risks:</w:t>
      </w:r>
    </w:p>
    <w:p>
      <w:pPr>
        <w:spacing w:after="0" w:line="101" w:lineRule="exact"/>
        <w:rPr>
          <w:sz w:val="20"/>
          <w:szCs w:val="20"/>
          <w:color w:val="auto"/>
        </w:rPr>
      </w:pPr>
    </w:p>
    <w:p>
      <w:pPr>
        <w:ind w:left="1300" w:right="100" w:hanging="320"/>
        <w:spacing w:after="0" w:line="308" w:lineRule="auto"/>
        <w:tabs>
          <w:tab w:leader="none" w:pos="1229"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inability to acquire a desired property because of competition from other well-capitalized real estate investors, including publicly traded and privately held REITs, institutional investment funds, investment banking firms and other real estate investors; and</w:t>
      </w:r>
    </w:p>
    <w:p>
      <w:pPr>
        <w:spacing w:after="0" w:line="146" w:lineRule="exact"/>
        <w:rPr>
          <w:rFonts w:ascii="Arial" w:cs="Arial" w:eastAsia="Arial" w:hAnsi="Arial"/>
          <w:sz w:val="17"/>
          <w:szCs w:val="17"/>
          <w:color w:val="auto"/>
        </w:rPr>
      </w:pPr>
    </w:p>
    <w:p>
      <w:pPr>
        <w:ind w:left="1240" w:hanging="260"/>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purchase price for such acquisition property, in the event we are able to acquire such desired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three large properties for a significant portion of our revenue.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2006, three of our properties, 420 Lexington Avenue, 1221 Avenue of the Americas and 1515 Broadway, accounted for approximately 28% of our portfolio annualized rent, including our share of joint venture annualized rent, and 1221 Avenue of the Americas alone accounted for approximately 10% of our portfolio annualized rent, including our share of joint venture annualized rent. Our revenue and cash available for distribution to our stockholders would be materially adversely affected if the ground lease for the 420 Lexington Avenue property were terminated for any reason or if one or all of these properties were materially damaged or destroyed. Additionally, our revenue and cash available for distribution to our stockholders would be materially adversely affected if our tenants at these properties experienced a downturn in their business which may weaken their financial condition and result in their failure to timely make rental payments, defaulting under their leases or filing for bankruptcy.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continuing threat of terrorist attacks may adversely affect the value of our properties and our ability to generate cash flow.</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may be a decrease in demand for space in New York City because it is considered at risk for future terrorist attacks, and this decrease may reduce our revenues from property rentals. In the aftermath of a terrorist attack, tenants in the New York City area may</w:t>
      </w:r>
    </w:p>
    <w:p>
      <w:pPr>
        <w:sectPr>
          <w:pgSz w:w="11900" w:h="16838" w:orient="portrait"/>
          <w:cols w:equalWidth="0" w:num="1">
            <w:col w:w="11380"/>
          </w:cols>
          <w:pgMar w:left="240" w:top="125" w:right="279" w:bottom="18"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choose to relocate their business to less populated, lower-profile areas of the United States that are not as likely to be targets of future terrorist activity. This in turn would trigger a decrease in the demand for space in the New York City area, which could increase vacancies in our properties and force us to lease our properties on less favorable terms. As a result, the value of our properties and the level of our revenues could materially decline.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terrorist attack could cause insurance premiums to increase significantly.</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maintain “all-risk” property and rental value coverage (including coverage regarding the perils of flood, earthquake and terrorism) and liability insurance with limits in excess of $200.0 million per location. The property coverage has a blanket limit of $600.0 million per occurrence for all the properties in our portfolio with a sub-limit of $450.0 million for acts of terrorism. The property policies expire on December 31, 2007 and the liability policies expire on October 31, 2007. The new property policies incorporate our newly formed Belmont Insurance Company, or Belmont, a captive insurance company which we formed and which received its license to underwrite insurance in New York State, in an effort to stabilize, to some extent, the fluctuations of insurance market conditions. Belmont is licensed to write up to $100.0 million of coverage for us, but at this time is providing $50.0 million of terrorism coverage in excess of $100.0 million and is insuring a large deductible on the liability insurance with a $250,000 deductible per occurrence and a $2,000,000 annual aggregate loss limit. We have secured an insurer to protect against catastrophic liability losses. We have retained a third party administrator to manage all claims within the deductible and we anticipate that direct management of liability claims will improve loss experience and ultimately lower the cost of liability insurance in future years. We have a 45% interest in the property at 1221 Avenue of the Americas, where we participate with the Rockefeller Group Inc., which carries a blanket policy providing $1.0 billion of “all-risk” property insurance, including terrorism coverage, and a 49.9% interest in the property at 100 Park Avenue, where we participate with Prudential, which carries a blanket policy of $500.0 million of “all-risk” property insurance, including terrorism coverage. We, together with Gramercy, own One Madison Avenue, which is under a triple net lease with insurance provided by the tenant, Credit Suisse Securities (USA) LLC. We monitor the coverage provided by Credit Suisse Securities (USA) LLC to make sure that our asset is adequately protected. Although we consider our insurance coverage to be appropriate, in the event of a major catastrophe, such as an act of terrorism, we may not have sufficient coverage to replace certain properties.</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October 2006, we formed a wholly-owned taxable REIT subsidiary, Belmont, to act as a captive insurance company and be one of the elements of our overall insurance program. Belmont acts as a direct insurer with respect to a portion of our terrorism coverage and provides primary liability insurance to cover the deductible program. As long as we own Belmont, we are responsible for its liquidity and capital resources, and the accounts of Belmont are part of our consolidated financial statements. If we experience a loss and Belmont is required to pay under its insurance policy, we would ultimately record the loss to the extent of Belmont’s required payment. Therefore, insurance coverage provided by Belmont should not be considered as the equivalent of third-party insurance, but rather as a modified form of self-insurance.</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Terrorism Risk Insurance Act, or TRIA, which was enacted in November 2002, was renewed on January 1, 2006. Congress extended TRIA, now called TRIEA (Terrorism Risk Insurance Extension Act) until December 31, 2007. Our debt instruments, consisting of mortgage loans secured by our properties (which are generally non-recourse to us), mezzanine loans, ground leases and our 2005 unsecured revolving credit facility and secured and unsecured term loans, contain customary covenants requiring us to maintain insurance. There can be no assurance that the lenders or ground lessors under these instruments will not take the position that a total or partial exclusion from “all-risk” insurance coverage for losses due to terrorist acts is a breach of these debt and ground lease instruments that allows the lenders or ground lessors to declare an event of default and accelerate repayment of debt or recapture of ground lease positions. In addition, if lenders insist on full coverage for these risks and prevail in asserting that we are required to maintain such coverage, it could result in substantially higher insurance premiums.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dependence on smaller and growth-oriented businesses to rent our office space could adversely affect our cash flow and results of operations.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Many of the tenants in our properties are smaller, growth-oriented businesses that may not have the financial strength of larger corporate tenants. Smaller companies generally experience a higher rate of failure than large businesses. Growth-oriented firms may also seek other office space, including Class A space, as they develop. Dependence on these companies could create a higher risk of tenant defaults, turnover and bankruptcies, which could adversely affect our distributable cash flow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financing, financial covenants, degree of leverage, and increases in interest rates could adversely affect our economic performance.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Scheduled debt payments could adversely affect our results of operations.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total principal amount of our outstanding consolidated indebtedness was approximately $1.8 billion as of December 31, 2006, consisting of $325.0 million under our unsecured term loan, $200.0 million under our secured term loan, $100.0 million under our junior subordinated deferrable interest debentures and approximately $1.2 billion of non-recourse mortgage loans on thirteen of our properties. In addition, we could increase the amount of our outstanding indebtedness in the future, in part by borrowing under our 2005 unsecured revolving credit facility, which had $484.0 million available for draw as of December 31, 2006. Our 2005 unsecured revolving credit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327" w:lineRule="auto"/>
        <w:rPr>
          <w:sz w:val="20"/>
          <w:szCs w:val="20"/>
          <w:color w:val="auto"/>
        </w:rPr>
      </w:pPr>
      <w:r>
        <w:rPr>
          <w:rFonts w:ascii="Arial" w:cs="Arial" w:eastAsia="Arial" w:hAnsi="Arial"/>
          <w:sz w:val="15"/>
          <w:szCs w:val="15"/>
          <w:color w:val="auto"/>
        </w:rPr>
        <w:t>facility matures in September 2008. Our unsecured term loan matures in August 2009. Our secured term loan matures in May 2010. As of December 31, 2006, the total principal amount of non-recourse indebtedness outstanding at the joint venture properties was approximately $2.5 billion, of which our proportionate share was approximately $1.2 billion. Cash flow could be insufficient to pay distributions at expected levels and meet the payments of principal and interest required under our current mortgage indebtedness, credit facilities, term loans, debentures and indebtedness outstanding at our joint venture properties.</w:t>
      </w:r>
    </w:p>
    <w:p>
      <w:pPr>
        <w:spacing w:after="0" w:line="14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we are unable to make payments under our unsecured credit facility and our secured and unsecured term loans, all amounts due and owing at such time shall accrue interest at a rate equal to 4% higher than the rate at which each such loan was made. If a property is mortgaged to secure payment of indebtedness and we are unable to meet mortgage payments, the mortgagee could foreclose on the property, resulting in loss of income and asset value. Foreclosure on mortgaged properties or an inability to make scheduled payments under our secured and unsecured term loans and unsecured credit facility would have a negative impact on our financial condition and results of operations.</w:t>
      </w:r>
    </w:p>
    <w:p>
      <w:pPr>
        <w:sectPr>
          <w:pgSz w:w="11900" w:h="16838" w:orient="portrait"/>
          <w:cols w:equalWidth="0" w:num="1">
            <w:col w:w="11420"/>
          </w:cols>
          <w:pgMar w:left="240" w:top="125" w:right="239" w:bottom="0" w:gutter="0" w:footer="0" w:header="0"/>
        </w:sectPr>
      </w:pPr>
    </w:p>
    <w:bookmarkStart w:id="8" w:name="page9"/>
    <w:bookmarkEnd w:id="8"/>
    <w:p>
      <w:pPr>
        <w:spacing w:after="0" w:line="9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may not be able to refinance existing indebtedness, which in all cases requires substantial principal payments at maturity. In 2007, approximately $83.8 million and $880.2 million of debt on our wholly-owned buildings and our joint venture properties, respectively, will mature. At the present time we intend to exercise extension options or refinance the debt associated with our properties on or prior to their respective maturity dates. If any principal payments due at maturity cannot be refinanced, extended or paid with proceeds of other capital transactions, such as new equity capital, our cash flow will not be sufficient in all years to repay all maturing debt. At the time of refinancing, prevailing interest rates or other factors, such as the possible reluctance of lenders to make commercial real estate loans may result in higher interest rates. Increased interest expense on the refinanced debt would adversely affect cash flow and our ability to service debt and make distributions to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 could adversely affect our ability to conduct our business.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mortgages on our properties contain customary negative covenants that limit our ability to further mortgage the property, to enter into new leases or materially modify existing leases, and to discontinue insurance coverage. In addition, our 2005 unsecured revolving credit facility contains customary restrictions and requirements on our method of operations. Our 2005 unsecured revolving credit facility and unsecured term loan also require us to maintain designated ratios of total debt-to-assets, debt service coverage and unencumbered assets-to-unsecured debt. Restrictions on our ability to conduct business could adversely affect our results of operations and our ability to make distributions to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interest rates could adversely affect our cash flow.</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Advances under our 2005 unsecured revolving credit facility and unsecured term loan and certain property-level mortgage debt bear interest at a variable rate. These variable rate borrowings totaled approximately $303.7 million at December 31, 2006. In addition, we could increase the amount of our outstanding variable rate debt in the future, in part by borrowing under our 2005 unsecured revolving credit facility, which had $484.0 million available for draw as of December 31, 2006. Borrowings under our 2005 unsecured revolving credit facility bear interest at a spread equal to the 30-day LIBOR, plus 110 basis points. Borrowings under our unsecured term loan and our secured term loan bear interest at spreads equal to the 30-day LIBOR plus 140 and 125 basis points, respectively. As of December 31, 2006, borrowings under the 2005 unsecured revolving credit facility and secured and unsecured term loans and junior subordinated deferrable interest debentures totaled $0.0, $200.0 million, $325.0 million and $100.0 million, respectively, and bore interest at 6.42%, 5.00%, 5.34%, and 5.61%, respectively. We may incur indebtedness in the future that also bears interest at a variable rate or may be required to refinance our debt at higher rates. Accordingly, increases in interest rates above that which we anticipated based upon historical trends could adversely affect our ability to continue to make distributions to stockholders. At December 31, 2006, a hypothetical 100 basis point increase in interest rates along the entire interest rate curve would increase our annual interest costs by approximately $2.9 million and would increase our share of joint venture annual interest costs by approximately $6.7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hedge effectively against interest rate changes may adversely affect results of operations.</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interest rate hedge instruments we use to manage some of our exposure to interest rate volatility involve risk, such as the risk that counterparties may fail to honor their obligations under these arrangements. In addition, these arrangements may not be effective in reducing our exposure to interest rate changes. Failure to hedge effectively against interest rate changes may adversely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policy of no limitation on debt could adversely affect our cash flow.</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organizational documents do not contain any limitation on the amount of indebtedness we may incur. As of December 31, 2006, assuming the conversion of all outstanding units of the operating partnership into shares of our common stock, our combined debt-to-market capitalization ratio, including our share of joint venture debt of $1.2 billion, was approximately 29.5%. However, our policy is to incur debt only if upon a conversion our consolidated debt to market capitalization ratio would be 60.0% or less. Our board of directors can alter or eliminate this policy and may do so if our board of directors determines that this action is in the best interests of our business. If this policy is changed and we become more highly leveraged, an increase in debt service could adversely affect cash available for distribution to stockholders and could increase the risk of default on our indebtedness. In addition, any change that increases our debt to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market capitalization percentage could be viewed negatively by investors. As a result, our share price could decrease.</w:t>
      </w:r>
    </w:p>
    <w:p>
      <w:pPr>
        <w:spacing w:after="0" w:line="22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We have established our debt policy relative to the total market capitalization of our business rather than relative to the book value of our assets. We use total market capitalization because we believe that the book value of our assets, which to a large extent is the depreciated original cost of our properties, and our primary tangible assets, does not accurately reflect our ability to borrow and to meet debt service requirements. Our market capitalization, however, is more variable than book value, and does not necessarily reflect the fair market value of our assets at all times. We also will consider factors other than market capitalization in making decisions regarding the incurrence of indebtedness, such as the purchase price of properties to be acquired with debt financing, the estimated market value of our properties upon refinancing and the ability of particular properties and our business as a whole to generate cash flow to cover expected debt service.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Structured finance investments could cause expenses, which could adversely affect our results of operations.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owned mezzanine loans, junior participations and preferred equity interests in eighteen properties with an aggregate book value of approximately $445.0 million at December 31, 2006. Such investments may or may not be recourse obligations of the borrower and are not insured or guaranteed by governmental agencies or otherwise. In the event of a default under these obligations, we may have to realize upon our collateral and thereafter make substantial improvements or repairs to the underlying real estate in order to maximize the property’s investment potential. Borrowers may contest enforcement of foreclosure or other remedies, seek bankruptcy protection against such enforcement and/or bring claims for lender liability in response to actions to enforce their obligation to us. Relatively high loan-to-value ratios and declines in the value of the property may prevent us from realizing an amount equal to our investment upon foreclosure or realization. In addition, under the origination agreement with Gramercy, we may be precluded from making certain types of structured finance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investments could be adversely affected by our lack of sole decision-making authority and reliance upon a co-venturer’s financial condition.</w:t>
      </w:r>
    </w:p>
    <w:p>
      <w:pPr>
        <w:spacing w:after="0" w:line="25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co-invest with third parties through partnerships, joint ventures, co-tenancies or other entities, acquiring non-controlling interests in, or sharing responsibility for managing the affairs of, a property, partnership, joint venture, co-tenancy or other entity. Therefore, we will not be in a position to exercise sole decision-</w:t>
      </w:r>
    </w:p>
    <w:p>
      <w:pPr>
        <w:sectPr>
          <w:pgSz w:w="11900" w:h="16935" w:orient="portrait"/>
          <w:cols w:equalWidth="0" w:num="1">
            <w:col w:w="11420"/>
          </w:cols>
          <w:pgMar w:left="240" w:top="341" w:right="239" w:bottom="0" w:gutter="0" w:footer="0" w:header="0"/>
        </w:sectPr>
      </w:pPr>
    </w:p>
    <w:bookmarkStart w:id="9" w:name="page10"/>
    <w:bookmarkEnd w:id="9"/>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making authority regarding that property, partnership, joint venture or other entity. Investments in partnerships, joint ventures, or other entities may involve risks not present were a third party not involved, including the possibility that our partners, co-tenants or co-venturers might become bankrupt or otherwise fail to fund their share of required capital contributions. Additionally, our partners or co-venturers might at any time have economic or other business interests or goals, which are inconsistent with our business interests or goals. These investments may also have the potential risk of impasses on decisions such as a sale, because neither we nor the partner, co-tenant or co-venturer would have full control over the partnership or joint venture. Consequently, actions by such partner, co-tenant or co-venturer might result in subjecting properties owned by the partnership or joint venture to additional risk. In addition, we may in specific circumstances be liable for the actions of our third-party partners, co-tenants or co-venturers. As of December 31, 2006, our unconsolidated joint ventures owned eight properties and we had an aggregate cost basis in the joint ventures totaling approximately $686.1 million. As of December 31, 2006, our share of joint venture debt totaled approximately $1.2 billion.</w:t>
      </w:r>
    </w:p>
    <w:p>
      <w:pPr>
        <w:spacing w:after="0" w:line="178"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Our joint venture agreements contain terms in favor of our partners that may have an adverse effect on the value of our investments in the joint ventures.</w:t>
      </w:r>
    </w:p>
    <w:p>
      <w:pPr>
        <w:spacing w:after="0" w:line="16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Each of our joint venture agreements has been individually negotiated with our partner in the joint venture and, in some cases, we have agreed to terms that are favorable to our partner in the joint venture. For example, our partner may be entitled to a specified portion of the profits of the joint venture before we are entitled to any portion of such profits and our partner may have rights to buy our interest in the joint venture, to force us to buy the partner’s interest in the joint venture or to compel the sale of the property owned by such joint venture. These rights may permit our partner in a particular joint venture to obtain a greater benefit from the value or profits of the joint venture than us, which may have an adverse effect on the value of our investment in the joint venture and on our financial condition and results of operations. We may also enter into similar arrangements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possible environmental liabilities and other possible liabilities.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various federal, state and local environmental laws. These laws regulate our use, storage, disposal and management of hazardous substances and wastes and can impose liability on property owners or operators for the clean-up of certain hazardous substances released on a property and any associated damage to natural resources without regard to whether the release was legal or whether it was caused by the property owner or operator. The presence of hazardous substances on our properties may adversely affect occupancy and our ability to develop or sell or borrow against those properties. In addition to potential liability for clean-up costs, private plaintiffs may bring claims for personal injury, property damage or for similar reasons. Various laws also impose liability for the clean-up of contamination at any facility (e.g., a landfill) to which we have sent hazardous substances for treatment or disposal, without regard to whether the materials were transported, treated and disposed in accordance with law.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properties may be subject to other risks relating to current or future laws including laws benefiting disabled persons, and other state or local zoning, construction or other regulations. These laws may require significant property modifications in the future for which we may not have budgeted and could result in fines being levied against us. The occurrence of any of these events could have an adverse impact on our cash flows and ability to make distributions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significant costs complying with the Americans with Disabilities Act and similar laws.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Under the Americans with Disabilities Act, or ADA, all public accommodations must meet federal requirements related to access and use by disabled persons. Additional federal, state and local laws also may require modifications to our properties, or restrict our ability to renovate our properties. We have not conducted an audit or investigation of all of our properties to determine our compliance. If one or more of our properties is not in compliance with the ADA or other legislation, then we would be required to incur additional costs to bring the property into compliance. We cannot predict the ultimate amount of the cost of compliance with ADA or other legislation. If we incur substantial costs to comply with the ADA and any other legislation, our financial condition, results of operations and cash flow and/or ability to satisfy our debt service obligations and to pay dividends to our stockholders could be adversely affected.</w:t>
      </w:r>
    </w:p>
    <w:p>
      <w:pPr>
        <w:spacing w:after="0" w:line="161"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Our charter documents and applicable law may hinder any attempt to acquire us, which could discourage takeover attempts and prevent our stockholders from receiving a premium over the market price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articles of incorporation and bylaws could inhibit changes in control.</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change of control of our company could benefit stockholders by providing them with a premium over the then-prevailing market price of the stock. However provisions contained in our articles of incorporation and bylaws may delay or prevent a change in control of our company. These provisions, discussed more fully below, are:</w:t>
      </w:r>
    </w:p>
    <w:p>
      <w:pPr>
        <w:spacing w:after="0" w:line="181" w:lineRule="exact"/>
        <w:rPr>
          <w:sz w:val="20"/>
          <w:szCs w:val="20"/>
          <w:color w:val="auto"/>
        </w:rPr>
      </w:pPr>
    </w:p>
    <w:p>
      <w:pPr>
        <w:ind w:left="1240" w:hanging="260"/>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staggered board of directors;</w:t>
      </w:r>
    </w:p>
    <w:p>
      <w:pPr>
        <w:spacing w:after="0" w:line="117" w:lineRule="exact"/>
        <w:rPr>
          <w:rFonts w:ascii="Arial" w:cs="Arial" w:eastAsia="Arial" w:hAnsi="Arial"/>
          <w:sz w:val="18"/>
          <w:szCs w:val="18"/>
          <w:color w:val="auto"/>
        </w:rPr>
      </w:pPr>
    </w:p>
    <w:p>
      <w:pPr>
        <w:ind w:left="1240" w:hanging="260"/>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ownership limitations for tax purposes;</w:t>
      </w:r>
    </w:p>
    <w:p>
      <w:pPr>
        <w:spacing w:after="0" w:line="117" w:lineRule="exact"/>
        <w:rPr>
          <w:rFonts w:ascii="Arial" w:cs="Arial" w:eastAsia="Arial" w:hAnsi="Arial"/>
          <w:sz w:val="18"/>
          <w:szCs w:val="18"/>
          <w:color w:val="auto"/>
        </w:rPr>
      </w:pPr>
    </w:p>
    <w:p>
      <w:pPr>
        <w:ind w:left="1240" w:hanging="260"/>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of director’s ability to issue additional common stock and preferred stock without stockholder approval; and</w:t>
      </w:r>
    </w:p>
    <w:p>
      <w:pPr>
        <w:spacing w:after="0" w:line="117" w:lineRule="exact"/>
        <w:rPr>
          <w:rFonts w:ascii="Arial" w:cs="Arial" w:eastAsia="Arial" w:hAnsi="Arial"/>
          <w:sz w:val="18"/>
          <w:szCs w:val="18"/>
          <w:color w:val="auto"/>
        </w:rPr>
      </w:pPr>
    </w:p>
    <w:p>
      <w:pPr>
        <w:ind w:left="1240" w:hanging="260"/>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stockholder rights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 is staggered into three separate classes.</w:t>
      </w:r>
    </w:p>
    <w:p>
      <w:pPr>
        <w:spacing w:after="0" w:line="225"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color w:val="auto"/>
        </w:rPr>
        <w:t>The board of directors of our company is divided into three classes. The terms of the class I, class II and class III directors expire in 2007, 2008 and 2009, respectively. Our staggered board may deter changes in control because of the increased time period necessary for a third party to acquire control of the board.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share ownership limit for REIT tax purposes.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To remain qualified as a REIT for federal income tax purposes, not more than 50% in value of our outstanding capital stock may be owned by five or fewer individuals at any time during the last half of any taxable year. For this purpose, stock may be “owned” directly, as well as indirectly under certain constructive ownership rules, including, for example, rules that attribute stock held by one family member to another family member. To avoid violating this rule regarding share ownership limitations and maintain our REIT qualification, our articles of incorporation prohibit ownership by any single stockholder of more than 9.0% in value or number of shares of our common stock. Limitations on the ownership of preferred stock may also be imposed by us.</w:t>
      </w:r>
    </w:p>
    <w:p>
      <w:pPr>
        <w:sectPr>
          <w:pgSz w:w="11900" w:h="16901" w:orient="portrait"/>
          <w:cols w:equalWidth="0" w:num="1">
            <w:col w:w="11400"/>
          </w:cols>
          <w:pgMar w:left="240" w:top="125" w:right="259" w:bottom="0" w:gutter="0" w:footer="0" w:header="0"/>
        </w:sectPr>
      </w:pPr>
    </w:p>
    <w:bookmarkStart w:id="10" w:name="page11"/>
    <w:bookmarkEnd w:id="10"/>
    <w:p>
      <w:pPr>
        <w:ind w:right="40"/>
        <w:spacing w:after="0" w:line="381" w:lineRule="auto"/>
        <w:rPr>
          <w:sz w:val="20"/>
          <w:szCs w:val="20"/>
          <w:color w:val="auto"/>
        </w:rPr>
      </w:pPr>
      <w:r>
        <w:rPr>
          <w:rFonts w:ascii="Arial" w:cs="Arial" w:eastAsia="Arial" w:hAnsi="Arial"/>
          <w:sz w:val="15"/>
          <w:szCs w:val="15"/>
          <w:color w:val="auto"/>
        </w:rPr>
        <w:t>The board of directors has the discretion to raise or waive this limitation on ownership for any stockholder if deemed to be in our best interest. To obtain a waiver, a stockholder must present the board and our tax counsel with evidence that ownership in excess of this limit will not affect our present or future REIT status.</w:t>
      </w:r>
    </w:p>
    <w:p>
      <w:pPr>
        <w:spacing w:after="0" w:line="10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Absent any exemption or waiver, stock acquired or held in excess of the limit on ownership will be transferred to a trust for the exclusive benefit of a designated charitable beneficiary, and the stockholder’s rights to distributions and to vote would terminate. The stockholder would be entitled to receive, from the proceeds of any subsequent sale of the shares transferred to the charitable trust, the lesser of: the price paid for the stock or, if the owner did not pay for the stock, the market price of the stock on the date of the event causing the stock to be transferred to the charitable trust; and the amount realized from the sale.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limitation on ownership of stock could delay or prevent a change in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stockholder rights plan.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adopted a stockholder rights plan which provides, among other things, that when specified events occur, our stockholders will be entitled to purchase from us a newly created series of junior preferred shares, subject to our ownership limit described above. The preferred share purchase rights are triggered by the earlier to occur of (1) ten days after the date of a public announcement that a person or group acting in concert has acquired, or obtained the right to acquire, beneficial ownership of 17% or more of our outstanding shares of common stock or (2) ten business days after the commencement of or announcement of an intention to make a tender offer or exchange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color w:val="auto"/>
        </w:rPr>
        <w:t>offer, the consummation of which would result in the acquiring person becoming the beneficial owner of 17% or more of our outstanding common stock. The preferred share purchase rights would cause substantial dilution to a person or group that attempts to acquire us on terms not approved by our board of directors.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Maryland takeover statutes may prevent a change of control of our company, which could depress our stock price.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187" w:lineRule="exact"/>
        <w:rPr>
          <w:sz w:val="20"/>
          <w:szCs w:val="20"/>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outstanding shares; or</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5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5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is not an interested stockholder under the statute if the board of directors approves in advance the transaction by which he otherwise would have become an interested stockholder.</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62" w:lineRule="exact"/>
        <w:rPr>
          <w:sz w:val="20"/>
          <w:szCs w:val="20"/>
          <w:color w:val="auto"/>
        </w:rPr>
      </w:pPr>
    </w:p>
    <w:p>
      <w:pPr>
        <w:ind w:left="580" w:hanging="248"/>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80% of the votes entitled to be cast by holders of outstanding shares of voting stock of the corporation, voting together as a single group; and</w:t>
      </w:r>
    </w:p>
    <w:p>
      <w:pPr>
        <w:spacing w:after="0" w:line="128" w:lineRule="exact"/>
        <w:rPr>
          <w:rFonts w:ascii="Arial" w:cs="Arial" w:eastAsia="Arial" w:hAnsi="Arial"/>
          <w:sz w:val="17"/>
          <w:szCs w:val="17"/>
          <w:color w:val="auto"/>
        </w:rPr>
      </w:pPr>
    </w:p>
    <w:p>
      <w:pPr>
        <w:ind w:left="660" w:right="120" w:hanging="328"/>
        <w:spacing w:after="0" w:line="308" w:lineRule="auto"/>
        <w:tabs>
          <w:tab w:leader="none" w:pos="59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3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business combination statute may discourage others from trying to acquire control of us and increase the difficulty of consummating any offer, including potential acquisitions that might involve a premium price for our common stock or otherwise be in the best interest of our stockholders.</w:t>
      </w:r>
    </w:p>
    <w:p>
      <w:pPr>
        <w:spacing w:after="0" w:line="14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Maryland law provides that “control shares” of a Maryland corporation acquired in a “control share acquisition” will have no voting rights except to the extent approved by a vote of two-thirds of the votes entitled to be cast on the matter, excluding shares of stock owned by the acquiror, by officers of the corporation or by directors who are employees of the corporation, under the Maryland Control Share Acquisition Act. “Control shares” means voting shares of stock that,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(i) one-tenth or more but less than one-third, (ii) one-third or more but less than a majority, or (iii) a majority or more of all voting power. A “control share acquisition” means the acquisition of ownership of, or the power to direct the exercise of voting power with respect to, issued and outstanding control shares, subject to certain exceptions.</w:t>
      </w:r>
    </w:p>
    <w:p>
      <w:pPr>
        <w:spacing w:after="0" w:line="1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opted out of these provisions of the Maryland General Corporation Law, or the MGCL, with respect to business combinations and control share acquisitions by resolution of our board of directors and a provision in our bylaws, respectively. However, in the future, our board of directors may reverse its decision by resolution and elect to opt in to the MGCL’s business combination provisions, or amend our bylaws and elect to opt in to the MGCL’s control share provisions.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Title 8, Subtitle 3 of the MGCL permits our board of directors, without stockholder approval and regardless of what is provided in our charter or bylaws, to implement takeover defenses, some of which we do not have. Such takeover defenses, if implemented, may have the effect of inhibiting a third party from making us an acquisition proposal or of delaying, deferring or preventing a change in our control under circumstances that otherwise could provide you with an opportunity to realize a premium over the then-current market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issuances of common stock and preferred stock could dilute existing stockholders’ interests.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articles of incorporation authorize our board of directors to issue additional shares of common stock and preferred stock without stockholder approval. Any such issuance could dilute our existing stockholders’ interests. Also, any future series of preferred stock may have voting provisions that could delay or prevent a change of control.</w:t>
      </w:r>
    </w:p>
    <w:p>
      <w:pPr>
        <w:sectPr>
          <w:pgSz w:w="11900" w:h="16838"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Changes in market conditions could adversely affect the market price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with other publicly traded equity securities, the value of our common stock depends on various market conditions, which may change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Among the market conditions that may affect the value of our common stock are the following:</w:t>
      </w:r>
    </w:p>
    <w:p>
      <w:pPr>
        <w:spacing w:after="0" w:line="211" w:lineRule="exact"/>
        <w:rPr>
          <w:sz w:val="20"/>
          <w:szCs w:val="20"/>
          <w:color w:val="auto"/>
        </w:rPr>
      </w:pPr>
    </w:p>
    <w:p>
      <w:pPr>
        <w:ind w:left="1240" w:hanging="260"/>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of your interest in 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00" w:hanging="320"/>
        <w:spacing w:after="0" w:line="277" w:lineRule="auto"/>
        <w:tabs>
          <w:tab w:leader="none" w:pos="12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general reputation of REITs and the attractiveness of our equity securities in comparison to other equity securities, including securities issued by other real estate-based companies;</w:t>
      </w:r>
    </w:p>
    <w:p>
      <w:pPr>
        <w:spacing w:after="0" w:line="62" w:lineRule="exact"/>
        <w:rPr>
          <w:rFonts w:ascii="Arial" w:cs="Arial" w:eastAsia="Arial" w:hAnsi="Arial"/>
          <w:sz w:val="18"/>
          <w:szCs w:val="18"/>
          <w:color w:val="auto"/>
        </w:rPr>
      </w:pPr>
    </w:p>
    <w:p>
      <w:pPr>
        <w:ind w:left="1240" w:hanging="260"/>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240" w:hanging="260"/>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stock and bond market conditions.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market value of our common stock is based primarily upon the market’s perception of our growth potential and our current and potential future earnings and cash dividends. Consequently, our common stock may trade at prices that are higher or lower than our net asset value per share of common stock. If our future earnings or cash dividends are less than expected, it is likely that the market price of our common stock will diminish.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interest rates may have an effect on the value of our common stock.</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If market interest rates go up, prospective purchasers of shares of our common stock may expect a higher distribution rate on our common stock. Higher market interest rates would not, however, result in more funds for us to distribute and, to the contrary, would likely increase our borrowing costs and potentially decrease funds available for distribution. Thus, higher market interest rates could cause the market price of our common stock to go down.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potential conflicts of interest between us and Mr. Green.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is a potential conflict of interest relating to the disposition of the property contributed to us by Stephen L. Green, and his family. Mr. Green serves as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chairman of our board of directors and is an executive officer. As part of our formation, Mr. Green contributed appreciated property, with a net book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$73.5 million, to the operating partnership in exchange for units of limited partnership interest in the operating partnership. He did not recognize any taxable gain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contribution. The operating partnership, however, took a tax basis in the contributed property equal to that of the contributing unitholder. The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value of the property contributed by him exceeded his tax basis by approximately $34.0 million at the time of contribution. The difference between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value and tax basis at the time of contribution represents a built-in gain. If we sell a property in a transaction in which a taxable gain is recognized, for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the built-in gain would be allocated solely to him and not to us. As a result, Mr. Green has a conflict of interest if the sale of a property, which 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contributed, is in our best interest but not his.</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There is a potential conflict of interest relating to the refinancing of indebtedness specifically allocated to Mr. Green. Mr. Green would recognize gain if he were to receive a distribution of cash from the operating partnership in an amount that exceeds his tax basis in his partnership units. His tax basis includes his share of debt, including mortgage indebtedness, owed by our operating partnership. If our operating partnership were to retire such debt, then he would experience a decrease in his share of liabilities, which, for tax purposes, would be treated as a distribution of cash to him. To the extent the deemed distribution of cash exceeded his tax basis, he would recognize gain.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our ability to sell or reduce the indebtedness on specific mortgaged properties could adversely affect the value of the stock.</w:t>
      </w:r>
    </w:p>
    <w:p>
      <w:pPr>
        <w:spacing w:after="0" w:line="241" w:lineRule="exact"/>
        <w:rPr>
          <w:sz w:val="20"/>
          <w:szCs w:val="20"/>
          <w:color w:val="auto"/>
        </w:rPr>
      </w:pPr>
    </w:p>
    <w:p>
      <w:pPr>
        <w:ind w:right="220"/>
        <w:spacing w:after="0" w:line="327" w:lineRule="auto"/>
        <w:rPr>
          <w:sz w:val="20"/>
          <w:szCs w:val="20"/>
          <w:color w:val="auto"/>
        </w:rPr>
      </w:pPr>
      <w:r>
        <w:rPr>
          <w:rFonts w:ascii="Arial" w:cs="Arial" w:eastAsia="Arial" w:hAnsi="Arial"/>
          <w:sz w:val="15"/>
          <w:szCs w:val="15"/>
          <w:color w:val="auto"/>
        </w:rPr>
        <w:t>We have agreed to restrictions relating to future transactions involving 673 First Avenue and 470 Park Avenue South. During the period of time that these restrictions apply, our ability to manage or use these properties in a manner that is in our overall best interests may be impaired. In particular, these restrictions could preclude us from participating in major transactions otherwise favorable to us if a disposition of these restricted assets is required. These restrictions may also inhibit a change in control of our company even though a disposition or change in control might be in the best interests of the stockholders.</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Specifically, we have agreed not to sell our interest in these properties until August 20, 2009 without the approval of unitholders holding at least 75% of the units issued in consideration for these properties. The current gross carrying value of the commercial real estate of these properties totaled approximately $87.9 million at December 31, 2006. We have also agreed not to reduce the mortgage indebtedness (approximately $33.8 million at December 31, 2006), other than pursuant to scheduled amortization, on 673 First Avenue until one year prior to its maturity date without the same consent. In addition, we are obligated to use commercially reasonable efforts to refinance this mortgage prior to its maturity date in an amount not less than the principal amount outstanding on the maturity date. With respect to 673 First Avenue, Mr. Green controls at least 75% of the units whose approval is necessary. With respect to 470 Park Avenue South, Mr. Green controls at least 65% of the units whose approval is necessary. Finally, during this period, we may not incur debt secured by any of these properties if the amount of our new debt would exceed the greater of 75% of the value of the property securing the debt or the amount of existing debt being refinanced plus associated costs. The maturity date for the mortgage loan for 673 First Avenue is February 11, 2013.</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on May 15, 2002, we acquired the property located at 1515 Broadway, New York, New York. Under a tax protection agreement established to protect the limited partners of the partnership that transferred 1515 Broadway to us, we have agreed not to take certain action that would adversely affect the limited partners’ tax positions before December 31, 2011. We also acquired the property located at 220 East 42nd Street, New York, New York, on February 13, 2003. We have agreed not to take certain action that would adversely affect the tax positions of certain of the partners who held interests in this property prior to the acquisition for a period of seven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613" w:gutter="0" w:footer="0" w:header="0"/>
        </w:sectPr>
      </w:pPr>
    </w:p>
    <w:bookmarkStart w:id="12" w:name="page13"/>
    <w:bookmarkEnd w:id="12"/>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years, after the acquisition. We also acquired the property located at 625 Madison Avenue, New York, New York, on October 19, 2004 and have agreed not to take certain action that would adversely affect the tax positions of certain of the partners who held interests in this property prior to the acquisition for a period of seven years after the acquisition.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future acquisitions of interests in properties, we may agree to similar restrictions on our ability to sell or refinance the acquired properties with similar potential adverse consequences.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potential conflicts of interest.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Members of management may have a conflict of interest over whether to enforce terms of agreements with entities in which senior management, directly or indirectly, has an interest.</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Two entities owned by one of Mr. Green’s sons, First Quality Maintenance, L.P. and Classic Security LLC, currently provide cleaning, exterminating and security services to all of our office properties, with the exception of cleaning services at one property. Our company and our tenants accounted for approximately 13.4% of First Quality Maintenance, L.P.’s 2006 total revenue and 39.7% of Classic Security LLC’s 2006 total revenue. Bright Star Courier, LLC, a messenger service company owned by one of Mr. Green’s sons, has provided messenger services at of our properties since May 1, 2002. We accounted for approximately 28.8% of Bright Star Courier, LLC’s 2006 total revenue. In addition, Onyx Restoration Works, a restoration company owned by one of Mr. Green’s sons, has provided restoration services at all of our properties since March 2005. We accounted for approximately 62.8% of Onyx Restoration Works’ 2006 total revenue. While the contracts pursuant to which these services are provided are reviewed by our board of directors, they are not the result of arm’s length negotiations and, therefore, there can be no assurance that the terms and conditions are not less favorable than those which could be obtained from third parties providing comparable services. In addition, to the extent that we choose to enforce our rights under any of these agreements, we may determine to pursue available remedies, such as actions for damages or injunctive relief, less vigorously than we otherwise might because of our desire to maintain our ongoing relationship with the individual involved.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Members of management may have a conflict of interest over whether to enforce terms of senior management’s employment and noncompetition agreements.</w:t>
      </w:r>
    </w:p>
    <w:p>
      <w:pPr>
        <w:spacing w:after="0" w:line="2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Stephen Green, Marc Holliday, Gregory Hughes, Andrew Levine and Andrew Mathias entered into employment and noncompetition agreements with us pursuant to which they have agreed not to actively engage in the acquisition, development or operation of office real estate in the New York City metropolitan area. For the most part these restrictions apply to the executive both during his employment and for a period of time thereafter. Each executive is also prohibited from otherwise disrupting or interfering with our business through the solicitation of our employees or clients or otherwise. To the extent that we choose to enforce our rights under any of these agreements, we may determine to pursue available remedies, such as actions for damages or injunctive relief, less vigorously than we otherwise might because of our desire to maintain our ongoing relationship with the individual involved. Additionally, the non-competition provisions of these agreements despite being limited in scope and duration, could be difficult to enforce, or may be subject to limited enforcement, should litigation arise over them in the future. Mr. Green has interests in two properties in Manhattan, which are exempt from the non-competition provisions of his employment and non-competition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qualify as a REIT would be costly.</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believe we have operated in a manner to qualify as a REIT for federal income tax purposes and intend to continue to so operate. Many of these requirements, however, are highly technical and complex. The determination that we are a REIT requires an analysis of factual matters and circumstances. These matters, some of which may not be totally within our control, can affect our qualification as a REIT. For example, to qualify as a REIT, at least 95% of our gross income must come from designated sources that are listed in the REIT tax laws. We are also required to distribute to stockholders at least 90% of our REIT taxable income excluding capital gains. The fact that we hold our assets through the operating partnership and its subsidiaries further complicates the application of the REIT requirements. Even a technical or inadvertent mistake could jeopardize our REIT status. Furthermore, Congress and the Internal Revenue Service, which we refer to as the IRS, might make changes to the tax laws and regulations, and the courts might issue new rulings that make it more difficult, or impossible, for us to remain qualified as a REIT.</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If we fail to qualify as a REIT, we would be subject to federal income tax at regular corporate rates. Also, unless the IRS grants us relief under specific statutory provisions, we would remain disqualified as a REIT for four years following the year we first failed to qualify. If we failed to qualify as a REIT, we would have to pay significant income taxes and would therefore have less money available for investments or for distributions to stockholders. This would likely have a significant adverse effect on the value of our securities. In addition, the REIT tax laws would no longer require us to make any distributions to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enacted tax legislation reduces tax rates for dividends paid by non-REIT corporations.</w:t>
      </w:r>
    </w:p>
    <w:p>
      <w:pPr>
        <w:spacing w:after="0" w:line="22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Under certain previously enacted tax legislation, the maximum tax rate on dividends to individuals has generally been reduced from 38.6% to 15% (from January 1, 2003 through December 31, 2008). The reduction in rates on dividends is generally not applicable to dividends paid by a REIT except in limited circumstances that we do not contemplate. Although this legislation will not adversely affect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taxation of REITs or dividends paid by REITs, the favorable treatment of regular corporate dividends could cause investors who are individuals to consider stock of non-REIT corporations that pay dividends as relatively more attractive than stocks of REITs. It is not possible to predict whether such a change in perceived relative value will occur or what the effect, if any, this legislation will have on the market price of our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external sources of capital.</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Because of distribution requirements imposed on us to qualify as a REIT, it is not likely that we will be able to fund all future capital needs, including acquisitions, from income from operations. We therefore will have to rely on third-party sources of capital, which may or may not be available on favorable terms or at all. Our access to third-party sources of capital depends on a number of things, including the market’s perception of our growth potential and our current and potential future earnings. In addition, we anticipate having to raise money in the public equity and debt markets with some regularity, and our ability to do so will depend upon the general conditions prevailing in these markets. At any time conditions may exist which effectively prevent us, and REITs in general, from</w:t>
      </w:r>
    </w:p>
    <w:p>
      <w:pPr>
        <w:sectPr>
          <w:pgSz w:w="11900" w:h="16901" w:orient="portrait"/>
          <w:cols w:equalWidth="0" w:num="1">
            <w:col w:w="11420"/>
          </w:cols>
          <w:pgMar w:left="240" w:top="125" w:right="239" w:bottom="0" w:gutter="0" w:footer="0" w:header="0"/>
        </w:sectPr>
      </w:pPr>
    </w:p>
    <w:bookmarkStart w:id="13" w:name="page14"/>
    <w:bookmarkEnd w:id="13"/>
    <w:p>
      <w:pPr>
        <w:ind w:right="100"/>
        <w:spacing w:after="0" w:line="277" w:lineRule="auto"/>
        <w:rPr>
          <w:sz w:val="20"/>
          <w:szCs w:val="20"/>
          <w:color w:val="auto"/>
        </w:rPr>
      </w:pPr>
      <w:r>
        <w:rPr>
          <w:rFonts w:ascii="Arial" w:cs="Arial" w:eastAsia="Arial" w:hAnsi="Arial"/>
          <w:sz w:val="18"/>
          <w:szCs w:val="18"/>
          <w:color w:val="auto"/>
        </w:rPr>
        <w:t>accessing these markets. Moreover, additional equity offerings may result in substantial dilution of our stockholders’ interests, and additional debt financing may substantially increase our leverage.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for tenants.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leasing of real estate is highly competitive. The principal means of competition are rent charged, location, services provided and the nature and condition of the facility to be leased. We directly compete with all lessors and developers of similar space in the areas in which our properties are located. Demand for retail space has been impacted by the recent bankruptcy of a number of retail companies and a general trend toward consolidation in the retail industry, which could adversely affect the ability of our company to attract and retain tenants.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office building properties are concentrated in highly developed areas of midtown Manhattan. Manhattan is the largest office market in the United States. The number of competitive office properties in Manhattan (which may be newer or better located than our properties) could have a material adverse effect on our ability to lease office space at our properties, and on the effective rents we are able to charge.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personnel could harm our operations.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dependent on the efforts of Stephen L. Green, the chairman of our board of directors and an executive officer, and Marc Holliday, our chief executive officer and president. A loss of the services of either of these individuals could adversely affect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operations would suffer in the event of system failures.</w:t>
      </w:r>
    </w:p>
    <w:p>
      <w:pPr>
        <w:spacing w:after="0" w:line="229"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Despite system redundancy, the implementation of security measures and the existence of a Disaster Recovery Plan for our internal information technology systems, our systems are vulnerable to damages from any number of sources, including computer viruses, unauthorized access, energy blackouts, natural disasters, terrorism, war and telecommunication failures. Any system failure or accident that causes interruptions in our operations could result in a material disruption to our business. We may also incur additional costs to remedy damages caused by such disruptions.</w:t>
      </w:r>
    </w:p>
    <w:p>
      <w:pPr>
        <w:spacing w:after="0" w:line="15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Compliance with changing regulation of corporate governance and public disclosure may result in additional expenses, affect our operations and affect our reputation.</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and new SEC regulations and New York Stock Exchange rules, are creating uncertainty for public companies. These new or changed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are committed to maintaining high standards of corporate governance and public disclosure. As a result, 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efforts to comply with Section 404 of the Sarbanes-Oxley Act of 2002 and the related regulations regarding our required assessment of our internal controls over financial reporting and our external auditors’ audit of that assessment has required the commitment of significant financial and managerial resources. In addition, it has become more difficult and more expensive for us to obtain director and officer liability insurance. We expect these efforts to require the continued commitment of significant resources. Further, our directors, chief executive officer and chief financial officer could face an increased risk of personal liability in connection with the performance of their duties. As a result, we may have difficulty attracting and retaining qualified directors and executive officers, which could harm our business. If our efforts to comply with new or changed laws, regulations and standards differ from the activities intended by regulatory or governing bodies due to ambiguities related to practice, our reputation may be harmed.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May Prove Inaccurate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Forward-looking Information” for additional disclosure regarding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we did not have any unresolved comments with the staff of the SEC.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Portfolio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of December 31, 2006, we wholly-owned 20 commercial office properties encompassing approximately 10.1 million rentable square feet located primarily in midtown Manhattan. Certain of these properties include at least a small amount of retail space on the lower floors, as well as basement/storage space. As</w:t>
      </w:r>
    </w:p>
    <w:p>
      <w:pPr>
        <w:sectPr>
          <w:pgSz w:w="11900" w:h="16838" w:orient="portrait"/>
          <w:cols w:equalWidth="0" w:num="1">
            <w:col w:w="11420"/>
          </w:cols>
          <w:pgMar w:left="240" w:top="125" w:right="239" w:bottom="0" w:gutter="0" w:footer="0" w:header="0"/>
        </w:sectPr>
      </w:pPr>
    </w:p>
    <w:bookmarkStart w:id="14" w:name="page15"/>
    <w:bookmarkEnd w:id="14"/>
    <w:p>
      <w:pPr>
        <w:ind w:right="40"/>
        <w:spacing w:after="0" w:line="286" w:lineRule="auto"/>
        <w:rPr>
          <w:sz w:val="20"/>
          <w:szCs w:val="20"/>
          <w:color w:val="auto"/>
        </w:rPr>
      </w:pPr>
      <w:r>
        <w:rPr>
          <w:rFonts w:ascii="Arial" w:cs="Arial" w:eastAsia="Arial" w:hAnsi="Arial"/>
          <w:sz w:val="17"/>
          <w:szCs w:val="17"/>
          <w:color w:val="auto"/>
        </w:rPr>
        <w:t>of December 31, 2006, our portfolio also included ownership interests in eight unconsolidated joint ventures, which own commercial office properties located in Manhattan, encompassing approximately 8.9 million rentable square feet. As of December 31, 2006, our portfolio also included consolidated and unconsolidated retail (eight) and development (one) properties encompassing approximately 516,000 rentable square feet.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each of the Manhattan office properties in the portfolio as of December 31, 2006:</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7"/>
              </w:rPr>
              <w:t>Percentage of</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7"/>
              </w:rPr>
              <w:t>Percentage of</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55"/>
              <w:spacing w:after="0"/>
              <w:rPr>
                <w:sz w:val="20"/>
                <w:szCs w:val="20"/>
                <w:color w:val="auto"/>
              </w:rPr>
            </w:pPr>
            <w:r>
              <w:rPr>
                <w:rFonts w:ascii="Arial" w:cs="Arial" w:eastAsia="Arial" w:hAnsi="Arial"/>
                <w:sz w:val="9"/>
                <w:szCs w:val="9"/>
                <w:b w:val="1"/>
                <w:bCs w:val="1"/>
                <w:color w:val="auto"/>
                <w:w w:val="91"/>
              </w:rPr>
              <w:t>Annualized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9"/>
              </w:rPr>
              <w:t>Annualized Net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4"/>
              </w:rPr>
              <w:t>Approximate</w:t>
            </w:r>
          </w:p>
        </w:tc>
        <w:tc>
          <w:tcPr>
            <w:tcW w:w="9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1"/>
              </w:rPr>
              <w:t>Portfolio</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6"/>
              </w:rPr>
              <w:t>Portfolio</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35"/>
              <w:spacing w:after="0"/>
              <w:rPr>
                <w:sz w:val="20"/>
                <w:szCs w:val="20"/>
                <w:color w:val="auto"/>
              </w:rPr>
            </w:pPr>
            <w:r>
              <w:rPr>
                <w:rFonts w:ascii="Arial" w:cs="Arial" w:eastAsia="Arial" w:hAnsi="Arial"/>
                <w:sz w:val="9"/>
                <w:szCs w:val="9"/>
                <w:b w:val="1"/>
                <w:bCs w:val="1"/>
                <w:color w:val="auto"/>
                <w:w w:val="91"/>
              </w:rPr>
              <w:t>Rent Per</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3"/>
              </w:rPr>
              <w:t>Effective Rent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ind w:right="155"/>
              <w:spacing w:after="0"/>
              <w:rPr>
                <w:sz w:val="20"/>
                <w:szCs w:val="20"/>
                <w:color w:val="auto"/>
              </w:rPr>
            </w:pPr>
            <w:r>
              <w:rPr>
                <w:rFonts w:ascii="Arial" w:cs="Arial" w:eastAsia="Arial" w:hAnsi="Arial"/>
                <w:sz w:val="9"/>
                <w:szCs w:val="9"/>
                <w:b w:val="1"/>
                <w:bCs w:val="1"/>
                <w:color w:val="auto"/>
              </w:rPr>
              <w:t>Year Built/</w:t>
            </w: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4"/>
              </w:rPr>
              <w:t>Rentable</w:t>
            </w: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Rentable Square</w:t>
            </w:r>
          </w:p>
        </w:tc>
        <w:tc>
          <w:tcPr>
            <w:tcW w:w="9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0"/>
              </w:rPr>
              <w:t>Percent</w:t>
            </w:r>
          </w:p>
        </w:tc>
        <w:tc>
          <w:tcPr>
            <w:tcW w:w="92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1"/>
              </w:rPr>
              <w:t>Annualized</w:t>
            </w:r>
          </w:p>
        </w:tc>
        <w:tc>
          <w:tcPr>
            <w:tcW w:w="900" w:type="dxa"/>
            <w:vAlign w:val="bottom"/>
            <w:gridSpan w:val="2"/>
          </w:tcPr>
          <w:p>
            <w:pPr>
              <w:ind w:left="180"/>
              <w:spacing w:after="0"/>
              <w:rPr>
                <w:sz w:val="20"/>
                <w:szCs w:val="20"/>
                <w:color w:val="auto"/>
              </w:rPr>
            </w:pPr>
            <w:r>
              <w:rPr>
                <w:rFonts w:ascii="Arial" w:cs="Arial" w:eastAsia="Arial" w:hAnsi="Arial"/>
                <w:sz w:val="9"/>
                <w:szCs w:val="9"/>
                <w:b w:val="1"/>
                <w:bCs w:val="1"/>
                <w:color w:val="auto"/>
              </w:rPr>
              <w:t>Annualized</w:t>
            </w:r>
          </w:p>
        </w:tc>
        <w:tc>
          <w:tcPr>
            <w:tcW w:w="9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9"/>
                <w:szCs w:val="9"/>
                <w:color w:val="auto"/>
              </w:rPr>
            </w:pPr>
          </w:p>
        </w:tc>
        <w:tc>
          <w:tcPr>
            <w:tcW w:w="740" w:type="dxa"/>
            <w:vAlign w:val="bottom"/>
          </w:tcPr>
          <w:p>
            <w:pPr>
              <w:jc w:val="center"/>
              <w:ind w:right="35"/>
              <w:spacing w:after="0"/>
              <w:rPr>
                <w:sz w:val="20"/>
                <w:szCs w:val="20"/>
                <w:color w:val="auto"/>
              </w:rPr>
            </w:pPr>
            <w:r>
              <w:rPr>
                <w:rFonts w:ascii="Arial" w:cs="Arial" w:eastAsia="Arial" w:hAnsi="Arial"/>
                <w:sz w:val="9"/>
                <w:szCs w:val="9"/>
                <w:b w:val="1"/>
                <w:bCs w:val="1"/>
                <w:color w:val="auto"/>
                <w:w w:val="90"/>
              </w:rPr>
              <w:t>Leased Square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1"/>
              </w:rPr>
              <w:t>Per Leased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gridSpan w:val="2"/>
          </w:tcPr>
          <w:p>
            <w:pPr>
              <w:ind w:left="520"/>
              <w:spacing w:after="0"/>
              <w:rPr>
                <w:sz w:val="20"/>
                <w:szCs w:val="20"/>
                <w:color w:val="auto"/>
              </w:rPr>
            </w:pPr>
            <w:r>
              <w:rPr>
                <w:rFonts w:ascii="Arial" w:cs="Arial" w:eastAsia="Arial" w:hAnsi="Arial"/>
                <w:sz w:val="9"/>
                <w:szCs w:val="9"/>
                <w:b w:val="1"/>
                <w:bCs w:val="1"/>
                <w:color w:val="auto"/>
              </w:rPr>
              <w:t>Property Wholly-Owned</w:t>
            </w:r>
          </w:p>
        </w:tc>
        <w:tc>
          <w:tcPr>
            <w:tcW w:w="800" w:type="dxa"/>
            <w:vAlign w:val="bottom"/>
          </w:tcPr>
          <w:p>
            <w:pPr>
              <w:jc w:val="right"/>
              <w:ind w:right="155"/>
              <w:spacing w:after="0"/>
              <w:rPr>
                <w:sz w:val="20"/>
                <w:szCs w:val="20"/>
                <w:color w:val="auto"/>
              </w:rPr>
            </w:pPr>
            <w:r>
              <w:rPr>
                <w:rFonts w:ascii="Arial" w:cs="Arial" w:eastAsia="Arial" w:hAnsi="Arial"/>
                <w:sz w:val="9"/>
                <w:szCs w:val="9"/>
                <w:b w:val="1"/>
                <w:bCs w:val="1"/>
                <w:color w:val="auto"/>
              </w:rPr>
              <w:t>Renovated</w:t>
            </w:r>
          </w:p>
        </w:tc>
        <w:tc>
          <w:tcPr>
            <w:tcW w:w="80" w:type="dxa"/>
            <w:vAlign w:val="bottom"/>
          </w:tcPr>
          <w:p>
            <w:pPr>
              <w:spacing w:after="0"/>
              <w:rPr>
                <w:sz w:val="10"/>
                <w:szCs w:val="10"/>
                <w:color w:val="auto"/>
              </w:rPr>
            </w:pPr>
          </w:p>
        </w:tc>
        <w:tc>
          <w:tcPr>
            <w:tcW w:w="920" w:type="dxa"/>
            <w:vAlign w:val="bottom"/>
            <w:gridSpan w:val="2"/>
          </w:tcPr>
          <w:p>
            <w:pPr>
              <w:ind w:left="180"/>
              <w:spacing w:after="0"/>
              <w:rPr>
                <w:sz w:val="20"/>
                <w:szCs w:val="20"/>
                <w:color w:val="auto"/>
              </w:rPr>
            </w:pPr>
            <w:r>
              <w:rPr>
                <w:rFonts w:ascii="Arial" w:cs="Arial" w:eastAsia="Arial" w:hAnsi="Arial"/>
                <w:sz w:val="9"/>
                <w:szCs w:val="9"/>
                <w:b w:val="1"/>
                <w:bCs w:val="1"/>
                <w:color w:val="auto"/>
              </w:rPr>
              <w:t>Sub-market</w:t>
            </w:r>
          </w:p>
        </w:tc>
        <w:tc>
          <w:tcPr>
            <w:tcW w:w="9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9"/>
              </w:rPr>
              <w:t>Square Feet</w:t>
            </w:r>
          </w:p>
        </w:tc>
        <w:tc>
          <w:tcPr>
            <w:tcW w:w="9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6"/>
              </w:rPr>
              <w:t>Feet (%)</w:t>
            </w:r>
          </w:p>
        </w:tc>
        <w:tc>
          <w:tcPr>
            <w:tcW w:w="9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6"/>
              </w:rPr>
              <w:t>Leased (%)</w:t>
            </w:r>
          </w:p>
        </w:tc>
        <w:tc>
          <w:tcPr>
            <w:tcW w:w="92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5"/>
              </w:rPr>
              <w:t>Rent (1)</w:t>
            </w: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5"/>
              </w:rPr>
              <w:t>Rent (%) (2)</w:t>
            </w:r>
          </w:p>
        </w:tc>
        <w:tc>
          <w:tcPr>
            <w:tcW w:w="9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6"/>
              </w:rPr>
              <w:t>Tenants</w:t>
            </w:r>
          </w:p>
        </w:tc>
        <w:tc>
          <w:tcPr>
            <w:tcW w:w="80" w:type="dxa"/>
            <w:vAlign w:val="bottom"/>
          </w:tcPr>
          <w:p>
            <w:pPr>
              <w:spacing w:after="0"/>
              <w:rPr>
                <w:sz w:val="10"/>
                <w:szCs w:val="10"/>
                <w:color w:val="auto"/>
              </w:rPr>
            </w:pPr>
          </w:p>
        </w:tc>
        <w:tc>
          <w:tcPr>
            <w:tcW w:w="740" w:type="dxa"/>
            <w:vAlign w:val="bottom"/>
          </w:tcPr>
          <w:p>
            <w:pPr>
              <w:jc w:val="center"/>
              <w:ind w:right="35"/>
              <w:spacing w:after="0"/>
              <w:rPr>
                <w:sz w:val="20"/>
                <w:szCs w:val="20"/>
                <w:color w:val="auto"/>
              </w:rPr>
            </w:pPr>
            <w:r>
              <w:rPr>
                <w:rFonts w:ascii="Arial" w:cs="Arial" w:eastAsia="Arial" w:hAnsi="Arial"/>
                <w:sz w:val="9"/>
                <w:szCs w:val="9"/>
                <w:b w:val="1"/>
                <w:bCs w:val="1"/>
                <w:color w:val="auto"/>
                <w:w w:val="90"/>
              </w:rPr>
              <w:t>Foot (3)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0"/>
              </w:rPr>
              <w:t>Square Foot (4)</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1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380" w:type="dxa"/>
            <w:vAlign w:val="bottom"/>
            <w:gridSpan w:val="3"/>
            <w:shd w:val="clear" w:color="auto" w:fill="CCEEFF"/>
          </w:tcPr>
          <w:p>
            <w:pPr>
              <w:spacing w:after="0" w:line="95" w:lineRule="exact"/>
              <w:rPr>
                <w:sz w:val="20"/>
                <w:szCs w:val="20"/>
                <w:color w:val="auto"/>
              </w:rPr>
            </w:pPr>
            <w:r>
              <w:rPr>
                <w:rFonts w:ascii="Arial" w:cs="Arial" w:eastAsia="Arial" w:hAnsi="Arial"/>
                <w:sz w:val="9"/>
                <w:szCs w:val="9"/>
                <w:b w:val="1"/>
                <w:bCs w:val="1"/>
                <w:color w:val="auto"/>
              </w:rPr>
              <w:t>PROPERTIES 100% OWNED</w:t>
            </w: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“Same Store”</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80" w:type="dxa"/>
            <w:vAlign w:val="bottom"/>
            <w:gridSpan w:val="3"/>
            <w:shd w:val="clear" w:color="auto" w:fill="CCEEFF"/>
          </w:tcPr>
          <w:p>
            <w:pPr>
              <w:spacing w:after="0" w:line="88" w:lineRule="exact"/>
              <w:rPr>
                <w:sz w:val="20"/>
                <w:szCs w:val="20"/>
                <w:color w:val="auto"/>
              </w:rPr>
            </w:pPr>
            <w:r>
              <w:rPr>
                <w:rFonts w:ascii="Arial" w:cs="Arial" w:eastAsia="Arial" w:hAnsi="Arial"/>
                <w:sz w:val="9"/>
                <w:szCs w:val="9"/>
                <w:color w:val="auto"/>
              </w:rPr>
              <w:t>110 East 42nd Street</w:t>
            </w:r>
          </w:p>
        </w:tc>
        <w:tc>
          <w:tcPr>
            <w:tcW w:w="80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80"/>
              <w:spacing w:after="0" w:line="88" w:lineRule="exact"/>
              <w:rPr>
                <w:sz w:val="20"/>
                <w:szCs w:val="20"/>
                <w:color w:val="auto"/>
              </w:rPr>
            </w:pPr>
            <w:r>
              <w:rPr>
                <w:rFonts w:ascii="Arial" w:cs="Arial" w:eastAsia="Arial" w:hAnsi="Arial"/>
                <w:sz w:val="9"/>
                <w:szCs w:val="9"/>
                <w:color w:val="auto"/>
              </w:rPr>
              <w:t>Grand</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1921</w:t>
            </w:r>
          </w:p>
        </w:tc>
        <w:tc>
          <w:tcPr>
            <w:tcW w:w="1000" w:type="dxa"/>
            <w:vAlign w:val="bottom"/>
            <w:gridSpan w:val="3"/>
            <w:shd w:val="clear" w:color="auto" w:fill="CCEEFF"/>
          </w:tcPr>
          <w:p>
            <w:pPr>
              <w:ind w:left="80"/>
              <w:spacing w:after="0" w:line="102" w:lineRule="exact"/>
              <w:rPr>
                <w:sz w:val="20"/>
                <w:szCs w:val="20"/>
                <w:color w:val="auto"/>
              </w:rPr>
            </w:pPr>
            <w:r>
              <w:rPr>
                <w:rFonts w:ascii="Arial" w:cs="Arial" w:eastAsia="Arial" w:hAnsi="Arial"/>
                <w:sz w:val="9"/>
                <w:szCs w:val="9"/>
                <w:color w:val="auto"/>
              </w:rPr>
              <w:t>Central North</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181,000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98.9</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7,537,152</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8"/>
              <w:spacing w:after="0"/>
              <w:rPr>
                <w:sz w:val="20"/>
                <w:szCs w:val="20"/>
                <w:color w:val="auto"/>
              </w:rPr>
            </w:pPr>
            <w:r>
              <w:rPr>
                <w:rFonts w:ascii="Arial" w:cs="Arial" w:eastAsia="Arial" w:hAnsi="Arial"/>
                <w:sz w:val="4"/>
                <w:szCs w:val="4"/>
                <w:color w:val="auto"/>
                <w:w w:val="87"/>
              </w:rPr>
              <w:t>$</w:t>
            </w: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39.75</w:t>
            </w:r>
          </w:p>
        </w:tc>
        <w:tc>
          <w:tcPr>
            <w:tcW w:w="16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31.23</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line="95" w:lineRule="exact"/>
              <w:rPr>
                <w:sz w:val="20"/>
                <w:szCs w:val="20"/>
                <w:color w:val="auto"/>
              </w:rPr>
            </w:pPr>
            <w:r>
              <w:rPr>
                <w:rFonts w:ascii="Arial" w:cs="Arial" w:eastAsia="Arial" w:hAnsi="Arial"/>
                <w:sz w:val="9"/>
                <w:szCs w:val="9"/>
                <w:color w:val="auto"/>
                <w:w w:val="79"/>
              </w:rPr>
              <w:t>125</w:t>
            </w:r>
          </w:p>
        </w:tc>
        <w:tc>
          <w:tcPr>
            <w:tcW w:w="2240" w:type="dxa"/>
            <w:vAlign w:val="bottom"/>
            <w:gridSpan w:val="2"/>
          </w:tcPr>
          <w:p>
            <w:pPr>
              <w:spacing w:after="0" w:line="95" w:lineRule="exact"/>
              <w:rPr>
                <w:sz w:val="20"/>
                <w:szCs w:val="20"/>
                <w:color w:val="auto"/>
              </w:rPr>
            </w:pPr>
            <w:r>
              <w:rPr>
                <w:rFonts w:ascii="Arial" w:cs="Arial" w:eastAsia="Arial" w:hAnsi="Arial"/>
                <w:sz w:val="9"/>
                <w:szCs w:val="9"/>
                <w:color w:val="auto"/>
              </w:rPr>
              <w:t>Broad Street</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1968/1997</w:t>
            </w:r>
          </w:p>
        </w:tc>
        <w:tc>
          <w:tcPr>
            <w:tcW w:w="1000" w:type="dxa"/>
            <w:vAlign w:val="bottom"/>
            <w:gridSpan w:val="3"/>
          </w:tcPr>
          <w:p>
            <w:pPr>
              <w:ind w:left="80"/>
              <w:spacing w:after="0" w:line="95" w:lineRule="exact"/>
              <w:rPr>
                <w:sz w:val="20"/>
                <w:szCs w:val="20"/>
                <w:color w:val="auto"/>
              </w:rPr>
            </w:pPr>
            <w:r>
              <w:rPr>
                <w:rFonts w:ascii="Arial" w:cs="Arial" w:eastAsia="Arial" w:hAnsi="Arial"/>
                <w:sz w:val="9"/>
                <w:szCs w:val="9"/>
                <w:color w:val="auto"/>
              </w:rPr>
              <w:t>Downtown</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525,000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100.0</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color w:val="auto"/>
              </w:rPr>
              <w:t>17,892,636</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34.12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29.25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gridSpan w:val="4"/>
            <w:shd w:val="clear" w:color="auto" w:fill="CCEEFF"/>
          </w:tcPr>
          <w:p>
            <w:pPr>
              <w:spacing w:after="0" w:line="95" w:lineRule="exact"/>
              <w:rPr>
                <w:sz w:val="20"/>
                <w:szCs w:val="20"/>
                <w:color w:val="auto"/>
              </w:rPr>
            </w:pPr>
            <w:r>
              <w:rPr>
                <w:rFonts w:ascii="Arial" w:cs="Arial" w:eastAsia="Arial" w:hAnsi="Arial"/>
                <w:sz w:val="9"/>
                <w:szCs w:val="9"/>
                <w:color w:val="auto"/>
              </w:rPr>
              <w:t>1372 Broadway</w:t>
            </w:r>
          </w:p>
        </w:tc>
        <w:tc>
          <w:tcPr>
            <w:tcW w:w="8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1926/1998</w:t>
            </w:r>
          </w:p>
        </w:tc>
        <w:tc>
          <w:tcPr>
            <w:tcW w:w="1000" w:type="dxa"/>
            <w:vAlign w:val="bottom"/>
            <w:gridSpan w:val="3"/>
            <w:shd w:val="clear" w:color="auto" w:fill="CCEEFF"/>
          </w:tcPr>
          <w:p>
            <w:pPr>
              <w:ind w:left="80"/>
              <w:spacing w:after="0" w:line="95" w:lineRule="exact"/>
              <w:rPr>
                <w:sz w:val="20"/>
                <w:szCs w:val="20"/>
                <w:color w:val="auto"/>
              </w:rPr>
            </w:pPr>
            <w:r>
              <w:rPr>
                <w:rFonts w:ascii="Arial" w:cs="Arial" w:eastAsia="Arial" w:hAnsi="Arial"/>
                <w:sz w:val="9"/>
                <w:szCs w:val="9"/>
                <w:color w:val="auto"/>
              </w:rPr>
              <w:t>Garment</w:t>
            </w: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508,000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85.7</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15,993,192</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34.89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28.74</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0" w:type="dxa"/>
            <w:vAlign w:val="bottom"/>
            <w:gridSpan w:val="2"/>
          </w:tcPr>
          <w:p>
            <w:pPr>
              <w:spacing w:after="0" w:line="95" w:lineRule="exact"/>
              <w:rPr>
                <w:sz w:val="20"/>
                <w:szCs w:val="20"/>
                <w:color w:val="auto"/>
              </w:rPr>
            </w:pPr>
            <w:r>
              <w:rPr>
                <w:rFonts w:ascii="Arial" w:cs="Arial" w:eastAsia="Arial" w:hAnsi="Arial"/>
                <w:sz w:val="9"/>
                <w:szCs w:val="9"/>
                <w:color w:val="auto"/>
                <w:w w:val="92"/>
              </w:rPr>
              <w:t>220</w:t>
            </w:r>
          </w:p>
        </w:tc>
        <w:tc>
          <w:tcPr>
            <w:tcW w:w="2240" w:type="dxa"/>
            <w:vAlign w:val="bottom"/>
            <w:gridSpan w:val="2"/>
          </w:tcPr>
          <w:p>
            <w:pPr>
              <w:spacing w:after="0" w:line="95" w:lineRule="exact"/>
              <w:rPr>
                <w:sz w:val="20"/>
                <w:szCs w:val="20"/>
                <w:color w:val="auto"/>
              </w:rPr>
            </w:pPr>
            <w:r>
              <w:rPr>
                <w:rFonts w:ascii="Arial" w:cs="Arial" w:eastAsia="Arial" w:hAnsi="Arial"/>
                <w:sz w:val="9"/>
                <w:szCs w:val="9"/>
                <w:color w:val="auto"/>
              </w:rPr>
              <w:t>East 42nd Street</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1929</w:t>
            </w:r>
          </w:p>
        </w:tc>
        <w:tc>
          <w:tcPr>
            <w:tcW w:w="1000" w:type="dxa"/>
            <w:vAlign w:val="bottom"/>
            <w:gridSpan w:val="3"/>
          </w:tcPr>
          <w:p>
            <w:pPr>
              <w:ind w:left="80"/>
              <w:spacing w:after="0" w:line="95" w:lineRule="exact"/>
              <w:rPr>
                <w:sz w:val="20"/>
                <w:szCs w:val="20"/>
                <w:color w:val="auto"/>
              </w:rPr>
            </w:pPr>
            <w:r>
              <w:rPr>
                <w:rFonts w:ascii="Arial" w:cs="Arial" w:eastAsia="Arial" w:hAnsi="Arial"/>
                <w:sz w:val="9"/>
                <w:szCs w:val="9"/>
                <w:color w:val="auto"/>
              </w:rPr>
              <w:t>Midtown</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1,135,000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6</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100.0</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color w:val="auto"/>
              </w:rPr>
              <w:t>42,376,140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7</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38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38.28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32.30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80" w:type="dxa"/>
            <w:vAlign w:val="bottom"/>
            <w:gridSpan w:val="3"/>
            <w:shd w:val="clear" w:color="auto" w:fill="CCEEFF"/>
          </w:tcPr>
          <w:p>
            <w:pPr>
              <w:spacing w:after="0" w:line="88" w:lineRule="exact"/>
              <w:rPr>
                <w:sz w:val="20"/>
                <w:szCs w:val="20"/>
                <w:color w:val="auto"/>
              </w:rPr>
            </w:pPr>
            <w:r>
              <w:rPr>
                <w:rFonts w:ascii="Arial" w:cs="Arial" w:eastAsia="Arial" w:hAnsi="Arial"/>
                <w:sz w:val="9"/>
                <w:szCs w:val="9"/>
                <w:color w:val="auto"/>
              </w:rPr>
              <w:t>292 Madison Avenue</w:t>
            </w:r>
          </w:p>
        </w:tc>
        <w:tc>
          <w:tcPr>
            <w:tcW w:w="80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80"/>
              <w:spacing w:after="0" w:line="88" w:lineRule="exact"/>
              <w:rPr>
                <w:sz w:val="20"/>
                <w:szCs w:val="20"/>
                <w:color w:val="auto"/>
              </w:rPr>
            </w:pPr>
            <w:r>
              <w:rPr>
                <w:rFonts w:ascii="Arial" w:cs="Arial" w:eastAsia="Arial" w:hAnsi="Arial"/>
                <w:sz w:val="9"/>
                <w:szCs w:val="9"/>
                <w:color w:val="auto"/>
              </w:rPr>
              <w:t>Grand</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1923</w:t>
            </w:r>
          </w:p>
        </w:tc>
        <w:tc>
          <w:tcPr>
            <w:tcW w:w="1000" w:type="dxa"/>
            <w:vAlign w:val="bottom"/>
            <w:gridSpan w:val="3"/>
            <w:shd w:val="clear" w:color="auto" w:fill="CCEEFF"/>
          </w:tcPr>
          <w:p>
            <w:pPr>
              <w:ind w:left="80"/>
              <w:spacing w:after="0" w:line="102" w:lineRule="exact"/>
              <w:rPr>
                <w:sz w:val="20"/>
                <w:szCs w:val="20"/>
                <w:color w:val="auto"/>
              </w:rPr>
            </w:pPr>
            <w:r>
              <w:rPr>
                <w:rFonts w:ascii="Arial" w:cs="Arial" w:eastAsia="Arial" w:hAnsi="Arial"/>
                <w:sz w:val="9"/>
                <w:szCs w:val="9"/>
                <w:color w:val="auto"/>
              </w:rPr>
              <w:t>Central South</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187,000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99.7</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7,863,624</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41.83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35.54</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line="95" w:lineRule="exact"/>
              <w:rPr>
                <w:sz w:val="20"/>
                <w:szCs w:val="20"/>
                <w:color w:val="auto"/>
              </w:rPr>
            </w:pPr>
            <w:r>
              <w:rPr>
                <w:rFonts w:ascii="Arial" w:cs="Arial" w:eastAsia="Arial" w:hAnsi="Arial"/>
                <w:sz w:val="9"/>
                <w:szCs w:val="9"/>
                <w:color w:val="auto"/>
                <w:w w:val="79"/>
              </w:rPr>
              <w:t>317</w:t>
            </w:r>
          </w:p>
        </w:tc>
        <w:tc>
          <w:tcPr>
            <w:tcW w:w="2240" w:type="dxa"/>
            <w:vAlign w:val="bottom"/>
            <w:gridSpan w:val="2"/>
          </w:tcPr>
          <w:p>
            <w:pPr>
              <w:spacing w:after="0" w:line="95" w:lineRule="exact"/>
              <w:rPr>
                <w:sz w:val="20"/>
                <w:szCs w:val="20"/>
                <w:color w:val="auto"/>
              </w:rPr>
            </w:pPr>
            <w:r>
              <w:rPr>
                <w:rFonts w:ascii="Arial" w:cs="Arial" w:eastAsia="Arial" w:hAnsi="Arial"/>
                <w:sz w:val="9"/>
                <w:szCs w:val="9"/>
                <w:color w:val="auto"/>
              </w:rPr>
              <w:t>Madison Avenue</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1920/2004</w:t>
            </w:r>
          </w:p>
        </w:tc>
        <w:tc>
          <w:tcPr>
            <w:tcW w:w="1000" w:type="dxa"/>
            <w:vAlign w:val="bottom"/>
            <w:gridSpan w:val="3"/>
          </w:tcPr>
          <w:p>
            <w:pPr>
              <w:ind w:left="80"/>
              <w:spacing w:after="0" w:line="95" w:lineRule="exact"/>
              <w:rPr>
                <w:sz w:val="20"/>
                <w:szCs w:val="20"/>
                <w:color w:val="auto"/>
              </w:rPr>
            </w:pPr>
            <w:r>
              <w:rPr>
                <w:rFonts w:ascii="Arial" w:cs="Arial" w:eastAsia="Arial" w:hAnsi="Arial"/>
                <w:sz w:val="9"/>
                <w:szCs w:val="9"/>
                <w:color w:val="auto"/>
              </w:rPr>
              <w:t>Grand Central</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450,000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92.2</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color w:val="auto"/>
              </w:rPr>
              <w:t>18,699,120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86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42.32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34.72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4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79"/>
              </w:rPr>
              <w:t>420</w:t>
            </w:r>
          </w:p>
        </w:tc>
        <w:tc>
          <w:tcPr>
            <w:tcW w:w="2240" w:type="dxa"/>
            <w:vAlign w:val="bottom"/>
            <w:gridSpan w:val="2"/>
            <w:shd w:val="clear" w:color="auto" w:fill="CCEEFF"/>
          </w:tcPr>
          <w:p>
            <w:pPr>
              <w:spacing w:after="0" w:line="88" w:lineRule="exact"/>
              <w:rPr>
                <w:sz w:val="20"/>
                <w:szCs w:val="20"/>
                <w:color w:val="auto"/>
              </w:rPr>
            </w:pPr>
            <w:r>
              <w:rPr>
                <w:rFonts w:ascii="Arial" w:cs="Arial" w:eastAsia="Arial" w:hAnsi="Arial"/>
                <w:sz w:val="9"/>
                <w:szCs w:val="9"/>
                <w:color w:val="auto"/>
              </w:rPr>
              <w:t>Lexington Ave (Graybar) (7)</w:t>
            </w:r>
          </w:p>
        </w:tc>
        <w:tc>
          <w:tcPr>
            <w:tcW w:w="80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80"/>
              <w:spacing w:after="0" w:line="88" w:lineRule="exact"/>
              <w:rPr>
                <w:sz w:val="20"/>
                <w:szCs w:val="20"/>
                <w:color w:val="auto"/>
              </w:rPr>
            </w:pPr>
            <w:r>
              <w:rPr>
                <w:rFonts w:ascii="Arial" w:cs="Arial" w:eastAsia="Arial" w:hAnsi="Arial"/>
                <w:sz w:val="9"/>
                <w:szCs w:val="9"/>
                <w:color w:val="auto"/>
              </w:rPr>
              <w:t>Grand</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1927/1999</w:t>
            </w:r>
          </w:p>
        </w:tc>
        <w:tc>
          <w:tcPr>
            <w:tcW w:w="1000" w:type="dxa"/>
            <w:vAlign w:val="bottom"/>
            <w:gridSpan w:val="3"/>
            <w:shd w:val="clear" w:color="auto" w:fill="CCEEFF"/>
          </w:tcPr>
          <w:p>
            <w:pPr>
              <w:ind w:left="80"/>
              <w:spacing w:after="0" w:line="102" w:lineRule="exact"/>
              <w:rPr>
                <w:sz w:val="20"/>
                <w:szCs w:val="20"/>
                <w:color w:val="auto"/>
              </w:rPr>
            </w:pPr>
            <w:r>
              <w:rPr>
                <w:rFonts w:ascii="Arial" w:cs="Arial" w:eastAsia="Arial" w:hAnsi="Arial"/>
                <w:sz w:val="9"/>
                <w:szCs w:val="9"/>
                <w:color w:val="auto"/>
              </w:rPr>
              <w:t>Central North</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1,188,000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98.3</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56,781,348</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9</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253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42.15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33.20</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line="95" w:lineRule="exact"/>
              <w:rPr>
                <w:sz w:val="20"/>
                <w:szCs w:val="20"/>
                <w:color w:val="auto"/>
              </w:rPr>
            </w:pPr>
            <w:r>
              <w:rPr>
                <w:rFonts w:ascii="Arial" w:cs="Arial" w:eastAsia="Arial" w:hAnsi="Arial"/>
                <w:sz w:val="9"/>
                <w:szCs w:val="9"/>
                <w:color w:val="auto"/>
                <w:w w:val="79"/>
              </w:rPr>
              <w:t>440</w:t>
            </w:r>
          </w:p>
        </w:tc>
        <w:tc>
          <w:tcPr>
            <w:tcW w:w="2240" w:type="dxa"/>
            <w:vAlign w:val="bottom"/>
            <w:gridSpan w:val="2"/>
          </w:tcPr>
          <w:p>
            <w:pPr>
              <w:spacing w:after="0" w:line="95" w:lineRule="exact"/>
              <w:rPr>
                <w:sz w:val="20"/>
                <w:szCs w:val="20"/>
                <w:color w:val="auto"/>
              </w:rPr>
            </w:pPr>
            <w:r>
              <w:rPr>
                <w:rFonts w:ascii="Arial" w:cs="Arial" w:eastAsia="Arial" w:hAnsi="Arial"/>
                <w:sz w:val="9"/>
                <w:szCs w:val="9"/>
                <w:color w:val="auto"/>
              </w:rPr>
              <w:t>Ninth Avenue</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1927/1989</w:t>
            </w:r>
          </w:p>
        </w:tc>
        <w:tc>
          <w:tcPr>
            <w:tcW w:w="1000" w:type="dxa"/>
            <w:vAlign w:val="bottom"/>
            <w:gridSpan w:val="3"/>
          </w:tcPr>
          <w:p>
            <w:pPr>
              <w:ind w:left="80"/>
              <w:spacing w:after="0" w:line="95" w:lineRule="exact"/>
              <w:rPr>
                <w:sz w:val="20"/>
                <w:szCs w:val="20"/>
                <w:color w:val="auto"/>
              </w:rPr>
            </w:pPr>
            <w:r>
              <w:rPr>
                <w:rFonts w:ascii="Arial" w:cs="Arial" w:eastAsia="Arial" w:hAnsi="Arial"/>
                <w:sz w:val="9"/>
                <w:szCs w:val="9"/>
                <w:color w:val="auto"/>
              </w:rPr>
              <w:t>Garment</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339,000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99.4</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color w:val="auto"/>
              </w:rPr>
              <w:t>10,672,008</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27.74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18.53</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w w:val="92"/>
              </w:rPr>
              <w:t>461</w:t>
            </w:r>
          </w:p>
        </w:tc>
        <w:tc>
          <w:tcPr>
            <w:tcW w:w="224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Fifth Avenue (9)</w:t>
            </w:r>
          </w:p>
        </w:tc>
        <w:tc>
          <w:tcPr>
            <w:tcW w:w="8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1988</w:t>
            </w:r>
          </w:p>
        </w:tc>
        <w:tc>
          <w:tcPr>
            <w:tcW w:w="1000" w:type="dxa"/>
            <w:vAlign w:val="bottom"/>
            <w:gridSpan w:val="3"/>
            <w:shd w:val="clear" w:color="auto" w:fill="CCEEFF"/>
          </w:tcPr>
          <w:p>
            <w:pPr>
              <w:ind w:left="80"/>
              <w:spacing w:after="0" w:line="95" w:lineRule="exact"/>
              <w:rPr>
                <w:sz w:val="20"/>
                <w:szCs w:val="20"/>
                <w:color w:val="auto"/>
              </w:rPr>
            </w:pPr>
            <w:r>
              <w:rPr>
                <w:rFonts w:ascii="Arial" w:cs="Arial" w:eastAsia="Arial" w:hAnsi="Arial"/>
                <w:sz w:val="9"/>
                <w:szCs w:val="9"/>
                <w:color w:val="auto"/>
              </w:rPr>
              <w:t>Midtown</w:t>
            </w: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200,000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89.7</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11,116,824</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60.43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56.14</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60" w:type="dxa"/>
            <w:vAlign w:val="bottom"/>
            <w:gridSpan w:val="2"/>
          </w:tcPr>
          <w:p>
            <w:pPr>
              <w:spacing w:after="0" w:line="88" w:lineRule="exact"/>
              <w:rPr>
                <w:sz w:val="20"/>
                <w:szCs w:val="20"/>
                <w:color w:val="auto"/>
              </w:rPr>
            </w:pPr>
            <w:r>
              <w:rPr>
                <w:rFonts w:ascii="Arial" w:cs="Arial" w:eastAsia="Arial" w:hAnsi="Arial"/>
                <w:sz w:val="9"/>
                <w:szCs w:val="9"/>
                <w:color w:val="auto"/>
                <w:w w:val="92"/>
              </w:rPr>
              <w:t>470</w:t>
            </w:r>
          </w:p>
        </w:tc>
        <w:tc>
          <w:tcPr>
            <w:tcW w:w="2240" w:type="dxa"/>
            <w:vAlign w:val="bottom"/>
            <w:gridSpan w:val="2"/>
          </w:tcPr>
          <w:p>
            <w:pPr>
              <w:spacing w:after="0" w:line="88" w:lineRule="exact"/>
              <w:rPr>
                <w:sz w:val="20"/>
                <w:szCs w:val="20"/>
                <w:color w:val="auto"/>
              </w:rPr>
            </w:pPr>
            <w:r>
              <w:rPr>
                <w:rFonts w:ascii="Arial" w:cs="Arial" w:eastAsia="Arial" w:hAnsi="Arial"/>
                <w:sz w:val="9"/>
                <w:szCs w:val="9"/>
                <w:color w:val="auto"/>
              </w:rPr>
              <w:t>Park Avenue South (5)</w:t>
            </w:r>
          </w:p>
        </w:tc>
        <w:tc>
          <w:tcPr>
            <w:tcW w:w="800" w:type="dxa"/>
            <w:vAlign w:val="bottom"/>
          </w:tcPr>
          <w:p>
            <w:pPr>
              <w:spacing w:after="0"/>
              <w:rPr>
                <w:sz w:val="7"/>
                <w:szCs w:val="7"/>
                <w:color w:val="auto"/>
              </w:rPr>
            </w:pPr>
          </w:p>
        </w:tc>
        <w:tc>
          <w:tcPr>
            <w:tcW w:w="1000" w:type="dxa"/>
            <w:vAlign w:val="bottom"/>
            <w:gridSpan w:val="3"/>
          </w:tcPr>
          <w:p>
            <w:pPr>
              <w:ind w:left="80"/>
              <w:spacing w:after="0" w:line="88" w:lineRule="exact"/>
              <w:rPr>
                <w:sz w:val="20"/>
                <w:szCs w:val="20"/>
                <w:color w:val="auto"/>
              </w:rPr>
            </w:pPr>
            <w:r>
              <w:rPr>
                <w:rFonts w:ascii="Arial" w:cs="Arial" w:eastAsia="Arial" w:hAnsi="Arial"/>
                <w:sz w:val="9"/>
                <w:szCs w:val="9"/>
                <w:color w:val="auto"/>
              </w:rPr>
              <w:t>Park Avenue</w:t>
            </w: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9"/>
                <w:szCs w:val="9"/>
                <w:color w:val="auto"/>
              </w:rPr>
              <w:t>1912/1944</w:t>
            </w:r>
          </w:p>
        </w:tc>
        <w:tc>
          <w:tcPr>
            <w:tcW w:w="1000" w:type="dxa"/>
            <w:vAlign w:val="bottom"/>
            <w:gridSpan w:val="3"/>
          </w:tcPr>
          <w:p>
            <w:pPr>
              <w:ind w:left="80"/>
              <w:spacing w:after="0" w:line="102" w:lineRule="exact"/>
              <w:rPr>
                <w:sz w:val="20"/>
                <w:szCs w:val="20"/>
                <w:color w:val="auto"/>
              </w:rPr>
            </w:pPr>
            <w:r>
              <w:rPr>
                <w:rFonts w:ascii="Arial" w:cs="Arial" w:eastAsia="Arial" w:hAnsi="Arial"/>
                <w:sz w:val="9"/>
                <w:szCs w:val="9"/>
                <w:color w:val="auto"/>
              </w:rPr>
              <w:t>South/Flatiron</w:t>
            </w: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260,000</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98.3</w:t>
            </w:r>
          </w:p>
        </w:tc>
        <w:tc>
          <w:tcPr>
            <w:tcW w:w="80" w:type="dxa"/>
            <w:vAlign w:val="bottom"/>
          </w:tcPr>
          <w:p>
            <w:pPr>
              <w:spacing w:after="0"/>
              <w:rPr>
                <w:sz w:val="8"/>
                <w:szCs w:val="8"/>
                <w:color w:val="auto"/>
              </w:rPr>
            </w:pPr>
          </w:p>
        </w:tc>
        <w:tc>
          <w:tcPr>
            <w:tcW w:w="840" w:type="dxa"/>
            <w:vAlign w:val="bottom"/>
          </w:tcPr>
          <w:p>
            <w:pPr>
              <w:jc w:val="right"/>
              <w:spacing w:after="0" w:line="102" w:lineRule="exact"/>
              <w:rPr>
                <w:sz w:val="20"/>
                <w:szCs w:val="20"/>
                <w:color w:val="auto"/>
              </w:rPr>
            </w:pPr>
            <w:r>
              <w:rPr>
                <w:rFonts w:ascii="Arial" w:cs="Arial" w:eastAsia="Arial" w:hAnsi="Arial"/>
                <w:sz w:val="9"/>
                <w:szCs w:val="9"/>
                <w:color w:val="auto"/>
              </w:rPr>
              <w:t>9,902,508</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29</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102" w:lineRule="exact"/>
              <w:rPr>
                <w:sz w:val="20"/>
                <w:szCs w:val="20"/>
                <w:color w:val="auto"/>
              </w:rPr>
            </w:pPr>
            <w:r>
              <w:rPr>
                <w:rFonts w:ascii="Arial" w:cs="Arial" w:eastAsia="Arial" w:hAnsi="Arial"/>
                <w:sz w:val="9"/>
                <w:szCs w:val="9"/>
                <w:color w:val="auto"/>
              </w:rPr>
              <w:t>36.12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102" w:lineRule="exact"/>
              <w:rPr>
                <w:sz w:val="20"/>
                <w:szCs w:val="20"/>
                <w:color w:val="auto"/>
              </w:rPr>
            </w:pPr>
            <w:r>
              <w:rPr>
                <w:rFonts w:ascii="Arial" w:cs="Arial" w:eastAsia="Arial" w:hAnsi="Arial"/>
                <w:sz w:val="9"/>
                <w:szCs w:val="9"/>
                <w:color w:val="auto"/>
              </w:rPr>
              <w:t>28.25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w w:val="79"/>
              </w:rPr>
              <w:t>555</w:t>
            </w:r>
          </w:p>
        </w:tc>
        <w:tc>
          <w:tcPr>
            <w:tcW w:w="224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West 57th Street (6)</w:t>
            </w:r>
          </w:p>
        </w:tc>
        <w:tc>
          <w:tcPr>
            <w:tcW w:w="8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1971</w:t>
            </w:r>
          </w:p>
        </w:tc>
        <w:tc>
          <w:tcPr>
            <w:tcW w:w="1000" w:type="dxa"/>
            <w:vAlign w:val="bottom"/>
            <w:gridSpan w:val="3"/>
            <w:shd w:val="clear" w:color="auto" w:fill="CCEEFF"/>
          </w:tcPr>
          <w:p>
            <w:pPr>
              <w:ind w:left="80"/>
              <w:spacing w:after="0" w:line="95" w:lineRule="exact"/>
              <w:rPr>
                <w:sz w:val="20"/>
                <w:szCs w:val="20"/>
                <w:color w:val="auto"/>
              </w:rPr>
            </w:pPr>
            <w:r>
              <w:rPr>
                <w:rFonts w:ascii="Arial" w:cs="Arial" w:eastAsia="Arial" w:hAnsi="Arial"/>
                <w:sz w:val="9"/>
                <w:szCs w:val="9"/>
                <w:color w:val="auto"/>
              </w:rPr>
              <w:t>Midtown West</w:t>
            </w: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941,000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99.9</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28,327,128</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28.80</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22.92</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line="95" w:lineRule="exact"/>
              <w:rPr>
                <w:sz w:val="20"/>
                <w:szCs w:val="20"/>
                <w:color w:val="auto"/>
              </w:rPr>
            </w:pPr>
            <w:r>
              <w:rPr>
                <w:rFonts w:ascii="Arial" w:cs="Arial" w:eastAsia="Arial" w:hAnsi="Arial"/>
                <w:sz w:val="9"/>
                <w:szCs w:val="9"/>
                <w:color w:val="auto"/>
                <w:w w:val="79"/>
              </w:rPr>
              <w:t>625</w:t>
            </w:r>
          </w:p>
        </w:tc>
        <w:tc>
          <w:tcPr>
            <w:tcW w:w="2240" w:type="dxa"/>
            <w:vAlign w:val="bottom"/>
            <w:gridSpan w:val="2"/>
          </w:tcPr>
          <w:p>
            <w:pPr>
              <w:spacing w:after="0" w:line="95" w:lineRule="exact"/>
              <w:rPr>
                <w:sz w:val="20"/>
                <w:szCs w:val="20"/>
                <w:color w:val="auto"/>
              </w:rPr>
            </w:pPr>
            <w:r>
              <w:rPr>
                <w:rFonts w:ascii="Arial" w:cs="Arial" w:eastAsia="Arial" w:hAnsi="Arial"/>
                <w:sz w:val="9"/>
                <w:szCs w:val="9"/>
                <w:color w:val="auto"/>
              </w:rPr>
              <w:t>Madison Avenue</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1956/2002</w:t>
            </w:r>
          </w:p>
        </w:tc>
        <w:tc>
          <w:tcPr>
            <w:tcW w:w="1000" w:type="dxa"/>
            <w:vAlign w:val="bottom"/>
            <w:gridSpan w:val="3"/>
          </w:tcPr>
          <w:p>
            <w:pPr>
              <w:ind w:left="80"/>
              <w:spacing w:after="0" w:line="95" w:lineRule="exact"/>
              <w:rPr>
                <w:sz w:val="20"/>
                <w:szCs w:val="20"/>
                <w:color w:val="auto"/>
              </w:rPr>
            </w:pPr>
            <w:r>
              <w:rPr>
                <w:rFonts w:ascii="Arial" w:cs="Arial" w:eastAsia="Arial" w:hAnsi="Arial"/>
                <w:sz w:val="9"/>
                <w:szCs w:val="9"/>
                <w:color w:val="auto"/>
              </w:rPr>
              <w:t>Plaza District</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563,000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97.3</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color w:val="auto"/>
              </w:rPr>
              <w:t>38,757,480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6</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34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69.20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61.75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4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79"/>
              </w:rPr>
              <w:t>673</w:t>
            </w:r>
          </w:p>
        </w:tc>
        <w:tc>
          <w:tcPr>
            <w:tcW w:w="2240" w:type="dxa"/>
            <w:vAlign w:val="bottom"/>
            <w:gridSpan w:val="2"/>
            <w:shd w:val="clear" w:color="auto" w:fill="CCEEFF"/>
          </w:tcPr>
          <w:p>
            <w:pPr>
              <w:spacing w:after="0" w:line="88" w:lineRule="exact"/>
              <w:rPr>
                <w:sz w:val="20"/>
                <w:szCs w:val="20"/>
                <w:color w:val="auto"/>
              </w:rPr>
            </w:pPr>
            <w:r>
              <w:rPr>
                <w:rFonts w:ascii="Arial" w:cs="Arial" w:eastAsia="Arial" w:hAnsi="Arial"/>
                <w:sz w:val="9"/>
                <w:szCs w:val="9"/>
                <w:color w:val="auto"/>
              </w:rPr>
              <w:t>First Avenue (6)</w:t>
            </w:r>
          </w:p>
        </w:tc>
        <w:tc>
          <w:tcPr>
            <w:tcW w:w="80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80"/>
              <w:spacing w:after="0" w:line="88" w:lineRule="exact"/>
              <w:rPr>
                <w:sz w:val="20"/>
                <w:szCs w:val="20"/>
                <w:color w:val="auto"/>
              </w:rPr>
            </w:pPr>
            <w:r>
              <w:rPr>
                <w:rFonts w:ascii="Arial" w:cs="Arial" w:eastAsia="Arial" w:hAnsi="Arial"/>
                <w:sz w:val="9"/>
                <w:szCs w:val="9"/>
                <w:color w:val="auto"/>
              </w:rPr>
              <w:t>Grand</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1928/1990</w:t>
            </w:r>
          </w:p>
        </w:tc>
        <w:tc>
          <w:tcPr>
            <w:tcW w:w="1000" w:type="dxa"/>
            <w:vAlign w:val="bottom"/>
            <w:gridSpan w:val="3"/>
            <w:shd w:val="clear" w:color="auto" w:fill="CCEEFF"/>
          </w:tcPr>
          <w:p>
            <w:pPr>
              <w:ind w:left="80"/>
              <w:spacing w:after="0" w:line="102" w:lineRule="exact"/>
              <w:rPr>
                <w:sz w:val="20"/>
                <w:szCs w:val="20"/>
                <w:color w:val="auto"/>
              </w:rPr>
            </w:pPr>
            <w:r>
              <w:rPr>
                <w:rFonts w:ascii="Arial" w:cs="Arial" w:eastAsia="Arial" w:hAnsi="Arial"/>
                <w:sz w:val="9"/>
                <w:szCs w:val="9"/>
                <w:color w:val="auto"/>
              </w:rPr>
              <w:t>Central South</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422,000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96.8</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13,769,028</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31.88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27.79</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gridSpan w:val="3"/>
          </w:tcPr>
          <w:p>
            <w:pPr>
              <w:spacing w:after="0" w:line="95" w:lineRule="exact"/>
              <w:rPr>
                <w:sz w:val="20"/>
                <w:szCs w:val="20"/>
                <w:color w:val="auto"/>
              </w:rPr>
            </w:pPr>
            <w:r>
              <w:rPr>
                <w:rFonts w:ascii="Arial" w:cs="Arial" w:eastAsia="Arial" w:hAnsi="Arial"/>
                <w:sz w:val="9"/>
                <w:szCs w:val="9"/>
                <w:color w:val="auto"/>
              </w:rPr>
              <w:t>70 West 36th Street (a)</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1923/1994</w:t>
            </w:r>
          </w:p>
        </w:tc>
        <w:tc>
          <w:tcPr>
            <w:tcW w:w="1000" w:type="dxa"/>
            <w:vAlign w:val="bottom"/>
            <w:gridSpan w:val="3"/>
          </w:tcPr>
          <w:p>
            <w:pPr>
              <w:ind w:left="80"/>
              <w:spacing w:after="0" w:line="95" w:lineRule="exact"/>
              <w:rPr>
                <w:sz w:val="20"/>
                <w:szCs w:val="20"/>
                <w:color w:val="auto"/>
              </w:rPr>
            </w:pPr>
            <w:r>
              <w:rPr>
                <w:rFonts w:ascii="Arial" w:cs="Arial" w:eastAsia="Arial" w:hAnsi="Arial"/>
                <w:sz w:val="9"/>
                <w:szCs w:val="9"/>
                <w:color w:val="auto"/>
              </w:rPr>
              <w:t>Garment</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151,000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99.6</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color w:val="auto"/>
              </w:rPr>
              <w:t>4,477,500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27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28.70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23.12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80" w:type="dxa"/>
            <w:vAlign w:val="bottom"/>
            <w:gridSpan w:val="3"/>
            <w:shd w:val="clear" w:color="auto" w:fill="CCEEFF"/>
          </w:tcPr>
          <w:p>
            <w:pPr>
              <w:spacing w:after="0" w:line="88" w:lineRule="exact"/>
              <w:rPr>
                <w:sz w:val="20"/>
                <w:szCs w:val="20"/>
                <w:color w:val="auto"/>
              </w:rPr>
            </w:pPr>
            <w:r>
              <w:rPr>
                <w:rFonts w:ascii="Arial" w:cs="Arial" w:eastAsia="Arial" w:hAnsi="Arial"/>
                <w:sz w:val="9"/>
                <w:szCs w:val="9"/>
                <w:color w:val="auto"/>
              </w:rPr>
              <w:t>711 Third Avenue (b) (6) (8)</w:t>
            </w:r>
          </w:p>
        </w:tc>
        <w:tc>
          <w:tcPr>
            <w:tcW w:w="80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80"/>
              <w:spacing w:after="0" w:line="88" w:lineRule="exact"/>
              <w:rPr>
                <w:sz w:val="20"/>
                <w:szCs w:val="20"/>
                <w:color w:val="auto"/>
              </w:rPr>
            </w:pPr>
            <w:r>
              <w:rPr>
                <w:rFonts w:ascii="Arial" w:cs="Arial" w:eastAsia="Arial" w:hAnsi="Arial"/>
                <w:sz w:val="9"/>
                <w:szCs w:val="9"/>
                <w:color w:val="auto"/>
              </w:rPr>
              <w:t>Grand</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1955</w:t>
            </w:r>
          </w:p>
        </w:tc>
        <w:tc>
          <w:tcPr>
            <w:tcW w:w="1000" w:type="dxa"/>
            <w:vAlign w:val="bottom"/>
            <w:gridSpan w:val="3"/>
            <w:shd w:val="clear" w:color="auto" w:fill="CCEEFF"/>
          </w:tcPr>
          <w:p>
            <w:pPr>
              <w:ind w:left="80"/>
              <w:spacing w:after="0" w:line="102" w:lineRule="exact"/>
              <w:rPr>
                <w:sz w:val="20"/>
                <w:szCs w:val="20"/>
                <w:color w:val="auto"/>
              </w:rPr>
            </w:pPr>
            <w:r>
              <w:rPr>
                <w:rFonts w:ascii="Arial" w:cs="Arial" w:eastAsia="Arial" w:hAnsi="Arial"/>
                <w:sz w:val="9"/>
                <w:szCs w:val="9"/>
                <w:color w:val="auto"/>
              </w:rPr>
              <w:t>Central North</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524,000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100.0</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23,656,020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41.86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31.66</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40" w:type="dxa"/>
            <w:vAlign w:val="bottom"/>
          </w:tcPr>
          <w:p>
            <w:pPr>
              <w:spacing w:after="0" w:line="88" w:lineRule="exact"/>
              <w:rPr>
                <w:sz w:val="20"/>
                <w:szCs w:val="20"/>
                <w:color w:val="auto"/>
              </w:rPr>
            </w:pPr>
            <w:r>
              <w:rPr>
                <w:rFonts w:ascii="Arial" w:cs="Arial" w:eastAsia="Arial" w:hAnsi="Arial"/>
                <w:sz w:val="9"/>
                <w:szCs w:val="9"/>
                <w:color w:val="auto"/>
                <w:w w:val="79"/>
              </w:rPr>
              <w:t>750</w:t>
            </w:r>
          </w:p>
        </w:tc>
        <w:tc>
          <w:tcPr>
            <w:tcW w:w="2240" w:type="dxa"/>
            <w:vAlign w:val="bottom"/>
            <w:gridSpan w:val="2"/>
          </w:tcPr>
          <w:p>
            <w:pPr>
              <w:spacing w:after="0" w:line="88" w:lineRule="exact"/>
              <w:rPr>
                <w:sz w:val="20"/>
                <w:szCs w:val="20"/>
                <w:color w:val="auto"/>
              </w:rPr>
            </w:pPr>
            <w:r>
              <w:rPr>
                <w:rFonts w:ascii="Arial" w:cs="Arial" w:eastAsia="Arial" w:hAnsi="Arial"/>
                <w:sz w:val="9"/>
                <w:szCs w:val="9"/>
                <w:color w:val="auto"/>
              </w:rPr>
              <w:t>Third Avenue</w:t>
            </w:r>
          </w:p>
        </w:tc>
        <w:tc>
          <w:tcPr>
            <w:tcW w:w="800" w:type="dxa"/>
            <w:vAlign w:val="bottom"/>
          </w:tcPr>
          <w:p>
            <w:pPr>
              <w:spacing w:after="0"/>
              <w:rPr>
                <w:sz w:val="7"/>
                <w:szCs w:val="7"/>
                <w:color w:val="auto"/>
              </w:rPr>
            </w:pPr>
          </w:p>
        </w:tc>
        <w:tc>
          <w:tcPr>
            <w:tcW w:w="1000" w:type="dxa"/>
            <w:vAlign w:val="bottom"/>
            <w:gridSpan w:val="3"/>
          </w:tcPr>
          <w:p>
            <w:pPr>
              <w:ind w:left="80"/>
              <w:spacing w:after="0" w:line="88" w:lineRule="exact"/>
              <w:rPr>
                <w:sz w:val="20"/>
                <w:szCs w:val="20"/>
                <w:color w:val="auto"/>
              </w:rPr>
            </w:pPr>
            <w:r>
              <w:rPr>
                <w:rFonts w:ascii="Arial" w:cs="Arial" w:eastAsia="Arial" w:hAnsi="Arial"/>
                <w:sz w:val="9"/>
                <w:szCs w:val="9"/>
                <w:color w:val="auto"/>
              </w:rPr>
              <w:t>Grand</w:t>
            </w: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1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jc w:val="right"/>
              <w:spacing w:after="0" w:line="102" w:lineRule="exact"/>
              <w:rPr>
                <w:sz w:val="20"/>
                <w:szCs w:val="20"/>
                <w:color w:val="auto"/>
              </w:rPr>
            </w:pPr>
            <w:r>
              <w:rPr>
                <w:rFonts w:ascii="Arial" w:cs="Arial" w:eastAsia="Arial" w:hAnsi="Arial"/>
                <w:sz w:val="9"/>
                <w:szCs w:val="9"/>
                <w:color w:val="auto"/>
              </w:rPr>
              <w:t>1958/2006</w:t>
            </w:r>
          </w:p>
        </w:tc>
        <w:tc>
          <w:tcPr>
            <w:tcW w:w="1000" w:type="dxa"/>
            <w:vAlign w:val="bottom"/>
            <w:tcBorders>
              <w:bottom w:val="single" w:sz="8" w:color="CCEEFF"/>
            </w:tcBorders>
            <w:gridSpan w:val="3"/>
          </w:tcPr>
          <w:p>
            <w:pPr>
              <w:ind w:left="80"/>
              <w:spacing w:after="0" w:line="102" w:lineRule="exact"/>
              <w:rPr>
                <w:sz w:val="20"/>
                <w:szCs w:val="20"/>
                <w:color w:val="auto"/>
              </w:rPr>
            </w:pPr>
            <w:r>
              <w:rPr>
                <w:rFonts w:ascii="Arial" w:cs="Arial" w:eastAsia="Arial" w:hAnsi="Arial"/>
                <w:sz w:val="9"/>
                <w:szCs w:val="9"/>
                <w:color w:val="auto"/>
              </w:rPr>
              <w:t>Central North</w:t>
            </w: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780,000</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4</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98.0</w:t>
            </w:r>
          </w:p>
        </w:tc>
        <w:tc>
          <w:tcPr>
            <w:tcW w:w="8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34,826,568</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6</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18</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45.20</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44.78</w:t>
            </w:r>
          </w:p>
        </w:tc>
        <w:tc>
          <w:tcPr>
            <w:tcW w:w="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38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Subtotal / Weighted Average</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8,354,000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44</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97.5</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342,648,276</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54</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634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40.06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34.34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320" w:type="dxa"/>
            <w:vAlign w:val="bottom"/>
            <w:gridSpan w:val="3"/>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gridSpan w:val="4"/>
          </w:tcPr>
          <w:p>
            <w:pPr>
              <w:spacing w:after="0" w:line="95" w:lineRule="exact"/>
              <w:rPr>
                <w:sz w:val="20"/>
                <w:szCs w:val="20"/>
                <w:color w:val="auto"/>
              </w:rPr>
            </w:pPr>
            <w:r>
              <w:rPr>
                <w:rFonts w:ascii="Arial" w:cs="Arial" w:eastAsia="Arial" w:hAnsi="Arial"/>
                <w:sz w:val="9"/>
                <w:szCs w:val="9"/>
                <w:color w:val="auto"/>
              </w:rPr>
              <w:t>ADJUSTMENTS</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gridSpan w:val="4"/>
            <w:shd w:val="clear" w:color="auto" w:fill="CCEEFF"/>
          </w:tcPr>
          <w:p>
            <w:pPr>
              <w:spacing w:after="0" w:line="95" w:lineRule="exact"/>
              <w:rPr>
                <w:sz w:val="20"/>
                <w:szCs w:val="20"/>
                <w:color w:val="auto"/>
              </w:rPr>
            </w:pPr>
            <w:r>
              <w:rPr>
                <w:rFonts w:ascii="Arial" w:cs="Arial" w:eastAsia="Arial" w:hAnsi="Arial"/>
                <w:sz w:val="9"/>
                <w:szCs w:val="9"/>
                <w:color w:val="auto"/>
              </w:rPr>
              <w:t>19 West 44th Street</w:t>
            </w:r>
          </w:p>
        </w:tc>
        <w:tc>
          <w:tcPr>
            <w:tcW w:w="8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1916</w:t>
            </w:r>
          </w:p>
        </w:tc>
        <w:tc>
          <w:tcPr>
            <w:tcW w:w="1000" w:type="dxa"/>
            <w:vAlign w:val="bottom"/>
            <w:gridSpan w:val="3"/>
            <w:shd w:val="clear" w:color="auto" w:fill="CCEEFF"/>
          </w:tcPr>
          <w:p>
            <w:pPr>
              <w:ind w:left="80"/>
              <w:spacing w:after="0" w:line="95" w:lineRule="exact"/>
              <w:rPr>
                <w:sz w:val="20"/>
                <w:szCs w:val="20"/>
                <w:color w:val="auto"/>
              </w:rPr>
            </w:pPr>
            <w:r>
              <w:rPr>
                <w:rFonts w:ascii="Arial" w:cs="Arial" w:eastAsia="Arial" w:hAnsi="Arial"/>
                <w:sz w:val="9"/>
                <w:szCs w:val="9"/>
                <w:color w:val="auto"/>
              </w:rPr>
              <w:t>Midtown</w:t>
            </w: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292,000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97.4</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11,007,852</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64</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39.21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36.63</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gridSpan w:val="4"/>
          </w:tcPr>
          <w:p>
            <w:pPr>
              <w:spacing w:after="0" w:line="95" w:lineRule="exact"/>
              <w:rPr>
                <w:sz w:val="20"/>
                <w:szCs w:val="20"/>
                <w:color w:val="auto"/>
              </w:rPr>
            </w:pPr>
            <w:r>
              <w:rPr>
                <w:rFonts w:ascii="Arial" w:cs="Arial" w:eastAsia="Arial" w:hAnsi="Arial"/>
                <w:sz w:val="9"/>
                <w:szCs w:val="9"/>
                <w:color w:val="auto"/>
              </w:rPr>
              <w:t>28 West 44th Street</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1919/2003</w:t>
            </w:r>
          </w:p>
        </w:tc>
        <w:tc>
          <w:tcPr>
            <w:tcW w:w="1000" w:type="dxa"/>
            <w:vAlign w:val="bottom"/>
            <w:gridSpan w:val="3"/>
          </w:tcPr>
          <w:p>
            <w:pPr>
              <w:ind w:left="80"/>
              <w:spacing w:after="0" w:line="95" w:lineRule="exact"/>
              <w:rPr>
                <w:sz w:val="20"/>
                <w:szCs w:val="20"/>
                <w:color w:val="auto"/>
              </w:rPr>
            </w:pPr>
            <w:r>
              <w:rPr>
                <w:rFonts w:ascii="Arial" w:cs="Arial" w:eastAsia="Arial" w:hAnsi="Arial"/>
                <w:sz w:val="9"/>
                <w:szCs w:val="9"/>
                <w:color w:val="auto"/>
              </w:rPr>
              <w:t>Midtown</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359,000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96.5</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color w:val="auto"/>
              </w:rPr>
              <w:t>13,021,272</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78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40.22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33.80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4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79"/>
              </w:rPr>
              <w:t>485</w:t>
            </w:r>
          </w:p>
        </w:tc>
        <w:tc>
          <w:tcPr>
            <w:tcW w:w="2240" w:type="dxa"/>
            <w:vAlign w:val="bottom"/>
            <w:gridSpan w:val="2"/>
            <w:shd w:val="clear" w:color="auto" w:fill="CCEEFF"/>
          </w:tcPr>
          <w:p>
            <w:pPr>
              <w:spacing w:after="0" w:line="88" w:lineRule="exact"/>
              <w:rPr>
                <w:sz w:val="20"/>
                <w:szCs w:val="20"/>
                <w:color w:val="auto"/>
              </w:rPr>
            </w:pPr>
            <w:r>
              <w:rPr>
                <w:rFonts w:ascii="Arial" w:cs="Arial" w:eastAsia="Arial" w:hAnsi="Arial"/>
                <w:sz w:val="9"/>
                <w:szCs w:val="9"/>
                <w:color w:val="auto"/>
              </w:rPr>
              <w:t>Lexington Avenue (17)</w:t>
            </w:r>
          </w:p>
        </w:tc>
        <w:tc>
          <w:tcPr>
            <w:tcW w:w="80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80"/>
              <w:spacing w:after="0" w:line="88" w:lineRule="exact"/>
              <w:rPr>
                <w:sz w:val="20"/>
                <w:szCs w:val="20"/>
                <w:color w:val="auto"/>
              </w:rPr>
            </w:pPr>
            <w:r>
              <w:rPr>
                <w:rFonts w:ascii="Arial" w:cs="Arial" w:eastAsia="Arial" w:hAnsi="Arial"/>
                <w:sz w:val="9"/>
                <w:szCs w:val="9"/>
                <w:color w:val="auto"/>
              </w:rPr>
              <w:t>Grand</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1956/2006</w:t>
            </w:r>
          </w:p>
        </w:tc>
        <w:tc>
          <w:tcPr>
            <w:tcW w:w="1000" w:type="dxa"/>
            <w:vAlign w:val="bottom"/>
            <w:gridSpan w:val="3"/>
            <w:shd w:val="clear" w:color="auto" w:fill="CCEEFF"/>
          </w:tcPr>
          <w:p>
            <w:pPr>
              <w:ind w:left="80"/>
              <w:spacing w:after="0" w:line="102" w:lineRule="exact"/>
              <w:rPr>
                <w:sz w:val="20"/>
                <w:szCs w:val="20"/>
                <w:color w:val="auto"/>
              </w:rPr>
            </w:pPr>
            <w:r>
              <w:rPr>
                <w:rFonts w:ascii="Arial" w:cs="Arial" w:eastAsia="Arial" w:hAnsi="Arial"/>
                <w:sz w:val="9"/>
                <w:szCs w:val="9"/>
                <w:color w:val="auto"/>
              </w:rPr>
              <w:t>Central North</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921,000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90.5</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38,294,568</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50.18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31.41</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Borders>
              <w:bottom w:val="single" w:sz="8" w:color="CCEEFF"/>
            </w:tcBorders>
          </w:tcPr>
          <w:p>
            <w:pPr>
              <w:spacing w:after="0" w:line="95" w:lineRule="exact"/>
              <w:rPr>
                <w:sz w:val="20"/>
                <w:szCs w:val="20"/>
                <w:color w:val="auto"/>
              </w:rPr>
            </w:pPr>
            <w:r>
              <w:rPr>
                <w:rFonts w:ascii="Arial" w:cs="Arial" w:eastAsia="Arial" w:hAnsi="Arial"/>
                <w:sz w:val="9"/>
                <w:szCs w:val="9"/>
                <w:color w:val="auto"/>
                <w:w w:val="79"/>
              </w:rPr>
              <w:t>609</w:t>
            </w:r>
          </w:p>
        </w:tc>
        <w:tc>
          <w:tcPr>
            <w:tcW w:w="2240" w:type="dxa"/>
            <w:vAlign w:val="bottom"/>
            <w:tcBorders>
              <w:bottom w:val="single" w:sz="8" w:color="CCEEFF"/>
            </w:tcBorders>
            <w:gridSpan w:val="2"/>
          </w:tcPr>
          <w:p>
            <w:pPr>
              <w:spacing w:after="0" w:line="95" w:lineRule="exact"/>
              <w:rPr>
                <w:sz w:val="20"/>
                <w:szCs w:val="20"/>
                <w:color w:val="auto"/>
              </w:rPr>
            </w:pPr>
            <w:r>
              <w:rPr>
                <w:rFonts w:ascii="Arial" w:cs="Arial" w:eastAsia="Arial" w:hAnsi="Arial"/>
                <w:sz w:val="9"/>
                <w:szCs w:val="9"/>
                <w:color w:val="auto"/>
              </w:rPr>
              <w:t>Fifth Ave</w:t>
            </w:r>
          </w:p>
        </w:tc>
        <w:tc>
          <w:tcPr>
            <w:tcW w:w="800" w:type="dxa"/>
            <w:vAlign w:val="bottom"/>
            <w:tcBorders>
              <w:bottom w:val="single" w:sz="8" w:color="CCEEFF"/>
            </w:tcBorders>
          </w:tcPr>
          <w:p>
            <w:pPr>
              <w:jc w:val="right"/>
              <w:spacing w:after="0" w:line="95" w:lineRule="exact"/>
              <w:rPr>
                <w:sz w:val="20"/>
                <w:szCs w:val="20"/>
                <w:color w:val="auto"/>
              </w:rPr>
            </w:pPr>
            <w:r>
              <w:rPr>
                <w:rFonts w:ascii="Arial" w:cs="Arial" w:eastAsia="Arial" w:hAnsi="Arial"/>
                <w:sz w:val="9"/>
                <w:szCs w:val="9"/>
                <w:color w:val="auto"/>
              </w:rPr>
              <w:t>1925/1990</w:t>
            </w:r>
          </w:p>
        </w:tc>
        <w:tc>
          <w:tcPr>
            <w:tcW w:w="1000" w:type="dxa"/>
            <w:vAlign w:val="bottom"/>
            <w:tcBorders>
              <w:bottom w:val="single" w:sz="8" w:color="CCEEFF"/>
            </w:tcBorders>
            <w:gridSpan w:val="3"/>
          </w:tcPr>
          <w:p>
            <w:pPr>
              <w:ind w:left="80"/>
              <w:spacing w:after="0" w:line="95" w:lineRule="exact"/>
              <w:rPr>
                <w:sz w:val="20"/>
                <w:szCs w:val="20"/>
                <w:color w:val="auto"/>
              </w:rPr>
            </w:pPr>
            <w:r>
              <w:rPr>
                <w:rFonts w:ascii="Arial" w:cs="Arial" w:eastAsia="Arial" w:hAnsi="Arial"/>
                <w:sz w:val="9"/>
                <w:szCs w:val="9"/>
                <w:color w:val="auto"/>
              </w:rPr>
              <w:t>Midtown</w:t>
            </w:r>
          </w:p>
        </w:tc>
        <w:tc>
          <w:tcPr>
            <w:tcW w:w="82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9"/>
                <w:szCs w:val="9"/>
                <w:color w:val="auto"/>
              </w:rPr>
              <w:t>160,000</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9"/>
                <w:szCs w:val="9"/>
                <w:color w:val="auto"/>
              </w:rPr>
              <w:t>98.8</w:t>
            </w:r>
          </w:p>
        </w:tc>
        <w:tc>
          <w:tcPr>
            <w:tcW w:w="8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9"/>
                <w:szCs w:val="9"/>
                <w:color w:val="auto"/>
              </w:rPr>
              <w:t>12,604,404</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9"/>
                <w:szCs w:val="9"/>
                <w:color w:val="auto"/>
              </w:rPr>
              <w:t>22</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9"/>
                <w:szCs w:val="9"/>
                <w:color w:val="auto"/>
              </w:rPr>
              <w:t>81.26</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9"/>
                <w:szCs w:val="9"/>
                <w:color w:val="auto"/>
              </w:rPr>
              <w:t>72.36</w:t>
            </w:r>
          </w:p>
        </w:tc>
        <w:tc>
          <w:tcPr>
            <w:tcW w:w="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38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Subtotal / Weighted Average (11)</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1,732,000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9</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93.7</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74,928,096</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12</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176</w:t>
            </w:r>
          </w:p>
        </w:tc>
        <w:tc>
          <w:tcPr>
            <w:tcW w:w="80" w:type="dxa"/>
            <w:vAlign w:val="bottom"/>
          </w:tcPr>
          <w:p>
            <w:pPr>
              <w:spacing w:after="0"/>
              <w:rPr>
                <w:sz w:val="8"/>
                <w:szCs w:val="8"/>
                <w:color w:val="auto"/>
              </w:rPr>
            </w:pPr>
          </w:p>
        </w:tc>
        <w:tc>
          <w:tcPr>
            <w:tcW w:w="80" w:type="dxa"/>
            <w:vAlign w:val="bottom"/>
          </w:tcPr>
          <w:p>
            <w:pPr>
              <w:jc w:val="right"/>
              <w:ind w:right="18"/>
              <w:spacing w:after="0"/>
              <w:rPr>
                <w:sz w:val="20"/>
                <w:szCs w:val="20"/>
                <w:color w:val="auto"/>
              </w:rPr>
            </w:pPr>
            <w:r>
              <w:rPr>
                <w:rFonts w:ascii="Arial" w:cs="Arial" w:eastAsia="Arial" w:hAnsi="Arial"/>
                <w:sz w:val="4"/>
                <w:szCs w:val="4"/>
                <w:b w:val="1"/>
                <w:bCs w:val="1"/>
                <w:color w:val="auto"/>
                <w:w w:val="87"/>
              </w:rPr>
              <w:t>$</w:t>
            </w:r>
          </w:p>
        </w:tc>
        <w:tc>
          <w:tcPr>
            <w:tcW w:w="74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49.21</w:t>
            </w:r>
          </w:p>
        </w:tc>
        <w:tc>
          <w:tcPr>
            <w:tcW w:w="160" w:type="dxa"/>
            <w:vAlign w:val="bottom"/>
            <w:gridSpan w:val="2"/>
          </w:tcPr>
          <w:p>
            <w:pPr>
              <w:jc w:val="right"/>
              <w:spacing w:after="0" w:line="95" w:lineRule="exact"/>
              <w:rPr>
                <w:sz w:val="20"/>
                <w:szCs w:val="20"/>
                <w:color w:val="auto"/>
              </w:rPr>
            </w:pPr>
            <w:r>
              <w:rPr>
                <w:rFonts w:ascii="Arial" w:cs="Arial" w:eastAsia="Arial" w:hAnsi="Arial"/>
                <w:sz w:val="9"/>
                <w:szCs w:val="9"/>
                <w:b w:val="1"/>
                <w:bCs w:val="1"/>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32.78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320" w:type="dxa"/>
            <w:vAlign w:val="bottom"/>
            <w:gridSpan w:val="3"/>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3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380" w:type="dxa"/>
            <w:vAlign w:val="bottom"/>
            <w:tcBorders>
              <w:bottom w:val="single" w:sz="8" w:color="CCEEFF"/>
            </w:tcBorders>
            <w:gridSpan w:val="3"/>
            <w:shd w:val="clear" w:color="auto" w:fill="CCEEFF"/>
          </w:tcPr>
          <w:p>
            <w:pPr>
              <w:spacing w:after="0" w:line="95" w:lineRule="exact"/>
              <w:rPr>
                <w:sz w:val="20"/>
                <w:szCs w:val="20"/>
                <w:color w:val="auto"/>
              </w:rPr>
            </w:pPr>
            <w:r>
              <w:rPr>
                <w:rFonts w:ascii="Arial" w:cs="Arial" w:eastAsia="Arial" w:hAnsi="Arial"/>
                <w:sz w:val="9"/>
                <w:szCs w:val="9"/>
                <w:b w:val="1"/>
                <w:bCs w:val="1"/>
                <w:color w:val="auto"/>
              </w:rPr>
              <w:t>Total / Weighted Average Properties 100% Owned</w:t>
            </w:r>
          </w:p>
        </w:tc>
        <w:tc>
          <w:tcPr>
            <w:tcW w:w="8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10,086,000</w:t>
            </w:r>
          </w:p>
        </w:tc>
        <w:tc>
          <w:tcPr>
            <w:tcW w:w="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53</w:t>
            </w:r>
          </w:p>
        </w:tc>
        <w:tc>
          <w:tcPr>
            <w:tcW w:w="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96.9</w:t>
            </w:r>
          </w:p>
        </w:tc>
        <w:tc>
          <w:tcPr>
            <w:tcW w:w="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417,576,372</w:t>
            </w:r>
          </w:p>
        </w:tc>
        <w:tc>
          <w:tcPr>
            <w:tcW w:w="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66</w:t>
            </w:r>
          </w:p>
        </w:tc>
        <w:tc>
          <w:tcPr>
            <w:tcW w:w="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810</w:t>
            </w:r>
          </w:p>
        </w:tc>
        <w:tc>
          <w:tcPr>
            <w:tcW w:w="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4"/>
                <w:szCs w:val="4"/>
                <w:b w:val="1"/>
                <w:bCs w:val="1"/>
                <w:color w:val="auto"/>
                <w:w w:val="87"/>
              </w:rPr>
              <w:t>$</w:t>
            </w:r>
          </w:p>
        </w:tc>
        <w:tc>
          <w:tcPr>
            <w:tcW w:w="7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41.44</w:t>
            </w:r>
          </w:p>
        </w:tc>
        <w:tc>
          <w:tcPr>
            <w:tcW w:w="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w w:val="78"/>
              </w:rPr>
              <w:t>$</w:t>
            </w:r>
          </w:p>
        </w:tc>
        <w:tc>
          <w:tcPr>
            <w:tcW w:w="76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34.07</w:t>
            </w:r>
          </w:p>
        </w:tc>
        <w:tc>
          <w:tcPr>
            <w:tcW w:w="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300" w:type="dxa"/>
            <w:vAlign w:val="bottom"/>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380" w:type="dxa"/>
            <w:vAlign w:val="bottom"/>
            <w:gridSpan w:val="3"/>
          </w:tcPr>
          <w:p>
            <w:pPr>
              <w:spacing w:after="0" w:line="95" w:lineRule="exact"/>
              <w:rPr>
                <w:sz w:val="20"/>
                <w:szCs w:val="20"/>
                <w:color w:val="auto"/>
              </w:rPr>
            </w:pPr>
            <w:r>
              <w:rPr>
                <w:rFonts w:ascii="Arial" w:cs="Arial" w:eastAsia="Arial" w:hAnsi="Arial"/>
                <w:sz w:val="9"/>
                <w:szCs w:val="9"/>
                <w:color w:val="auto"/>
              </w:rPr>
              <w:t>PROPERTIES &lt; 100% OWNED (Unconsolidated)</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gridSpan w:val="4"/>
            <w:shd w:val="clear" w:color="auto" w:fill="CCEEFF"/>
          </w:tcPr>
          <w:p>
            <w:pPr>
              <w:spacing w:after="0" w:line="95" w:lineRule="exact"/>
              <w:rPr>
                <w:sz w:val="20"/>
                <w:szCs w:val="20"/>
                <w:color w:val="auto"/>
              </w:rPr>
            </w:pPr>
            <w:r>
              <w:rPr>
                <w:rFonts w:ascii="Arial" w:cs="Arial" w:eastAsia="Arial" w:hAnsi="Arial"/>
                <w:sz w:val="9"/>
                <w:szCs w:val="9"/>
                <w:color w:val="auto"/>
              </w:rPr>
              <w:t>“Same Store”</w:t>
            </w: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gridSpan w:val="4"/>
          </w:tcPr>
          <w:p>
            <w:pPr>
              <w:spacing w:after="0" w:line="95" w:lineRule="exact"/>
              <w:rPr>
                <w:sz w:val="20"/>
                <w:szCs w:val="20"/>
                <w:color w:val="auto"/>
              </w:rPr>
            </w:pPr>
            <w:r>
              <w:rPr>
                <w:rFonts w:ascii="Arial" w:cs="Arial" w:eastAsia="Arial" w:hAnsi="Arial"/>
                <w:sz w:val="9"/>
                <w:szCs w:val="9"/>
                <w:color w:val="auto"/>
              </w:rPr>
              <w:t>One Park Avenue (a) (15)</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1925/1986</w:t>
            </w:r>
          </w:p>
        </w:tc>
        <w:tc>
          <w:tcPr>
            <w:tcW w:w="1000" w:type="dxa"/>
            <w:vAlign w:val="bottom"/>
            <w:gridSpan w:val="3"/>
          </w:tcPr>
          <w:p>
            <w:pPr>
              <w:ind w:left="80"/>
              <w:spacing w:after="0" w:line="95" w:lineRule="exact"/>
              <w:rPr>
                <w:sz w:val="20"/>
                <w:szCs w:val="20"/>
                <w:color w:val="auto"/>
              </w:rPr>
            </w:pPr>
            <w:r>
              <w:rPr>
                <w:rFonts w:ascii="Arial" w:cs="Arial" w:eastAsia="Arial" w:hAnsi="Arial"/>
                <w:sz w:val="9"/>
                <w:szCs w:val="9"/>
                <w:color w:val="auto"/>
              </w:rPr>
              <w:t>Grand Central</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913,000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5</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97.8</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color w:val="auto"/>
              </w:rPr>
              <w:t>36,138,480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19</w:t>
            </w:r>
          </w:p>
        </w:tc>
        <w:tc>
          <w:tcPr>
            <w:tcW w:w="80" w:type="dxa"/>
            <w:vAlign w:val="bottom"/>
          </w:tcPr>
          <w:p>
            <w:pPr>
              <w:spacing w:after="0"/>
              <w:rPr>
                <w:sz w:val="8"/>
                <w:szCs w:val="8"/>
                <w:color w:val="auto"/>
              </w:rPr>
            </w:pP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40.13</w:t>
            </w:r>
          </w:p>
        </w:tc>
        <w:tc>
          <w:tcPr>
            <w:tcW w:w="160" w:type="dxa"/>
            <w:vAlign w:val="bottom"/>
            <w:gridSpan w:val="2"/>
          </w:tcPr>
          <w:p>
            <w:pPr>
              <w:jc w:val="right"/>
              <w:spacing w:after="0" w:line="95"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28.91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gridSpan w:val="4"/>
            <w:shd w:val="clear" w:color="auto" w:fill="CCEEFF"/>
          </w:tcPr>
          <w:p>
            <w:pPr>
              <w:spacing w:after="0" w:line="95" w:lineRule="exact"/>
              <w:rPr>
                <w:sz w:val="20"/>
                <w:szCs w:val="20"/>
                <w:color w:val="auto"/>
              </w:rPr>
            </w:pPr>
            <w:r>
              <w:rPr>
                <w:rFonts w:ascii="Arial" w:cs="Arial" w:eastAsia="Arial" w:hAnsi="Arial"/>
                <w:sz w:val="9"/>
                <w:szCs w:val="9"/>
                <w:color w:val="auto"/>
              </w:rPr>
              <w:t>1250 Broadway (6) (12)</w:t>
            </w:r>
          </w:p>
        </w:tc>
        <w:tc>
          <w:tcPr>
            <w:tcW w:w="8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1968/2001</w:t>
            </w:r>
          </w:p>
        </w:tc>
        <w:tc>
          <w:tcPr>
            <w:tcW w:w="1000" w:type="dxa"/>
            <w:vAlign w:val="bottom"/>
            <w:gridSpan w:val="3"/>
            <w:shd w:val="clear" w:color="auto" w:fill="CCEEFF"/>
          </w:tcPr>
          <w:p>
            <w:pPr>
              <w:ind w:left="80"/>
              <w:spacing w:after="0" w:line="95" w:lineRule="exact"/>
              <w:rPr>
                <w:sz w:val="20"/>
                <w:szCs w:val="20"/>
                <w:color w:val="auto"/>
              </w:rPr>
            </w:pPr>
            <w:r>
              <w:rPr>
                <w:rFonts w:ascii="Arial" w:cs="Arial" w:eastAsia="Arial" w:hAnsi="Arial"/>
                <w:sz w:val="9"/>
                <w:szCs w:val="9"/>
                <w:color w:val="auto"/>
              </w:rPr>
              <w:t>Penn Station</w:t>
            </w: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670,000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98.6</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25,368,036</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36.16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26.59</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gridSpan w:val="4"/>
          </w:tcPr>
          <w:p>
            <w:pPr>
              <w:spacing w:after="0" w:line="95" w:lineRule="exact"/>
              <w:rPr>
                <w:sz w:val="20"/>
                <w:szCs w:val="20"/>
                <w:color w:val="auto"/>
              </w:rPr>
            </w:pPr>
            <w:r>
              <w:rPr>
                <w:rFonts w:ascii="Arial" w:cs="Arial" w:eastAsia="Arial" w:hAnsi="Arial"/>
                <w:sz w:val="9"/>
                <w:szCs w:val="9"/>
                <w:color w:val="auto"/>
              </w:rPr>
              <w:t>1515 Broadway (6) (13)</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1972</w:t>
            </w:r>
          </w:p>
        </w:tc>
        <w:tc>
          <w:tcPr>
            <w:tcW w:w="1000" w:type="dxa"/>
            <w:vAlign w:val="bottom"/>
            <w:gridSpan w:val="3"/>
          </w:tcPr>
          <w:p>
            <w:pPr>
              <w:ind w:left="80"/>
              <w:spacing w:after="0" w:line="95" w:lineRule="exact"/>
              <w:rPr>
                <w:sz w:val="20"/>
                <w:szCs w:val="20"/>
                <w:color w:val="auto"/>
              </w:rPr>
            </w:pPr>
            <w:r>
              <w:rPr>
                <w:rFonts w:ascii="Arial" w:cs="Arial" w:eastAsia="Arial" w:hAnsi="Arial"/>
                <w:sz w:val="9"/>
                <w:szCs w:val="9"/>
                <w:color w:val="auto"/>
              </w:rPr>
              <w:t>Times Square</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1,750,000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9</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99.0</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color w:val="auto"/>
              </w:rPr>
              <w:t>84,846,420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9</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9</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50.21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39.27</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4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79"/>
              </w:rPr>
              <w:t>100</w:t>
            </w:r>
          </w:p>
        </w:tc>
        <w:tc>
          <w:tcPr>
            <w:tcW w:w="2240" w:type="dxa"/>
            <w:vAlign w:val="bottom"/>
            <w:gridSpan w:val="2"/>
            <w:shd w:val="clear" w:color="auto" w:fill="CCEEFF"/>
          </w:tcPr>
          <w:p>
            <w:pPr>
              <w:spacing w:after="0" w:line="88" w:lineRule="exact"/>
              <w:rPr>
                <w:sz w:val="20"/>
                <w:szCs w:val="20"/>
                <w:color w:val="auto"/>
              </w:rPr>
            </w:pPr>
            <w:r>
              <w:rPr>
                <w:rFonts w:ascii="Arial" w:cs="Arial" w:eastAsia="Arial" w:hAnsi="Arial"/>
                <w:sz w:val="9"/>
                <w:szCs w:val="9"/>
                <w:color w:val="auto"/>
              </w:rPr>
              <w:t>Park Avenue (14)</w:t>
            </w:r>
          </w:p>
        </w:tc>
        <w:tc>
          <w:tcPr>
            <w:tcW w:w="80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80"/>
              <w:spacing w:after="0" w:line="88" w:lineRule="exact"/>
              <w:rPr>
                <w:sz w:val="20"/>
                <w:szCs w:val="20"/>
                <w:color w:val="auto"/>
              </w:rPr>
            </w:pPr>
            <w:r>
              <w:rPr>
                <w:rFonts w:ascii="Arial" w:cs="Arial" w:eastAsia="Arial" w:hAnsi="Arial"/>
                <w:sz w:val="9"/>
                <w:szCs w:val="9"/>
                <w:color w:val="auto"/>
              </w:rPr>
              <w:t>Grand</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1950/1980</w:t>
            </w:r>
          </w:p>
        </w:tc>
        <w:tc>
          <w:tcPr>
            <w:tcW w:w="1000" w:type="dxa"/>
            <w:vAlign w:val="bottom"/>
            <w:gridSpan w:val="3"/>
            <w:shd w:val="clear" w:color="auto" w:fill="CCEEFF"/>
          </w:tcPr>
          <w:p>
            <w:pPr>
              <w:ind w:left="80"/>
              <w:spacing w:after="0" w:line="102" w:lineRule="exact"/>
              <w:rPr>
                <w:sz w:val="20"/>
                <w:szCs w:val="20"/>
                <w:color w:val="auto"/>
              </w:rPr>
            </w:pPr>
            <w:r>
              <w:rPr>
                <w:rFonts w:ascii="Arial" w:cs="Arial" w:eastAsia="Arial" w:hAnsi="Arial"/>
                <w:sz w:val="9"/>
                <w:szCs w:val="9"/>
                <w:color w:val="auto"/>
              </w:rPr>
              <w:t>Central South</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834,000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92.1</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33,872,520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44.09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31.55</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80" w:type="dxa"/>
            <w:vAlign w:val="bottom"/>
            <w:gridSpan w:val="3"/>
          </w:tcPr>
          <w:p>
            <w:pPr>
              <w:spacing w:after="0" w:line="88" w:lineRule="exact"/>
              <w:rPr>
                <w:sz w:val="20"/>
                <w:szCs w:val="20"/>
                <w:color w:val="auto"/>
              </w:rPr>
            </w:pPr>
            <w:r>
              <w:rPr>
                <w:rFonts w:ascii="Arial" w:cs="Arial" w:eastAsia="Arial" w:hAnsi="Arial"/>
                <w:sz w:val="9"/>
                <w:szCs w:val="9"/>
                <w:color w:val="auto"/>
              </w:rPr>
              <w:t>1221 Avenue of the Americas (16)</w:t>
            </w:r>
          </w:p>
        </w:tc>
        <w:tc>
          <w:tcPr>
            <w:tcW w:w="800" w:type="dxa"/>
            <w:vAlign w:val="bottom"/>
          </w:tcPr>
          <w:p>
            <w:pPr>
              <w:spacing w:after="0"/>
              <w:rPr>
                <w:sz w:val="7"/>
                <w:szCs w:val="7"/>
                <w:color w:val="auto"/>
              </w:rPr>
            </w:pPr>
          </w:p>
        </w:tc>
        <w:tc>
          <w:tcPr>
            <w:tcW w:w="1000" w:type="dxa"/>
            <w:vAlign w:val="bottom"/>
            <w:gridSpan w:val="3"/>
          </w:tcPr>
          <w:p>
            <w:pPr>
              <w:ind w:left="80"/>
              <w:spacing w:after="0" w:line="88" w:lineRule="exact"/>
              <w:rPr>
                <w:sz w:val="20"/>
                <w:szCs w:val="20"/>
                <w:color w:val="auto"/>
              </w:rPr>
            </w:pPr>
            <w:r>
              <w:rPr>
                <w:rFonts w:ascii="Arial" w:cs="Arial" w:eastAsia="Arial" w:hAnsi="Arial"/>
                <w:sz w:val="9"/>
                <w:szCs w:val="9"/>
                <w:color w:val="auto"/>
              </w:rPr>
              <w:t>Rockefeller</w:t>
            </w: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1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jc w:val="right"/>
              <w:spacing w:after="0" w:line="102" w:lineRule="exact"/>
              <w:rPr>
                <w:sz w:val="20"/>
                <w:szCs w:val="20"/>
                <w:color w:val="auto"/>
              </w:rPr>
            </w:pPr>
            <w:r>
              <w:rPr>
                <w:rFonts w:ascii="Arial" w:cs="Arial" w:eastAsia="Arial" w:hAnsi="Arial"/>
                <w:sz w:val="9"/>
                <w:szCs w:val="9"/>
                <w:color w:val="auto"/>
              </w:rPr>
              <w:t>1971/1997</w:t>
            </w:r>
          </w:p>
        </w:tc>
        <w:tc>
          <w:tcPr>
            <w:tcW w:w="1000" w:type="dxa"/>
            <w:vAlign w:val="bottom"/>
            <w:tcBorders>
              <w:bottom w:val="single" w:sz="8" w:color="CCEEFF"/>
            </w:tcBorders>
            <w:gridSpan w:val="3"/>
          </w:tcPr>
          <w:p>
            <w:pPr>
              <w:ind w:left="80"/>
              <w:spacing w:after="0" w:line="102" w:lineRule="exact"/>
              <w:rPr>
                <w:sz w:val="20"/>
                <w:szCs w:val="20"/>
                <w:color w:val="auto"/>
              </w:rPr>
            </w:pPr>
            <w:r>
              <w:rPr>
                <w:rFonts w:ascii="Arial" w:cs="Arial" w:eastAsia="Arial" w:hAnsi="Arial"/>
                <w:sz w:val="9"/>
                <w:szCs w:val="9"/>
                <w:color w:val="auto"/>
              </w:rPr>
              <w:t>Center</w:t>
            </w: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2,550,000</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14</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97.3</w:t>
            </w:r>
          </w:p>
        </w:tc>
        <w:tc>
          <w:tcPr>
            <w:tcW w:w="8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140,038,668</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10</w:t>
            </w:r>
          </w:p>
        </w:tc>
        <w:tc>
          <w:tcPr>
            <w:tcW w:w="8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25</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57.25</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51.73</w:t>
            </w:r>
          </w:p>
        </w:tc>
        <w:tc>
          <w:tcPr>
            <w:tcW w:w="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38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Subtotal / Weighted Average</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6,717,000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36</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97.3</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320,264,124</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26</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123</w:t>
            </w:r>
          </w:p>
        </w:tc>
        <w:tc>
          <w:tcPr>
            <w:tcW w:w="80" w:type="dxa"/>
            <w:vAlign w:val="bottom"/>
          </w:tcPr>
          <w:p>
            <w:pPr>
              <w:spacing w:after="0"/>
              <w:rPr>
                <w:sz w:val="8"/>
                <w:szCs w:val="8"/>
                <w:color w:val="auto"/>
              </w:rPr>
            </w:pPr>
          </w:p>
        </w:tc>
        <w:tc>
          <w:tcPr>
            <w:tcW w:w="80" w:type="dxa"/>
            <w:vAlign w:val="bottom"/>
          </w:tcPr>
          <w:p>
            <w:pPr>
              <w:jc w:val="right"/>
              <w:ind w:right="18"/>
              <w:spacing w:after="0"/>
              <w:rPr>
                <w:sz w:val="20"/>
                <w:szCs w:val="20"/>
                <w:color w:val="auto"/>
              </w:rPr>
            </w:pPr>
            <w:r>
              <w:rPr>
                <w:rFonts w:ascii="Arial" w:cs="Arial" w:eastAsia="Arial" w:hAnsi="Arial"/>
                <w:sz w:val="4"/>
                <w:szCs w:val="4"/>
                <w:b w:val="1"/>
                <w:bCs w:val="1"/>
                <w:color w:val="auto"/>
                <w:w w:val="87"/>
              </w:rPr>
              <w:t>$</w:t>
            </w:r>
          </w:p>
        </w:tc>
        <w:tc>
          <w:tcPr>
            <w:tcW w:w="74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49.23</w:t>
            </w:r>
          </w:p>
        </w:tc>
        <w:tc>
          <w:tcPr>
            <w:tcW w:w="160" w:type="dxa"/>
            <w:vAlign w:val="bottom"/>
            <w:gridSpan w:val="2"/>
          </w:tcPr>
          <w:p>
            <w:pPr>
              <w:jc w:val="right"/>
              <w:spacing w:after="0" w:line="95" w:lineRule="exact"/>
              <w:rPr>
                <w:sz w:val="20"/>
                <w:szCs w:val="20"/>
                <w:color w:val="auto"/>
              </w:rPr>
            </w:pPr>
            <w:r>
              <w:rPr>
                <w:rFonts w:ascii="Arial" w:cs="Arial" w:eastAsia="Arial" w:hAnsi="Arial"/>
                <w:sz w:val="9"/>
                <w:szCs w:val="9"/>
                <w:b w:val="1"/>
                <w:bCs w:val="1"/>
                <w:color w:val="auto"/>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38.98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320" w:type="dxa"/>
            <w:vAlign w:val="bottom"/>
            <w:gridSpan w:val="3"/>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gridSpan w:val="4"/>
          </w:tcPr>
          <w:p>
            <w:pPr>
              <w:spacing w:after="0" w:line="95" w:lineRule="exact"/>
              <w:rPr>
                <w:sz w:val="20"/>
                <w:szCs w:val="20"/>
                <w:color w:val="auto"/>
              </w:rPr>
            </w:pPr>
            <w:r>
              <w:rPr>
                <w:rFonts w:ascii="Arial" w:cs="Arial" w:eastAsia="Arial" w:hAnsi="Arial"/>
                <w:sz w:val="9"/>
                <w:szCs w:val="9"/>
                <w:color w:val="auto"/>
              </w:rPr>
              <w:t>ADJUSTMENTS</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w w:val="92"/>
              </w:rPr>
              <w:t>521</w:t>
            </w:r>
          </w:p>
        </w:tc>
        <w:tc>
          <w:tcPr>
            <w:tcW w:w="224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Fifth Avenue (21)</w:t>
            </w:r>
          </w:p>
        </w:tc>
        <w:tc>
          <w:tcPr>
            <w:tcW w:w="8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1929/2000</w:t>
            </w:r>
          </w:p>
        </w:tc>
        <w:tc>
          <w:tcPr>
            <w:tcW w:w="1000" w:type="dxa"/>
            <w:vAlign w:val="bottom"/>
            <w:gridSpan w:val="3"/>
            <w:shd w:val="clear" w:color="auto" w:fill="CCEEFF"/>
          </w:tcPr>
          <w:p>
            <w:pPr>
              <w:ind w:left="80"/>
              <w:spacing w:after="0" w:line="95" w:lineRule="exact"/>
              <w:rPr>
                <w:sz w:val="20"/>
                <w:szCs w:val="20"/>
                <w:color w:val="auto"/>
              </w:rPr>
            </w:pPr>
            <w:r>
              <w:rPr>
                <w:rFonts w:ascii="Arial" w:cs="Arial" w:eastAsia="Arial" w:hAnsi="Arial"/>
                <w:sz w:val="9"/>
                <w:szCs w:val="9"/>
                <w:color w:val="auto"/>
              </w:rPr>
              <w:t>Midtown</w:t>
            </w: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460,000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90.4</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17,608,128</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51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41.82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35.24</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60" w:type="dxa"/>
            <w:vAlign w:val="bottom"/>
            <w:gridSpan w:val="2"/>
          </w:tcPr>
          <w:p>
            <w:pPr>
              <w:spacing w:after="0" w:line="88" w:lineRule="exact"/>
              <w:rPr>
                <w:sz w:val="20"/>
                <w:szCs w:val="20"/>
                <w:color w:val="auto"/>
              </w:rPr>
            </w:pPr>
            <w:r>
              <w:rPr>
                <w:rFonts w:ascii="Arial" w:cs="Arial" w:eastAsia="Arial" w:hAnsi="Arial"/>
                <w:sz w:val="9"/>
                <w:szCs w:val="9"/>
                <w:color w:val="auto"/>
                <w:w w:val="92"/>
              </w:rPr>
              <w:t>800</w:t>
            </w:r>
          </w:p>
        </w:tc>
        <w:tc>
          <w:tcPr>
            <w:tcW w:w="2240" w:type="dxa"/>
            <w:vAlign w:val="bottom"/>
            <w:gridSpan w:val="2"/>
          </w:tcPr>
          <w:p>
            <w:pPr>
              <w:spacing w:after="0" w:line="88" w:lineRule="exact"/>
              <w:rPr>
                <w:sz w:val="20"/>
                <w:szCs w:val="20"/>
                <w:color w:val="auto"/>
              </w:rPr>
            </w:pPr>
            <w:r>
              <w:rPr>
                <w:rFonts w:ascii="Arial" w:cs="Arial" w:eastAsia="Arial" w:hAnsi="Arial"/>
                <w:sz w:val="9"/>
                <w:szCs w:val="9"/>
                <w:color w:val="auto"/>
              </w:rPr>
              <w:t>Third Avenue (22)</w:t>
            </w:r>
          </w:p>
        </w:tc>
        <w:tc>
          <w:tcPr>
            <w:tcW w:w="800" w:type="dxa"/>
            <w:vAlign w:val="bottom"/>
          </w:tcPr>
          <w:p>
            <w:pPr>
              <w:spacing w:after="0"/>
              <w:rPr>
                <w:sz w:val="7"/>
                <w:szCs w:val="7"/>
                <w:color w:val="auto"/>
              </w:rPr>
            </w:pPr>
          </w:p>
        </w:tc>
        <w:tc>
          <w:tcPr>
            <w:tcW w:w="1000" w:type="dxa"/>
            <w:vAlign w:val="bottom"/>
            <w:gridSpan w:val="3"/>
          </w:tcPr>
          <w:p>
            <w:pPr>
              <w:ind w:left="80"/>
              <w:spacing w:after="0" w:line="88" w:lineRule="exact"/>
              <w:rPr>
                <w:sz w:val="20"/>
                <w:szCs w:val="20"/>
                <w:color w:val="auto"/>
              </w:rPr>
            </w:pPr>
            <w:r>
              <w:rPr>
                <w:rFonts w:ascii="Arial" w:cs="Arial" w:eastAsia="Arial" w:hAnsi="Arial"/>
                <w:sz w:val="9"/>
                <w:szCs w:val="9"/>
                <w:color w:val="auto"/>
              </w:rPr>
              <w:t>Grand</w:t>
            </w: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9"/>
                <w:szCs w:val="9"/>
                <w:color w:val="auto"/>
              </w:rPr>
              <w:t>1972/2006</w:t>
            </w:r>
          </w:p>
        </w:tc>
        <w:tc>
          <w:tcPr>
            <w:tcW w:w="1000" w:type="dxa"/>
            <w:vAlign w:val="bottom"/>
            <w:gridSpan w:val="3"/>
          </w:tcPr>
          <w:p>
            <w:pPr>
              <w:ind w:left="80"/>
              <w:spacing w:after="0" w:line="102" w:lineRule="exact"/>
              <w:rPr>
                <w:sz w:val="20"/>
                <w:szCs w:val="20"/>
                <w:color w:val="auto"/>
              </w:rPr>
            </w:pPr>
            <w:r>
              <w:rPr>
                <w:rFonts w:ascii="Arial" w:cs="Arial" w:eastAsia="Arial" w:hAnsi="Arial"/>
                <w:sz w:val="9"/>
                <w:szCs w:val="9"/>
                <w:color w:val="auto"/>
              </w:rPr>
              <w:t>Central North</w:t>
            </w: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526,000</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96.9</w:t>
            </w:r>
          </w:p>
        </w:tc>
        <w:tc>
          <w:tcPr>
            <w:tcW w:w="80" w:type="dxa"/>
            <w:vAlign w:val="bottom"/>
          </w:tcPr>
          <w:p>
            <w:pPr>
              <w:spacing w:after="0"/>
              <w:rPr>
                <w:sz w:val="8"/>
                <w:szCs w:val="8"/>
                <w:color w:val="auto"/>
              </w:rPr>
            </w:pPr>
          </w:p>
        </w:tc>
        <w:tc>
          <w:tcPr>
            <w:tcW w:w="840" w:type="dxa"/>
            <w:vAlign w:val="bottom"/>
          </w:tcPr>
          <w:p>
            <w:pPr>
              <w:jc w:val="right"/>
              <w:spacing w:after="0" w:line="102" w:lineRule="exact"/>
              <w:rPr>
                <w:sz w:val="20"/>
                <w:szCs w:val="20"/>
                <w:color w:val="auto"/>
              </w:rPr>
            </w:pPr>
            <w:r>
              <w:rPr>
                <w:rFonts w:ascii="Arial" w:cs="Arial" w:eastAsia="Arial" w:hAnsi="Arial"/>
                <w:sz w:val="9"/>
                <w:szCs w:val="9"/>
                <w:color w:val="auto"/>
              </w:rPr>
              <w:t>25,130,040</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25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102" w:lineRule="exact"/>
              <w:rPr>
                <w:sz w:val="20"/>
                <w:szCs w:val="20"/>
                <w:color w:val="auto"/>
              </w:rPr>
            </w:pPr>
            <w:r>
              <w:rPr>
                <w:rFonts w:ascii="Arial" w:cs="Arial" w:eastAsia="Arial" w:hAnsi="Arial"/>
                <w:sz w:val="9"/>
                <w:szCs w:val="9"/>
                <w:color w:val="auto"/>
              </w:rPr>
              <w:t>49.43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102" w:lineRule="exact"/>
              <w:rPr>
                <w:sz w:val="20"/>
                <w:szCs w:val="20"/>
                <w:color w:val="auto"/>
              </w:rPr>
            </w:pPr>
            <w:r>
              <w:rPr>
                <w:rFonts w:ascii="Arial" w:cs="Arial" w:eastAsia="Arial" w:hAnsi="Arial"/>
                <w:sz w:val="9"/>
                <w:szCs w:val="9"/>
                <w:color w:val="auto"/>
              </w:rPr>
              <w:t>42.02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80" w:type="dxa"/>
            <w:vAlign w:val="bottom"/>
            <w:gridSpan w:val="3"/>
            <w:shd w:val="clear" w:color="auto" w:fill="CCEEFF"/>
          </w:tcPr>
          <w:p>
            <w:pPr>
              <w:spacing w:after="0" w:line="88" w:lineRule="exact"/>
              <w:rPr>
                <w:sz w:val="20"/>
                <w:szCs w:val="20"/>
                <w:color w:val="auto"/>
              </w:rPr>
            </w:pPr>
            <w:r>
              <w:rPr>
                <w:rFonts w:ascii="Arial" w:cs="Arial" w:eastAsia="Arial" w:hAnsi="Arial"/>
                <w:sz w:val="9"/>
                <w:szCs w:val="9"/>
                <w:color w:val="auto"/>
              </w:rPr>
              <w:t>One Madison Avenue (10)</w:t>
            </w:r>
          </w:p>
        </w:tc>
        <w:tc>
          <w:tcPr>
            <w:tcW w:w="800" w:type="dxa"/>
            <w:vAlign w:val="bottom"/>
            <w:shd w:val="clear" w:color="auto" w:fill="CCEEFF"/>
          </w:tcPr>
          <w:p>
            <w:pPr>
              <w:spacing w:after="0"/>
              <w:rPr>
                <w:sz w:val="7"/>
                <w:szCs w:val="7"/>
                <w:color w:val="auto"/>
              </w:rPr>
            </w:pPr>
          </w:p>
        </w:tc>
        <w:tc>
          <w:tcPr>
            <w:tcW w:w="1000" w:type="dxa"/>
            <w:vAlign w:val="bottom"/>
            <w:gridSpan w:val="3"/>
            <w:shd w:val="clear" w:color="auto" w:fill="CCEEFF"/>
          </w:tcPr>
          <w:p>
            <w:pPr>
              <w:ind w:left="80"/>
              <w:spacing w:after="0" w:line="88" w:lineRule="exact"/>
              <w:rPr>
                <w:sz w:val="20"/>
                <w:szCs w:val="20"/>
                <w:color w:val="auto"/>
              </w:rPr>
            </w:pPr>
            <w:r>
              <w:rPr>
                <w:rFonts w:ascii="Arial" w:cs="Arial" w:eastAsia="Arial" w:hAnsi="Arial"/>
                <w:sz w:val="9"/>
                <w:szCs w:val="9"/>
                <w:color w:val="auto"/>
              </w:rPr>
              <w:t>Park</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1960/2002</w:t>
            </w:r>
          </w:p>
        </w:tc>
        <w:tc>
          <w:tcPr>
            <w:tcW w:w="1000" w:type="dxa"/>
            <w:vAlign w:val="bottom"/>
            <w:gridSpan w:val="3"/>
            <w:shd w:val="clear" w:color="auto" w:fill="CCEEFF"/>
          </w:tcPr>
          <w:p>
            <w:pPr>
              <w:ind w:left="80"/>
              <w:spacing w:after="0" w:line="102" w:lineRule="exact"/>
              <w:rPr>
                <w:sz w:val="20"/>
                <w:szCs w:val="20"/>
                <w:color w:val="auto"/>
              </w:rPr>
            </w:pPr>
            <w:r>
              <w:rPr>
                <w:rFonts w:ascii="Arial" w:cs="Arial" w:eastAsia="Arial" w:hAnsi="Arial"/>
                <w:sz w:val="9"/>
                <w:szCs w:val="9"/>
                <w:color w:val="auto"/>
              </w:rPr>
              <w:t>Avenue South</w:t>
            </w:r>
          </w:p>
        </w:tc>
        <w:tc>
          <w:tcPr>
            <w:tcW w:w="82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1,176,900</w:t>
            </w:r>
          </w:p>
        </w:tc>
        <w:tc>
          <w:tcPr>
            <w:tcW w:w="80" w:type="dxa"/>
            <w:vAlign w:val="bottom"/>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98.6</w:t>
            </w:r>
          </w:p>
        </w:tc>
        <w:tc>
          <w:tcPr>
            <w:tcW w:w="80" w:type="dxa"/>
            <w:vAlign w:val="bottom"/>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56,804,028</w:t>
            </w:r>
          </w:p>
        </w:tc>
        <w:tc>
          <w:tcPr>
            <w:tcW w:w="80" w:type="dxa"/>
            <w:vAlign w:val="bottom"/>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3</w:t>
            </w: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48.98</w:t>
            </w: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51.37</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380" w:type="dxa"/>
            <w:vAlign w:val="bottom"/>
            <w:tcBorders>
              <w:bottom w:val="single" w:sz="8" w:color="CCEEFF"/>
            </w:tcBorders>
            <w:gridSpan w:val="3"/>
            <w:shd w:val="clear" w:color="auto" w:fill="CCEEFF"/>
          </w:tcPr>
          <w:p>
            <w:pPr>
              <w:spacing w:after="0" w:line="95" w:lineRule="exact"/>
              <w:rPr>
                <w:sz w:val="20"/>
                <w:szCs w:val="20"/>
                <w:color w:val="auto"/>
              </w:rPr>
            </w:pPr>
            <w:r>
              <w:rPr>
                <w:rFonts w:ascii="Arial" w:cs="Arial" w:eastAsia="Arial" w:hAnsi="Arial"/>
                <w:sz w:val="9"/>
                <w:szCs w:val="9"/>
                <w:b w:val="1"/>
                <w:bCs w:val="1"/>
                <w:color w:val="auto"/>
              </w:rPr>
              <w:t>Subtotal / Weighted Average (17)</w:t>
            </w:r>
          </w:p>
        </w:tc>
        <w:tc>
          <w:tcPr>
            <w:tcW w:w="8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2,162,900</w:t>
            </w:r>
          </w:p>
        </w:tc>
        <w:tc>
          <w:tcPr>
            <w:tcW w:w="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11</w:t>
            </w:r>
          </w:p>
        </w:tc>
        <w:tc>
          <w:tcPr>
            <w:tcW w:w="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96.4</w:t>
            </w:r>
          </w:p>
        </w:tc>
        <w:tc>
          <w:tcPr>
            <w:tcW w:w="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99,542,196</w:t>
            </w:r>
          </w:p>
        </w:tc>
        <w:tc>
          <w:tcPr>
            <w:tcW w:w="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8</w:t>
            </w:r>
          </w:p>
        </w:tc>
        <w:tc>
          <w:tcPr>
            <w:tcW w:w="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79</w:t>
            </w:r>
          </w:p>
        </w:tc>
        <w:tc>
          <w:tcPr>
            <w:tcW w:w="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4"/>
                <w:szCs w:val="4"/>
                <w:b w:val="1"/>
                <w:bCs w:val="1"/>
                <w:color w:val="auto"/>
                <w:w w:val="87"/>
              </w:rPr>
              <w:t>$</w:t>
            </w:r>
          </w:p>
        </w:tc>
        <w:tc>
          <w:tcPr>
            <w:tcW w:w="7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47.65</w:t>
            </w:r>
          </w:p>
        </w:tc>
        <w:tc>
          <w:tcPr>
            <w:tcW w:w="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w w:val="78"/>
              </w:rPr>
              <w:t>$</w:t>
            </w:r>
          </w:p>
        </w:tc>
        <w:tc>
          <w:tcPr>
            <w:tcW w:w="76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45.25</w:t>
            </w:r>
          </w:p>
        </w:tc>
        <w:tc>
          <w:tcPr>
            <w:tcW w:w="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300" w:type="dxa"/>
            <w:vAlign w:val="bottom"/>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vMerge w:val="continue"/>
          </w:tcPr>
          <w:p>
            <w:pPr>
              <w:spacing w:after="0"/>
              <w:rPr>
                <w:sz w:val="7"/>
                <w:szCs w:val="7"/>
                <w:color w:val="auto"/>
              </w:rPr>
            </w:pPr>
          </w:p>
        </w:tc>
        <w:tc>
          <w:tcPr>
            <w:tcW w:w="2380" w:type="dxa"/>
            <w:vAlign w:val="bottom"/>
            <w:gridSpan w:val="3"/>
          </w:tcPr>
          <w:p>
            <w:pPr>
              <w:spacing w:after="0" w:line="86" w:lineRule="exact"/>
              <w:rPr>
                <w:sz w:val="20"/>
                <w:szCs w:val="20"/>
                <w:color w:val="auto"/>
              </w:rPr>
            </w:pPr>
            <w:r>
              <w:rPr>
                <w:rFonts w:ascii="Arial" w:cs="Arial" w:eastAsia="Arial" w:hAnsi="Arial"/>
                <w:sz w:val="9"/>
                <w:szCs w:val="9"/>
                <w:b w:val="1"/>
                <w:bCs w:val="1"/>
                <w:color w:val="auto"/>
              </w:rPr>
              <w:t>Total / Weighted Average Properties Less Than 100%</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40" w:type="dxa"/>
            <w:vAlign w:val="bottom"/>
            <w:gridSpan w:val="2"/>
          </w:tcPr>
          <w:p>
            <w:pPr>
              <w:ind w:left="20"/>
              <w:spacing w:after="0"/>
              <w:rPr>
                <w:sz w:val="20"/>
                <w:szCs w:val="20"/>
                <w:color w:val="auto"/>
              </w:rPr>
            </w:pPr>
            <w:r>
              <w:rPr>
                <w:rFonts w:ascii="Arial" w:cs="Arial" w:eastAsia="Arial" w:hAnsi="Arial"/>
                <w:sz w:val="9"/>
                <w:szCs w:val="9"/>
                <w:b w:val="1"/>
                <w:bCs w:val="1"/>
                <w:color w:val="auto"/>
              </w:rPr>
              <w:t>Owned</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9"/>
                <w:szCs w:val="9"/>
                <w:b w:val="1"/>
                <w:bCs w:val="1"/>
                <w:color w:val="auto"/>
              </w:rPr>
              <w:t>8,879,900</w:t>
            </w:r>
          </w:p>
        </w:tc>
        <w:tc>
          <w:tcPr>
            <w:tcW w:w="8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9"/>
                <w:szCs w:val="9"/>
                <w:b w:val="1"/>
                <w:bCs w:val="1"/>
                <w:color w:val="auto"/>
              </w:rPr>
              <w:t>47</w:t>
            </w:r>
          </w:p>
        </w:tc>
        <w:tc>
          <w:tcPr>
            <w:tcW w:w="8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9"/>
                <w:szCs w:val="9"/>
                <w:b w:val="1"/>
                <w:bCs w:val="1"/>
                <w:color w:val="auto"/>
              </w:rPr>
              <w:t>97.1</w:t>
            </w:r>
          </w:p>
        </w:tc>
        <w:tc>
          <w:tcPr>
            <w:tcW w:w="8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419,806,320</w:t>
            </w:r>
          </w:p>
        </w:tc>
        <w:tc>
          <w:tcPr>
            <w:tcW w:w="8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9"/>
                <w:szCs w:val="9"/>
                <w:b w:val="1"/>
                <w:bCs w:val="1"/>
                <w:color w:val="auto"/>
              </w:rPr>
              <w:t>34</w:t>
            </w:r>
          </w:p>
        </w:tc>
        <w:tc>
          <w:tcPr>
            <w:tcW w:w="8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9"/>
                <w:szCs w:val="9"/>
                <w:b w:val="1"/>
                <w:bCs w:val="1"/>
                <w:color w:val="auto"/>
              </w:rPr>
              <w:t>202</w:t>
            </w:r>
          </w:p>
        </w:tc>
        <w:tc>
          <w:tcPr>
            <w:tcW w:w="80" w:type="dxa"/>
            <w:vAlign w:val="bottom"/>
          </w:tcPr>
          <w:p>
            <w:pPr>
              <w:spacing w:after="0"/>
              <w:rPr>
                <w:sz w:val="9"/>
                <w:szCs w:val="9"/>
                <w:color w:val="auto"/>
              </w:rPr>
            </w:pPr>
          </w:p>
        </w:tc>
        <w:tc>
          <w:tcPr>
            <w:tcW w:w="80" w:type="dxa"/>
            <w:vAlign w:val="bottom"/>
          </w:tcPr>
          <w:p>
            <w:pPr>
              <w:jc w:val="right"/>
              <w:ind w:right="18"/>
              <w:spacing w:after="0"/>
              <w:rPr>
                <w:sz w:val="20"/>
                <w:szCs w:val="20"/>
                <w:color w:val="auto"/>
              </w:rPr>
            </w:pPr>
            <w:r>
              <w:rPr>
                <w:rFonts w:ascii="Arial" w:cs="Arial" w:eastAsia="Arial" w:hAnsi="Arial"/>
                <w:sz w:val="4"/>
                <w:szCs w:val="4"/>
                <w:b w:val="1"/>
                <w:bCs w:val="1"/>
                <w:color w:val="auto"/>
                <w:w w:val="87"/>
              </w:rPr>
              <w:t>$</w:t>
            </w: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rPr>
              <w:t>48.84</w:t>
            </w:r>
          </w:p>
        </w:tc>
        <w:tc>
          <w:tcPr>
            <w:tcW w:w="160" w:type="dxa"/>
            <w:vAlign w:val="bottom"/>
            <w:gridSpan w:val="2"/>
          </w:tcPr>
          <w:p>
            <w:pPr>
              <w:jc w:val="right"/>
              <w:spacing w:after="0"/>
              <w:rPr>
                <w:sz w:val="20"/>
                <w:szCs w:val="20"/>
                <w:color w:val="auto"/>
              </w:rPr>
            </w:pPr>
            <w:r>
              <w:rPr>
                <w:rFonts w:ascii="Arial" w:cs="Arial" w:eastAsia="Arial" w:hAnsi="Arial"/>
                <w:sz w:val="9"/>
                <w:szCs w:val="9"/>
                <w:b w:val="1"/>
                <w:bCs w:val="1"/>
                <w:color w:val="auto"/>
              </w:rPr>
              <w:t>$</w:t>
            </w: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rPr>
              <w:t>40.51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38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Grand Total / Weighted Average</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18,965,900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100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97.0</w:t>
            </w:r>
          </w:p>
        </w:tc>
        <w:tc>
          <w:tcPr>
            <w:tcW w:w="8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9"/>
                <w:szCs w:val="9"/>
                <w:color w:val="auto"/>
              </w:rPr>
              <w:t>837,382,692</w:t>
            </w:r>
          </w:p>
        </w:tc>
        <w:tc>
          <w:tcPr>
            <w:tcW w:w="80" w:type="dxa"/>
            <w:vAlign w:val="bottom"/>
          </w:tcPr>
          <w:p>
            <w:pPr>
              <w:spacing w:after="0"/>
              <w:rPr>
                <w:sz w:val="8"/>
                <w:szCs w:val="8"/>
                <w:color w:val="auto"/>
              </w:rPr>
            </w:pPr>
          </w:p>
        </w:tc>
        <w:tc>
          <w:tcPr>
            <w:tcW w:w="900" w:type="dxa"/>
            <w:vAlign w:val="bottom"/>
            <w:gridSpan w:val="2"/>
          </w:tcPr>
          <w:p>
            <w:pPr>
              <w:jc w:val="right"/>
              <w:ind w:right="100"/>
              <w:spacing w:after="0" w:line="95" w:lineRule="exact"/>
              <w:rPr>
                <w:sz w:val="20"/>
                <w:szCs w:val="20"/>
                <w:color w:val="auto"/>
              </w:rPr>
            </w:pPr>
            <w:r>
              <w:rPr>
                <w:rFonts w:ascii="Arial" w:cs="Arial" w:eastAsia="Arial" w:hAnsi="Arial"/>
                <w:sz w:val="9"/>
                <w:szCs w:val="9"/>
                <w:b w:val="1"/>
                <w:bCs w:val="1"/>
                <w:color w:val="auto"/>
              </w:rPr>
              <w:t>—</w:t>
            </w: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1,012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gridSpan w:val="4"/>
            <w:shd w:val="clear" w:color="auto" w:fill="CCEEFF"/>
          </w:tcPr>
          <w:p>
            <w:pPr>
              <w:spacing w:after="0" w:line="95" w:lineRule="exact"/>
              <w:rPr>
                <w:sz w:val="20"/>
                <w:szCs w:val="20"/>
                <w:color w:val="auto"/>
              </w:rPr>
            </w:pPr>
            <w:r>
              <w:rPr>
                <w:rFonts w:ascii="Arial" w:cs="Arial" w:eastAsia="Arial" w:hAnsi="Arial"/>
                <w:sz w:val="9"/>
                <w:szCs w:val="9"/>
                <w:b w:val="1"/>
                <w:bCs w:val="1"/>
                <w:color w:val="auto"/>
              </w:rPr>
              <w:t>Grand Total - SLG Share of Annualized Rent</w:t>
            </w: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9"/>
                <w:szCs w:val="9"/>
                <w:b w:val="1"/>
                <w:bCs w:val="1"/>
                <w:color w:val="auto"/>
              </w:rPr>
              <w:t>—</w:t>
            </w:r>
          </w:p>
        </w:tc>
        <w:tc>
          <w:tcPr>
            <w:tcW w:w="90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b w:val="1"/>
                <w:bCs w:val="1"/>
                <w:color w:val="auto"/>
              </w:rPr>
              <w:t>—</w:t>
            </w:r>
          </w:p>
        </w:tc>
        <w:tc>
          <w:tcPr>
            <w:tcW w:w="90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b w:val="1"/>
                <w:bCs w:val="1"/>
                <w:color w:val="auto"/>
              </w:rPr>
              <w:t>—</w:t>
            </w:r>
          </w:p>
        </w:tc>
        <w:tc>
          <w:tcPr>
            <w:tcW w:w="8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629,828,623</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100</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3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380" w:type="dxa"/>
            <w:vAlign w:val="bottom"/>
            <w:gridSpan w:val="3"/>
            <w:shd w:val="clear" w:color="auto" w:fill="CCEEFF"/>
          </w:tcPr>
          <w:p>
            <w:pPr>
              <w:spacing w:after="0" w:line="95" w:lineRule="exact"/>
              <w:rPr>
                <w:sz w:val="20"/>
                <w:szCs w:val="20"/>
                <w:color w:val="auto"/>
              </w:rPr>
            </w:pPr>
            <w:r>
              <w:rPr>
                <w:rFonts w:ascii="Arial" w:cs="Arial" w:eastAsia="Arial" w:hAnsi="Arial"/>
                <w:sz w:val="9"/>
                <w:szCs w:val="9"/>
                <w:b w:val="1"/>
                <w:bCs w:val="1"/>
                <w:color w:val="auto"/>
              </w:rPr>
              <w:t>Same Store Occupancy% - Combined</w:t>
            </w: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15,071,000</w:t>
            </w:r>
          </w:p>
        </w:tc>
        <w:tc>
          <w:tcPr>
            <w:tcW w:w="80" w:type="dxa"/>
            <w:vAlign w:val="bottom"/>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79</w:t>
            </w:r>
          </w:p>
        </w:tc>
        <w:tc>
          <w:tcPr>
            <w:tcW w:w="80" w:type="dxa"/>
            <w:vAlign w:val="bottom"/>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97.4</w:t>
            </w:r>
          </w:p>
        </w:tc>
        <w:tc>
          <w:tcPr>
            <w:tcW w:w="80" w:type="dxa"/>
            <w:vAlign w:val="bottom"/>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9"/>
          <w:szCs w:val="9"/>
          <w:b w:val="1"/>
          <w:bCs w:val="1"/>
          <w:color w:val="auto"/>
        </w:rPr>
      </w:pPr>
      <w:r>
        <w:rPr>
          <w:rFonts w:ascii="Arial" w:cs="Arial" w:eastAsia="Arial" w:hAnsi="Arial"/>
          <w:sz w:val="9"/>
          <w:szCs w:val="9"/>
          <w:b w:val="1"/>
          <w:bCs w:val="1"/>
          <w:color w:val="auto"/>
        </w:rPr>
        <w:t>This property is under contract of sale.</w:t>
      </w:r>
    </w:p>
    <w:p>
      <w:pPr>
        <w:spacing w:after="0" w:line="1" w:lineRule="exact"/>
        <w:rPr>
          <w:rFonts w:ascii="Arial" w:cs="Arial" w:eastAsia="Arial" w:hAnsi="Arial"/>
          <w:sz w:val="9"/>
          <w:szCs w:val="9"/>
          <w:b w:val="1"/>
          <w:bCs w:val="1"/>
          <w:color w:val="auto"/>
        </w:rPr>
      </w:pPr>
    </w:p>
    <w:p>
      <w:pPr>
        <w:ind w:left="140" w:hanging="132"/>
        <w:spacing w:after="0"/>
        <w:tabs>
          <w:tab w:leader="none" w:pos="140" w:val="left"/>
        </w:tabs>
        <w:numPr>
          <w:ilvl w:val="0"/>
          <w:numId w:val="17"/>
        </w:numPr>
        <w:rPr>
          <w:rFonts w:ascii="Arial" w:cs="Arial" w:eastAsia="Arial" w:hAnsi="Arial"/>
          <w:sz w:val="9"/>
          <w:szCs w:val="9"/>
          <w:b w:val="1"/>
          <w:bCs w:val="1"/>
          <w:color w:val="auto"/>
        </w:rPr>
      </w:pPr>
      <w:r>
        <w:rPr>
          <w:rFonts w:ascii="Arial" w:cs="Arial" w:eastAsia="Arial" w:hAnsi="Arial"/>
          <w:sz w:val="9"/>
          <w:szCs w:val="9"/>
          <w:b w:val="1"/>
          <w:bCs w:val="1"/>
          <w:color w:val="auto"/>
        </w:rPr>
        <w:t>Including Ownership of 50% in Building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60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4"/>
              </w:rPr>
              <w:t>Approximate</w:t>
            </w: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7"/>
              </w:rPr>
              <w:t>Percentage of</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w w:val="83"/>
              </w:rPr>
              <w:t>Percentage of</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Annualized</w:t>
            </w:r>
          </w:p>
        </w:tc>
        <w:tc>
          <w:tcPr>
            <w:tcW w:w="80" w:type="dxa"/>
            <w:vAlign w:val="bottom"/>
          </w:tcPr>
          <w:p>
            <w:pPr>
              <w:spacing w:after="0"/>
              <w:rPr>
                <w:sz w:val="9"/>
                <w:szCs w:val="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9"/>
              </w:rPr>
              <w:t>Annualized Net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4"/>
              </w:rPr>
              <w:t>Rentable</w:t>
            </w:r>
          </w:p>
        </w:tc>
        <w:tc>
          <w:tcPr>
            <w:tcW w:w="9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1"/>
              </w:rPr>
              <w:t>Portfolio</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left="115"/>
              <w:spacing w:after="0"/>
              <w:rPr>
                <w:sz w:val="20"/>
                <w:szCs w:val="20"/>
                <w:color w:val="auto"/>
              </w:rPr>
            </w:pPr>
            <w:r>
              <w:rPr>
                <w:rFonts w:ascii="Arial" w:cs="Arial" w:eastAsia="Arial" w:hAnsi="Arial"/>
                <w:sz w:val="9"/>
                <w:szCs w:val="9"/>
                <w:b w:val="1"/>
                <w:bCs w:val="1"/>
                <w:color w:val="auto"/>
                <w:w w:val="86"/>
              </w:rPr>
              <w:t>Portfolio</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1"/>
              </w:rPr>
              <w:t>Rent Per</w:t>
            </w:r>
          </w:p>
        </w:tc>
        <w:tc>
          <w:tcPr>
            <w:tcW w:w="80" w:type="dxa"/>
            <w:vAlign w:val="bottom"/>
          </w:tcPr>
          <w:p>
            <w:pPr>
              <w:spacing w:after="0"/>
              <w:rPr>
                <w:sz w:val="9"/>
                <w:szCs w:val="9"/>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3"/>
              </w:rPr>
              <w:t>Effective Rent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Year Built/</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1"/>
              </w:rPr>
              <w:t>Square</w:t>
            </w: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Rentable Square</w:t>
            </w:r>
          </w:p>
        </w:tc>
        <w:tc>
          <w:tcPr>
            <w:tcW w:w="820" w:type="dxa"/>
            <w:vAlign w:val="bottom"/>
          </w:tcPr>
          <w:p>
            <w:pPr>
              <w:jc w:val="right"/>
              <w:ind w:right="215"/>
              <w:spacing w:after="0"/>
              <w:rPr>
                <w:sz w:val="20"/>
                <w:szCs w:val="20"/>
                <w:color w:val="auto"/>
              </w:rPr>
            </w:pPr>
            <w:r>
              <w:rPr>
                <w:rFonts w:ascii="Arial" w:cs="Arial" w:eastAsia="Arial" w:hAnsi="Arial"/>
                <w:sz w:val="9"/>
                <w:szCs w:val="9"/>
                <w:b w:val="1"/>
                <w:bCs w:val="1"/>
                <w:color w:val="auto"/>
              </w:rPr>
              <w:t>Percent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Annualized</w:t>
            </w:r>
          </w:p>
        </w:tc>
        <w:tc>
          <w:tcPr>
            <w:tcW w:w="640" w:type="dxa"/>
            <w:vAlign w:val="bottom"/>
          </w:tcPr>
          <w:p>
            <w:pPr>
              <w:jc w:val="center"/>
              <w:ind w:left="115"/>
              <w:spacing w:after="0"/>
              <w:rPr>
                <w:sz w:val="20"/>
                <w:szCs w:val="20"/>
                <w:color w:val="auto"/>
              </w:rPr>
            </w:pPr>
            <w:r>
              <w:rPr>
                <w:rFonts w:ascii="Arial" w:cs="Arial" w:eastAsia="Arial" w:hAnsi="Arial"/>
                <w:sz w:val="9"/>
                <w:szCs w:val="9"/>
                <w:b w:val="1"/>
                <w:bCs w:val="1"/>
                <w:color w:val="auto"/>
                <w:w w:val="91"/>
              </w:rPr>
              <w:t>Annualized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left="135"/>
              <w:spacing w:after="0"/>
              <w:rPr>
                <w:sz w:val="20"/>
                <w:szCs w:val="20"/>
                <w:color w:val="auto"/>
              </w:rPr>
            </w:pPr>
            <w:r>
              <w:rPr>
                <w:rFonts w:ascii="Arial" w:cs="Arial" w:eastAsia="Arial" w:hAnsi="Arial"/>
                <w:sz w:val="9"/>
                <w:szCs w:val="9"/>
                <w:b w:val="1"/>
                <w:bCs w:val="1"/>
                <w:color w:val="auto"/>
                <w:w w:val="93"/>
              </w:rPr>
              <w:t>Number of</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0"/>
              </w:rPr>
              <w:t>Leased Square</w:t>
            </w:r>
          </w:p>
        </w:tc>
        <w:tc>
          <w:tcPr>
            <w:tcW w:w="80" w:type="dxa"/>
            <w:vAlign w:val="bottom"/>
          </w:tcPr>
          <w:p>
            <w:pPr>
              <w:spacing w:after="0"/>
              <w:rPr>
                <w:sz w:val="9"/>
                <w:szCs w:val="9"/>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1"/>
              </w:rPr>
              <w:t>Per Leased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80" w:type="dxa"/>
            <w:vAlign w:val="bottom"/>
            <w:gridSpan w:val="3"/>
          </w:tcPr>
          <w:p>
            <w:pPr>
              <w:ind w:left="660"/>
              <w:spacing w:after="0"/>
              <w:rPr>
                <w:sz w:val="20"/>
                <w:szCs w:val="20"/>
                <w:color w:val="auto"/>
              </w:rPr>
            </w:pPr>
            <w:r>
              <w:rPr>
                <w:rFonts w:ascii="Arial" w:cs="Arial" w:eastAsia="Arial" w:hAnsi="Arial"/>
                <w:sz w:val="9"/>
                <w:szCs w:val="9"/>
                <w:b w:val="1"/>
                <w:bCs w:val="1"/>
                <w:color w:val="auto"/>
              </w:rPr>
              <w:t>Property Wholly-Owned</w:t>
            </w:r>
          </w:p>
        </w:tc>
        <w:tc>
          <w:tcPr>
            <w:tcW w:w="880" w:type="dxa"/>
            <w:vAlign w:val="bottom"/>
            <w:gridSpan w:val="2"/>
          </w:tcPr>
          <w:p>
            <w:pPr>
              <w:ind w:left="200"/>
              <w:spacing w:after="0"/>
              <w:rPr>
                <w:sz w:val="20"/>
                <w:szCs w:val="20"/>
                <w:color w:val="auto"/>
              </w:rPr>
            </w:pPr>
            <w:r>
              <w:rPr>
                <w:rFonts w:ascii="Arial" w:cs="Arial" w:eastAsia="Arial" w:hAnsi="Arial"/>
                <w:sz w:val="9"/>
                <w:szCs w:val="9"/>
                <w:b w:val="1"/>
                <w:bCs w:val="1"/>
                <w:color w:val="auto"/>
              </w:rPr>
              <w:t>Renovated</w:t>
            </w:r>
          </w:p>
        </w:tc>
        <w:tc>
          <w:tcPr>
            <w:tcW w:w="920" w:type="dxa"/>
            <w:vAlign w:val="bottom"/>
            <w:gridSpan w:val="2"/>
          </w:tcPr>
          <w:p>
            <w:pPr>
              <w:ind w:left="180"/>
              <w:spacing w:after="0"/>
              <w:rPr>
                <w:sz w:val="20"/>
                <w:szCs w:val="20"/>
                <w:color w:val="auto"/>
              </w:rPr>
            </w:pPr>
            <w:r>
              <w:rPr>
                <w:rFonts w:ascii="Arial" w:cs="Arial" w:eastAsia="Arial" w:hAnsi="Arial"/>
                <w:sz w:val="9"/>
                <w:szCs w:val="9"/>
                <w:b w:val="1"/>
                <w:bCs w:val="1"/>
                <w:color w:val="auto"/>
              </w:rPr>
              <w:t>Sub-market</w:t>
            </w: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6"/>
              </w:rPr>
              <w:t>Feet</w:t>
            </w:r>
          </w:p>
        </w:tc>
        <w:tc>
          <w:tcPr>
            <w:tcW w:w="9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6"/>
              </w:rPr>
              <w:t>Feet (%)</w:t>
            </w:r>
          </w:p>
        </w:tc>
        <w:tc>
          <w:tcPr>
            <w:tcW w:w="820" w:type="dxa"/>
            <w:vAlign w:val="bottom"/>
          </w:tcPr>
          <w:p>
            <w:pPr>
              <w:jc w:val="right"/>
              <w:ind w:right="135"/>
              <w:spacing w:after="0"/>
              <w:rPr>
                <w:sz w:val="20"/>
                <w:szCs w:val="20"/>
                <w:color w:val="auto"/>
              </w:rPr>
            </w:pPr>
            <w:r>
              <w:rPr>
                <w:rFonts w:ascii="Arial" w:cs="Arial" w:eastAsia="Arial" w:hAnsi="Arial"/>
                <w:sz w:val="9"/>
                <w:szCs w:val="9"/>
                <w:b w:val="1"/>
                <w:bCs w:val="1"/>
                <w:color w:val="auto"/>
              </w:rPr>
              <w:t>Leased (%)</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Rent (1)</w:t>
            </w:r>
          </w:p>
        </w:tc>
        <w:tc>
          <w:tcPr>
            <w:tcW w:w="640" w:type="dxa"/>
            <w:vAlign w:val="bottom"/>
          </w:tcPr>
          <w:p>
            <w:pPr>
              <w:jc w:val="center"/>
              <w:ind w:left="115"/>
              <w:spacing w:after="0"/>
              <w:rPr>
                <w:sz w:val="20"/>
                <w:szCs w:val="20"/>
                <w:color w:val="auto"/>
              </w:rPr>
            </w:pPr>
            <w:r>
              <w:rPr>
                <w:rFonts w:ascii="Arial" w:cs="Arial" w:eastAsia="Arial" w:hAnsi="Arial"/>
                <w:sz w:val="9"/>
                <w:szCs w:val="9"/>
                <w:b w:val="1"/>
                <w:bCs w:val="1"/>
                <w:color w:val="auto"/>
                <w:w w:val="95"/>
              </w:rPr>
              <w:t>Rent (%) (2)</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left="135"/>
              <w:spacing w:after="0"/>
              <w:rPr>
                <w:sz w:val="20"/>
                <w:szCs w:val="20"/>
                <w:color w:val="auto"/>
              </w:rPr>
            </w:pPr>
            <w:r>
              <w:rPr>
                <w:rFonts w:ascii="Arial" w:cs="Arial" w:eastAsia="Arial" w:hAnsi="Arial"/>
                <w:sz w:val="9"/>
                <w:szCs w:val="9"/>
                <w:b w:val="1"/>
                <w:bCs w:val="1"/>
                <w:color w:val="auto"/>
                <w:w w:val="86"/>
              </w:rPr>
              <w:t>Tenants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0"/>
              </w:rPr>
              <w:t>Foot (3)</w:t>
            </w:r>
          </w:p>
        </w:tc>
        <w:tc>
          <w:tcPr>
            <w:tcW w:w="8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0"/>
              </w:rPr>
              <w:t>Square Foot (4)</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300" w:type="dxa"/>
            <w:vAlign w:val="bottom"/>
            <w:tcBorders>
              <w:top w:val="single" w:sz="8" w:color="auto"/>
            </w:tcBorders>
            <w:gridSpan w:val="2"/>
            <w:shd w:val="clear" w:color="auto" w:fill="CCEEFF"/>
          </w:tcPr>
          <w:p>
            <w:pPr>
              <w:spacing w:after="0" w:line="89" w:lineRule="exact"/>
              <w:rPr>
                <w:sz w:val="20"/>
                <w:szCs w:val="20"/>
                <w:color w:val="auto"/>
              </w:rPr>
            </w:pPr>
            <w:r>
              <w:rPr>
                <w:rFonts w:ascii="Arial" w:cs="Arial" w:eastAsia="Arial" w:hAnsi="Arial"/>
                <w:sz w:val="9"/>
                <w:szCs w:val="9"/>
                <w:b w:val="1"/>
                <w:bCs w:val="1"/>
                <w:color w:val="auto"/>
              </w:rPr>
              <w:t>RETAIL &amp; DEVELOPMENT PROPERTIES</w:t>
            </w:r>
          </w:p>
        </w:tc>
        <w:tc>
          <w:tcPr>
            <w:tcW w:w="8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80" w:type="dxa"/>
            <w:vAlign w:val="bottom"/>
            <w:gridSpan w:val="3"/>
          </w:tcPr>
          <w:p>
            <w:pPr>
              <w:spacing w:after="0" w:line="88" w:lineRule="exact"/>
              <w:rPr>
                <w:sz w:val="20"/>
                <w:szCs w:val="20"/>
                <w:color w:val="auto"/>
              </w:rPr>
            </w:pPr>
            <w:r>
              <w:rPr>
                <w:rFonts w:ascii="Arial" w:cs="Arial" w:eastAsia="Arial" w:hAnsi="Arial"/>
                <w:sz w:val="9"/>
                <w:szCs w:val="9"/>
                <w:color w:val="auto"/>
              </w:rPr>
              <w:t>One Madison Avenue — Clock Tower (18)</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Park</w:t>
            </w: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9"/>
                <w:szCs w:val="9"/>
                <w:color w:val="auto"/>
              </w:rPr>
              <w:t>1909/2006</w:t>
            </w:r>
          </w:p>
        </w:tc>
        <w:tc>
          <w:tcPr>
            <w:tcW w:w="80" w:type="dxa"/>
            <w:vAlign w:val="bottom"/>
          </w:tcPr>
          <w:p>
            <w:pPr>
              <w:spacing w:after="0"/>
              <w:rPr>
                <w:sz w:val="8"/>
                <w:szCs w:val="8"/>
                <w:color w:val="auto"/>
              </w:rPr>
            </w:pPr>
          </w:p>
        </w:tc>
        <w:tc>
          <w:tcPr>
            <w:tcW w:w="92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Avenue South</w:t>
            </w: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220,000</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43</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200" w:type="dxa"/>
            <w:vAlign w:val="bottom"/>
            <w:gridSpan w:val="2"/>
          </w:tcPr>
          <w:p>
            <w:pPr>
              <w:jc w:val="right"/>
              <w:ind w:right="60"/>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tcPr>
          <w:p>
            <w:pPr>
              <w:ind w:left="540"/>
              <w:spacing w:after="0" w:line="102" w:lineRule="exact"/>
              <w:rPr>
                <w:sz w:val="20"/>
                <w:szCs w:val="20"/>
                <w:color w:val="auto"/>
              </w:rPr>
            </w:pPr>
            <w:r>
              <w:rPr>
                <w:rFonts w:ascii="Arial" w:cs="Arial" w:eastAsia="Arial" w:hAnsi="Arial"/>
                <w:sz w:val="9"/>
                <w:szCs w:val="9"/>
                <w:color w:val="auto"/>
              </w:rPr>
              <w:t>N/A</w:t>
            </w:r>
          </w:p>
        </w:tc>
        <w:tc>
          <w:tcPr>
            <w:tcW w:w="640" w:type="dxa"/>
            <w:vAlign w:val="bottom"/>
          </w:tcPr>
          <w:p>
            <w:pPr>
              <w:spacing w:after="0"/>
              <w:rPr>
                <w:sz w:val="8"/>
                <w:szCs w:val="8"/>
                <w:color w:val="auto"/>
              </w:rPr>
            </w:pPr>
          </w:p>
        </w:tc>
        <w:tc>
          <w:tcPr>
            <w:tcW w:w="900" w:type="dxa"/>
            <w:vAlign w:val="bottom"/>
            <w:gridSpan w:val="3"/>
          </w:tcPr>
          <w:p>
            <w:pPr>
              <w:ind w:left="20"/>
              <w:spacing w:after="0" w:line="102" w:lineRule="exact"/>
              <w:rPr>
                <w:sz w:val="20"/>
                <w:szCs w:val="20"/>
                <w:color w:val="auto"/>
              </w:rPr>
            </w:pPr>
            <w:r>
              <w:rPr>
                <w:rFonts w:ascii="Arial" w:cs="Arial" w:eastAsia="Arial" w:hAnsi="Arial"/>
                <w:sz w:val="9"/>
                <w:szCs w:val="9"/>
                <w:color w:val="auto"/>
              </w:rPr>
              <w:t>N/A</w:t>
            </w:r>
          </w:p>
        </w:tc>
        <w:tc>
          <w:tcPr>
            <w:tcW w:w="260" w:type="dxa"/>
            <w:vAlign w:val="bottom"/>
            <w:gridSpan w:val="2"/>
          </w:tcPr>
          <w:p>
            <w:pPr>
              <w:ind w:left="20"/>
              <w:spacing w:after="0" w:line="102" w:lineRule="exact"/>
              <w:rPr>
                <w:sz w:val="20"/>
                <w:szCs w:val="20"/>
                <w:color w:val="auto"/>
              </w:rPr>
            </w:pPr>
            <w:r>
              <w:rPr>
                <w:rFonts w:ascii="Arial" w:cs="Arial" w:eastAsia="Arial" w:hAnsi="Arial"/>
                <w:sz w:val="9"/>
                <w:szCs w:val="9"/>
                <w:color w:val="auto"/>
              </w:rPr>
              <w:t>N/A</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82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60"/>
              <w:spacing w:after="0" w:line="102"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gridSpan w:val="3"/>
            <w:shd w:val="clear" w:color="auto" w:fill="CCEEFF"/>
          </w:tcPr>
          <w:p>
            <w:pPr>
              <w:spacing w:after="0" w:line="95" w:lineRule="exact"/>
              <w:rPr>
                <w:sz w:val="20"/>
                <w:szCs w:val="20"/>
                <w:color w:val="auto"/>
              </w:rPr>
            </w:pPr>
            <w:r>
              <w:rPr>
                <w:rFonts w:ascii="Arial" w:cs="Arial" w:eastAsia="Arial" w:hAnsi="Arial"/>
                <w:sz w:val="9"/>
                <w:szCs w:val="9"/>
                <w:color w:val="auto"/>
              </w:rPr>
              <w:t>1551-1555 Broadway (19)</w:t>
            </w:r>
          </w:p>
        </w:tc>
        <w:tc>
          <w:tcPr>
            <w:tcW w:w="8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1890</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9"/>
                <w:szCs w:val="9"/>
                <w:color w:val="auto"/>
              </w:rPr>
              <w:t>Times Square</w:t>
            </w: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23,600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gridSpan w:val="2"/>
            <w:shd w:val="clear" w:color="auto" w:fill="CCEEFF"/>
          </w:tcPr>
          <w:p>
            <w:pPr>
              <w:ind w:left="540"/>
              <w:spacing w:after="0" w:line="95" w:lineRule="exact"/>
              <w:rPr>
                <w:sz w:val="20"/>
                <w:szCs w:val="20"/>
                <w:color w:val="auto"/>
              </w:rPr>
            </w:pPr>
            <w:r>
              <w:rPr>
                <w:rFonts w:ascii="Arial" w:cs="Arial" w:eastAsia="Arial" w:hAnsi="Arial"/>
                <w:sz w:val="9"/>
                <w:szCs w:val="9"/>
                <w:color w:val="auto"/>
              </w:rPr>
              <w:t>N/A</w:t>
            </w:r>
          </w:p>
        </w:tc>
        <w:tc>
          <w:tcPr>
            <w:tcW w:w="640" w:type="dxa"/>
            <w:vAlign w:val="bottom"/>
            <w:shd w:val="clear" w:color="auto" w:fill="CCEEFF"/>
          </w:tcPr>
          <w:p>
            <w:pPr>
              <w:spacing w:after="0"/>
              <w:rPr>
                <w:sz w:val="8"/>
                <w:szCs w:val="8"/>
                <w:color w:val="auto"/>
              </w:rPr>
            </w:pPr>
          </w:p>
        </w:tc>
        <w:tc>
          <w:tcPr>
            <w:tcW w:w="900" w:type="dxa"/>
            <w:vAlign w:val="bottom"/>
            <w:gridSpan w:val="3"/>
            <w:shd w:val="clear" w:color="auto" w:fill="CCEEFF"/>
          </w:tcPr>
          <w:p>
            <w:pPr>
              <w:ind w:left="20"/>
              <w:spacing w:after="0" w:line="95" w:lineRule="exact"/>
              <w:rPr>
                <w:sz w:val="20"/>
                <w:szCs w:val="20"/>
                <w:color w:val="auto"/>
              </w:rPr>
            </w:pPr>
            <w:r>
              <w:rPr>
                <w:rFonts w:ascii="Arial" w:cs="Arial" w:eastAsia="Arial" w:hAnsi="Arial"/>
                <w:sz w:val="9"/>
                <w:szCs w:val="9"/>
                <w:color w:val="auto"/>
              </w:rPr>
              <w:t>N/A</w:t>
            </w:r>
          </w:p>
        </w:tc>
        <w:tc>
          <w:tcPr>
            <w:tcW w:w="26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color w:val="auto"/>
              </w:rPr>
              <w:t>N/A</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80"/>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60"/>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gridSpan w:val="3"/>
          </w:tcPr>
          <w:p>
            <w:pPr>
              <w:spacing w:after="0" w:line="95" w:lineRule="exact"/>
              <w:rPr>
                <w:sz w:val="20"/>
                <w:szCs w:val="20"/>
                <w:color w:val="auto"/>
              </w:rPr>
            </w:pPr>
            <w:r>
              <w:rPr>
                <w:rFonts w:ascii="Arial" w:cs="Arial" w:eastAsia="Arial" w:hAnsi="Arial"/>
                <w:sz w:val="9"/>
                <w:szCs w:val="9"/>
                <w:color w:val="auto"/>
              </w:rPr>
              <w:t>1604 Broadway (20)</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1912/2001</w:t>
            </w:r>
          </w:p>
        </w:tc>
        <w:tc>
          <w:tcPr>
            <w:tcW w:w="80" w:type="dxa"/>
            <w:vAlign w:val="bottom"/>
          </w:tcPr>
          <w:p>
            <w:pPr>
              <w:spacing w:after="0"/>
              <w:rPr>
                <w:sz w:val="8"/>
                <w:szCs w:val="8"/>
                <w:color w:val="auto"/>
              </w:rPr>
            </w:pPr>
          </w:p>
        </w:tc>
        <w:tc>
          <w:tcPr>
            <w:tcW w:w="92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Times Square</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41,100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8</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72.7</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5" w:lineRule="exact"/>
              <w:rPr>
                <w:sz w:val="20"/>
                <w:szCs w:val="20"/>
                <w:color w:val="auto"/>
              </w:rPr>
            </w:pPr>
            <w:r>
              <w:rPr>
                <w:rFonts w:ascii="Arial" w:cs="Arial" w:eastAsia="Arial" w:hAnsi="Arial"/>
                <w:sz w:val="9"/>
                <w:szCs w:val="9"/>
                <w:color w:val="auto"/>
              </w:rPr>
              <w:t>4,117,584</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Arial" w:cs="Arial" w:eastAsia="Arial" w:hAnsi="Arial"/>
                <w:sz w:val="9"/>
                <w:szCs w:val="9"/>
                <w:color w:val="auto"/>
              </w:rPr>
              <w:t>7</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100.18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91.10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80" w:type="dxa"/>
            <w:vAlign w:val="bottom"/>
            <w:gridSpan w:val="3"/>
            <w:shd w:val="clear" w:color="auto" w:fill="CCEEFF"/>
          </w:tcPr>
          <w:p>
            <w:pPr>
              <w:spacing w:after="0" w:line="88" w:lineRule="exact"/>
              <w:rPr>
                <w:sz w:val="20"/>
                <w:szCs w:val="20"/>
                <w:color w:val="auto"/>
              </w:rPr>
            </w:pPr>
            <w:r>
              <w:rPr>
                <w:rFonts w:ascii="Arial" w:cs="Arial" w:eastAsia="Arial" w:hAnsi="Arial"/>
                <w:sz w:val="9"/>
                <w:szCs w:val="9"/>
                <w:color w:val="auto"/>
              </w:rPr>
              <w:t>21 West 34</w:t>
            </w:r>
            <w:r>
              <w:rPr>
                <w:rFonts w:ascii="Arial" w:cs="Arial" w:eastAsia="Arial" w:hAnsi="Arial"/>
                <w:sz w:val="10"/>
                <w:szCs w:val="10"/>
                <w:color w:val="auto"/>
                <w:vertAlign w:val="superscript"/>
              </w:rPr>
              <w:t>th</w:t>
            </w:r>
            <w:r>
              <w:rPr>
                <w:rFonts w:ascii="Arial" w:cs="Arial" w:eastAsia="Arial" w:hAnsi="Arial"/>
                <w:sz w:val="9"/>
                <w:szCs w:val="9"/>
                <w:color w:val="auto"/>
              </w:rPr>
              <w:t xml:space="preserve"> Street (19)</w:t>
            </w: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Herald Square/</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1920/1930</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Penn Station</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20,100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100.0</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5,865,012</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11</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291.79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442.75</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80" w:type="dxa"/>
            <w:vAlign w:val="bottom"/>
            <w:gridSpan w:val="3"/>
          </w:tcPr>
          <w:p>
            <w:pPr>
              <w:spacing w:after="0" w:line="88" w:lineRule="exact"/>
              <w:rPr>
                <w:sz w:val="20"/>
                <w:szCs w:val="20"/>
                <w:color w:val="auto"/>
              </w:rPr>
            </w:pPr>
            <w:r>
              <w:rPr>
                <w:rFonts w:ascii="Arial" w:cs="Arial" w:eastAsia="Arial" w:hAnsi="Arial"/>
                <w:sz w:val="9"/>
                <w:szCs w:val="9"/>
                <w:color w:val="auto"/>
              </w:rPr>
              <w:t>25-27 West 34</w:t>
            </w:r>
            <w:r>
              <w:rPr>
                <w:rFonts w:ascii="Arial" w:cs="Arial" w:eastAsia="Arial" w:hAnsi="Arial"/>
                <w:sz w:val="10"/>
                <w:szCs w:val="10"/>
                <w:color w:val="auto"/>
                <w:vertAlign w:val="superscript"/>
              </w:rPr>
              <w:t>th</w:t>
            </w:r>
            <w:r>
              <w:rPr>
                <w:rFonts w:ascii="Arial" w:cs="Arial" w:eastAsia="Arial" w:hAnsi="Arial"/>
                <w:sz w:val="9"/>
                <w:szCs w:val="9"/>
                <w:color w:val="auto"/>
              </w:rPr>
              <w:t xml:space="preserve"> Street (19)</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Herald Square/</w:t>
            </w: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9"/>
                <w:szCs w:val="9"/>
                <w:color w:val="auto"/>
              </w:rPr>
              <w:t>1857/1960</w:t>
            </w:r>
          </w:p>
        </w:tc>
        <w:tc>
          <w:tcPr>
            <w:tcW w:w="80" w:type="dxa"/>
            <w:vAlign w:val="bottom"/>
          </w:tcPr>
          <w:p>
            <w:pPr>
              <w:spacing w:after="0"/>
              <w:rPr>
                <w:sz w:val="8"/>
                <w:szCs w:val="8"/>
                <w:color w:val="auto"/>
              </w:rPr>
            </w:pPr>
          </w:p>
        </w:tc>
        <w:tc>
          <w:tcPr>
            <w:tcW w:w="92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Penn Station</w:t>
            </w: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21,700</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4</w:t>
            </w:r>
          </w:p>
        </w:tc>
        <w:tc>
          <w:tcPr>
            <w:tcW w:w="80" w:type="dxa"/>
            <w:vAlign w:val="bottom"/>
          </w:tcPr>
          <w:p>
            <w:pPr>
              <w:spacing w:after="0"/>
              <w:rPr>
                <w:sz w:val="8"/>
                <w:szCs w:val="8"/>
                <w:color w:val="auto"/>
              </w:rPr>
            </w:pP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40" w:type="dxa"/>
            <w:vAlign w:val="bottom"/>
          </w:tcPr>
          <w:p>
            <w:pPr>
              <w:spacing w:after="0"/>
              <w:rPr>
                <w:sz w:val="8"/>
                <w:szCs w:val="8"/>
                <w:color w:val="auto"/>
              </w:rPr>
            </w:pPr>
          </w:p>
        </w:tc>
        <w:tc>
          <w:tcPr>
            <w:tcW w:w="900" w:type="dxa"/>
            <w:vAlign w:val="bottom"/>
            <w:gridSpan w:val="3"/>
          </w:tcPr>
          <w:p>
            <w:pPr>
              <w:jc w:val="right"/>
              <w:ind w:right="695"/>
              <w:spacing w:after="0" w:line="102" w:lineRule="exact"/>
              <w:rPr>
                <w:sz w:val="20"/>
                <w:szCs w:val="20"/>
                <w:color w:val="auto"/>
              </w:rPr>
            </w:pPr>
            <w:r>
              <w:rPr>
                <w:rFonts w:ascii="Arial" w:cs="Arial" w:eastAsia="Arial" w:hAnsi="Arial"/>
                <w:sz w:val="9"/>
                <w:szCs w:val="9"/>
                <w:color w:val="auto"/>
              </w:rPr>
              <w:t>—</w:t>
            </w:r>
          </w:p>
        </w:tc>
        <w:tc>
          <w:tcPr>
            <w:tcW w:w="180" w:type="dxa"/>
            <w:vAlign w:val="bottom"/>
          </w:tcPr>
          <w:p>
            <w:pPr>
              <w:jc w:val="right"/>
              <w:spacing w:after="0" w:line="102"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60"/>
              <w:spacing w:after="0" w:line="102"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80" w:type="dxa"/>
            <w:vAlign w:val="bottom"/>
            <w:gridSpan w:val="3"/>
            <w:shd w:val="clear" w:color="auto" w:fill="CCEEFF"/>
          </w:tcPr>
          <w:p>
            <w:pPr>
              <w:spacing w:after="0" w:line="88" w:lineRule="exact"/>
              <w:rPr>
                <w:sz w:val="20"/>
                <w:szCs w:val="20"/>
                <w:color w:val="auto"/>
              </w:rPr>
            </w:pPr>
            <w:r>
              <w:rPr>
                <w:rFonts w:ascii="Arial" w:cs="Arial" w:eastAsia="Arial" w:hAnsi="Arial"/>
                <w:sz w:val="9"/>
                <w:szCs w:val="9"/>
                <w:color w:val="auto"/>
              </w:rPr>
              <w:t>29 West 34</w:t>
            </w:r>
            <w:r>
              <w:rPr>
                <w:rFonts w:ascii="Arial" w:cs="Arial" w:eastAsia="Arial" w:hAnsi="Arial"/>
                <w:sz w:val="10"/>
                <w:szCs w:val="10"/>
                <w:color w:val="auto"/>
                <w:vertAlign w:val="superscript"/>
              </w:rPr>
              <w:t>th</w:t>
            </w:r>
            <w:r>
              <w:rPr>
                <w:rFonts w:ascii="Arial" w:cs="Arial" w:eastAsia="Arial" w:hAnsi="Arial"/>
                <w:sz w:val="9"/>
                <w:szCs w:val="9"/>
                <w:color w:val="auto"/>
              </w:rPr>
              <w:t xml:space="preserve"> Street (19)</w:t>
            </w: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Herald Square/</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1904</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Penn Station</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29,300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58.8</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890,988</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30.41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27.97</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gridSpan w:val="3"/>
          </w:tcPr>
          <w:p>
            <w:pPr>
              <w:spacing w:after="0" w:line="95" w:lineRule="exact"/>
              <w:rPr>
                <w:sz w:val="20"/>
                <w:szCs w:val="20"/>
                <w:color w:val="auto"/>
              </w:rPr>
            </w:pPr>
            <w:r>
              <w:rPr>
                <w:rFonts w:ascii="Arial" w:cs="Arial" w:eastAsia="Arial" w:hAnsi="Arial"/>
                <w:sz w:val="9"/>
                <w:szCs w:val="9"/>
                <w:color w:val="auto"/>
              </w:rPr>
              <w:t>379 West Broadway (20)</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1853/1987</w:t>
            </w:r>
          </w:p>
        </w:tc>
        <w:tc>
          <w:tcPr>
            <w:tcW w:w="80" w:type="dxa"/>
            <w:vAlign w:val="bottom"/>
          </w:tcPr>
          <w:p>
            <w:pPr>
              <w:spacing w:after="0"/>
              <w:rPr>
                <w:sz w:val="8"/>
                <w:szCs w:val="8"/>
                <w:color w:val="auto"/>
              </w:rPr>
            </w:pPr>
          </w:p>
        </w:tc>
        <w:tc>
          <w:tcPr>
            <w:tcW w:w="92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Cast Iron/ Soho</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62,006</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12</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100.0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5" w:lineRule="exact"/>
              <w:rPr>
                <w:sz w:val="20"/>
                <w:szCs w:val="20"/>
                <w:color w:val="auto"/>
              </w:rPr>
            </w:pPr>
            <w:r>
              <w:rPr>
                <w:rFonts w:ascii="Arial" w:cs="Arial" w:eastAsia="Arial" w:hAnsi="Arial"/>
                <w:sz w:val="9"/>
                <w:szCs w:val="9"/>
                <w:color w:val="auto"/>
              </w:rPr>
              <w:t>2,777,160</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Arial" w:cs="Arial" w:eastAsia="Arial" w:hAnsi="Arial"/>
                <w:sz w:val="9"/>
                <w:szCs w:val="9"/>
                <w:color w:val="auto"/>
              </w:rPr>
              <w:t>5</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Arial" w:cs="Arial" w:eastAsia="Arial" w:hAnsi="Arial"/>
                <w:sz w:val="9"/>
                <w:szCs w:val="9"/>
                <w:color w:val="auto"/>
              </w:rPr>
              <w:t>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44.79</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39.61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80" w:type="dxa"/>
            <w:vAlign w:val="bottom"/>
            <w:gridSpan w:val="3"/>
            <w:shd w:val="clear" w:color="auto" w:fill="CCEEFF"/>
          </w:tcPr>
          <w:p>
            <w:pPr>
              <w:spacing w:after="0" w:line="88" w:lineRule="exact"/>
              <w:rPr>
                <w:sz w:val="20"/>
                <w:szCs w:val="20"/>
                <w:color w:val="auto"/>
              </w:rPr>
            </w:pPr>
            <w:r>
              <w:rPr>
                <w:rFonts w:ascii="Arial" w:cs="Arial" w:eastAsia="Arial" w:hAnsi="Arial"/>
                <w:sz w:val="9"/>
                <w:szCs w:val="9"/>
                <w:color w:val="auto"/>
              </w:rPr>
              <w:t>717 Fifth Avenue (23)</w:t>
            </w: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Midtown/</w:t>
            </w: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1958/2000</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Plaza District</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76,400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15</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63.1</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12,504,504</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43</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163.67</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171.53</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gridSpan w:val="3"/>
          </w:tcPr>
          <w:p>
            <w:pPr>
              <w:spacing w:after="0" w:line="95" w:lineRule="exact"/>
              <w:rPr>
                <w:sz w:val="20"/>
                <w:szCs w:val="20"/>
                <w:color w:val="auto"/>
              </w:rPr>
            </w:pPr>
            <w:r>
              <w:rPr>
                <w:rFonts w:ascii="Arial" w:cs="Arial" w:eastAsia="Arial" w:hAnsi="Arial"/>
                <w:sz w:val="9"/>
                <w:szCs w:val="9"/>
                <w:color w:val="auto"/>
              </w:rPr>
              <w:t>141 Fifth Avenue (19)</w:t>
            </w:r>
          </w:p>
        </w:tc>
        <w:tc>
          <w:tcPr>
            <w:tcW w:w="800" w:type="dxa"/>
            <w:vAlign w:val="bottom"/>
          </w:tcPr>
          <w:p>
            <w:pPr>
              <w:jc w:val="right"/>
              <w:spacing w:after="0" w:line="95" w:lineRule="exact"/>
              <w:rPr>
                <w:sz w:val="20"/>
                <w:szCs w:val="20"/>
                <w:color w:val="auto"/>
              </w:rPr>
            </w:pPr>
            <w:r>
              <w:rPr>
                <w:rFonts w:ascii="Arial" w:cs="Arial" w:eastAsia="Arial" w:hAnsi="Arial"/>
                <w:sz w:val="9"/>
                <w:szCs w:val="9"/>
                <w:color w:val="auto"/>
              </w:rPr>
              <w:t>1879</w:t>
            </w:r>
          </w:p>
        </w:tc>
        <w:tc>
          <w:tcPr>
            <w:tcW w:w="80" w:type="dxa"/>
            <w:vAlign w:val="bottom"/>
          </w:tcPr>
          <w:p>
            <w:pPr>
              <w:spacing w:after="0"/>
              <w:rPr>
                <w:sz w:val="8"/>
                <w:szCs w:val="8"/>
                <w:color w:val="auto"/>
              </w:rPr>
            </w:pPr>
          </w:p>
        </w:tc>
        <w:tc>
          <w:tcPr>
            <w:tcW w:w="92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Flat Iron</w:t>
            </w: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21,500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4</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color w:val="auto"/>
              </w:rPr>
              <w:t>100.0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5" w:lineRule="exact"/>
              <w:rPr>
                <w:sz w:val="20"/>
                <w:szCs w:val="20"/>
                <w:color w:val="auto"/>
              </w:rPr>
            </w:pPr>
            <w:r>
              <w:rPr>
                <w:rFonts w:ascii="Arial" w:cs="Arial" w:eastAsia="Arial" w:hAnsi="Arial"/>
                <w:sz w:val="9"/>
                <w:szCs w:val="9"/>
                <w:color w:val="auto"/>
              </w:rPr>
              <w:t>822,600</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Arial" w:cs="Arial" w:eastAsia="Arial" w:hAnsi="Arial"/>
                <w:sz w:val="9"/>
                <w:szCs w:val="9"/>
                <w:color w:val="auto"/>
              </w:rPr>
              <w:t>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38.26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37.88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380" w:type="dxa"/>
            <w:vAlign w:val="bottom"/>
            <w:gridSpan w:val="3"/>
          </w:tcPr>
          <w:p>
            <w:pPr>
              <w:spacing w:after="0" w:line="95" w:lineRule="exact"/>
              <w:rPr>
                <w:sz w:val="20"/>
                <w:szCs w:val="20"/>
                <w:color w:val="auto"/>
              </w:rPr>
            </w:pPr>
            <w:r>
              <w:rPr>
                <w:rFonts w:ascii="Arial" w:cs="Arial" w:eastAsia="Arial" w:hAnsi="Arial"/>
                <w:sz w:val="9"/>
                <w:szCs w:val="9"/>
                <w:b w:val="1"/>
                <w:bCs w:val="1"/>
                <w:color w:val="auto"/>
                <w:w w:val="98"/>
              </w:rPr>
              <w:t>Total / Weighted Average Retail/Development Properties</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515,706</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100.0</w:t>
            </w:r>
          </w:p>
        </w:tc>
        <w:tc>
          <w:tcPr>
            <w:tcW w:w="80" w:type="dxa"/>
            <w:vAlign w:val="bottom"/>
          </w:tcPr>
          <w:p>
            <w:pPr>
              <w:spacing w:after="0"/>
              <w:rPr>
                <w:sz w:val="8"/>
                <w:szCs w:val="8"/>
                <w:color w:val="auto"/>
              </w:rPr>
            </w:pPr>
          </w:p>
        </w:tc>
        <w:tc>
          <w:tcPr>
            <w:tcW w:w="8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N/A</w:t>
            </w:r>
          </w:p>
        </w:tc>
        <w:tc>
          <w:tcPr>
            <w:tcW w:w="200" w:type="dxa"/>
            <w:vAlign w:val="bottom"/>
            <w:gridSpan w:val="2"/>
          </w:tcPr>
          <w:p>
            <w:pPr>
              <w:jc w:val="right"/>
              <w:ind w:right="60"/>
              <w:spacing w:after="0" w:line="95" w:lineRule="exact"/>
              <w:rPr>
                <w:sz w:val="20"/>
                <w:szCs w:val="20"/>
                <w:color w:val="auto"/>
              </w:rPr>
            </w:pPr>
            <w:r>
              <w:rPr>
                <w:rFonts w:ascii="Arial" w:cs="Arial" w:eastAsia="Arial" w:hAnsi="Arial"/>
                <w:sz w:val="9"/>
                <w:szCs w:val="9"/>
                <w:b w:val="1"/>
                <w:bCs w:val="1"/>
                <w:color w:val="auto"/>
              </w:rPr>
              <w:t>$</w:t>
            </w:r>
          </w:p>
        </w:tc>
        <w:tc>
          <w:tcPr>
            <w:tcW w:w="72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26,977,848</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68</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Arial" w:cs="Arial" w:eastAsia="Arial" w:hAnsi="Arial"/>
                <w:sz w:val="9"/>
                <w:szCs w:val="9"/>
                <w:b w:val="1"/>
                <w:bCs w:val="1"/>
                <w:color w:val="auto"/>
              </w:rPr>
              <w:t>31</w:t>
            </w:r>
          </w:p>
        </w:tc>
        <w:tc>
          <w:tcPr>
            <w:tcW w:w="80" w:type="dxa"/>
            <w:vAlign w:val="bottom"/>
          </w:tcPr>
          <w:p>
            <w:pPr>
              <w:spacing w:after="0"/>
              <w:rPr>
                <w:sz w:val="8"/>
                <w:szCs w:val="8"/>
                <w:color w:val="auto"/>
              </w:rPr>
            </w:pP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740" w:type="dxa"/>
            <w:vAlign w:val="bottom"/>
          </w:tcPr>
          <w:p>
            <w:pPr>
              <w:jc w:val="right"/>
              <w:spacing w:after="0" w:line="95" w:lineRule="exact"/>
              <w:rPr>
                <w:sz w:val="20"/>
                <w:szCs w:val="20"/>
                <w:color w:val="auto"/>
              </w:rPr>
            </w:pPr>
            <w:r>
              <w:rPr>
                <w:rFonts w:ascii="Arial" w:cs="Arial" w:eastAsia="Arial" w:hAnsi="Arial"/>
                <w:sz w:val="9"/>
                <w:szCs w:val="9"/>
                <w:color w:val="auto"/>
              </w:rPr>
              <w:t>107.74</w:t>
            </w:r>
          </w:p>
        </w:tc>
        <w:tc>
          <w:tcPr>
            <w:tcW w:w="8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line="95" w:lineRule="exact"/>
              <w:rPr>
                <w:sz w:val="20"/>
                <w:szCs w:val="20"/>
                <w:color w:val="auto"/>
              </w:rPr>
            </w:pPr>
            <w:r>
              <w:rPr>
                <w:rFonts w:ascii="Arial" w:cs="Arial" w:eastAsia="Arial" w:hAnsi="Arial"/>
                <w:sz w:val="9"/>
                <w:szCs w:val="9"/>
                <w:color w:val="auto"/>
              </w:rPr>
              <w:t>126.61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right="80" w:hanging="332"/>
        <w:spacing w:after="0" w:line="298" w:lineRule="auto"/>
        <w:tabs>
          <w:tab w:leader="none" w:pos="331" w:val="left"/>
        </w:tabs>
        <w:numPr>
          <w:ilvl w:val="0"/>
          <w:numId w:val="18"/>
        </w:numPr>
        <w:rPr>
          <w:rFonts w:ascii="Arial" w:cs="Arial" w:eastAsia="Arial" w:hAnsi="Arial"/>
          <w:sz w:val="10"/>
          <w:szCs w:val="10"/>
          <w:color w:val="auto"/>
        </w:rPr>
      </w:pPr>
      <w:r>
        <w:rPr>
          <w:rFonts w:ascii="Arial" w:cs="Arial" w:eastAsia="Arial" w:hAnsi="Arial"/>
          <w:sz w:val="10"/>
          <w:szCs w:val="10"/>
          <w:color w:val="auto"/>
        </w:rPr>
        <w:t>Annualized Rent represents the monthly contractual rent under existing leases as of December 31, 2006 multiplied by 12. This amount reflects total rent before any rent abatements and includes expense reimbursements, which may be estimated as of such date. Total rent abatements for leases in effect as of December 31, 2006 for the 12 months ending December 31, 2007 are approximately $4.6 million for our wholly-owned properties and $1.0 million for our joint venture properties.</w:t>
      </w:r>
    </w:p>
    <w:p>
      <w:pPr>
        <w:spacing w:after="0" w:line="65" w:lineRule="exact"/>
        <w:rPr>
          <w:rFonts w:ascii="Arial" w:cs="Arial" w:eastAsia="Arial" w:hAnsi="Arial"/>
          <w:sz w:val="10"/>
          <w:szCs w:val="10"/>
          <w:color w:val="auto"/>
        </w:rPr>
      </w:pPr>
    </w:p>
    <w:p>
      <w:pPr>
        <w:ind w:left="320" w:hanging="312"/>
        <w:spacing w:after="0"/>
        <w:tabs>
          <w:tab w:leader="none" w:pos="3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Includes our share of unconsolidated joint venture annualized rent calculated on a consistent basis.</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Annualized Rent Per Leased Square Foot represents Annualized Rent, as described in footnote (1) above, presented on a per leased square foot basis.</w:t>
      </w:r>
    </w:p>
    <w:p>
      <w:pPr>
        <w:spacing w:after="0" w:line="103" w:lineRule="exact"/>
        <w:rPr>
          <w:rFonts w:ascii="Arial" w:cs="Arial" w:eastAsia="Arial" w:hAnsi="Arial"/>
          <w:sz w:val="11"/>
          <w:szCs w:val="11"/>
          <w:color w:val="auto"/>
        </w:rPr>
      </w:pPr>
    </w:p>
    <w:p>
      <w:pPr>
        <w:ind w:left="340" w:right="240" w:hanging="332"/>
        <w:spacing w:after="0" w:line="268" w:lineRule="auto"/>
        <w:tabs>
          <w:tab w:leader="none" w:pos="331" w:val="left"/>
        </w:tabs>
        <w:numPr>
          <w:ilvl w:val="0"/>
          <w:numId w:val="18"/>
        </w:numPr>
        <w:rPr>
          <w:rFonts w:ascii="Arial" w:cs="Arial" w:eastAsia="Arial" w:hAnsi="Arial"/>
          <w:sz w:val="10"/>
          <w:szCs w:val="10"/>
          <w:color w:val="auto"/>
        </w:rPr>
      </w:pPr>
      <w:r>
        <w:rPr>
          <w:rFonts w:ascii="Arial" w:cs="Arial" w:eastAsia="Arial" w:hAnsi="Arial"/>
          <w:sz w:val="10"/>
          <w:szCs w:val="10"/>
          <w:color w:val="auto"/>
        </w:rPr>
        <w:t>Annual Net Effective Rent Per Leased Square Foot represents (a) for leases in effect at the time an interest in the relevant property was first acquired by us, the remaining lease payments under the lease from the acquisition date (excluding operating expense pass-throughs, if any) divided by the number of months remaining under the lease multiplied by 12 and (b) for leases entered into after an interest in the relevant property was first acquired by us, all lease payments under the lease (excluding operating expense pass-throughs, if any) divided by the number of months in the lease multiplied by 12, and, in the case of both (a) and (b), minus tenant improvement costs and leasing commissions, if any, paid or payable by us and presented on a per leased square foot basis. Annual Net Effective Rent Per Leased Square Foot includes future contractual increases in rental payments and therefore, in certain cases, may exceed Annualized Rent Per Leased Square Foot.</w:t>
      </w:r>
    </w:p>
    <w:p>
      <w:pPr>
        <w:sectPr>
          <w:pgSz w:w="11900" w:h="16838" w:orient="portrait"/>
          <w:cols w:equalWidth="0" w:num="1">
            <w:col w:w="11420"/>
          </w:cols>
          <w:pgMar w:left="240" w:top="125" w:right="239" w:bottom="0" w:gutter="0" w:footer="0" w:header="0"/>
        </w:sectPr>
      </w:pPr>
    </w:p>
    <w:bookmarkStart w:id="15" w:name="page16"/>
    <w:bookmarkEnd w:id="15"/>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470 Park Avenue South is comprised of two buildings, 468 Park Avenue South (a 17-story office building) and 470 Park Avenue South (a 12-story office building).</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a parking garage.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hold an operating sublease interest in the land and improvements.</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hold a leasehold mortgage interest, a net sub-leasehold interest and a co-tenancy interest in this property.</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hold a leasehold interest in this property.</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own a 55.0% interest in this joint venture.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approximately 9.0 million square feet of rentable office space, 0.9 million square feet of rentable retail space and 0.1 million square feet of garage space.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own a 66.18% interest in this joint venture and manage the property held by such venture.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hold a 68.45% economic interest in this joint venture.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own a 49.9% interest in this joint venture.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own a 16.7% interest in this joint venture and manage the property held by such venture.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own a 45.0% interest in this joint venture. We do not manage this property.</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approximately 8.0 million square feet of rentable office space, 0.7 million square feet of rentable retail space and 0.1 million square feet of garage space.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own a 30.0% interest in this joint venture.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own a 50.0% interest in this joint venture.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own a 45.0% interest in this joint venture.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own a 50.1% interest in this joint venture.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hold a 45.01% interest in this joint venture.</w:t>
      </w:r>
    </w:p>
    <w:p>
      <w:pPr>
        <w:spacing w:after="0" w:line="103" w:lineRule="exact"/>
        <w:rPr>
          <w:rFonts w:ascii="Arial" w:cs="Arial" w:eastAsia="Arial" w:hAnsi="Arial"/>
          <w:sz w:val="11"/>
          <w:szCs w:val="11"/>
          <w:color w:val="auto"/>
        </w:rPr>
      </w:pPr>
    </w:p>
    <w:p>
      <w:pPr>
        <w:ind w:left="320" w:hanging="312"/>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hold a 92.0% interest in this property.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u w:val="single" w:color="auto"/>
          <w:color w:val="auto"/>
        </w:rPr>
        <w:t>Historical Occupancy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historically achieved consistently higher occupancy rates in comparison to the overall Midtown markets, as shown over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last five years in the following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Occupancy Rate of</w:t>
            </w:r>
          </w:p>
        </w:tc>
        <w:tc>
          <w:tcPr>
            <w:tcW w:w="2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Occupancy Rate of</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0" w:type="dxa"/>
            <w:vAlign w:val="bottom"/>
            <w:vMerge w:val="restart"/>
          </w:tcPr>
          <w:p>
            <w:pPr>
              <w:jc w:val="center"/>
              <w:ind w:left="528"/>
              <w:spacing w:after="0"/>
              <w:rPr>
                <w:sz w:val="20"/>
                <w:szCs w:val="20"/>
                <w:color w:val="auto"/>
              </w:rPr>
            </w:pPr>
            <w:r>
              <w:rPr>
                <w:rFonts w:ascii="Arial" w:cs="Arial" w:eastAsia="Arial" w:hAnsi="Arial"/>
                <w:sz w:val="14"/>
                <w:szCs w:val="14"/>
                <w:b w:val="1"/>
                <w:bCs w:val="1"/>
                <w:color w:val="auto"/>
                <w:w w:val="93"/>
              </w:rPr>
              <w:t>Percent of</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Class A</w:t>
            </w:r>
          </w:p>
        </w:tc>
        <w:tc>
          <w:tcPr>
            <w:tcW w:w="2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Office Properties</w:t>
            </w:r>
          </w:p>
        </w:tc>
        <w:tc>
          <w:tcPr>
            <w:tcW w:w="2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0" w:type="dxa"/>
            <w:vAlign w:val="bottom"/>
          </w:tcPr>
          <w:p>
            <w:pPr>
              <w:jc w:val="center"/>
              <w:ind w:left="528"/>
              <w:spacing w:after="0" w:line="135" w:lineRule="exact"/>
              <w:rPr>
                <w:sz w:val="20"/>
                <w:szCs w:val="20"/>
                <w:color w:val="auto"/>
              </w:rPr>
            </w:pPr>
            <w:r>
              <w:rPr>
                <w:rFonts w:ascii="Arial" w:cs="Arial" w:eastAsia="Arial" w:hAnsi="Arial"/>
                <w:sz w:val="14"/>
                <w:szCs w:val="14"/>
                <w:b w:val="1"/>
                <w:bCs w:val="1"/>
                <w:color w:val="auto"/>
                <w:w w:val="97"/>
              </w:rPr>
              <w:t>Portfolio</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In The Midtown</w:t>
            </w:r>
          </w:p>
        </w:tc>
        <w:tc>
          <w:tcPr>
            <w:tcW w:w="26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Office Properties</w:t>
            </w:r>
          </w:p>
        </w:tc>
        <w:tc>
          <w:tcPr>
            <w:tcW w:w="0" w:type="dxa"/>
            <w:vAlign w:val="bottom"/>
          </w:tcPr>
          <w:p>
            <w:pPr>
              <w:spacing w:after="0"/>
              <w:rPr>
                <w:sz w:val="1"/>
                <w:szCs w:val="1"/>
                <w:color w:val="auto"/>
              </w:rPr>
            </w:pPr>
          </w:p>
        </w:tc>
      </w:tr>
      <w:tr>
        <w:trPr>
          <w:trHeight w:val="162"/>
        </w:trPr>
        <w:tc>
          <w:tcPr>
            <w:tcW w:w="220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2"/>
              </w:rPr>
              <w:t>Leased (1)</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Markets (2) (3)</w:t>
            </w:r>
          </w:p>
        </w:tc>
        <w:tc>
          <w:tcPr>
            <w:tcW w:w="260" w:type="dxa"/>
            <w:vAlign w:val="bottom"/>
            <w:tcBorders>
              <w:bottom w:val="single" w:sz="8" w:color="CCEEFF"/>
            </w:tcBorders>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the Midtown Markets (2) (3)</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2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December 31, 2005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96.7%</w:t>
            </w:r>
          </w:p>
        </w:tc>
        <w:tc>
          <w:tcPr>
            <w:tcW w:w="2680" w:type="dxa"/>
            <w:vAlign w:val="bottom"/>
            <w:gridSpan w:val="2"/>
          </w:tcPr>
          <w:p>
            <w:pPr>
              <w:jc w:val="right"/>
              <w:ind w:right="120"/>
              <w:spacing w:after="0"/>
              <w:rPr>
                <w:sz w:val="20"/>
                <w:szCs w:val="20"/>
                <w:color w:val="auto"/>
              </w:rPr>
            </w:pPr>
            <w:r>
              <w:rPr>
                <w:rFonts w:ascii="Arial" w:cs="Arial" w:eastAsia="Arial" w:hAnsi="Arial"/>
                <w:sz w:val="18"/>
                <w:szCs w:val="18"/>
                <w:color w:val="auto"/>
              </w:rPr>
              <w:t>94.4%</w:t>
            </w:r>
          </w:p>
        </w:tc>
        <w:tc>
          <w:tcPr>
            <w:tcW w:w="264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2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December 31, 2003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268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c>
          <w:tcPr>
            <w:tcW w:w="264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2002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w:t>
            </w:r>
          </w:p>
        </w:tc>
        <w:tc>
          <w:tcPr>
            <w:tcW w:w="2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108"/>
        </w:trPr>
        <w:tc>
          <w:tcPr>
            <w:tcW w:w="220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space for leases that were executed as of the relevant date in our wholly-owned and joint venture properties owned by us as of that date.</w:t>
      </w:r>
    </w:p>
    <w:p>
      <w:pPr>
        <w:spacing w:after="0" w:line="128" w:lineRule="exact"/>
        <w:rPr>
          <w:rFonts w:ascii="Arial" w:cs="Arial" w:eastAsia="Arial" w:hAnsi="Arial"/>
          <w:sz w:val="17"/>
          <w:szCs w:val="17"/>
          <w:color w:val="auto"/>
        </w:rPr>
      </w:pPr>
    </w:p>
    <w:p>
      <w:pPr>
        <w:ind w:left="360" w:right="40" w:hanging="352"/>
        <w:spacing w:after="0" w:line="277" w:lineRule="auto"/>
        <w:tabs>
          <w:tab w:leader="none" w:pos="3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vacant space available for direct lease, but does not include vacant space available for sublease, which if included, would reduce the occupancy rate as of each date shown. Source: Cushman &amp; Wakefield.</w:t>
      </w:r>
    </w:p>
    <w:p>
      <w:pPr>
        <w:spacing w:after="0" w:line="62" w:lineRule="exact"/>
        <w:rPr>
          <w:rFonts w:ascii="Arial" w:cs="Arial" w:eastAsia="Arial" w:hAnsi="Arial"/>
          <w:sz w:val="18"/>
          <w:szCs w:val="18"/>
          <w:color w:val="auto"/>
        </w:rPr>
      </w:pPr>
    </w:p>
    <w:p>
      <w:pPr>
        <w:ind w:left="360" w:right="160" w:hanging="352"/>
        <w:spacing w:after="0" w:line="259" w:lineRule="auto"/>
        <w:tabs>
          <w:tab w:leader="none" w:pos="3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“Class B” is generally used in the Manhattan office market to describe office properties that are more than 25 years old but that are in good physical condition, enjoy widespread acceptance by high-quality tenants and are situated in desirable locations in Manhattan. Class B office properties can be distinguished from Class A properties in that Class A properties are generally newer properties with higher finishes and obtain the highest rental rates within their markets.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Lease Expirations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Leases in our portfolio, as at many other Manhattan office properties, typically extend for a term of seven to ten years, compared to typical lease terms of five to ten years in other large U.S. office markets. For the five years ending December 31, 2011, the average annual rollover at our wholly-owned properties and joint venture properties is approximately 0.8 million square feet and 0.7 million square feet, respectively, representing an average annual expiration rate of 7.7% and 7.8% respectively, per year (assuming no tenants exercise renewal or cancellation options and there are no tenant bankruptcies or other tenant defaults).</w:t>
      </w:r>
    </w:p>
    <w:p>
      <w:pPr>
        <w:spacing w:after="0" w:line="18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following tables set forth a schedule of the annual lease expirations at our wholly-owned properties and joint venture properties, respectively, with respect to leases in place as of December 31, 2006 for each of the next ten years and thereafter (assuming that no tenants exercise renewal or cancellation options and that there are no tenant bankruptcies or other tenant defaults):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Annualized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Rent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Square</w:t>
            </w:r>
          </w:p>
        </w:tc>
        <w:tc>
          <w:tcPr>
            <w:tcW w:w="1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3"/>
              </w:rPr>
              <w:t>Annualized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Leased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Footage</w:t>
            </w:r>
          </w:p>
        </w:tc>
        <w:tc>
          <w:tcPr>
            <w:tcW w:w="15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1"/>
                <w:szCs w:val="11"/>
                <w:color w:val="auto"/>
              </w:rPr>
            </w:pPr>
          </w:p>
        </w:tc>
        <w:tc>
          <w:tcPr>
            <w:tcW w:w="110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6"/>
              </w:rPr>
              <w:t>Rent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Square</w:t>
            </w:r>
          </w:p>
        </w:tc>
        <w:tc>
          <w:tcPr>
            <w:tcW w:w="0" w:type="dxa"/>
            <w:vAlign w:val="bottom"/>
          </w:tcPr>
          <w:p>
            <w:pPr>
              <w:spacing w:after="0"/>
              <w:rPr>
                <w:sz w:val="1"/>
                <w:szCs w:val="1"/>
                <w:color w:val="auto"/>
              </w:rPr>
            </w:pPr>
          </w:p>
        </w:tc>
      </w:tr>
      <w:tr>
        <w:trPr>
          <w:trHeight w:val="135"/>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Wholly-Owned Properties</w:t>
            </w:r>
          </w:p>
        </w:tc>
        <w:tc>
          <w:tcPr>
            <w:tcW w:w="9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of</w:t>
            </w:r>
          </w:p>
        </w:tc>
        <w:tc>
          <w:tcPr>
            <w:tcW w:w="15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Leased</w:t>
            </w:r>
          </w:p>
        </w:tc>
        <w:tc>
          <w:tcPr>
            <w:tcW w:w="180" w:type="dxa"/>
            <w:vAlign w:val="bottom"/>
          </w:tcPr>
          <w:p>
            <w:pPr>
              <w:spacing w:after="0"/>
              <w:rPr>
                <w:sz w:val="11"/>
                <w:szCs w:val="11"/>
                <w:color w:val="auto"/>
              </w:rPr>
            </w:pPr>
          </w:p>
        </w:tc>
        <w:tc>
          <w:tcPr>
            <w:tcW w:w="110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Foot of</w:t>
            </w:r>
          </w:p>
        </w:tc>
        <w:tc>
          <w:tcPr>
            <w:tcW w:w="0" w:type="dxa"/>
            <w:vAlign w:val="bottom"/>
          </w:tcPr>
          <w:p>
            <w:pPr>
              <w:spacing w:after="0"/>
              <w:rPr>
                <w:sz w:val="1"/>
                <w:szCs w:val="1"/>
                <w:color w:val="auto"/>
              </w:rPr>
            </w:pPr>
          </w:p>
        </w:tc>
      </w:tr>
      <w:tr>
        <w:trPr>
          <w:trHeight w:val="135"/>
        </w:trPr>
        <w:tc>
          <w:tcPr>
            <w:tcW w:w="3940" w:type="dxa"/>
            <w:vAlign w:val="bottom"/>
            <w:gridSpan w:val="3"/>
            <w:vMerge w:val="continue"/>
          </w:tcPr>
          <w:p>
            <w:pPr>
              <w:spacing w:after="0"/>
              <w:rPr>
                <w:sz w:val="11"/>
                <w:szCs w:val="11"/>
                <w:color w:val="auto"/>
              </w:rPr>
            </w:pPr>
          </w:p>
        </w:tc>
        <w:tc>
          <w:tcPr>
            <w:tcW w:w="9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9"/>
              </w:rPr>
              <w:t>Expiring</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Expiring</w:t>
            </w: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Square</w:t>
            </w:r>
          </w:p>
        </w:tc>
        <w:tc>
          <w:tcPr>
            <w:tcW w:w="180" w:type="dxa"/>
            <w:vAlign w:val="bottom"/>
          </w:tcPr>
          <w:p>
            <w:pPr>
              <w:spacing w:after="0"/>
              <w:rPr>
                <w:sz w:val="11"/>
                <w:szCs w:val="11"/>
                <w:color w:val="auto"/>
              </w:rPr>
            </w:pPr>
          </w:p>
        </w:tc>
        <w:tc>
          <w:tcPr>
            <w:tcW w:w="110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6"/>
              </w:rPr>
              <w:t>Expiring</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9"/>
              </w:rPr>
              <w:t>Expiring</w:t>
            </w:r>
          </w:p>
        </w:tc>
        <w:tc>
          <w:tcPr>
            <w:tcW w:w="0" w:type="dxa"/>
            <w:vAlign w:val="bottom"/>
          </w:tcPr>
          <w:p>
            <w:pPr>
              <w:spacing w:after="0"/>
              <w:rPr>
                <w:sz w:val="1"/>
                <w:szCs w:val="1"/>
                <w:color w:val="auto"/>
              </w:rPr>
            </w:pPr>
          </w:p>
        </w:tc>
      </w:tr>
      <w:tr>
        <w:trPr>
          <w:trHeight w:val="162"/>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Year of Lease Expiration</w:t>
            </w:r>
          </w:p>
        </w:tc>
        <w:tc>
          <w:tcPr>
            <w:tcW w:w="940" w:type="dxa"/>
            <w:vAlign w:val="bottom"/>
          </w:tcPr>
          <w:p>
            <w:pPr>
              <w:jc w:val="center"/>
              <w:ind w:left="228"/>
              <w:spacing w:after="0"/>
              <w:rPr>
                <w:sz w:val="20"/>
                <w:szCs w:val="20"/>
                <w:color w:val="auto"/>
              </w:rPr>
            </w:pPr>
            <w:r>
              <w:rPr>
                <w:rFonts w:ascii="Arial" w:cs="Arial" w:eastAsia="Arial" w:hAnsi="Arial"/>
                <w:sz w:val="14"/>
                <w:szCs w:val="14"/>
                <w:b w:val="1"/>
                <w:bCs w:val="1"/>
                <w:color w:val="auto"/>
                <w:w w:val="84"/>
              </w:rPr>
              <w:t>Leases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Leases</w:t>
            </w: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Feet (%)</w:t>
            </w:r>
          </w:p>
        </w:tc>
        <w:tc>
          <w:tcPr>
            <w:tcW w:w="180" w:type="dxa"/>
            <w:vAlign w:val="bottom"/>
          </w:tcPr>
          <w:p>
            <w:pPr>
              <w:spacing w:after="0"/>
              <w:rPr>
                <w:sz w:val="14"/>
                <w:szCs w:val="14"/>
                <w:color w:val="auto"/>
              </w:rPr>
            </w:pPr>
          </w:p>
        </w:tc>
        <w:tc>
          <w:tcPr>
            <w:tcW w:w="1100" w:type="dxa"/>
            <w:vAlign w:val="bottom"/>
          </w:tcPr>
          <w:p>
            <w:pPr>
              <w:jc w:val="center"/>
              <w:ind w:right="116"/>
              <w:spacing w:after="0"/>
              <w:rPr>
                <w:sz w:val="20"/>
                <w:szCs w:val="20"/>
                <w:color w:val="auto"/>
              </w:rPr>
            </w:pPr>
            <w:r>
              <w:rPr>
                <w:rFonts w:ascii="Arial" w:cs="Arial" w:eastAsia="Arial" w:hAnsi="Arial"/>
                <w:sz w:val="14"/>
                <w:szCs w:val="14"/>
                <w:b w:val="1"/>
                <w:bCs w:val="1"/>
                <w:color w:val="auto"/>
                <w:w w:val="90"/>
              </w:rPr>
              <w:t>Leases (1)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Leases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2007 (3)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401,327</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16,170,048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113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684,299</w:t>
            </w: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28,182,180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684,793</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29,465,652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121</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1,433,192</w:t>
            </w: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57,844,752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675,792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32,608,212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809,163</w:t>
            </w: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24,955,668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888,380</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8.82%</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34,957,308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338,292</w:t>
            </w: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12,616,512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564,693</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23,619,672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0" w:gutter="0" w:footer="0" w:header="0"/>
        </w:sectPr>
      </w:pPr>
    </w:p>
    <w:bookmarkStart w:id="16" w:name="page17"/>
    <w:bookmarkEnd w:id="16"/>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2016 &amp; thereafter</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3,595,790</w:t>
            </w:r>
          </w:p>
        </w:tc>
        <w:tc>
          <w:tcPr>
            <w:tcW w:w="280" w:type="dxa"/>
            <w:vAlign w:val="bottom"/>
          </w:tcPr>
          <w:p>
            <w:pPr>
              <w:spacing w:after="0"/>
              <w:rPr>
                <w:sz w:val="20"/>
                <w:szCs w:val="20"/>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35.69%</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157,156,368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43.71</w:t>
            </w:r>
          </w:p>
        </w:tc>
        <w:tc>
          <w:tcPr>
            <w:tcW w:w="80" w:type="dxa"/>
            <w:vAlign w:val="bottom"/>
          </w:tcPr>
          <w:p>
            <w:pPr>
              <w:spacing w:after="0"/>
              <w:rPr>
                <w:sz w:val="20"/>
                <w:szCs w:val="20"/>
                <w:color w:val="auto"/>
              </w:rPr>
            </w:pPr>
          </w:p>
        </w:tc>
      </w:tr>
      <w:tr>
        <w:trPr>
          <w:trHeight w:val="223"/>
        </w:trPr>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Total/weighted average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10,075,721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417,576,372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94" w:lineRule="exact"/>
        <w:rPr>
          <w:sz w:val="20"/>
          <w:szCs w:val="20"/>
          <w:color w:val="auto"/>
        </w:rPr>
      </w:pPr>
    </w:p>
    <w:p>
      <w:pPr>
        <w:ind w:left="360" w:right="60" w:hanging="352"/>
        <w:spacing w:after="0" w:line="312" w:lineRule="auto"/>
        <w:tabs>
          <w:tab w:leader="none" w:pos="3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Annualized Rent of Expiring Leases represents the monthly contractual rent under existing leases as of December 31, 2006 multiplied by 12. This amount reflects total rent before any rent abatements and includes expense reimbursements, which may be estimated as of such date. Total rent abatements for leases in effect as of December 31, 2006 for the 12 months ending December 31, 2007, are approximately $4.6 million for the properties.</w:t>
      </w:r>
    </w:p>
    <w:p>
      <w:pPr>
        <w:spacing w:after="0" w:line="38" w:lineRule="exact"/>
        <w:rPr>
          <w:rFonts w:ascii="Arial" w:cs="Arial" w:eastAsia="Arial" w:hAnsi="Arial"/>
          <w:sz w:val="16"/>
          <w:szCs w:val="16"/>
          <w:color w:val="auto"/>
        </w:rPr>
      </w:pPr>
    </w:p>
    <w:p>
      <w:pPr>
        <w:ind w:left="360" w:right="620" w:hanging="352"/>
        <w:spacing w:after="0" w:line="277" w:lineRule="auto"/>
        <w:tabs>
          <w:tab w:leader="none" w:pos="3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Annualized Rent Per Leased Square Foot of Expiring Leases represents Annualized Rent of Expiring Leases, as described in footnote (1) above, presented on a per leased square foot basis.</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51,000 square feet of month-to-month holdover tenants whose leases expired prior to December 31, 2006.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Annualized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Rent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Square</w:t>
            </w:r>
          </w:p>
        </w:tc>
        <w:tc>
          <w:tcPr>
            <w:tcW w:w="12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3"/>
              </w:rPr>
              <w:t>Annualized</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Leased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Footage</w:t>
            </w: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6"/>
              </w:rPr>
              <w:t>Rent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Square</w:t>
            </w:r>
          </w:p>
        </w:tc>
        <w:tc>
          <w:tcPr>
            <w:tcW w:w="0" w:type="dxa"/>
            <w:vAlign w:val="bottom"/>
          </w:tcPr>
          <w:p>
            <w:pPr>
              <w:spacing w:after="0"/>
              <w:rPr>
                <w:sz w:val="1"/>
                <w:szCs w:val="1"/>
                <w:color w:val="auto"/>
              </w:rPr>
            </w:pPr>
          </w:p>
        </w:tc>
      </w:tr>
      <w:tr>
        <w:trPr>
          <w:trHeight w:val="135"/>
        </w:trPr>
        <w:tc>
          <w:tcPr>
            <w:tcW w:w="3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Joint Venture Properties</w:t>
            </w:r>
          </w:p>
        </w:tc>
        <w:tc>
          <w:tcPr>
            <w:tcW w:w="9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of</w:t>
            </w: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Leased</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Foot of</w:t>
            </w:r>
          </w:p>
        </w:tc>
        <w:tc>
          <w:tcPr>
            <w:tcW w:w="0" w:type="dxa"/>
            <w:vAlign w:val="bottom"/>
          </w:tcPr>
          <w:p>
            <w:pPr>
              <w:spacing w:after="0"/>
              <w:rPr>
                <w:sz w:val="1"/>
                <w:szCs w:val="1"/>
                <w:color w:val="auto"/>
              </w:rPr>
            </w:pPr>
          </w:p>
        </w:tc>
      </w:tr>
      <w:tr>
        <w:trPr>
          <w:trHeight w:val="135"/>
        </w:trPr>
        <w:tc>
          <w:tcPr>
            <w:tcW w:w="3960" w:type="dxa"/>
            <w:vAlign w:val="bottom"/>
            <w:gridSpan w:val="5"/>
            <w:vMerge w:val="continue"/>
          </w:tcPr>
          <w:p>
            <w:pPr>
              <w:spacing w:after="0"/>
              <w:rPr>
                <w:sz w:val="11"/>
                <w:szCs w:val="11"/>
                <w:color w:val="auto"/>
              </w:rPr>
            </w:pPr>
          </w:p>
        </w:tc>
        <w:tc>
          <w:tcPr>
            <w:tcW w:w="9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9"/>
              </w:rPr>
              <w:t>Expiring</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Expiring</w:t>
            </w: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Square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6"/>
              </w:rPr>
              <w:t>Expiring</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9"/>
              </w:rPr>
              <w:t>Expiring</w:t>
            </w:r>
          </w:p>
        </w:tc>
        <w:tc>
          <w:tcPr>
            <w:tcW w:w="0" w:type="dxa"/>
            <w:vAlign w:val="bottom"/>
          </w:tcPr>
          <w:p>
            <w:pPr>
              <w:spacing w:after="0"/>
              <w:rPr>
                <w:sz w:val="1"/>
                <w:szCs w:val="1"/>
                <w:color w:val="auto"/>
              </w:rPr>
            </w:pPr>
          </w:p>
        </w:tc>
      </w:tr>
      <w:tr>
        <w:trPr>
          <w:trHeight w:val="162"/>
        </w:trPr>
        <w:tc>
          <w:tcPr>
            <w:tcW w:w="3960" w:type="dxa"/>
            <w:vAlign w:val="bottom"/>
            <w:gridSpan w:val="5"/>
          </w:tcPr>
          <w:p>
            <w:pPr>
              <w:spacing w:after="0"/>
              <w:rPr>
                <w:sz w:val="20"/>
                <w:szCs w:val="20"/>
                <w:color w:val="auto"/>
              </w:rPr>
            </w:pPr>
            <w:r>
              <w:rPr>
                <w:rFonts w:ascii="Arial" w:cs="Arial" w:eastAsia="Arial" w:hAnsi="Arial"/>
                <w:sz w:val="14"/>
                <w:szCs w:val="14"/>
                <w:b w:val="1"/>
                <w:bCs w:val="1"/>
                <w:color w:val="auto"/>
              </w:rPr>
              <w:t>Year of Lease Expiration</w:t>
            </w:r>
          </w:p>
        </w:tc>
        <w:tc>
          <w:tcPr>
            <w:tcW w:w="940" w:type="dxa"/>
            <w:vAlign w:val="bottom"/>
          </w:tcPr>
          <w:p>
            <w:pPr>
              <w:jc w:val="center"/>
              <w:ind w:left="228"/>
              <w:spacing w:after="0"/>
              <w:rPr>
                <w:sz w:val="20"/>
                <w:szCs w:val="20"/>
                <w:color w:val="auto"/>
              </w:rPr>
            </w:pPr>
            <w:r>
              <w:rPr>
                <w:rFonts w:ascii="Arial" w:cs="Arial" w:eastAsia="Arial" w:hAnsi="Arial"/>
                <w:sz w:val="14"/>
                <w:szCs w:val="14"/>
                <w:b w:val="1"/>
                <w:bCs w:val="1"/>
                <w:color w:val="auto"/>
                <w:w w:val="84"/>
              </w:rPr>
              <w:t>Leases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Leases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Feet (%)</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Leases (1)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Leases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2007</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404,172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22,016,220</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2008</w:t>
            </w: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548,827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24,375,456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2009</w:t>
            </w:r>
          </w:p>
        </w:tc>
        <w:tc>
          <w:tcPr>
            <w:tcW w:w="1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571,503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28,318,812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1,587,997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79,924,056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2011</w:t>
            </w:r>
          </w:p>
        </w:tc>
        <w:tc>
          <w:tcPr>
            <w:tcW w:w="1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225,727</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9,542,208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2012</w:t>
            </w: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264,965</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10,581,120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2013</w:t>
            </w:r>
          </w:p>
        </w:tc>
        <w:tc>
          <w:tcPr>
            <w:tcW w:w="1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1,039,945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52,957,584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2014</w:t>
            </w: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219,552</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15,685,272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2015</w:t>
            </w:r>
          </w:p>
        </w:tc>
        <w:tc>
          <w:tcPr>
            <w:tcW w:w="1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544,690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23,654,352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89"/>
              </w:rPr>
              <w:t>2016</w:t>
            </w:r>
          </w:p>
        </w:tc>
        <w:tc>
          <w:tcPr>
            <w:tcW w:w="3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&amp; thereafter</w:t>
            </w: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3,187,804</w:t>
            </w: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152,751,240</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Total/weighted average</w:t>
            </w:r>
          </w:p>
        </w:tc>
        <w:tc>
          <w:tcPr>
            <w:tcW w:w="9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229</w:t>
            </w: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8,595,182</w:t>
            </w: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419,806,320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520" w:hanging="332"/>
        <w:spacing w:after="0" w:line="259" w:lineRule="auto"/>
        <w:tabs>
          <w:tab w:leader="none" w:pos="3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Annualized Rent of Expiring Leases represents the monthly contractual rent under existing leases as of December 31, 2006 multiplied by 12. This amount reflects total rent before any rent abatements and includes expense reimbursements, which may be estimated as of such date. Total rent abatements for leases in effect as of December 31, 2006 for the 12 months ending December 31, 2007 are approximately $1.0 million for the joint venture properties.</w:t>
      </w:r>
    </w:p>
    <w:p>
      <w:pPr>
        <w:spacing w:after="0" w:line="186" w:lineRule="exact"/>
        <w:rPr>
          <w:rFonts w:ascii="Arial" w:cs="Arial" w:eastAsia="Arial" w:hAnsi="Arial"/>
          <w:sz w:val="18"/>
          <w:szCs w:val="18"/>
          <w:color w:val="auto"/>
        </w:rPr>
      </w:pPr>
    </w:p>
    <w:p>
      <w:pPr>
        <w:ind w:left="340" w:right="680" w:hanging="332"/>
        <w:spacing w:after="0" w:line="277" w:lineRule="auto"/>
        <w:tabs>
          <w:tab w:leader="none" w:pos="3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Annualized Rent Per Leased Square Foot of Expiring Leases represents Annualized Rent of Expiring Leases, as described in footnote (1) above, presented on a per leased square foot basis.</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27,000 square feet of month-to-month holdover tenants whose leases expired prior to December 31, 2006.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Tenant Diversification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At December 31, 2006, our portfolio was leased to approximately 1,012 tenants, which are engaged in a variety of businesses, including professional services, financial services, media, apparel, business services and government/non-profit. The following table sets forth information regarding the leases with respect to the 25 largest tenants in our portfolio, based on the amount of square footage leased by our tenants as of 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Percentage of</w:t>
            </w:r>
          </w:p>
        </w:tc>
        <w:tc>
          <w:tcPr>
            <w:tcW w:w="1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5"/>
              </w:rPr>
              <w:t>Percentage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left="206"/>
              <w:spacing w:after="0"/>
              <w:rPr>
                <w:sz w:val="20"/>
                <w:szCs w:val="20"/>
                <w:color w:val="auto"/>
              </w:rPr>
            </w:pPr>
            <w:r>
              <w:rPr>
                <w:rFonts w:ascii="Arial" w:cs="Arial" w:eastAsia="Arial" w:hAnsi="Arial"/>
                <w:sz w:val="11"/>
                <w:szCs w:val="11"/>
                <w:b w:val="1"/>
                <w:bCs w:val="1"/>
                <w:color w:val="auto"/>
                <w:w w:val="88"/>
              </w:rPr>
              <w:t>Remaining Lease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Total Leased</w:t>
            </w:r>
          </w:p>
        </w:tc>
        <w:tc>
          <w:tcPr>
            <w:tcW w:w="1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Aggregate Portfolio</w:t>
            </w:r>
          </w:p>
        </w:tc>
        <w:tc>
          <w:tcPr>
            <w:tcW w:w="1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7"/>
              </w:rPr>
              <w:t>Aggregate Portfolio</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1080"/>
              <w:spacing w:after="0"/>
              <w:rPr>
                <w:sz w:val="20"/>
                <w:szCs w:val="20"/>
                <w:color w:val="auto"/>
              </w:rPr>
            </w:pPr>
            <w:r>
              <w:rPr>
                <w:rFonts w:ascii="Arial" w:cs="Arial" w:eastAsia="Arial" w:hAnsi="Arial"/>
                <w:sz w:val="11"/>
                <w:szCs w:val="11"/>
                <w:b w:val="1"/>
                <w:bCs w:val="1"/>
                <w:color w:val="auto"/>
              </w:rPr>
              <w:t>Tenant (1)</w:t>
            </w:r>
          </w:p>
        </w:tc>
        <w:tc>
          <w:tcPr>
            <w:tcW w:w="180" w:type="dxa"/>
            <w:vAlign w:val="bottom"/>
          </w:tcPr>
          <w:p>
            <w:pPr>
              <w:spacing w:after="0"/>
              <w:rPr>
                <w:sz w:val="12"/>
                <w:szCs w:val="12"/>
                <w:color w:val="auto"/>
              </w:rPr>
            </w:pPr>
          </w:p>
        </w:tc>
        <w:tc>
          <w:tcPr>
            <w:tcW w:w="1600" w:type="dxa"/>
            <w:vAlign w:val="bottom"/>
            <w:gridSpan w:val="2"/>
          </w:tcPr>
          <w:p>
            <w:pPr>
              <w:ind w:left="420"/>
              <w:spacing w:after="0"/>
              <w:rPr>
                <w:sz w:val="20"/>
                <w:szCs w:val="20"/>
                <w:color w:val="auto"/>
              </w:rPr>
            </w:pPr>
            <w:r>
              <w:rPr>
                <w:rFonts w:ascii="Arial" w:cs="Arial" w:eastAsia="Arial" w:hAnsi="Arial"/>
                <w:sz w:val="11"/>
                <w:szCs w:val="11"/>
                <w:b w:val="1"/>
                <w:bCs w:val="1"/>
                <w:color w:val="auto"/>
              </w:rPr>
              <w:t>Properties</w:t>
            </w:r>
          </w:p>
        </w:tc>
        <w:tc>
          <w:tcPr>
            <w:tcW w:w="1380" w:type="dxa"/>
            <w:vAlign w:val="bottom"/>
          </w:tcPr>
          <w:p>
            <w:pPr>
              <w:jc w:val="center"/>
              <w:ind w:left="226"/>
              <w:spacing w:after="0"/>
              <w:rPr>
                <w:sz w:val="20"/>
                <w:szCs w:val="20"/>
                <w:color w:val="auto"/>
              </w:rPr>
            </w:pPr>
            <w:r>
              <w:rPr>
                <w:rFonts w:ascii="Arial" w:cs="Arial" w:eastAsia="Arial" w:hAnsi="Arial"/>
                <w:sz w:val="11"/>
                <w:szCs w:val="11"/>
                <w:b w:val="1"/>
                <w:bCs w:val="1"/>
                <w:color w:val="auto"/>
                <w:w w:val="91"/>
              </w:rPr>
              <w:t>Term in Months (2)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Square Feet</w:t>
            </w:r>
          </w:p>
        </w:tc>
        <w:tc>
          <w:tcPr>
            <w:tcW w:w="1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Leased Square Feet (%)</w:t>
            </w:r>
          </w:p>
        </w:tc>
        <w:tc>
          <w:tcPr>
            <w:tcW w:w="1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Annualized Rent (%)</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2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Viacom International Inc.</w:t>
            </w:r>
          </w:p>
        </w:tc>
        <w:tc>
          <w:tcPr>
            <w:tcW w:w="17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1515 Broadway</w:t>
            </w:r>
          </w:p>
        </w:tc>
        <w:tc>
          <w:tcPr>
            <w:tcW w:w="13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161</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1,410,339</w:t>
            </w: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tcPr>
          <w:p>
            <w:pPr>
              <w:spacing w:after="0" w:line="122" w:lineRule="exact"/>
              <w:rPr>
                <w:sz w:val="20"/>
                <w:szCs w:val="20"/>
                <w:color w:val="auto"/>
              </w:rPr>
            </w:pPr>
            <w:r>
              <w:rPr>
                <w:rFonts w:ascii="Arial" w:cs="Arial" w:eastAsia="Arial" w:hAnsi="Arial"/>
                <w:sz w:val="11"/>
                <w:szCs w:val="11"/>
                <w:color w:val="auto"/>
              </w:rPr>
              <w:t>Credit Suisse Securities (USA), LLC</w:t>
            </w:r>
          </w:p>
        </w:tc>
        <w:tc>
          <w:tcPr>
            <w:tcW w:w="1780" w:type="dxa"/>
            <w:vAlign w:val="bottom"/>
            <w:gridSpan w:val="3"/>
          </w:tcPr>
          <w:p>
            <w:pPr>
              <w:spacing w:after="0" w:line="122" w:lineRule="exact"/>
              <w:rPr>
                <w:sz w:val="20"/>
                <w:szCs w:val="20"/>
                <w:color w:val="auto"/>
              </w:rPr>
            </w:pPr>
            <w:r>
              <w:rPr>
                <w:rFonts w:ascii="Arial" w:cs="Arial" w:eastAsia="Arial" w:hAnsi="Arial"/>
                <w:sz w:val="11"/>
                <w:szCs w:val="11"/>
                <w:color w:val="auto"/>
              </w:rPr>
              <w:t>One Madison Avenue</w:t>
            </w:r>
          </w:p>
        </w:tc>
        <w:tc>
          <w:tcPr>
            <w:tcW w:w="13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168</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1,123,879</w:t>
            </w:r>
          </w:p>
        </w:tc>
        <w:tc>
          <w:tcPr>
            <w:tcW w:w="8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Arial" w:cs="Arial" w:eastAsia="Arial" w:hAnsi="Arial"/>
                <w:sz w:val="11"/>
                <w:szCs w:val="11"/>
                <w:color w:val="auto"/>
              </w:rPr>
              <w:t>6.0</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Citigroup, N.A.</w:t>
            </w:r>
          </w:p>
        </w:tc>
        <w:tc>
          <w:tcPr>
            <w:tcW w:w="1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86"/>
              </w:rPr>
              <w:t>125</w:t>
            </w:r>
          </w:p>
        </w:tc>
        <w:tc>
          <w:tcPr>
            <w:tcW w:w="16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Broad Street,</w:t>
            </w:r>
          </w:p>
        </w:tc>
        <w:tc>
          <w:tcPr>
            <w:tcW w:w="13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One Park Avenue,</w:t>
            </w:r>
          </w:p>
        </w:tc>
        <w:tc>
          <w:tcPr>
            <w:tcW w:w="13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86"/>
              </w:rPr>
              <w:t>750</w:t>
            </w:r>
          </w:p>
        </w:tc>
        <w:tc>
          <w:tcPr>
            <w:tcW w:w="16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Third Avenue,</w:t>
            </w:r>
          </w:p>
        </w:tc>
        <w:tc>
          <w:tcPr>
            <w:tcW w:w="13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86"/>
              </w:rPr>
              <w:t>485</w:t>
            </w:r>
          </w:p>
        </w:tc>
        <w:tc>
          <w:tcPr>
            <w:tcW w:w="16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Lexington Avenue and</w:t>
            </w:r>
          </w:p>
        </w:tc>
        <w:tc>
          <w:tcPr>
            <w:tcW w:w="13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1"/>
                <w:szCs w:val="11"/>
                <w:color w:val="auto"/>
                <w:w w:val="86"/>
              </w:rPr>
              <w:t>800</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Third Avenue</w:t>
            </w:r>
          </w:p>
        </w:tc>
        <w:tc>
          <w:tcPr>
            <w:tcW w:w="13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80" w:type="dxa"/>
            <w:vAlign w:val="bottom"/>
            <w:shd w:val="clear" w:color="auto" w:fill="CCEEFF"/>
          </w:tcPr>
          <w:p>
            <w:pPr>
              <w:spacing w:after="0"/>
              <w:rPr>
                <w:sz w:val="11"/>
                <w:szCs w:val="1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653,366</w:t>
            </w:r>
          </w:p>
        </w:tc>
        <w:tc>
          <w:tcPr>
            <w:tcW w:w="80" w:type="dxa"/>
            <w:vAlign w:val="bottom"/>
            <w:shd w:val="clear" w:color="auto" w:fill="CCEEFF"/>
          </w:tcPr>
          <w:p>
            <w:pPr>
              <w:spacing w:after="0"/>
              <w:rPr>
                <w:sz w:val="11"/>
                <w:szCs w:val="1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1"/>
                <w:szCs w:val="1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gridSpan w:val="2"/>
          </w:tcPr>
          <w:p>
            <w:pPr>
              <w:spacing w:after="0" w:line="112" w:lineRule="exact"/>
              <w:rPr>
                <w:sz w:val="20"/>
                <w:szCs w:val="20"/>
                <w:color w:val="auto"/>
              </w:rPr>
            </w:pPr>
            <w:r>
              <w:rPr>
                <w:rFonts w:ascii="Arial" w:cs="Arial" w:eastAsia="Arial" w:hAnsi="Arial"/>
                <w:sz w:val="11"/>
                <w:szCs w:val="11"/>
                <w:color w:val="auto"/>
              </w:rPr>
              <w:t>Omnicom Group</w:t>
            </w:r>
          </w:p>
        </w:tc>
        <w:tc>
          <w:tcPr>
            <w:tcW w:w="180" w:type="dxa"/>
            <w:vAlign w:val="bottom"/>
          </w:tcPr>
          <w:p>
            <w:pPr>
              <w:spacing w:after="0" w:line="112" w:lineRule="exact"/>
              <w:rPr>
                <w:sz w:val="20"/>
                <w:szCs w:val="20"/>
                <w:color w:val="auto"/>
              </w:rPr>
            </w:pPr>
            <w:r>
              <w:rPr>
                <w:rFonts w:ascii="Arial" w:cs="Arial" w:eastAsia="Arial" w:hAnsi="Arial"/>
                <w:sz w:val="11"/>
                <w:szCs w:val="11"/>
                <w:color w:val="auto"/>
                <w:w w:val="86"/>
              </w:rPr>
              <w:t>220</w:t>
            </w:r>
          </w:p>
        </w:tc>
        <w:tc>
          <w:tcPr>
            <w:tcW w:w="1600" w:type="dxa"/>
            <w:vAlign w:val="bottom"/>
            <w:gridSpan w:val="2"/>
          </w:tcPr>
          <w:p>
            <w:pPr>
              <w:ind w:left="20"/>
              <w:spacing w:after="0" w:line="112" w:lineRule="exact"/>
              <w:rPr>
                <w:sz w:val="20"/>
                <w:szCs w:val="20"/>
                <w:color w:val="auto"/>
              </w:rPr>
            </w:pPr>
            <w:r>
              <w:rPr>
                <w:rFonts w:ascii="Arial" w:cs="Arial" w:eastAsia="Arial" w:hAnsi="Arial"/>
                <w:sz w:val="9"/>
                <w:szCs w:val="9"/>
                <w:color w:val="auto"/>
              </w:rPr>
              <w:t>East 42</w:t>
            </w:r>
            <w:r>
              <w:rPr>
                <w:rFonts w:ascii="Arial" w:cs="Arial" w:eastAsia="Arial" w:hAnsi="Arial"/>
                <w:sz w:val="12"/>
                <w:szCs w:val="12"/>
                <w:color w:val="auto"/>
                <w:vertAlign w:val="superscript"/>
              </w:rPr>
              <w:t>nd</w:t>
            </w:r>
            <w:r>
              <w:rPr>
                <w:rFonts w:ascii="Arial" w:cs="Arial" w:eastAsia="Arial" w:hAnsi="Arial"/>
                <w:sz w:val="9"/>
                <w:szCs w:val="9"/>
                <w:color w:val="auto"/>
              </w:rPr>
              <w:t xml:space="preserve"> Street,</w:t>
            </w: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line="122" w:lineRule="exact"/>
              <w:rPr>
                <w:sz w:val="20"/>
                <w:szCs w:val="20"/>
                <w:color w:val="auto"/>
              </w:rPr>
            </w:pPr>
            <w:r>
              <w:rPr>
                <w:rFonts w:ascii="Arial" w:cs="Arial" w:eastAsia="Arial" w:hAnsi="Arial"/>
                <w:sz w:val="11"/>
                <w:szCs w:val="11"/>
                <w:color w:val="auto"/>
                <w:w w:val="86"/>
              </w:rPr>
              <w:t>420</w:t>
            </w:r>
          </w:p>
        </w:tc>
        <w:tc>
          <w:tcPr>
            <w:tcW w:w="16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LexingtonAvenue &amp;</w:t>
            </w: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20"/>
                <w:szCs w:val="20"/>
                <w:color w:val="auto"/>
              </w:rPr>
            </w:pPr>
            <w:r>
              <w:rPr>
                <w:rFonts w:ascii="Arial" w:cs="Arial" w:eastAsia="Arial" w:hAnsi="Arial"/>
                <w:sz w:val="11"/>
                <w:szCs w:val="11"/>
                <w:color w:val="auto"/>
                <w:w w:val="86"/>
              </w:rPr>
              <w:t>485</w:t>
            </w:r>
          </w:p>
        </w:tc>
        <w:tc>
          <w:tcPr>
            <w:tcW w:w="1600" w:type="dxa"/>
            <w:vAlign w:val="bottom"/>
            <w:gridSpan w:val="2"/>
          </w:tcPr>
          <w:p>
            <w:pPr>
              <w:ind w:left="20"/>
              <w:spacing w:after="0"/>
              <w:rPr>
                <w:sz w:val="20"/>
                <w:szCs w:val="20"/>
                <w:color w:val="auto"/>
              </w:rPr>
            </w:pPr>
            <w:r>
              <w:rPr>
                <w:rFonts w:ascii="Arial" w:cs="Arial" w:eastAsia="Arial" w:hAnsi="Arial"/>
                <w:sz w:val="11"/>
                <w:szCs w:val="11"/>
                <w:color w:val="auto"/>
              </w:rPr>
              <w:t>Lexington Avenue</w:t>
            </w:r>
          </w:p>
        </w:tc>
        <w:tc>
          <w:tcPr>
            <w:tcW w:w="13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124</w:t>
            </w:r>
          </w:p>
        </w:tc>
        <w:tc>
          <w:tcPr>
            <w:tcW w:w="8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573,470</w:t>
            </w:r>
          </w:p>
        </w:tc>
        <w:tc>
          <w:tcPr>
            <w:tcW w:w="8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Morgan Stanley &amp; Co., Inc.</w:t>
            </w:r>
          </w:p>
        </w:tc>
        <w:tc>
          <w:tcPr>
            <w:tcW w:w="17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1221 Avenue of the Americas</w:t>
            </w:r>
          </w:p>
        </w:tc>
        <w:tc>
          <w:tcPr>
            <w:tcW w:w="13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144</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517,768</w:t>
            </w: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tcPr>
          <w:p>
            <w:pPr>
              <w:spacing w:after="0" w:line="122" w:lineRule="exact"/>
              <w:rPr>
                <w:sz w:val="20"/>
                <w:szCs w:val="20"/>
                <w:color w:val="auto"/>
              </w:rPr>
            </w:pPr>
            <w:r>
              <w:rPr>
                <w:rFonts w:ascii="Arial" w:cs="Arial" w:eastAsia="Arial" w:hAnsi="Arial"/>
                <w:sz w:val="11"/>
                <w:szCs w:val="11"/>
                <w:color w:val="auto"/>
              </w:rPr>
              <w:t>Societe Generale</w:t>
            </w:r>
          </w:p>
        </w:tc>
        <w:tc>
          <w:tcPr>
            <w:tcW w:w="1780" w:type="dxa"/>
            <w:vAlign w:val="bottom"/>
            <w:gridSpan w:val="3"/>
          </w:tcPr>
          <w:p>
            <w:pPr>
              <w:spacing w:after="0" w:line="122" w:lineRule="exact"/>
              <w:rPr>
                <w:sz w:val="20"/>
                <w:szCs w:val="20"/>
                <w:color w:val="auto"/>
              </w:rPr>
            </w:pPr>
            <w:r>
              <w:rPr>
                <w:rFonts w:ascii="Arial" w:cs="Arial" w:eastAsia="Arial" w:hAnsi="Arial"/>
                <w:sz w:val="11"/>
                <w:szCs w:val="11"/>
                <w:color w:val="auto"/>
              </w:rPr>
              <w:t>1221 Avenue of the Americas</w:t>
            </w:r>
          </w:p>
        </w:tc>
        <w:tc>
          <w:tcPr>
            <w:tcW w:w="13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81</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486,663</w:t>
            </w:r>
          </w:p>
        </w:tc>
        <w:tc>
          <w:tcPr>
            <w:tcW w:w="8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The McGraw Hill Companies</w:t>
            </w:r>
          </w:p>
        </w:tc>
        <w:tc>
          <w:tcPr>
            <w:tcW w:w="17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1221 Avenue of the Americas</w:t>
            </w:r>
          </w:p>
        </w:tc>
        <w:tc>
          <w:tcPr>
            <w:tcW w:w="13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420,328</w:t>
            </w: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gridSpan w:val="2"/>
          </w:tcPr>
          <w:p>
            <w:pPr>
              <w:spacing w:after="0" w:line="112" w:lineRule="exact"/>
              <w:rPr>
                <w:sz w:val="20"/>
                <w:szCs w:val="20"/>
                <w:color w:val="auto"/>
              </w:rPr>
            </w:pPr>
            <w:r>
              <w:rPr>
                <w:rFonts w:ascii="Arial" w:cs="Arial" w:eastAsia="Arial" w:hAnsi="Arial"/>
                <w:sz w:val="11"/>
                <w:szCs w:val="11"/>
                <w:color w:val="auto"/>
              </w:rPr>
              <w:t>Advance Magazine Group</w:t>
            </w:r>
          </w:p>
        </w:tc>
        <w:tc>
          <w:tcPr>
            <w:tcW w:w="1780" w:type="dxa"/>
            <w:vAlign w:val="bottom"/>
            <w:gridSpan w:val="3"/>
          </w:tcPr>
          <w:p>
            <w:pPr>
              <w:spacing w:after="0" w:line="112" w:lineRule="exact"/>
              <w:rPr>
                <w:sz w:val="20"/>
                <w:szCs w:val="20"/>
                <w:color w:val="auto"/>
              </w:rPr>
            </w:pPr>
            <w:r>
              <w:rPr>
                <w:rFonts w:ascii="Arial" w:cs="Arial" w:eastAsia="Arial" w:hAnsi="Arial"/>
                <w:sz w:val="11"/>
                <w:szCs w:val="11"/>
                <w:color w:val="auto"/>
              </w:rPr>
              <w:t>750 Third Avenue &amp;</w:t>
            </w: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20"/>
                <w:szCs w:val="20"/>
                <w:color w:val="auto"/>
              </w:rPr>
            </w:pPr>
            <w:r>
              <w:rPr>
                <w:rFonts w:ascii="Arial" w:cs="Arial" w:eastAsia="Arial" w:hAnsi="Arial"/>
                <w:sz w:val="11"/>
                <w:szCs w:val="11"/>
                <w:color w:val="auto"/>
                <w:w w:val="86"/>
              </w:rPr>
              <w:t>485</w:t>
            </w:r>
          </w:p>
        </w:tc>
        <w:tc>
          <w:tcPr>
            <w:tcW w:w="1600" w:type="dxa"/>
            <w:vAlign w:val="bottom"/>
            <w:gridSpan w:val="2"/>
          </w:tcPr>
          <w:p>
            <w:pPr>
              <w:ind w:left="20"/>
              <w:spacing w:after="0"/>
              <w:rPr>
                <w:sz w:val="20"/>
                <w:szCs w:val="20"/>
                <w:color w:val="auto"/>
              </w:rPr>
            </w:pPr>
            <w:r>
              <w:rPr>
                <w:rFonts w:ascii="Arial" w:cs="Arial" w:eastAsia="Arial" w:hAnsi="Arial"/>
                <w:sz w:val="11"/>
                <w:szCs w:val="11"/>
                <w:color w:val="auto"/>
              </w:rPr>
              <w:t>Lexington Avenue</w:t>
            </w:r>
          </w:p>
        </w:tc>
        <w:tc>
          <w:tcPr>
            <w:tcW w:w="13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342,720</w:t>
            </w:r>
          </w:p>
        </w:tc>
        <w:tc>
          <w:tcPr>
            <w:tcW w:w="8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Visiting Nurse Services of New York</w:t>
            </w:r>
          </w:p>
        </w:tc>
        <w:tc>
          <w:tcPr>
            <w:tcW w:w="17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1250 Broadway</w:t>
            </w:r>
          </w:p>
        </w:tc>
        <w:tc>
          <w:tcPr>
            <w:tcW w:w="13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144</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295,870</w:t>
            </w: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gridSpan w:val="2"/>
          </w:tcPr>
          <w:p>
            <w:pPr>
              <w:spacing w:after="0" w:line="112" w:lineRule="exact"/>
              <w:rPr>
                <w:sz w:val="20"/>
                <w:szCs w:val="20"/>
                <w:color w:val="auto"/>
              </w:rPr>
            </w:pPr>
            <w:r>
              <w:rPr>
                <w:rFonts w:ascii="Arial" w:cs="Arial" w:eastAsia="Arial" w:hAnsi="Arial"/>
                <w:sz w:val="11"/>
                <w:szCs w:val="11"/>
                <w:color w:val="auto"/>
              </w:rPr>
              <w:t>New York Presbyterian Hospital</w:t>
            </w:r>
          </w:p>
        </w:tc>
        <w:tc>
          <w:tcPr>
            <w:tcW w:w="180" w:type="dxa"/>
            <w:vAlign w:val="bottom"/>
          </w:tcPr>
          <w:p>
            <w:pPr>
              <w:spacing w:after="0" w:line="112" w:lineRule="exact"/>
              <w:rPr>
                <w:sz w:val="20"/>
                <w:szCs w:val="20"/>
                <w:color w:val="auto"/>
              </w:rPr>
            </w:pPr>
            <w:r>
              <w:rPr>
                <w:rFonts w:ascii="Arial" w:cs="Arial" w:eastAsia="Arial" w:hAnsi="Arial"/>
                <w:sz w:val="11"/>
                <w:szCs w:val="11"/>
                <w:color w:val="auto"/>
                <w:w w:val="86"/>
              </w:rPr>
              <w:t>555</w:t>
            </w:r>
          </w:p>
        </w:tc>
        <w:tc>
          <w:tcPr>
            <w:tcW w:w="1600" w:type="dxa"/>
            <w:vAlign w:val="bottom"/>
            <w:gridSpan w:val="2"/>
          </w:tcPr>
          <w:p>
            <w:pPr>
              <w:ind w:left="20"/>
              <w:spacing w:after="0" w:line="112" w:lineRule="exact"/>
              <w:rPr>
                <w:sz w:val="20"/>
                <w:szCs w:val="20"/>
                <w:color w:val="auto"/>
              </w:rPr>
            </w:pPr>
            <w:r>
              <w:rPr>
                <w:rFonts w:ascii="Arial" w:cs="Arial" w:eastAsia="Arial" w:hAnsi="Arial"/>
                <w:sz w:val="9"/>
                <w:szCs w:val="9"/>
                <w:color w:val="auto"/>
              </w:rPr>
              <w:t>West 57</w:t>
            </w:r>
            <w:r>
              <w:rPr>
                <w:rFonts w:ascii="Arial" w:cs="Arial" w:eastAsia="Arial" w:hAnsi="Arial"/>
                <w:sz w:val="12"/>
                <w:szCs w:val="12"/>
                <w:color w:val="auto"/>
                <w:vertAlign w:val="superscript"/>
              </w:rPr>
              <w:t>th</w:t>
            </w:r>
            <w:r>
              <w:rPr>
                <w:rFonts w:ascii="Arial" w:cs="Arial" w:eastAsia="Arial" w:hAnsi="Arial"/>
                <w:sz w:val="9"/>
                <w:szCs w:val="9"/>
                <w:color w:val="auto"/>
              </w:rPr>
              <w:t xml:space="preserve"> Street &amp;</w:t>
            </w: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20"/>
                <w:szCs w:val="20"/>
                <w:color w:val="auto"/>
              </w:rPr>
            </w:pPr>
            <w:r>
              <w:rPr>
                <w:rFonts w:ascii="Arial" w:cs="Arial" w:eastAsia="Arial" w:hAnsi="Arial"/>
                <w:sz w:val="11"/>
                <w:szCs w:val="11"/>
                <w:color w:val="auto"/>
                <w:w w:val="86"/>
              </w:rPr>
              <w:t>673</w:t>
            </w:r>
          </w:p>
        </w:tc>
        <w:tc>
          <w:tcPr>
            <w:tcW w:w="1600" w:type="dxa"/>
            <w:vAlign w:val="bottom"/>
            <w:gridSpan w:val="2"/>
          </w:tcPr>
          <w:p>
            <w:pPr>
              <w:ind w:left="20"/>
              <w:spacing w:after="0"/>
              <w:rPr>
                <w:sz w:val="20"/>
                <w:szCs w:val="20"/>
                <w:color w:val="auto"/>
              </w:rPr>
            </w:pPr>
            <w:r>
              <w:rPr>
                <w:rFonts w:ascii="Arial" w:cs="Arial" w:eastAsia="Arial" w:hAnsi="Arial"/>
                <w:sz w:val="11"/>
                <w:szCs w:val="11"/>
                <w:color w:val="auto"/>
              </w:rPr>
              <w:t>First Avenue</w:t>
            </w:r>
          </w:p>
        </w:tc>
        <w:tc>
          <w:tcPr>
            <w:tcW w:w="13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176</w:t>
            </w:r>
          </w:p>
        </w:tc>
        <w:tc>
          <w:tcPr>
            <w:tcW w:w="8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256,422</w:t>
            </w:r>
          </w:p>
        </w:tc>
        <w:tc>
          <w:tcPr>
            <w:tcW w:w="8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C.B.S. Broadcasting, Inc.</w:t>
            </w:r>
          </w:p>
        </w:tc>
        <w:tc>
          <w:tcPr>
            <w:tcW w:w="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86"/>
              </w:rPr>
              <w:t>555</w:t>
            </w:r>
          </w:p>
        </w:tc>
        <w:tc>
          <w:tcPr>
            <w:tcW w:w="16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West 57</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Street</w:t>
            </w:r>
          </w:p>
        </w:tc>
        <w:tc>
          <w:tcPr>
            <w:tcW w:w="13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129</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253,316</w:t>
            </w: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tcPr>
          <w:p>
            <w:pPr>
              <w:spacing w:after="0" w:line="122" w:lineRule="exact"/>
              <w:rPr>
                <w:sz w:val="20"/>
                <w:szCs w:val="20"/>
                <w:color w:val="auto"/>
              </w:rPr>
            </w:pPr>
            <w:r>
              <w:rPr>
                <w:rFonts w:ascii="Arial" w:cs="Arial" w:eastAsia="Arial" w:hAnsi="Arial"/>
                <w:sz w:val="11"/>
                <w:szCs w:val="11"/>
                <w:color w:val="auto"/>
              </w:rPr>
              <w:t>Polo Ralph Lauren Corporation</w:t>
            </w:r>
          </w:p>
        </w:tc>
        <w:tc>
          <w:tcPr>
            <w:tcW w:w="180" w:type="dxa"/>
            <w:vAlign w:val="bottom"/>
          </w:tcPr>
          <w:p>
            <w:pPr>
              <w:spacing w:after="0" w:line="122" w:lineRule="exact"/>
              <w:rPr>
                <w:sz w:val="20"/>
                <w:szCs w:val="20"/>
                <w:color w:val="auto"/>
              </w:rPr>
            </w:pPr>
            <w:r>
              <w:rPr>
                <w:rFonts w:ascii="Arial" w:cs="Arial" w:eastAsia="Arial" w:hAnsi="Arial"/>
                <w:sz w:val="11"/>
                <w:szCs w:val="11"/>
                <w:color w:val="auto"/>
                <w:w w:val="86"/>
              </w:rPr>
              <w:t>625</w:t>
            </w:r>
          </w:p>
        </w:tc>
        <w:tc>
          <w:tcPr>
            <w:tcW w:w="16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Madison Avenue</w:t>
            </w:r>
          </w:p>
        </w:tc>
        <w:tc>
          <w:tcPr>
            <w:tcW w:w="13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156</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234,207</w:t>
            </w:r>
          </w:p>
        </w:tc>
        <w:tc>
          <w:tcPr>
            <w:tcW w:w="8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Arial" w:cs="Arial" w:eastAsia="Arial" w:hAnsi="Arial"/>
                <w:sz w:val="11"/>
                <w:szCs w:val="11"/>
                <w:color w:val="auto"/>
              </w:rPr>
              <w:t>1.3</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gridSpan w:val="2"/>
            <w:shd w:val="clear" w:color="auto" w:fill="CCEEFF"/>
          </w:tcPr>
          <w:p>
            <w:pPr>
              <w:spacing w:after="0" w:line="106" w:lineRule="exact"/>
              <w:rPr>
                <w:sz w:val="20"/>
                <w:szCs w:val="20"/>
                <w:color w:val="auto"/>
              </w:rPr>
            </w:pPr>
            <w:r>
              <w:rPr>
                <w:rFonts w:ascii="Arial" w:cs="Arial" w:eastAsia="Arial" w:hAnsi="Arial"/>
                <w:sz w:val="11"/>
                <w:szCs w:val="11"/>
                <w:color w:val="auto"/>
              </w:rPr>
              <w:t>The City University of NY-CUNY</w:t>
            </w:r>
          </w:p>
        </w:tc>
        <w:tc>
          <w:tcPr>
            <w:tcW w:w="180" w:type="dxa"/>
            <w:vAlign w:val="bottom"/>
            <w:shd w:val="clear" w:color="auto" w:fill="CCEEFF"/>
          </w:tcPr>
          <w:p>
            <w:pPr>
              <w:spacing w:after="0" w:line="106" w:lineRule="exact"/>
              <w:rPr>
                <w:sz w:val="20"/>
                <w:szCs w:val="20"/>
                <w:color w:val="auto"/>
              </w:rPr>
            </w:pPr>
            <w:r>
              <w:rPr>
                <w:rFonts w:ascii="Arial" w:cs="Arial" w:eastAsia="Arial" w:hAnsi="Arial"/>
                <w:sz w:val="11"/>
                <w:szCs w:val="11"/>
                <w:color w:val="auto"/>
                <w:w w:val="86"/>
              </w:rPr>
              <w:t>555</w:t>
            </w:r>
          </w:p>
        </w:tc>
        <w:tc>
          <w:tcPr>
            <w:tcW w:w="1600" w:type="dxa"/>
            <w:vAlign w:val="bottom"/>
            <w:gridSpan w:val="2"/>
            <w:shd w:val="clear" w:color="auto" w:fill="CCEEFF"/>
          </w:tcPr>
          <w:p>
            <w:pPr>
              <w:ind w:left="20"/>
              <w:spacing w:after="0" w:line="106" w:lineRule="exact"/>
              <w:rPr>
                <w:sz w:val="20"/>
                <w:szCs w:val="20"/>
                <w:color w:val="auto"/>
              </w:rPr>
            </w:pPr>
            <w:r>
              <w:rPr>
                <w:rFonts w:ascii="Arial" w:cs="Arial" w:eastAsia="Arial" w:hAnsi="Arial"/>
                <w:sz w:val="9"/>
                <w:szCs w:val="9"/>
                <w:color w:val="auto"/>
              </w:rPr>
              <w:t>West 57</w:t>
            </w:r>
            <w:r>
              <w:rPr>
                <w:rFonts w:ascii="Arial" w:cs="Arial" w:eastAsia="Arial" w:hAnsi="Arial"/>
                <w:sz w:val="12"/>
                <w:szCs w:val="12"/>
                <w:color w:val="auto"/>
                <w:vertAlign w:val="superscript"/>
              </w:rPr>
              <w:t>th</w:t>
            </w:r>
            <w:r>
              <w:rPr>
                <w:rFonts w:ascii="Arial" w:cs="Arial" w:eastAsia="Arial" w:hAnsi="Arial"/>
                <w:sz w:val="9"/>
                <w:szCs w:val="9"/>
                <w:color w:val="auto"/>
              </w:rPr>
              <w:t xml:space="preserve"> Street &amp;</w:t>
            </w:r>
          </w:p>
        </w:tc>
        <w:tc>
          <w:tcPr>
            <w:tcW w:w="13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3"/>
            <w:shd w:val="clear" w:color="auto" w:fill="CCEEFF"/>
          </w:tcPr>
          <w:p>
            <w:pPr>
              <w:spacing w:after="0" w:line="138" w:lineRule="exact"/>
              <w:rPr>
                <w:sz w:val="20"/>
                <w:szCs w:val="20"/>
                <w:color w:val="auto"/>
              </w:rPr>
            </w:pPr>
            <w:r>
              <w:rPr>
                <w:rFonts w:ascii="Arial" w:cs="Arial" w:eastAsia="Arial" w:hAnsi="Arial"/>
                <w:sz w:val="11"/>
                <w:szCs w:val="11"/>
                <w:color w:val="auto"/>
              </w:rPr>
              <w:t>28 West 44</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Street</w:t>
            </w:r>
          </w:p>
        </w:tc>
        <w:tc>
          <w:tcPr>
            <w:tcW w:w="13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80" w:type="dxa"/>
            <w:vAlign w:val="bottom"/>
            <w:shd w:val="clear" w:color="auto" w:fill="CCEEFF"/>
          </w:tcPr>
          <w:p>
            <w:pPr>
              <w:spacing w:after="0"/>
              <w:rPr>
                <w:sz w:val="11"/>
                <w:szCs w:val="1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232,092</w:t>
            </w:r>
          </w:p>
        </w:tc>
        <w:tc>
          <w:tcPr>
            <w:tcW w:w="80" w:type="dxa"/>
            <w:vAlign w:val="bottom"/>
            <w:shd w:val="clear" w:color="auto" w:fill="CCEEFF"/>
          </w:tcPr>
          <w:p>
            <w:pPr>
              <w:spacing w:after="0"/>
              <w:rPr>
                <w:sz w:val="11"/>
                <w:szCs w:val="1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1"/>
                <w:szCs w:val="1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tcPr>
          <w:p>
            <w:pPr>
              <w:spacing w:after="0" w:line="122" w:lineRule="exact"/>
              <w:rPr>
                <w:sz w:val="20"/>
                <w:szCs w:val="20"/>
                <w:color w:val="auto"/>
              </w:rPr>
            </w:pPr>
            <w:r>
              <w:rPr>
                <w:rFonts w:ascii="Arial" w:cs="Arial" w:eastAsia="Arial" w:hAnsi="Arial"/>
                <w:sz w:val="11"/>
                <w:szCs w:val="11"/>
                <w:color w:val="auto"/>
              </w:rPr>
              <w:t>BMW of Manhattan</w:t>
            </w:r>
          </w:p>
        </w:tc>
        <w:tc>
          <w:tcPr>
            <w:tcW w:w="180" w:type="dxa"/>
            <w:vAlign w:val="bottom"/>
          </w:tcPr>
          <w:p>
            <w:pPr>
              <w:spacing w:after="0" w:line="122" w:lineRule="exact"/>
              <w:rPr>
                <w:sz w:val="20"/>
                <w:szCs w:val="20"/>
                <w:color w:val="auto"/>
              </w:rPr>
            </w:pPr>
            <w:r>
              <w:rPr>
                <w:rFonts w:ascii="Arial" w:cs="Arial" w:eastAsia="Arial" w:hAnsi="Arial"/>
                <w:sz w:val="11"/>
                <w:szCs w:val="11"/>
                <w:color w:val="auto"/>
                <w:w w:val="86"/>
              </w:rPr>
              <w:t>555</w:t>
            </w:r>
          </w:p>
        </w:tc>
        <w:tc>
          <w:tcPr>
            <w:tcW w:w="16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West 57</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Street</w:t>
            </w:r>
          </w:p>
        </w:tc>
        <w:tc>
          <w:tcPr>
            <w:tcW w:w="13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67</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227,782</w:t>
            </w:r>
          </w:p>
        </w:tc>
        <w:tc>
          <w:tcPr>
            <w:tcW w:w="8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Vivendi Universal US Holdings</w:t>
            </w:r>
          </w:p>
        </w:tc>
        <w:tc>
          <w:tcPr>
            <w:tcW w:w="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86"/>
              </w:rPr>
              <w:t>800</w:t>
            </w:r>
          </w:p>
        </w:tc>
        <w:tc>
          <w:tcPr>
            <w:tcW w:w="16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Third Avenue</w:t>
            </w:r>
          </w:p>
        </w:tc>
        <w:tc>
          <w:tcPr>
            <w:tcW w:w="13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226,105</w:t>
            </w: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tcPr>
          <w:p>
            <w:pPr>
              <w:spacing w:after="0" w:line="122" w:lineRule="exact"/>
              <w:rPr>
                <w:sz w:val="20"/>
                <w:szCs w:val="20"/>
                <w:color w:val="auto"/>
              </w:rPr>
            </w:pPr>
            <w:r>
              <w:rPr>
                <w:rFonts w:ascii="Arial" w:cs="Arial" w:eastAsia="Arial" w:hAnsi="Arial"/>
                <w:sz w:val="11"/>
                <w:szCs w:val="11"/>
                <w:color w:val="auto"/>
              </w:rPr>
              <w:t>The Travelers Indemnity Company</w:t>
            </w:r>
          </w:p>
        </w:tc>
        <w:tc>
          <w:tcPr>
            <w:tcW w:w="180" w:type="dxa"/>
            <w:vAlign w:val="bottom"/>
          </w:tcPr>
          <w:p>
            <w:pPr>
              <w:spacing w:after="0" w:line="122" w:lineRule="exact"/>
              <w:rPr>
                <w:sz w:val="20"/>
                <w:szCs w:val="20"/>
                <w:color w:val="auto"/>
              </w:rPr>
            </w:pPr>
            <w:r>
              <w:rPr>
                <w:rFonts w:ascii="Arial" w:cs="Arial" w:eastAsia="Arial" w:hAnsi="Arial"/>
                <w:sz w:val="11"/>
                <w:szCs w:val="11"/>
                <w:color w:val="auto"/>
                <w:w w:val="86"/>
              </w:rPr>
              <w:t>485</w:t>
            </w:r>
          </w:p>
        </w:tc>
        <w:tc>
          <w:tcPr>
            <w:tcW w:w="16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Lexington Avenue</w:t>
            </w:r>
          </w:p>
        </w:tc>
        <w:tc>
          <w:tcPr>
            <w:tcW w:w="13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116</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214,978</w:t>
            </w:r>
          </w:p>
        </w:tc>
        <w:tc>
          <w:tcPr>
            <w:tcW w:w="8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0.9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Teachers Insurance Annuity Society</w:t>
            </w:r>
          </w:p>
        </w:tc>
        <w:tc>
          <w:tcPr>
            <w:tcW w:w="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86"/>
              </w:rPr>
              <w:t>750</w:t>
            </w:r>
          </w:p>
        </w:tc>
        <w:tc>
          <w:tcPr>
            <w:tcW w:w="16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Third Avenue</w:t>
            </w:r>
          </w:p>
        </w:tc>
        <w:tc>
          <w:tcPr>
            <w:tcW w:w="13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188,625</w:t>
            </w: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40" w:type="dxa"/>
            <w:vAlign w:val="bottom"/>
            <w:gridSpan w:val="2"/>
          </w:tcPr>
          <w:p>
            <w:pPr>
              <w:spacing w:after="0"/>
              <w:rPr>
                <w:sz w:val="20"/>
                <w:szCs w:val="20"/>
                <w:color w:val="auto"/>
              </w:rPr>
            </w:pPr>
            <w:r>
              <w:rPr>
                <w:rFonts w:ascii="Arial" w:cs="Arial" w:eastAsia="Arial" w:hAnsi="Arial"/>
                <w:sz w:val="11"/>
                <w:szCs w:val="11"/>
                <w:color w:val="auto"/>
              </w:rPr>
              <w:t>The Columbia House Company</w:t>
            </w:r>
          </w:p>
        </w:tc>
        <w:tc>
          <w:tcPr>
            <w:tcW w:w="1780" w:type="dxa"/>
            <w:vAlign w:val="bottom"/>
            <w:gridSpan w:val="3"/>
          </w:tcPr>
          <w:p>
            <w:pPr>
              <w:spacing w:after="0"/>
              <w:rPr>
                <w:sz w:val="20"/>
                <w:szCs w:val="20"/>
                <w:color w:val="auto"/>
              </w:rPr>
            </w:pPr>
            <w:r>
              <w:rPr>
                <w:rFonts w:ascii="Arial" w:cs="Arial" w:eastAsia="Arial" w:hAnsi="Arial"/>
                <w:sz w:val="11"/>
                <w:szCs w:val="11"/>
                <w:color w:val="auto"/>
              </w:rPr>
              <w:t>1221 Avenue of the Americas</w:t>
            </w:r>
          </w:p>
        </w:tc>
        <w:tc>
          <w:tcPr>
            <w:tcW w:w="13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175,312</w:t>
            </w:r>
          </w:p>
        </w:tc>
        <w:tc>
          <w:tcPr>
            <w:tcW w:w="8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0.9</w:t>
            </w:r>
          </w:p>
        </w:tc>
        <w:tc>
          <w:tcPr>
            <w:tcW w:w="8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45" w:orient="portrait"/>
          <w:cols w:equalWidth="0" w:num="1">
            <w:col w:w="11420"/>
          </w:cols>
          <w:pgMar w:left="240" w:top="125"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1"/>
                <w:szCs w:val="11"/>
                <w:color w:val="auto"/>
                <w:w w:val="94"/>
              </w:rPr>
              <w:t>The Mt. Sinai Hospital &amp; NYU Hospital Centers</w:t>
            </w:r>
          </w:p>
        </w:tc>
        <w:tc>
          <w:tcPr>
            <w:tcW w:w="284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One Park Avenue and</w:t>
            </w:r>
          </w:p>
        </w:tc>
        <w:tc>
          <w:tcPr>
            <w:tcW w:w="124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8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625 Madison Avenue</w:t>
            </w:r>
          </w:p>
        </w:tc>
        <w:tc>
          <w:tcPr>
            <w:tcW w:w="12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111</w:t>
            </w: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173,741</w:t>
            </w:r>
          </w:p>
        </w:tc>
        <w:tc>
          <w:tcPr>
            <w:tcW w:w="80" w:type="dxa"/>
            <w:vAlign w:val="bottom"/>
            <w:shd w:val="clear" w:color="auto" w:fill="CCEEFF"/>
          </w:tcPr>
          <w:p>
            <w:pPr>
              <w:spacing w:after="0"/>
              <w:rPr>
                <w:sz w:val="11"/>
                <w:szCs w:val="1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80" w:type="dxa"/>
            <w:vAlign w:val="bottom"/>
            <w:shd w:val="clear" w:color="auto" w:fill="CCEEFF"/>
          </w:tcPr>
          <w:p>
            <w:pPr>
              <w:spacing w:after="0"/>
              <w:rPr>
                <w:sz w:val="11"/>
                <w:szCs w:val="1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40" w:type="dxa"/>
            <w:vAlign w:val="bottom"/>
            <w:shd w:val="clear" w:color="auto" w:fill="CCEEFF"/>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2180" w:type="dxa"/>
            <w:vAlign w:val="bottom"/>
          </w:tcPr>
          <w:p>
            <w:pPr>
              <w:spacing w:after="0" w:line="122" w:lineRule="exact"/>
              <w:rPr>
                <w:sz w:val="20"/>
                <w:szCs w:val="20"/>
                <w:color w:val="auto"/>
              </w:rPr>
            </w:pPr>
            <w:r>
              <w:rPr>
                <w:rFonts w:ascii="Arial" w:cs="Arial" w:eastAsia="Arial" w:hAnsi="Arial"/>
                <w:sz w:val="11"/>
                <w:szCs w:val="11"/>
                <w:color w:val="auto"/>
              </w:rPr>
              <w:t>Segal Company</w:t>
            </w:r>
          </w:p>
        </w:tc>
        <w:tc>
          <w:tcPr>
            <w:tcW w:w="2840" w:type="dxa"/>
            <w:vAlign w:val="bottom"/>
            <w:gridSpan w:val="2"/>
          </w:tcPr>
          <w:p>
            <w:pPr>
              <w:ind w:left="560"/>
              <w:spacing w:after="0" w:line="122" w:lineRule="exact"/>
              <w:rPr>
                <w:sz w:val="20"/>
                <w:szCs w:val="20"/>
                <w:color w:val="auto"/>
              </w:rPr>
            </w:pPr>
            <w:r>
              <w:rPr>
                <w:rFonts w:ascii="Arial" w:cs="Arial" w:eastAsia="Arial" w:hAnsi="Arial"/>
                <w:sz w:val="11"/>
                <w:szCs w:val="11"/>
                <w:color w:val="auto"/>
              </w:rPr>
              <w:t>One Park Avenue</w:t>
            </w:r>
          </w:p>
        </w:tc>
        <w:tc>
          <w:tcPr>
            <w:tcW w:w="12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36</w:t>
            </w: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157,947</w:t>
            </w:r>
          </w:p>
        </w:tc>
        <w:tc>
          <w:tcPr>
            <w:tcW w:w="8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Arial" w:cs="Arial" w:eastAsia="Arial" w:hAnsi="Arial"/>
                <w:sz w:val="11"/>
                <w:szCs w:val="11"/>
                <w:color w:val="auto"/>
              </w:rPr>
              <w:t>0.8</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0.2</w:t>
            </w:r>
          </w:p>
        </w:tc>
        <w:tc>
          <w:tcPr>
            <w:tcW w:w="4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J&amp;W Seligman &amp; Co., Incorporated</w:t>
            </w:r>
          </w:p>
        </w:tc>
        <w:tc>
          <w:tcPr>
            <w:tcW w:w="2840" w:type="dxa"/>
            <w:vAlign w:val="bottom"/>
            <w:gridSpan w:val="2"/>
            <w:shd w:val="clear" w:color="auto" w:fill="CCEEFF"/>
          </w:tcPr>
          <w:p>
            <w:pPr>
              <w:ind w:left="560"/>
              <w:spacing w:after="0" w:line="122" w:lineRule="exact"/>
              <w:rPr>
                <w:sz w:val="20"/>
                <w:szCs w:val="20"/>
                <w:color w:val="auto"/>
              </w:rPr>
            </w:pPr>
            <w:r>
              <w:rPr>
                <w:rFonts w:ascii="Arial" w:cs="Arial" w:eastAsia="Arial" w:hAnsi="Arial"/>
                <w:sz w:val="11"/>
                <w:szCs w:val="11"/>
                <w:color w:val="auto"/>
              </w:rPr>
              <w:t>100 Park Avenue</w:t>
            </w:r>
          </w:p>
        </w:tc>
        <w:tc>
          <w:tcPr>
            <w:tcW w:w="12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25</w:t>
            </w: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148,726</w:t>
            </w: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0.8</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0.5</w:t>
            </w:r>
          </w:p>
        </w:tc>
        <w:tc>
          <w:tcPr>
            <w:tcW w:w="40" w:type="dxa"/>
            <w:vAlign w:val="bottom"/>
            <w:shd w:val="clear" w:color="auto" w:fill="CCEE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180" w:type="dxa"/>
            <w:vAlign w:val="bottom"/>
          </w:tcPr>
          <w:p>
            <w:pPr>
              <w:spacing w:after="0" w:line="122" w:lineRule="exact"/>
              <w:rPr>
                <w:sz w:val="20"/>
                <w:szCs w:val="20"/>
                <w:color w:val="auto"/>
              </w:rPr>
            </w:pPr>
            <w:r>
              <w:rPr>
                <w:rFonts w:ascii="Arial" w:cs="Arial" w:eastAsia="Arial" w:hAnsi="Arial"/>
                <w:sz w:val="11"/>
                <w:szCs w:val="11"/>
                <w:color w:val="auto"/>
              </w:rPr>
              <w:t>Sonnenschein, Nath &amp; Rosenthal</w:t>
            </w:r>
          </w:p>
        </w:tc>
        <w:tc>
          <w:tcPr>
            <w:tcW w:w="800" w:type="dxa"/>
            <w:vAlign w:val="bottom"/>
          </w:tcPr>
          <w:p>
            <w:pPr>
              <w:ind w:left="560"/>
              <w:spacing w:after="0" w:line="122" w:lineRule="exact"/>
              <w:rPr>
                <w:sz w:val="20"/>
                <w:szCs w:val="20"/>
                <w:color w:val="auto"/>
              </w:rPr>
            </w:pPr>
            <w:r>
              <w:rPr>
                <w:rFonts w:ascii="Arial" w:cs="Arial" w:eastAsia="Arial" w:hAnsi="Arial"/>
                <w:sz w:val="11"/>
                <w:szCs w:val="11"/>
                <w:color w:val="auto"/>
                <w:w w:val="89"/>
              </w:rPr>
              <w:t>1221</w:t>
            </w:r>
          </w:p>
        </w:tc>
        <w:tc>
          <w:tcPr>
            <w:tcW w:w="2040" w:type="dxa"/>
            <w:vAlign w:val="bottom"/>
          </w:tcPr>
          <w:p>
            <w:pPr>
              <w:spacing w:after="0" w:line="122" w:lineRule="exact"/>
              <w:rPr>
                <w:sz w:val="20"/>
                <w:szCs w:val="20"/>
                <w:color w:val="auto"/>
              </w:rPr>
            </w:pPr>
            <w:r>
              <w:rPr>
                <w:rFonts w:ascii="Arial" w:cs="Arial" w:eastAsia="Arial" w:hAnsi="Arial"/>
                <w:sz w:val="11"/>
                <w:szCs w:val="11"/>
                <w:color w:val="auto"/>
              </w:rPr>
              <w:t>Avenue of the Americas</w:t>
            </w:r>
          </w:p>
        </w:tc>
        <w:tc>
          <w:tcPr>
            <w:tcW w:w="12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133</w:t>
            </w: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147,997</w:t>
            </w:r>
          </w:p>
        </w:tc>
        <w:tc>
          <w:tcPr>
            <w:tcW w:w="8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Arial" w:cs="Arial" w:eastAsia="Arial" w:hAnsi="Arial"/>
                <w:sz w:val="11"/>
                <w:szCs w:val="11"/>
                <w:color w:val="auto"/>
              </w:rPr>
              <w:t>0.8</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0.5</w:t>
            </w:r>
          </w:p>
        </w:tc>
        <w:tc>
          <w:tcPr>
            <w:tcW w:w="4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Ross Procurement, Inc.</w:t>
            </w:r>
          </w:p>
        </w:tc>
        <w:tc>
          <w:tcPr>
            <w:tcW w:w="800" w:type="dxa"/>
            <w:vAlign w:val="bottom"/>
            <w:shd w:val="clear" w:color="auto" w:fill="CCEEFF"/>
          </w:tcPr>
          <w:p>
            <w:pPr>
              <w:ind w:left="560"/>
              <w:spacing w:after="0" w:line="122" w:lineRule="exact"/>
              <w:rPr>
                <w:sz w:val="20"/>
                <w:szCs w:val="20"/>
                <w:color w:val="auto"/>
              </w:rPr>
            </w:pPr>
            <w:r>
              <w:rPr>
                <w:rFonts w:ascii="Arial" w:cs="Arial" w:eastAsia="Arial" w:hAnsi="Arial"/>
                <w:sz w:val="11"/>
                <w:szCs w:val="11"/>
                <w:color w:val="auto"/>
                <w:w w:val="89"/>
              </w:rPr>
              <w:t>1372</w:t>
            </w: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Broadway</w:t>
            </w:r>
          </w:p>
        </w:tc>
        <w:tc>
          <w:tcPr>
            <w:tcW w:w="12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109</w:t>
            </w: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138,130</w:t>
            </w: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0.7</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0.7</w:t>
            </w:r>
          </w:p>
        </w:tc>
        <w:tc>
          <w:tcPr>
            <w:tcW w:w="40" w:type="dxa"/>
            <w:vAlign w:val="bottom"/>
            <w:shd w:val="clear" w:color="auto" w:fill="CCEE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180" w:type="dxa"/>
            <w:vAlign w:val="bottom"/>
          </w:tcPr>
          <w:p>
            <w:pPr>
              <w:spacing w:after="0" w:line="122" w:lineRule="exact"/>
              <w:rPr>
                <w:sz w:val="20"/>
                <w:szCs w:val="20"/>
                <w:color w:val="auto"/>
              </w:rPr>
            </w:pPr>
            <w:r>
              <w:rPr>
                <w:rFonts w:ascii="Arial" w:cs="Arial" w:eastAsia="Arial" w:hAnsi="Arial"/>
                <w:sz w:val="11"/>
                <w:szCs w:val="11"/>
                <w:color w:val="auto"/>
              </w:rPr>
              <w:t>Altria Corp. Services</w:t>
            </w:r>
          </w:p>
        </w:tc>
        <w:tc>
          <w:tcPr>
            <w:tcW w:w="2840" w:type="dxa"/>
            <w:vAlign w:val="bottom"/>
            <w:gridSpan w:val="2"/>
          </w:tcPr>
          <w:p>
            <w:pPr>
              <w:ind w:left="560"/>
              <w:spacing w:after="0" w:line="122" w:lineRule="exact"/>
              <w:rPr>
                <w:sz w:val="20"/>
                <w:szCs w:val="20"/>
                <w:color w:val="auto"/>
              </w:rPr>
            </w:pPr>
            <w:r>
              <w:rPr>
                <w:rFonts w:ascii="Arial" w:cs="Arial" w:eastAsia="Arial" w:hAnsi="Arial"/>
                <w:sz w:val="11"/>
                <w:szCs w:val="11"/>
                <w:color w:val="auto"/>
              </w:rPr>
              <w:t>100 Park Avenue</w:t>
            </w:r>
          </w:p>
        </w:tc>
        <w:tc>
          <w:tcPr>
            <w:tcW w:w="12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11</w:t>
            </w: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136,118</w:t>
            </w:r>
          </w:p>
        </w:tc>
        <w:tc>
          <w:tcPr>
            <w:tcW w:w="8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Arial" w:cs="Arial" w:eastAsia="Arial" w:hAnsi="Arial"/>
                <w:sz w:val="11"/>
                <w:szCs w:val="11"/>
                <w:color w:val="auto"/>
              </w:rPr>
              <w:t>0.7</w:t>
            </w:r>
          </w:p>
        </w:tc>
        <w:tc>
          <w:tcPr>
            <w:tcW w:w="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1"/>
                <w:szCs w:val="11"/>
                <w:color w:val="auto"/>
              </w:rPr>
              <w:t>0.5</w:t>
            </w:r>
          </w:p>
        </w:tc>
        <w:tc>
          <w:tcPr>
            <w:tcW w:w="4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Allen &amp; Overy, LLP</w:t>
            </w:r>
          </w:p>
        </w:tc>
        <w:tc>
          <w:tcPr>
            <w:tcW w:w="800" w:type="dxa"/>
            <w:vAlign w:val="bottom"/>
            <w:shd w:val="clear" w:color="auto" w:fill="CCEEFF"/>
          </w:tcPr>
          <w:p>
            <w:pPr>
              <w:ind w:left="560"/>
              <w:spacing w:after="0" w:line="122" w:lineRule="exact"/>
              <w:rPr>
                <w:sz w:val="20"/>
                <w:szCs w:val="20"/>
                <w:color w:val="auto"/>
              </w:rPr>
            </w:pPr>
            <w:r>
              <w:rPr>
                <w:rFonts w:ascii="Arial" w:cs="Arial" w:eastAsia="Arial" w:hAnsi="Arial"/>
                <w:sz w:val="11"/>
                <w:szCs w:val="11"/>
                <w:color w:val="auto"/>
                <w:w w:val="89"/>
              </w:rPr>
              <w:t>1221</w:t>
            </w:r>
          </w:p>
        </w:tc>
        <w:tc>
          <w:tcPr>
            <w:tcW w:w="20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Avenue of the Americas</w:t>
            </w:r>
          </w:p>
        </w:tc>
        <w:tc>
          <w:tcPr>
            <w:tcW w:w="12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118</w:t>
            </w: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135,885</w:t>
            </w: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0.7</w:t>
            </w:r>
          </w:p>
        </w:tc>
        <w:tc>
          <w:tcPr>
            <w:tcW w:w="80" w:type="dxa"/>
            <w:vAlign w:val="bottom"/>
            <w:shd w:val="clear" w:color="auto" w:fill="CCEEFF"/>
          </w:tcPr>
          <w:p>
            <w:pPr>
              <w:spacing w:after="0"/>
              <w:rPr>
                <w:sz w:val="10"/>
                <w:szCs w:val="10"/>
                <w:color w:val="auto"/>
              </w:rPr>
            </w:pPr>
          </w:p>
        </w:tc>
        <w:tc>
          <w:tcPr>
            <w:tcW w:w="1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0.8</w:t>
            </w:r>
          </w:p>
        </w:tc>
        <w:tc>
          <w:tcPr>
            <w:tcW w:w="40" w:type="dxa"/>
            <w:vAlign w:val="bottom"/>
            <w:shd w:val="clear" w:color="auto" w:fill="CCEE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204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218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Total Weighted Average (3)</w:t>
            </w:r>
          </w:p>
        </w:tc>
        <w:tc>
          <w:tcPr>
            <w:tcW w:w="800" w:type="dxa"/>
            <w:vAlign w:val="bottom"/>
            <w:tcBorders>
              <w:bottom w:val="single" w:sz="8" w:color="CCEEFF"/>
            </w:tcBorders>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16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8,871,786</w:t>
            </w:r>
          </w:p>
        </w:tc>
        <w:tc>
          <w:tcPr>
            <w:tcW w:w="80" w:type="dxa"/>
            <w:vAlign w:val="bottom"/>
            <w:tcBorders>
              <w:bottom w:val="single" w:sz="8" w:color="CCEEFF"/>
            </w:tcBorders>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47.5</w:t>
            </w:r>
          </w:p>
        </w:tc>
        <w:tc>
          <w:tcPr>
            <w:tcW w:w="80" w:type="dxa"/>
            <w:vAlign w:val="bottom"/>
            <w:tcBorders>
              <w:bottom w:val="single" w:sz="8" w:color="CCEEFF"/>
            </w:tcBorders>
            <w:shd w:val="clear" w:color="auto" w:fill="CCEEFF"/>
          </w:tcPr>
          <w:p>
            <w:pPr>
              <w:spacing w:after="0"/>
              <w:rPr>
                <w:sz w:val="10"/>
                <w:szCs w:val="10"/>
                <w:color w:val="auto"/>
              </w:rPr>
            </w:pPr>
          </w:p>
        </w:tc>
        <w:tc>
          <w:tcPr>
            <w:tcW w:w="16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42.2</w:t>
            </w:r>
          </w:p>
        </w:tc>
        <w:tc>
          <w:tcPr>
            <w:tcW w:w="40" w:type="dxa"/>
            <w:vAlign w:val="bottom"/>
            <w:tcBorders>
              <w:bottom w:val="single" w:sz="8" w:color="CCEEFF"/>
            </w:tcBorders>
            <w:shd w:val="clear" w:color="auto" w:fill="CCEEFF"/>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94"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list is not intended to be representative of our tenants as a whole.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Lease term from December 31, 2006 until the date of the last expiring lease for tenants with multiple leases.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Weighted average calculation based on total rentable square footage leased by each tenant.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420 Lexington Avenue (The Graybar Building)</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purchased the tenant’s interest in the operating sublease, or the Graybar operating sublease, at 420 Lexington Avenue, also known as the Graybar Building, in March 1998. This 31-story office property sits at the foot of Grand Central Terminal in the Grand Central North sub-market of the midtown Manhattan office market. The Graybar Building was designed by Sloan and Robertson and completed in 1927. The building takes its name from its original owner, the Graybar Electric Company. The Graybar Building contains approximately 1.2 million rentable square feet (including approximately 1,133,000 square feet of office space, and 60,000 square feet of mezzanine and retail space), with floor plates ranging from 17,000 square feet to 50,000 square feet. We restored the grandeur of this building through the implementation of an $11.9 million capital improvement program geared toward certain cosmetic upgrades, including a new entrance and storefronts, new lobby, elevator cabs and elevator lobbies and corridors.</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Graybar Building offers unsurpassed convenience to transportation. The Graybar Building enjoys excellent accessibility to a wide variety of transportation options with a direct passageway to Grand Central Station. Grand Central Station is the major transportation destination for commutation from southern Connecticut and Westchester, Putnam and Dutchess counties. Major bus and subway lines serve this property as well. The property is ideally located to take advantage of the renaissance of Grand Central Terminal, which has been redeveloped into a major retail/transportation hub containing restaurants such as Michael Jordan’s Steakhouse and retailers such as Banana Republic and Kenneth Cole.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Graybar Building consists of the building at 420 Lexington Avenue and fee title to a portion of the land above the railroad tracks and associated structures, which form a portion of the Grand Central Terminal complex in midtown Manhattan. Our interest consists of a tenant’s interest in a controlling sublease, as described below.</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Fee title to the building and the land parcel is owned by an unaffiliated third party, who also owns the landlord’s interest under the operating lease through which we hold our interest in this property. This operating lease expires December 31, 2008, and is subject to renewal by us through December 31, 2029, or the Graybar ground lease. We control the exercise of this renewal option through the terms of subordinate leases, which have corresponding renewal option terms and control provisions and which culminate in the Graybar operating sublease. An unaffiliated third-party owns the landlord’s interest in the Graybar operating sublease.</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Graybar Building is our largest wholly-owned property based on total wholly-owned property square footage and consolidated revenue for 2006. It contributes Annualized Rent of approximately $56.8 million, or 13.6% of our Annualized Rent at December 31, 2006 and approximately $61.9 million, or 11.2%, of our consolidated revenue for 2006.</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2006, 98.3% of the rentable square footage in the Graybar Building was leased. The following table sets forth certain information with respect to this property:</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Annualized</w:t>
            </w:r>
          </w:p>
        </w:tc>
        <w:tc>
          <w:tcPr>
            <w:tcW w:w="0" w:type="dxa"/>
            <w:vAlign w:val="bottom"/>
          </w:tcPr>
          <w:p>
            <w:pPr>
              <w:spacing w:after="0"/>
              <w:rPr>
                <w:sz w:val="1"/>
                <w:szCs w:val="1"/>
                <w:color w:val="auto"/>
              </w:rPr>
            </w:pPr>
          </w:p>
        </w:tc>
      </w:tr>
      <w:tr>
        <w:trPr>
          <w:trHeight w:val="135"/>
        </w:trPr>
        <w:tc>
          <w:tcPr>
            <w:tcW w:w="8280" w:type="dxa"/>
            <w:vAlign w:val="bottom"/>
            <w:vMerge w:val="restart"/>
          </w:tcPr>
          <w:p>
            <w:pPr>
              <w:spacing w:after="0"/>
              <w:rPr>
                <w:sz w:val="20"/>
                <w:szCs w:val="20"/>
                <w:color w:val="auto"/>
              </w:rPr>
            </w:pPr>
            <w:r>
              <w:rPr>
                <w:rFonts w:ascii="Arial" w:cs="Arial" w:eastAsia="Arial" w:hAnsi="Arial"/>
                <w:sz w:val="14"/>
                <w:szCs w:val="14"/>
                <w:b w:val="1"/>
                <w:bCs w:val="1"/>
                <w:color w:val="auto"/>
              </w:rPr>
              <w:t>Year-End</w:t>
            </w:r>
          </w:p>
        </w:tc>
        <w:tc>
          <w:tcPr>
            <w:tcW w:w="280" w:type="dxa"/>
            <w:vAlign w:val="bottom"/>
            <w:vMerge w:val="restart"/>
          </w:tcPr>
          <w:p>
            <w:pPr>
              <w:spacing w:after="0"/>
              <w:rPr>
                <w:sz w:val="11"/>
                <w:szCs w:val="11"/>
                <w:color w:val="auto"/>
              </w:rPr>
            </w:pPr>
          </w:p>
        </w:tc>
        <w:tc>
          <w:tcPr>
            <w:tcW w:w="12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Percent Leased</w:t>
            </w:r>
          </w:p>
        </w:tc>
        <w:tc>
          <w:tcPr>
            <w:tcW w:w="2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1"/>
              </w:rPr>
              <w:t>Rent per Leased</w:t>
            </w:r>
          </w:p>
        </w:tc>
        <w:tc>
          <w:tcPr>
            <w:tcW w:w="0" w:type="dxa"/>
            <w:vAlign w:val="bottom"/>
          </w:tcPr>
          <w:p>
            <w:pPr>
              <w:spacing w:after="0"/>
              <w:rPr>
                <w:sz w:val="1"/>
                <w:szCs w:val="1"/>
                <w:color w:val="auto"/>
              </w:rPr>
            </w:pPr>
          </w:p>
        </w:tc>
      </w:tr>
      <w:tr>
        <w:trPr>
          <w:trHeight w:val="162"/>
        </w:trPr>
        <w:tc>
          <w:tcPr>
            <w:tcW w:w="82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Square Foot</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2005</w:t>
            </w:r>
          </w:p>
        </w:tc>
        <w:tc>
          <w:tcPr>
            <w:tcW w:w="2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2003</w:t>
            </w:r>
          </w:p>
        </w:tc>
        <w:tc>
          <w:tcPr>
            <w:tcW w:w="2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of December 31, 2006, the Graybar Building was leased to 253 tenants operating in various industries, including legal services, financial services and advertising. One tenant occupied approximately 10.0% of the rentable square footage at this property and accounted for approximately 8.3% of this property’s Annualized Rent. The next largest tenant occupied approximately 6.0% of the rentable square footage at this property and accounted for approximately 6.4% of this property’s Annualized Rent.</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table sets out a schedule of the annual lease expirations at the Graybar Building for leases executed as of December 31, 2006 with respect to each of the next ten years and thereafter (assuming that no tenants exercise renewal or cancellation options and that there are no tenant bankruptcies or other tenant defaults):</w:t>
      </w:r>
    </w:p>
    <w:p>
      <w:pPr>
        <w:sectPr>
          <w:pgSz w:w="11900" w:h="16838" w:orient="portrait"/>
          <w:cols w:equalWidth="0" w:num="1">
            <w:col w:w="11420"/>
          </w:cols>
          <w:pgMar w:left="240" w:top="125" w:right="239" w:bottom="704"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Square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Annualized</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Annualized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Rent Per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Footage</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9"/>
              </w:rPr>
              <w:t>Rent</w:t>
            </w: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Leased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of</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Leased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Square Foot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14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rPr>
              <w:t>Year of Lease Expiration</w:t>
            </w:r>
          </w:p>
        </w:tc>
        <w:tc>
          <w:tcPr>
            <w:tcW w:w="84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9"/>
              </w:rPr>
              <w:t>Expiring</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9"/>
              </w:rPr>
              <w:t>Expiring</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Square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9"/>
              </w:rPr>
              <w:t>Expiring</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of Expiring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140" w:type="dxa"/>
            <w:vAlign w:val="bottom"/>
            <w:gridSpan w:val="3"/>
            <w:vMerge w:val="continue"/>
          </w:tcPr>
          <w:p>
            <w:pPr>
              <w:spacing w:after="0"/>
              <w:rPr>
                <w:sz w:val="14"/>
                <w:szCs w:val="14"/>
                <w:color w:val="auto"/>
              </w:rPr>
            </w:pPr>
          </w:p>
        </w:tc>
        <w:tc>
          <w:tcPr>
            <w:tcW w:w="840" w:type="dxa"/>
            <w:vAlign w:val="bottom"/>
          </w:tcPr>
          <w:p>
            <w:pPr>
              <w:jc w:val="center"/>
              <w:ind w:left="208"/>
              <w:spacing w:after="0"/>
              <w:rPr>
                <w:sz w:val="20"/>
                <w:szCs w:val="20"/>
                <w:color w:val="auto"/>
              </w:rPr>
            </w:pPr>
            <w:r>
              <w:rPr>
                <w:rFonts w:ascii="Arial" w:cs="Arial" w:eastAsia="Arial" w:hAnsi="Arial"/>
                <w:sz w:val="14"/>
                <w:szCs w:val="14"/>
                <w:b w:val="1"/>
                <w:bCs w:val="1"/>
                <w:color w:val="auto"/>
                <w:w w:val="84"/>
              </w:rPr>
              <w:t>Leases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Leases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Feet (%)</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Leases (1)</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Leases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2007</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131,947</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5,446,680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2008</w:t>
            </w:r>
          </w:p>
        </w:tc>
        <w:tc>
          <w:tcPr>
            <w:tcW w:w="1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163,655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6,960,336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2009</w:t>
            </w:r>
          </w:p>
        </w:tc>
        <w:tc>
          <w:tcPr>
            <w:tcW w:w="18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158,079</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6,444,264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1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154,183</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7,270,980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2011</w:t>
            </w:r>
          </w:p>
        </w:tc>
        <w:tc>
          <w:tcPr>
            <w:tcW w:w="18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154,365</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7,084,236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2012</w:t>
            </w:r>
          </w:p>
        </w:tc>
        <w:tc>
          <w:tcPr>
            <w:tcW w:w="1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36,630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1,602,756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2013</w:t>
            </w:r>
          </w:p>
        </w:tc>
        <w:tc>
          <w:tcPr>
            <w:tcW w:w="18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151,548</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6,546,996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2014</w:t>
            </w:r>
          </w:p>
        </w:tc>
        <w:tc>
          <w:tcPr>
            <w:tcW w:w="1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16,479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617,244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2015</w:t>
            </w:r>
          </w:p>
        </w:tc>
        <w:tc>
          <w:tcPr>
            <w:tcW w:w="18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55,738</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89"/>
              </w:rPr>
              <w:t>2016</w:t>
            </w:r>
          </w:p>
        </w:tc>
        <w:tc>
          <w:tcPr>
            <w:tcW w:w="4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&amp; thereafter</w:t>
            </w: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324,409</w:t>
            </w:r>
          </w:p>
        </w:tc>
        <w:tc>
          <w:tcPr>
            <w:tcW w:w="2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12,735,756</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Subtotal/Weighted average</w:t>
            </w:r>
          </w:p>
        </w:tc>
        <w:tc>
          <w:tcPr>
            <w:tcW w:w="8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262</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1,347,033</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56,781,348</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right="180" w:hanging="652"/>
        <w:spacing w:after="0" w:line="312" w:lineRule="auto"/>
        <w:tabs>
          <w:tab w:leader="none" w:pos="6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Annualized Rent of Expiring Leases represents the monthly contractual rent under existing leases as of December 31, 2006 multiplied by 12. This amount reflects total rent before any rent abatements and includes expense reimbursements, which may be estimated as of such date. There are no rent abatements for leases in effect as of December 31, 2006 for the 12 months ending December 31, 2007 for this property.</w:t>
      </w:r>
    </w:p>
    <w:p>
      <w:pPr>
        <w:spacing w:after="0" w:line="146" w:lineRule="exact"/>
        <w:rPr>
          <w:rFonts w:ascii="Arial" w:cs="Arial" w:eastAsia="Arial" w:hAnsi="Arial"/>
          <w:sz w:val="16"/>
          <w:szCs w:val="16"/>
          <w:color w:val="auto"/>
        </w:rPr>
      </w:pPr>
    </w:p>
    <w:p>
      <w:pPr>
        <w:ind w:left="660" w:right="340" w:hanging="652"/>
        <w:spacing w:after="0" w:line="277" w:lineRule="auto"/>
        <w:tabs>
          <w:tab w:leader="none" w:pos="6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Annualized Rent Per Leased Square Foot of Expiring Leases represents Annualized Rent of Expiring Leases, as described in footnote (1) above, presented on a per leased square foot basis.</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approximately 27,000 square feet of month-to-month holdover tenants whose leases expired prior to December 31, 2006.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The aggregate undepreciated tax basis of depreciable real property at the Graybar Building for Federal income tax purposes was $176.0 million as of December 31, 2006. Depreciation and amortization are computed for Federal income tax purposes on the straight-line method over lives, which range up to 39 years.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current real estate tax rate for all Manhattan office properties is $10.997 per $100 of assessed value. The total annual tax for the Graybar Building at this rate, including the applicable BID tax for the 2006/2007-tax year, is approximately $11.7 million (at a taxable assessed value of approximately $104.3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460"/>
        <w:spacing w:after="0" w:line="297" w:lineRule="auto"/>
        <w:rPr>
          <w:sz w:val="20"/>
          <w:szCs w:val="20"/>
          <w:color w:val="auto"/>
        </w:rPr>
      </w:pPr>
      <w:r>
        <w:rPr>
          <w:rFonts w:ascii="Arial" w:cs="Arial" w:eastAsia="Arial" w:hAnsi="Arial"/>
          <w:sz w:val="16"/>
          <w:szCs w:val="16"/>
          <w:color w:val="auto"/>
        </w:rPr>
        <w:t>We engaged independent environmental consulting firms to perform Phase I environmental site assessments on our portfolio, in order to assess existing environmental conditions. All of the Phase I assessments met the ASTM Standard. Under the ASTM Standard, a Phase I environmental site assessment consists of a site visit, an historical record review, a review of regulatory agency data bases and records, and interviews with on-site personnel, with the purpose of identifying potential environmental concerns associated with real estate. These environmental site assessments did not reveal any known environmental liability that we believe will have a material adverse effect on our results of operations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of December 31, 2006, we were not involved in any material litigation nor, to management’s knowledge, is any material litigation threatened against us or our portfolio other than routine litigation arising in the ordinary course of business or litigation that is adequately covered by insurance.</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December 6, 2006, the company announced that it and Reckson Associates Realty Corp. had reached an agreement in principle with the plaintiffs to settle the previously disclosed class action lawsuits relating to the SL Green/Reckson merger. The settlement, which remains subject to documentation and judicial review and approval, provides (1) for certain contingent profit sharing participations for Reckson stockholders relating to specified assets, (2) that if the merger closes on or before December 31, 2006, the Reckson stockholders will receive the full fourth quarter dividend, (3) for potential payments to Reckson stockholders of amounts relating to Reckson’s interest in contingent profit sharing participations in connection with the sale of certain Long Island industrial properties in a prior transaction, and (4) for the dismissal by the plaintiffs of all actions with prejudice and customary releases of all defendants and related 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stockholders during the fourth quarter ended December 31, 2006.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8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ectPr>
          <w:pgSz w:w="11900" w:h="16838" w:orient="portrait"/>
          <w:cols w:equalWidth="0" w:num="1">
            <w:col w:w="11420"/>
          </w:cols>
          <w:pgMar w:left="240" w:top="87" w:right="239" w:bottom="0" w:gutter="0" w:footer="0" w:header="0"/>
          <w:type w:val="continuous"/>
        </w:sectPr>
      </w:pPr>
    </w:p>
    <w:bookmarkStart w:id="19" w:name="page20"/>
    <w:bookmarkEnd w:id="19"/>
    <w:p>
      <w:pPr>
        <w:ind w:right="840"/>
        <w:spacing w:after="0" w:line="282" w:lineRule="auto"/>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16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common stock began trading on the New York Stock Exchange, or the NYSE, on August 15, 1997 under the symbol “SLG.” On February 22, 2007, the reported closing sale price per share of common stock on the NYSE was $151.00 and there were approximately 362 holders of record of our common stock. The table below sets forth the quarterly high and low closing sales prices of the common stock on the NYSE and the distributions paid by us with respect to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1"/>
                <w:szCs w:val="11"/>
                <w:color w:val="auto"/>
              </w:rPr>
            </w:pPr>
          </w:p>
        </w:tc>
        <w:tc>
          <w:tcPr>
            <w:tcW w:w="9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Low</w:t>
            </w:r>
          </w:p>
        </w:tc>
        <w:tc>
          <w:tcPr>
            <w:tcW w:w="780" w:type="dxa"/>
            <w:vAlign w:val="bottom"/>
            <w:gridSpan w:val="2"/>
          </w:tcPr>
          <w:p>
            <w:pPr>
              <w:jc w:val="right"/>
              <w:ind w:right="10"/>
              <w:spacing w:after="0" w:line="129" w:lineRule="exact"/>
              <w:rPr>
                <w:sz w:val="20"/>
                <w:szCs w:val="20"/>
                <w:color w:val="auto"/>
              </w:rPr>
            </w:pPr>
            <w:r>
              <w:rPr>
                <w:rFonts w:ascii="Arial" w:cs="Arial" w:eastAsia="Arial" w:hAnsi="Arial"/>
                <w:sz w:val="14"/>
                <w:szCs w:val="14"/>
                <w:b w:val="1"/>
                <w:bCs w:val="1"/>
                <w:color w:val="auto"/>
                <w:w w:val="98"/>
              </w:rPr>
              <w:t>Dividends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174"/>
              <w:spacing w:after="0" w:line="129" w:lineRule="exact"/>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1"/>
                <w:szCs w:val="11"/>
                <w:color w:val="auto"/>
              </w:rPr>
            </w:pPr>
          </w:p>
        </w:tc>
        <w:tc>
          <w:tcPr>
            <w:tcW w:w="72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9"/>
              </w:rPr>
              <w:t>Dividends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109.47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95.31</w:t>
            </w:r>
          </w:p>
        </w:tc>
        <w:tc>
          <w:tcPr>
            <w:tcW w:w="28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66.05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55.38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139.50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112.37</w:t>
            </w:r>
          </w:p>
        </w:tc>
        <w:tc>
          <w:tcPr>
            <w:tcW w:w="280" w:type="dxa"/>
            <w:vAlign w:val="bottom"/>
          </w:tcPr>
          <w:p>
            <w:pPr>
              <w:spacing w:after="0"/>
              <w:rPr>
                <w:sz w:val="20"/>
                <w:szCs w:val="20"/>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77.14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63.80</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dividends are declared in a quarter, those dividends will be paid during the subsequent quarter. We expect to continue our policy of distributing our taxable income through regular cash dividends on a quarterly basis, although there is no assurance as to future dividends because they depend on future earnings, capital requirements and financial condition. See Item 7 “Management’s Discussion and Analysis of Financial Condition and Results of Operations — Dividends” for additional information regarding our dividends.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December 31, 2006, there were 2,693,900 units of limited partnership interest of the operating partnership outstanding. These units received distributions per unit in the same manner as dividends per share were distributed to common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AND REGISTERED SECURITIES; USE OF PROCEEDS FROM REGISTERED SECURITIES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years ended December 31, 2006, 2005 and 2004, we issued 223,361, 104,031 and 81,250 shares of common stock, respectively, to holders of units of limited partnership in the operating partnership upon the redemption of such units pursuant to the partnership agreement of the operating partnership. The issuance of such shares was exempt from registration under the Securities Act, pursuant to the exemption contemplated by Section 4(2) thereof for transactions not involving a public offering. The units were converted into an equal number of shares of common stock.</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issued 102,826, 251,293 and 351,750 shares of our common stock in 2006, 2005 and 2004, respectively, for deferred stock-based compensation in connection with employment contracts and other compensation-related grants.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See Notes 14 and 16 to the Consolidated Financial Statements in Item 8 for a description of our stock option plan and other compensation arrangements.</w:t>
      </w:r>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information, as of December 31, 2006, relating to our equity compensation plans pursuant to which shares of our common stock or other equity securities may be granted from time to time.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to be issued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upon exercise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of outstanding</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1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35"/>
        </w:trPr>
        <w:tc>
          <w:tcPr>
            <w:tcW w:w="5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options, warrants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1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62"/>
        </w:trPr>
        <w:tc>
          <w:tcPr>
            <w:tcW w:w="5800" w:type="dxa"/>
            <w:vAlign w:val="bottom"/>
            <w:gridSpan w:val="4"/>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warrants and rights</w:t>
            </w: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34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1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1,636,810</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holders(2)</w:t>
            </w:r>
          </w:p>
        </w:tc>
        <w:tc>
          <w:tcPr>
            <w:tcW w:w="1700" w:type="dxa"/>
            <w:vAlign w:val="bottom"/>
          </w:tcPr>
          <w:p>
            <w:pPr>
              <w:jc w:val="right"/>
              <w:spacing w:after="0"/>
              <w:rPr>
                <w:sz w:val="20"/>
                <w:szCs w:val="20"/>
                <w:color w:val="auto"/>
              </w:rPr>
            </w:pPr>
            <w:r>
              <w:rPr>
                <w:rFonts w:ascii="Arial" w:cs="Arial" w:eastAsia="Arial" w:hAnsi="Arial"/>
                <w:sz w:val="18"/>
                <w:szCs w:val="18"/>
                <w:color w:val="auto"/>
              </w:rPr>
              <w:t>1,333</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18.44</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1,638,143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information related to our 2005 Stock Option and Incentive Plan and Amended 1997 Stock Option and Incentive Plan, as amended.</w:t>
      </w:r>
    </w:p>
    <w:p>
      <w:pPr>
        <w:spacing w:after="0" w:line="236" w:lineRule="exact"/>
        <w:rPr>
          <w:rFonts w:ascii="Arial" w:cs="Arial" w:eastAsia="Arial" w:hAnsi="Arial"/>
          <w:sz w:val="17"/>
          <w:szCs w:val="17"/>
          <w:color w:val="auto"/>
        </w:rPr>
      </w:pPr>
    </w:p>
    <w:p>
      <w:pPr>
        <w:ind w:left="360" w:right="240" w:hanging="352"/>
        <w:spacing w:after="0" w:line="259" w:lineRule="auto"/>
        <w:tabs>
          <w:tab w:leader="none" w:pos="3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of our employees, most of whom were executive officers, were granted an aggregate of 435,000 options as part of their initial employment agreements entered into at the time the employees first joined our company. The options have a weighted average exercise price of $24.61. A substantial portion of the options were issued during or before calendar year 2000 and no option grants have been made outside of our Amended 1997 Stock Option and Incentive Plan, as amended, subsequent to February 2001.</w:t>
      </w:r>
    </w:p>
    <w:p>
      <w:pPr>
        <w:spacing w:after="0" w:line="186" w:lineRule="exact"/>
        <w:rPr>
          <w:rFonts w:ascii="Arial" w:cs="Arial" w:eastAsia="Arial" w:hAnsi="Arial"/>
          <w:sz w:val="18"/>
          <w:szCs w:val="18"/>
          <w:color w:val="auto"/>
        </w:rPr>
      </w:pPr>
    </w:p>
    <w:p>
      <w:pPr>
        <w:ind w:left="400" w:hanging="392"/>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Balance is after reserving for shares to be issued under our 2003 Long-Term Outperformance Compensation Program.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our selected financial data and should be read in conjunction with our Financial Statements and notes thereto included in Item 8, “Financial Statements and Supplementary Data” and Item 7, “Management’s Discussion and Analysis of Financial Condition and Results of Operations” in this Form 10-K.</w:t>
      </w:r>
    </w:p>
    <w:p>
      <w:pPr>
        <w:spacing w:after="0" w:line="18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connection with this Annual Report on Form 10-K, we are restating our historical audited consolidated financial statements as a result of Statement of Financial Accounting Standards No. 144, or SFAS No. 144, “Accounting for the Impairment or Disposal of Long-Lived Assets.” During the periods</w:t>
      </w:r>
    </w:p>
    <w:p>
      <w:pPr>
        <w:sectPr>
          <w:pgSz w:w="11900" w:h="16838" w:orient="portrait"/>
          <w:cols w:equalWidth="0" w:num="1">
            <w:col w:w="11420"/>
          </w:cols>
          <w:pgMar w:left="240" w:top="121" w:right="239" w:bottom="0" w:gutter="0" w:footer="0" w:header="0"/>
        </w:sectPr>
      </w:pPr>
    </w:p>
    <w:bookmarkStart w:id="20" w:name="page21"/>
    <w:bookmarkEnd w:id="20"/>
    <w:p>
      <w:pPr>
        <w:ind w:right="60"/>
        <w:spacing w:after="0" w:line="264" w:lineRule="auto"/>
        <w:rPr>
          <w:sz w:val="20"/>
          <w:szCs w:val="20"/>
          <w:color w:val="auto"/>
        </w:rPr>
      </w:pPr>
      <w:r>
        <w:rPr>
          <w:rFonts w:ascii="Arial" w:cs="Arial" w:eastAsia="Arial" w:hAnsi="Arial"/>
          <w:sz w:val="18"/>
          <w:szCs w:val="18"/>
          <w:color w:val="auto"/>
        </w:rPr>
        <w:t>presented below, we classified properties as held for sale and, in compliance with SFAS No. 144, have reported revenue and expenses from these properties as discontinued operations, net of minority interest, for each period presented in our Annual Report on Form 10-K. This reclassification had no effect on our reported net income or funds from operations.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also providing updated summary selected financial information, which is included below reflecting the prior period reclassification as discontinued operations of the property classified as held for sale during 2006.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Data</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211"/>
              <w:spacing w:after="0" w:line="129"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191"/>
              <w:spacing w:after="0" w:line="129"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211"/>
              <w:spacing w:after="0" w:line="129" w:lineRule="exact"/>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211"/>
              <w:spacing w:after="0" w:line="129" w:lineRule="exact"/>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211"/>
              <w:spacing w:after="0" w:line="129"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424,189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266,160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196,967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125,912</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99,465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80,092</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Ground rent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Amortization of deferred finance costs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Marketing, general and administration</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65,741</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44,215</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30,279</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462,866</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361,429</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282,951</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158,383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from continuing operations before items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89,411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 income from affiliates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 net income of unconsolidated joint ventures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40,780</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49,349</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44,037</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1"/>
              </w:rPr>
              <w:t>Income from continuing operations before minority interest and gain on sales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(11,116)</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(6,620)</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(5,320)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gains on sale</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Gain on sale of properties/partial interests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122,526</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117,039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Discontinued operations (net of minority interest)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98,193</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40,380</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102,647</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Preferred dividends and accretion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(19,875)</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(19,875)</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(16,258)</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200,844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193,172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Arial" w:cs="Arial" w:eastAsia="Arial" w:hAnsi="Arial"/>
                <w:sz w:val="18"/>
                <w:szCs w:val="18"/>
                <w:color w:val="auto"/>
              </w:rPr>
              <w:t>Net income per common share — Basic</w:t>
            </w:r>
          </w:p>
        </w:tc>
        <w:tc>
          <w:tcPr>
            <w:tcW w:w="2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4.93</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per common share — Diluted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4.75</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1.7925</w:t>
            </w: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weighted average common shares outstanding</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44,593</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41,793</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39,171</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32,265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30,236</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Diluted weighted average common shares and common share equivalents</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48,495</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45,504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43,078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38,970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37,786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9"/>
              </w:rPr>
              <w:t>28</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55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right"/>
              <w:ind w:right="493"/>
              <w:spacing w:after="0" w:line="129"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1"/>
                <w:szCs w:val="11"/>
                <w:color w:val="auto"/>
              </w:rPr>
            </w:pPr>
          </w:p>
        </w:tc>
        <w:tc>
          <w:tcPr>
            <w:tcW w:w="1080" w:type="dxa"/>
            <w:vAlign w:val="bottom"/>
          </w:tcPr>
          <w:p>
            <w:pPr>
              <w:jc w:val="right"/>
              <w:ind w:right="493"/>
              <w:spacing w:after="0" w:line="129"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1"/>
                <w:szCs w:val="11"/>
                <w:color w:val="auto"/>
              </w:rPr>
            </w:pPr>
          </w:p>
        </w:tc>
        <w:tc>
          <w:tcPr>
            <w:tcW w:w="1220" w:type="dxa"/>
            <w:vAlign w:val="bottom"/>
          </w:tcPr>
          <w:p>
            <w:pPr>
              <w:jc w:val="center"/>
              <w:ind w:right="154"/>
              <w:spacing w:after="0" w:line="129" w:lineRule="exact"/>
              <w:rPr>
                <w:sz w:val="20"/>
                <w:szCs w:val="20"/>
                <w:color w:val="auto"/>
              </w:rPr>
            </w:pPr>
            <w:r>
              <w:rPr>
                <w:rFonts w:ascii="Arial" w:cs="Arial" w:eastAsia="Arial" w:hAnsi="Arial"/>
                <w:sz w:val="14"/>
                <w:szCs w:val="14"/>
                <w:b w:val="1"/>
                <w:bCs w:val="1"/>
                <w:color w:val="auto"/>
                <w:w w:val="96"/>
              </w:rPr>
              <w:t>2004</w:t>
            </w:r>
          </w:p>
        </w:tc>
        <w:tc>
          <w:tcPr>
            <w:tcW w:w="380" w:type="dxa"/>
            <w:vAlign w:val="bottom"/>
          </w:tcPr>
          <w:p>
            <w:pPr>
              <w:spacing w:after="0"/>
              <w:rPr>
                <w:sz w:val="11"/>
                <w:szCs w:val="11"/>
                <w:color w:val="auto"/>
              </w:rPr>
            </w:pPr>
          </w:p>
        </w:tc>
        <w:tc>
          <w:tcPr>
            <w:tcW w:w="1080" w:type="dxa"/>
            <w:vAlign w:val="bottom"/>
          </w:tcPr>
          <w:p>
            <w:pPr>
              <w:jc w:val="right"/>
              <w:ind w:right="493"/>
              <w:spacing w:after="0" w:line="129" w:lineRule="exact"/>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1"/>
                <w:szCs w:val="11"/>
                <w:color w:val="auto"/>
              </w:rPr>
            </w:pPr>
          </w:p>
        </w:tc>
        <w:tc>
          <w:tcPr>
            <w:tcW w:w="960" w:type="dxa"/>
            <w:vAlign w:val="bottom"/>
          </w:tcPr>
          <w:p>
            <w:pPr>
              <w:jc w:val="right"/>
              <w:ind w:right="393"/>
              <w:spacing w:after="0" w:line="129" w:lineRule="exact"/>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74"/>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Commercial real estate, before accumulated depreciation   $</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3,055,159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2,222,922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1,756,104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1,346,431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4,632,227</w:t>
            </w:r>
          </w:p>
        </w:tc>
        <w:tc>
          <w:tcPr>
            <w:tcW w:w="38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3,309,777</w:t>
            </w:r>
          </w:p>
        </w:tc>
        <w:tc>
          <w:tcPr>
            <w:tcW w:w="240" w:type="dxa"/>
            <w:vAlign w:val="bottom"/>
          </w:tcPr>
          <w:p>
            <w:pPr>
              <w:spacing w:after="0"/>
              <w:rPr>
                <w:sz w:val="18"/>
                <w:szCs w:val="18"/>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2,751,881</w:t>
            </w:r>
          </w:p>
        </w:tc>
        <w:tc>
          <w:tcPr>
            <w:tcW w:w="38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2,261,841</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1,473,170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Mortgage notes payable, revolving credit facilities, term</w:t>
            </w: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loans and trust preferred securities</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1,815,379</w:t>
            </w: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1,542,252</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1,150,376</w:t>
            </w: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1,119,449</w:t>
            </w: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541,503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Minority interests</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127,893</w:t>
            </w:r>
          </w:p>
        </w:tc>
        <w:tc>
          <w:tcPr>
            <w:tcW w:w="38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99,061</w:t>
            </w:r>
          </w:p>
        </w:tc>
        <w:tc>
          <w:tcPr>
            <w:tcW w:w="240" w:type="dxa"/>
            <w:vAlign w:val="bottom"/>
          </w:tcPr>
          <w:p>
            <w:pPr>
              <w:spacing w:after="0"/>
              <w:rPr>
                <w:sz w:val="18"/>
                <w:szCs w:val="18"/>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75,064</w:t>
            </w:r>
          </w:p>
        </w:tc>
        <w:tc>
          <w:tcPr>
            <w:tcW w:w="38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54,791</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 xml:space="preserve">Preferred Income Equity Redeemable Shares </w:t>
            </w:r>
            <w:r>
              <w:rPr>
                <w:rFonts w:ascii="Arial" w:cs="Arial" w:eastAsia="Arial" w:hAnsi="Arial"/>
                <w:sz w:val="23"/>
                <w:szCs w:val="23"/>
                <w:color w:val="auto"/>
                <w:vertAlign w:val="superscript"/>
              </w:rPr>
              <w:t>SM</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2,394,883</w:t>
            </w:r>
          </w:p>
        </w:tc>
        <w:tc>
          <w:tcPr>
            <w:tcW w:w="3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1,459,441</w:t>
            </w:r>
          </w:p>
        </w:tc>
        <w:tc>
          <w:tcPr>
            <w:tcW w:w="24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1,347,880</w:t>
            </w:r>
          </w:p>
        </w:tc>
        <w:tc>
          <w:tcPr>
            <w:tcW w:w="3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950,782</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626,645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Data</w:t>
            </w:r>
          </w:p>
        </w:tc>
        <w:tc>
          <w:tcPr>
            <w:tcW w:w="2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80" w:type="dxa"/>
            <w:vAlign w:val="bottom"/>
            <w:tcBorders>
              <w:bottom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Borders>
              <w:bottom w:val="single" w:sz="8" w:color="auto"/>
            </w:tcBorders>
          </w:tcPr>
          <w:p>
            <w:pPr>
              <w:jc w:val="right"/>
              <w:ind w:right="408"/>
              <w:spacing w:after="0" w:line="129" w:lineRule="exact"/>
              <w:rPr>
                <w:sz w:val="20"/>
                <w:szCs w:val="20"/>
                <w:color w:val="auto"/>
              </w:rPr>
            </w:pPr>
            <w:r>
              <w:rPr>
                <w:rFonts w:ascii="Arial" w:cs="Arial" w:eastAsia="Arial" w:hAnsi="Arial"/>
                <w:sz w:val="14"/>
                <w:szCs w:val="14"/>
                <w:b w:val="1"/>
                <w:bCs w:val="1"/>
                <w:color w:val="auto"/>
              </w:rPr>
              <w:t>2006</w:t>
            </w:r>
          </w:p>
        </w:tc>
        <w:tc>
          <w:tcPr>
            <w:tcW w:w="1140" w:type="dxa"/>
            <w:vAlign w:val="bottom"/>
            <w:tcBorders>
              <w:bottom w:val="single" w:sz="8" w:color="auto"/>
            </w:tcBorders>
          </w:tcPr>
          <w:p>
            <w:pPr>
              <w:jc w:val="right"/>
              <w:ind w:right="355"/>
              <w:spacing w:after="0" w:line="129" w:lineRule="exact"/>
              <w:rPr>
                <w:sz w:val="20"/>
                <w:szCs w:val="20"/>
                <w:color w:val="auto"/>
              </w:rPr>
            </w:pPr>
            <w:r>
              <w:rPr>
                <w:rFonts w:ascii="Arial" w:cs="Arial" w:eastAsia="Arial" w:hAnsi="Arial"/>
                <w:sz w:val="14"/>
                <w:szCs w:val="14"/>
                <w:b w:val="1"/>
                <w:bCs w:val="1"/>
                <w:color w:val="auto"/>
              </w:rPr>
              <w:t>2005</w:t>
            </w:r>
          </w:p>
        </w:tc>
        <w:tc>
          <w:tcPr>
            <w:tcW w:w="1180" w:type="dxa"/>
            <w:vAlign w:val="bottom"/>
            <w:tcBorders>
              <w:bottom w:val="single" w:sz="8" w:color="auto"/>
            </w:tcBorders>
          </w:tcPr>
          <w:p>
            <w:pPr>
              <w:jc w:val="right"/>
              <w:ind w:right="375"/>
              <w:spacing w:after="0" w:line="129"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53"/>
              <w:spacing w:after="0" w:line="129" w:lineRule="exact"/>
              <w:rPr>
                <w:sz w:val="20"/>
                <w:szCs w:val="20"/>
                <w:color w:val="auto"/>
              </w:rPr>
            </w:pPr>
            <w:r>
              <w:rPr>
                <w:rFonts w:ascii="Arial" w:cs="Arial" w:eastAsia="Arial" w:hAnsi="Arial"/>
                <w:sz w:val="14"/>
                <w:szCs w:val="14"/>
                <w:b w:val="1"/>
                <w:bCs w:val="1"/>
                <w:color w:val="auto"/>
              </w:rPr>
              <w:t>2003</w:t>
            </w:r>
          </w:p>
        </w:tc>
        <w:tc>
          <w:tcPr>
            <w:tcW w:w="980" w:type="dxa"/>
            <w:vAlign w:val="bottom"/>
            <w:tcBorders>
              <w:bottom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w w:val="99"/>
              </w:rPr>
              <w:t>(In thousands)</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to common stockholders(1)</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223,634</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  189,513</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  162,377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128,780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116,230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Funds from operations available to all stockholders(1)</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223,634</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189,513</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162,377</w:t>
            </w:r>
          </w:p>
        </w:tc>
        <w:tc>
          <w:tcPr>
            <w:tcW w:w="24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135,473</w:t>
            </w:r>
          </w:p>
        </w:tc>
        <w:tc>
          <w:tcPr>
            <w:tcW w:w="980" w:type="dxa"/>
            <w:vAlign w:val="bottom"/>
          </w:tcPr>
          <w:p>
            <w:pPr>
              <w:jc w:val="right"/>
              <w:spacing w:after="0"/>
              <w:rPr>
                <w:sz w:val="20"/>
                <w:szCs w:val="20"/>
                <w:color w:val="auto"/>
              </w:rPr>
            </w:pPr>
            <w:r>
              <w:rPr>
                <w:rFonts w:ascii="Arial" w:cs="Arial" w:eastAsia="Arial" w:hAnsi="Arial"/>
                <w:sz w:val="18"/>
                <w:szCs w:val="18"/>
                <w:color w:val="auto"/>
              </w:rPr>
              <w:t>125,430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189,634</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138,398</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164,458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96,121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Net cash used in investment activities</w:t>
            </w: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(750,902)</w:t>
            </w:r>
          </w:p>
        </w:tc>
        <w:tc>
          <w:tcPr>
            <w:tcW w:w="1140" w:type="dxa"/>
            <w:vAlign w:val="bottom"/>
          </w:tcPr>
          <w:p>
            <w:pPr>
              <w:jc w:val="right"/>
              <w:spacing w:after="0"/>
              <w:rPr>
                <w:sz w:val="20"/>
                <w:szCs w:val="20"/>
                <w:color w:val="auto"/>
              </w:rPr>
            </w:pPr>
            <w:r>
              <w:rPr>
                <w:rFonts w:ascii="Arial" w:cs="Arial" w:eastAsia="Arial" w:hAnsi="Arial"/>
                <w:sz w:val="18"/>
                <w:szCs w:val="18"/>
                <w:color w:val="auto"/>
              </w:rPr>
              <w:t>(465,674)</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(269,045)</w:t>
            </w:r>
          </w:p>
        </w:tc>
        <w:tc>
          <w:tcPr>
            <w:tcW w:w="24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w w:val="98"/>
              </w:rPr>
              <w:t>(509,240)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(67,074)</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654,342</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315,585</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101,836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393,645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108"/>
        </w:trPr>
        <w:tc>
          <w:tcPr>
            <w:tcW w:w="220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120" w:hanging="352"/>
        <w:spacing w:after="0" w:line="288" w:lineRule="auto"/>
        <w:tabs>
          <w:tab w:leader="none" w:pos="3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Funds From Operations, or FFO, is a widely recognized measure of REIT performance. We compute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defines FFO as net income (loss) (computed in accordance with generally accepted accounting principles, or GAAP), excluding gains (or losses) from debt restructuring and sales of properties,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however, real estate values</w:t>
      </w:r>
    </w:p>
    <w:p>
      <w:pPr>
        <w:sectPr>
          <w:pgSz w:w="11900" w:h="16838" w:orient="portrait"/>
          <w:cols w:equalWidth="0" w:num="1">
            <w:col w:w="11460"/>
          </w:cols>
          <w:pgMar w:left="240" w:top="125" w:right="199" w:bottom="0" w:gutter="0" w:footer="0" w:header="0"/>
        </w:sectPr>
      </w:pPr>
    </w:p>
    <w:bookmarkStart w:id="21" w:name="page22"/>
    <w:bookmarkEnd w:id="21"/>
    <w:p>
      <w:pPr>
        <w:ind w:left="360" w:right="20"/>
        <w:spacing w:after="0" w:line="293" w:lineRule="auto"/>
        <w:rPr>
          <w:sz w:val="20"/>
          <w:szCs w:val="20"/>
          <w:color w:val="auto"/>
        </w:rPr>
      </w:pPr>
      <w:r>
        <w:rPr>
          <w:rFonts w:ascii="Arial" w:cs="Arial" w:eastAsia="Arial" w:hAnsi="Arial"/>
          <w:sz w:val="16"/>
          <w:szCs w:val="16"/>
          <w:color w:val="auto"/>
        </w:rPr>
        <w:t>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65"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A reconciliation of FFO to net income computed in accordance with GAAP is provided under the heading of “Management’s Discussion and Analysis of Financial Condition and Results of Operations — Funds From Operations.”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SL Green Realty Corp., or the company, a Maryland corporation, and SL Green Operating Partnership, L.P., or the operating partnership, a Delaware limited partnership, were formed in June 1997 for the purpose of combining the commercial real estate business of S.L. Green Properties, Inc. and its affiliated partnerships and entities. We are a self-managed real estate investment trust, or REIT, with in-house capabilities in property management, acquisitions, financing, development, construction and leasing. Unless the context requires otherwise, all references to “we,” “our” and “us” means the company and all entities owned or controlled by the company, including the operating partnership.</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discussion related to our consolidated financial statements should be read in conjunction with the financial statements appearing in Item 8 of this Annual Report on Form 10-K.</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2006, investor demand for commercial real estate, particularly in New York City, continued to escalate. This demand was driven by a continued low interest rate environment, availability of capital, low vacancy rates and increasing rental rates.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New York City sales activity in 2006 surpassed 2005 by approximately $10.0 billion, as total volume reached approximately $30.0 billion. Several 2006 transactions traded hands at prices in excess of $1,000.00 per square foot.</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Leasing activity for Manhattan, a borough of New York City, totaled approximately 27.1 million square feet compared to approximately 25.5 million square feet in 2005. Of the total 2006 leasing activity in Manhattan, the Midtown submarket accounted for approximately 18.7 million square feet, or 69.0%. As a result, Midtown’s overall vacancy decreased from 7.8% in 2005 to 6.4% in 2006.</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Overall asking rents in Midtown increased from $47.80 at year-end 2005 to $59.46 at year-end 2006, an increase greater than 24.0%. This increase in leasing activity was led by financial services firms, law firms and education/government agencies. Midtown saw positive absorption of 2.6 million square feet.</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2006, minimal new office space was added to the Midtown office inventory. In a supply-constrained market, there are only 3.6 million square feet under construction in Midtown as of year-end, 84% of which is already pre-leased.</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saw significant increases in short-term interest rates, although they still remain low compared to historical levels. The 30-day LIBOR rate ended 2006 at 5.32%, a 93 basis point increase from the end of 2005. Ten-year US Treasuries ended 2006 at 4.71%, a 35 basis point increase from the end of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once again had an active year in 2006. Highlights included:</w:t>
      </w:r>
    </w:p>
    <w:p>
      <w:pPr>
        <w:spacing w:after="0" w:line="225"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Acquired six properties for approximately $1.5 billion, encompassing 3.6 million square feet;</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Acquired interests in four retail properties for approximately $265.0 million, encompassing 127,000 square feet;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Sold three properties for an aggregate gross sales price of $400.5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Invested approximately $20.1 million in Gramercy Capital Corp., or Gramercy, a specialty finance company;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Originated approximately $45.0 million of new structured finance investments, net of redemptions;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Issued approximately 6.5 million shares of our common stock, raising net proceeds of approximately $800.3 million in two separate transactions;</w:t>
      </w:r>
    </w:p>
    <w:p>
      <w:pPr>
        <w:spacing w:after="0" w:line="32" w:lineRule="exact"/>
        <w:rPr>
          <w:rFonts w:ascii="Arial" w:cs="Arial" w:eastAsia="Arial" w:hAnsi="Arial"/>
          <w:sz w:val="16"/>
          <w:szCs w:val="16"/>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Closed on approximately $500.0 million of mortgage financings;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Formed Belmont Insurance Corp., or Belmont, an insurance captive;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portfolio occupancy from 96.7% at December 31, 2005 to 97.0% at December 31, 2006, and</w:t>
      </w:r>
    </w:p>
    <w:p>
      <w:pPr>
        <w:spacing w:after="0" w:line="9" w:lineRule="exact"/>
        <w:rPr>
          <w:rFonts w:ascii="Arial" w:cs="Arial" w:eastAsia="Arial" w:hAnsi="Arial"/>
          <w:sz w:val="18"/>
          <w:szCs w:val="18"/>
          <w:color w:val="auto"/>
        </w:rPr>
      </w:pPr>
    </w:p>
    <w:p>
      <w:pPr>
        <w:ind w:left="660" w:right="400" w:hanging="328"/>
        <w:spacing w:after="0" w:line="261"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Signed 216 office leases totaling 2.0 million square feet during 2006 while increasing the cash rents paid by new tenants on previously occupied space by 21.5% over the most recent cash rent paid by the previous tenants for the same space.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highlights noted above, the year culminated with the approval of our merger with Reckson Associates Realty Corp., or Reckson, by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stockholders on December 7, 2006. This $6.0 billion merger subsequently closed on January 25, 2007. Simultaneously, we sold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billion of the Reckson assets to an asset-purchasing venture, which includes certain former members of Reckson’s senior management. The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includes the acquisition of 30 properties encompassing approximately 9.2 million square feet, of which five properties encompassing approximately 4.2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square feet are located in Manhattan. In connection with this merger, we issued approximately 9.0 million shares of our common stock, closed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$298.0 million of new mortgage financing and a $500.0 million term loan, and assumed approximately $238.6 million of mortgage debt,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$967.8 public million of unsecured notes and approximately $287.5 million of public convertible debt. In connection with the Reckson acquisition, we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loans totaling $215.0 million to the asset purchasing venture. We may syndicate all or a portion of these loans.</w:t>
      </w:r>
    </w:p>
    <w:p>
      <w:pPr>
        <w:sectPr>
          <w:pgSz w:w="11900" w:h="16838" w:orient="portrait"/>
          <w:cols w:equalWidth="0" w:num="1">
            <w:col w:w="11400"/>
          </w:cols>
          <w:pgMar w:left="240" w:top="125" w:right="259" w:bottom="96"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96"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Our outlook for 2007 is a continuation of the strong performance demonstrated in 2006.</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2006, our wholly-owned properties consisted of 20 commercial office properties encompassing approximately 10.1 million rentable square feet located primarily in midtown Manhattan, a borough of New York City, or Manhattan. As of December 31, 2006, the weighted average occupancy (total leased square feet divided by total available square feet) of the wholly-owned properties was 96.9%. Our portfolio also includes ownership interests in unconsolidated joint ventures, which own eight commercial office properties in Manhattan, encompassing approximately 8.9 million rentable square feet, and which had a weighted average occupancy of 97.1% as of December 31, 2006. We also own 516,000 square feet of retail (eight) and development (one) properties. In addition, we manage three office properties owned by third parties and affiliated companies encompassing approximately 1.0 million rentable square feet.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Our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and contingencies as of the date of the financial statements and the reported amounts of revenues and expenses during the reporting periods. We evaluate our assumptions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the following critical accounting policies affect our more significant judgments and estimates used in the preparation of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Rental Property</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On a periodic basis, our management team assesses whether there are any indicators that the value of our real estate properties, including joint venture properties and assets held for sale, and structured finance investments may be impaired. If the carrying amount of the property is greater than the estimated expected future cash flow (undiscounted and without interest charges) of the asset or sales price, impairment has occurred. We will then record an impairment loss equal to the difference between the carrying amount and the fair value of the asset. We do not believe that the value of any of our rental properties or structured finance investments was impaired at December 31, 2006 and 2005.</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variety of costs are incurred in the acquisition, development and leasing of our properties. After determination is made to capitalize a cost, it is allocated to the specific component of a project that is benefited. Determination of when a development project is substantially complete and capitalization must cease involves a degree of judgment. Our capitalization policy on our development properties is guided by SFAS No. 34 “Capitalization of Interest Cost” and SFAS No. 67 “Accounting for Costs and Initial Rental Operations of Real Estate Projects.” The costs of land and building under development include specifically identifiable costs. The capitalized costs include pre-construction costs essential to the development of the property, development costs, construction costs, interest costs, real estate taxes, salaries and related costs and other costs incurred during the period of development. We consider a construction project as substantially completed and held available for occupancy upon the completion of tenant improvements, but no later than one year from cessation of major construction activity. We cease capitalization on the portions substantially completed and occupied or held available for occupancy, and capitalize only those costs associated with the portions under construction.</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accordance with SFAS 141, “Business Combinations,” we allocate the purchase price of real estate to land and building and, if determined to be material, intangibles, such as the value of above, below and at-market leases and origination costs associated with the in-place leases. We depreciate the amount allocated to building and other intangible assets over their estimated useful lives, which generally range from three to 40 years. The values of the above and below market leases are amortized and recorded as either an increase (in the case of below market leases) or a decrease (in the case of above market leases) to rental income over the remaining term of the associated lease. The value associated with in-place leases and tenant relationships are amortized over the expected term of the relationship, which includes an estimated probability of the lease renewal, and its estimated term.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its contractual expiration date). We assess fair value of the leases based on estimated cash flow projections that utilize appropriate discount and capitalization rates and available market information. Estimates of future cash flows are based on a number of factors including the historical operating results, known trends, and market/economic conditions that may affect the property.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in Unconsolidated Joint Ventures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account for our investments in unconsolidated joint ventures under the equity method of accounting as we exercise significant influence, but do not control these entities and are not considered to be the primary beneficiary under FIN 46R. We consolidate those joint ventures where we are considered to be the primary beneficiary, even though we do not control the entity. In all the joint ventures, the rights of the minority investor are both protective as well as participating. Unless we are determined to be the primary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beneficiary, these rights preclude us from consolidating these investments. These investments are recorded initially at cost, as investments in unconsolidated joint ventures, and subsequently adjusted for equity in net income (loss) and cash contributions and distributions. Any difference between the carrying amount of these investments on our balance sheet and the underlying equity in net assets is amortized as an adjustment to equity in net income (loss) of unconsolidated joint ventures over the lesser of the joint venture term or 40 years. Equity income (loss) from unconsolidated joint ventures is allocated based on our ownership interest in each joint venture. When a capital event (as defined in each joint venture agreement) such as a refinancing occurs, if return thresholds are met, future equity income will be allocated at our increased economic percentage. We recognize incentive income from unconsolidated real estate joint ventures as income to the extent it is earned and not subject to a clawback feature. Distributions we receive from unconsolidated real estate joint</w:t>
      </w:r>
    </w:p>
    <w:p>
      <w:pPr>
        <w:sectPr>
          <w:pgSz w:w="11900" w:h="16838" w:orient="portrait"/>
          <w:cols w:equalWidth="0" w:num="1">
            <w:col w:w="11420"/>
          </w:cols>
          <w:pgMar w:left="240" w:top="800" w:right="239" w:bottom="0" w:gutter="0" w:footer="0" w:header="0"/>
        </w:sectPr>
      </w:pPr>
    </w:p>
    <w:bookmarkStart w:id="23" w:name="page24"/>
    <w:bookmarkEnd w:id="23"/>
    <w:p>
      <w:pPr>
        <w:ind w:right="560"/>
        <w:spacing w:after="0" w:line="308" w:lineRule="auto"/>
        <w:rPr>
          <w:sz w:val="20"/>
          <w:szCs w:val="20"/>
          <w:color w:val="auto"/>
        </w:rPr>
      </w:pPr>
      <w:r>
        <w:rPr>
          <w:rFonts w:ascii="Arial" w:cs="Arial" w:eastAsia="Arial" w:hAnsi="Arial"/>
          <w:sz w:val="17"/>
          <w:szCs w:val="17"/>
          <w:color w:val="auto"/>
        </w:rPr>
        <w:t>ventures in excess of our basis in the investment are recorded as offsets to our investment balance if we remain liable for future obligations of the joint venture or may otherwise be committed to provide future additional financial support. None of the joint venture debt is recourse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Rental revenue is recognized on a straight-line basis over the term of the lease. The excess of rents recognized over amounts contractually due pursuant to the underlying leases are included in deferred rents receivable on the accompanying balance sheets. We establish, on a current basis, an allowance for future potential tenant credit losses, which may occur against this account. The balance reflected on the balance sheet is net of such allowance.</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Interest income on structured finance investments is recognized over the life of the investment using the effective interest method and recognized on the accrual basis. Fees received in connection with loan commitments are deferred until the loan is funded and are then recognized over the term of the loan as an adjustment to yield. Anticipated exit fees, whose collection is expected, are also recognized over the term of the loan as an adjustment to yield. </w:t>
      </w:r>
      <w:r>
        <w:rPr>
          <w:rFonts w:ascii="Arial" w:cs="Arial" w:eastAsia="Arial" w:hAnsi="Arial"/>
          <w:sz w:val="15"/>
          <w:szCs w:val="15"/>
          <w:color w:val="auto"/>
        </w:rPr>
        <w:t>Fees on</w:t>
      </w:r>
    </w:p>
    <w:p>
      <w:pPr>
        <w:spacing w:after="0"/>
        <w:rPr>
          <w:sz w:val="20"/>
          <w:szCs w:val="20"/>
          <w:color w:val="auto"/>
        </w:rPr>
      </w:pPr>
      <w:r>
        <w:rPr>
          <w:rFonts w:ascii="Arial" w:cs="Arial" w:eastAsia="Arial" w:hAnsi="Arial"/>
          <w:sz w:val="18"/>
          <w:szCs w:val="18"/>
          <w:color w:val="auto"/>
        </w:rPr>
        <w:t>commitments that expire unused are recognized at expiration.</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Income recognition is generally suspended for structured finance investments at the earlier of the date at which payments become 90 days past due or when, in the opinion of management, a full recovery of income and principal becomes doubtful. Income recognition is resumed when the loan becomes contractually current and performance is demonstrated to be resumed.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Doubtful Accounts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maintain an allowance for doubtful accounts for estimated losses resulting from the inability of our tenants to make required rent payments. If the financial condition of a specific tenant were to deteriorate, resulting in an impairment of its ability to make payments, additional allowances may be required.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Reserve for Possible Credit Losses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expense for possible credit losses in connection with structured finance investments is the charge to earnings to increase the allowance for possible credit losses to the level that we estimate to be adequate considering delinquencies, loss experience and collateral quality. Other factors considered relate to geographic trends and product diversification, the size of the portfolio and current economic conditions. Based upon these factors, we establish the provision for possible credit losses by category of asset. When it is probable that we will be unable to collect all amounts contractually due, the account is considered impaired.</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Where impairment is indicated, a valuation write-down or write-off is measured based upon the excess of the recorded investment amount over the net fair value of the collateral, as reduced by selling costs. Any deficiency between the carrying amount of an asset and the net sales price of repossessed collateral is charged to the allowance for credit losses. No reserve for impairment was required at December 31, 2006 or 2005.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the normal course of business, we use a variety of derivative instruments to manage, or hedge, interest rate risk. We require that hedging derivative instruments be effective in reducing the interest rate risk exposure that they are designated to hedge. This effectiveness is essential for qualifying for hedge accounting. Some derivative instruments are associated with an anticipated transaction. In those cases, hedge effectiveness criteria also require that it be probable that the underlying transaction occurs. Instruments that meet these hedging criteria are formally designated as hedges at the inception of the derivative contract.</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To determine the fair values of derivative instruments, we use a variety of methods and assumptions that are based on market conditions and risks existing at each balance sheet date. For the majority of financial instruments including most derivatives, long-term investments and long-term debt, standard market conventions and techniques such as discounted cash flow analysis, option-pricing models, replacement cost, and termination cost are used to determine fair value. All methods of assessing fair value result in a general approximation of value, and such value may never actually be realized.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2006 to the year ended December 31, 2005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comparison for the year ended December 31, 2006, or 2006, to the year ended December 31, 2005, or 2005, makes reference to the following:</w:t>
      </w:r>
    </w:p>
    <w:p>
      <w:pPr>
        <w:spacing w:after="0" w:line="46" w:lineRule="exact"/>
        <w:rPr>
          <w:sz w:val="20"/>
          <w:szCs w:val="20"/>
          <w:color w:val="auto"/>
        </w:rPr>
      </w:pPr>
    </w:p>
    <w:p>
      <w:pPr>
        <w:ind w:right="100" w:firstLine="8"/>
        <w:spacing w:after="0" w:line="263" w:lineRule="auto"/>
        <w:tabs>
          <w:tab w:leader="none" w:pos="2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effect of the “Same-Store Properties,” which represents all properties owned by us at January 1, 2005 and at December 31, 2006 and total 16 of our 20 wholly-owned properties, representing approximately 82.1% of our annualized rental revenue, (ii) the effect of the “Acquisitions,” which represents all properties or interests in properties acquired in 2005, namely, 28 West 44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Street (February), One Madison Avenue-Clock Tower (April), 19 West 44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Street (June), 141 Fifth Avenue (August), 1604 Broadway (November) and in 2006, namely, 25-27 and 29 West 34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Street (January), 521 Fifth Avenue (March), 609 Fifth Avenue (June), 717 Fifth Avenue (September), 485 Lexington Avenue (December), and (iii) “Other,” which represents corporate level items not allocable to specific properties, the Service Corporation and eEmerge. Assets classified as held for sale, are excluded from the following discussion.</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Rental Revenues (in millions)</w:t>
            </w:r>
          </w:p>
        </w:tc>
        <w:tc>
          <w:tcPr>
            <w:tcW w:w="2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Rental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28.0%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Escalation and reimbursement revenue</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5"/>
              </w:rPr>
              <w:t>22.3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27.0%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spacing w:after="0"/>
        <w:tabs>
          <w:tab w:leader="none" w:pos="7800" w:val="left"/>
          <w:tab w:leader="none" w:pos="8060" w:val="left"/>
          <w:tab w:leader="none" w:pos="8760" w:val="left"/>
          <w:tab w:leader="none" w:pos="8980" w:val="left"/>
          <w:tab w:leader="none" w:pos="9680" w:val="left"/>
          <w:tab w:leader="none" w:pos="9960" w:val="left"/>
          <w:tab w:leader="none" w:pos="10880" w:val="left"/>
        </w:tabs>
        <w:rPr>
          <w:sz w:val="20"/>
          <w:szCs w:val="20"/>
          <w:color w:val="auto"/>
        </w:rPr>
      </w:pPr>
      <w:r>
        <w:rPr>
          <w:rFonts w:ascii="Arial" w:cs="Arial" w:eastAsia="Arial" w:hAnsi="Arial"/>
          <w:sz w:val="18"/>
          <w:szCs w:val="18"/>
          <w:color w:val="auto"/>
        </w:rPr>
        <w:t>Same-Store Properties</w:t>
      </w:r>
      <w:r>
        <w:rPr>
          <w:sz w:val="20"/>
          <w:szCs w:val="20"/>
          <w:color w:val="auto"/>
        </w:rPr>
        <w:tab/>
      </w:r>
      <w:r>
        <w:rPr>
          <w:rFonts w:ascii="Arial" w:cs="Arial" w:eastAsia="Arial" w:hAnsi="Arial"/>
          <w:sz w:val="18"/>
          <w:szCs w:val="18"/>
          <w:color w:val="auto"/>
        </w:rPr>
        <w:t>$</w:t>
        <w:tab/>
        <w:t>364.5</w:t>
      </w:r>
      <w:r>
        <w:rPr>
          <w:sz w:val="20"/>
          <w:szCs w:val="20"/>
          <w:color w:val="auto"/>
        </w:rPr>
        <w:tab/>
      </w:r>
      <w:r>
        <w:rPr>
          <w:rFonts w:ascii="Arial" w:cs="Arial" w:eastAsia="Arial" w:hAnsi="Arial"/>
          <w:sz w:val="18"/>
          <w:szCs w:val="18"/>
          <w:color w:val="auto"/>
        </w:rPr>
        <w:t>$</w:t>
        <w:tab/>
        <w:t>320.7</w:t>
      </w:r>
      <w:r>
        <w:rPr>
          <w:sz w:val="20"/>
          <w:szCs w:val="20"/>
          <w:color w:val="auto"/>
        </w:rPr>
        <w:tab/>
      </w:r>
      <w:r>
        <w:rPr>
          <w:rFonts w:ascii="Arial" w:cs="Arial" w:eastAsia="Arial" w:hAnsi="Arial"/>
          <w:sz w:val="18"/>
          <w:szCs w:val="18"/>
          <w:color w:val="auto"/>
        </w:rPr>
        <w:t>$</w:t>
        <w:tab/>
        <w:t>43.8</w:t>
      </w:r>
      <w:r>
        <w:rPr>
          <w:sz w:val="20"/>
          <w:szCs w:val="20"/>
          <w:color w:val="auto"/>
        </w:rPr>
        <w:tab/>
      </w: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Acquisitions</w:t>
            </w:r>
          </w:p>
        </w:tc>
        <w:tc>
          <w:tcPr>
            <w:tcW w:w="680" w:type="dxa"/>
            <w:vAlign w:val="bottom"/>
          </w:tcPr>
          <w:p>
            <w:pPr>
              <w:jc w:val="right"/>
              <w:spacing w:after="0"/>
              <w:rPr>
                <w:sz w:val="20"/>
                <w:szCs w:val="20"/>
                <w:color w:val="auto"/>
              </w:rPr>
            </w:pPr>
            <w:r>
              <w:rPr>
                <w:rFonts w:ascii="Arial" w:cs="Arial" w:eastAsia="Arial" w:hAnsi="Arial"/>
                <w:sz w:val="18"/>
                <w:szCs w:val="18"/>
                <w:color w:val="auto"/>
              </w:rPr>
              <w:t>63.2</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229.2</w:t>
            </w:r>
          </w:p>
        </w:tc>
        <w:tc>
          <w:tcPr>
            <w:tcW w:w="200" w:type="dxa"/>
            <w:vAlign w:val="bottom"/>
          </w:tcPr>
          <w:p>
            <w:pPr>
              <w:spacing w:after="0"/>
              <w:rPr>
                <w:sz w:val="20"/>
                <w:szCs w:val="20"/>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r>
      <w:tr>
        <w:trPr>
          <w:trHeight w:val="223"/>
        </w:trPr>
        <w:tc>
          <w:tcPr>
            <w:tcW w:w="7820" w:type="dxa"/>
            <w:vAlign w:val="bottom"/>
          </w:tcPr>
          <w:p>
            <w:pPr>
              <w:ind w:left="18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433.2</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341.0</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92.2</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7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Occupancy in the Same-Store Properties increased from 96.0% at December 31, 2005 and 97.0% at September 30, 2006 to 97.5% at December 31, 2006. The increase in the Acquisitions is primarily due to owning these properties for a period during the year in 2006 compared to a partial period or not being included in 2005.</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December 31, 2006, we estimated that the current market rents on our wholly-owned properties were approximately 30.2% higher than then existing in-place fully escalated rents. We believe that the trend of increasing rental rates will continue during 2007 and 2008. Approximately 4.0% of the space leased at wholly-owned properties expires during the remainder of 2007.</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increase in escalation and reimbursement revenue was due to the recoveries at the Same-Store Properties ($7.0 million) and the Acquisitions ($4.9 million). The increase in recoveries at the Same-Store Properties was primarily due to electric reimbursements ($0.9 million), operating expense escalations ($4.5 million) and real estate tax escalations ($1.6 million).</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Investment and Other Income (in millions)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of unconsolidated joint ventures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Investment and preferred equity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equity in net income of unconsolidated joint ventures was primarily due to lower net income contributions from 1515 Broadway ($10.1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million), 1250 Broadway ($0.5 million), 180 Madison Avenue ($0.7 million), Mack-Green joint venture ($2.6 million) and 1221 Avenue of the Americas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($0.9 million). This was partially offset by increased net income contributions from our investments in Gramercy ($6.1 million) and 485 Lexington Avenue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($0.6 million). Occupancy at our joint venture properties decreased from 97.4% at December 31, 2005 to 97.1% at December 31, 2006.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we estimated that current market rents at our joint venture properties were approximately 40.9% higher than then existing in-place fully escalated rents.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4.7% of the space leased at our joint venture properties expires during the remainder of 2007.</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increase in investment and preferred equity income was primarily due to income earned on cash-on-hand ($7.4 million) and fee income received upon redemption of several investments in 2006 in excess of 2005 redemptions. The weighted average investment balance outstanding and weighted average yield were $398.5 million and 10.3%, respectively, for 2006 compared to $393.9 million and 10.5%, respectively, for 2005.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increase in other income was primarily due to fee income earned by GKK Manager, an affiliate of ours and the external manager of Gramercy (approximately $11.7 million), an increase in lease buy-out income (approximately $6.9 million) and incentive distributions, promote and other income (approximately $1.5 million), which was partially offset by reduced income from the Service Corporation ($1.7 million).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Property Operating Expenses (in millions)</w:t>
            </w:r>
          </w:p>
        </w:tc>
        <w:tc>
          <w:tcPr>
            <w:tcW w:w="160" w:type="dxa"/>
            <w:vAlign w:val="bottom"/>
          </w:tcPr>
          <w:p>
            <w:pPr>
              <w:spacing w:after="0"/>
              <w:rPr>
                <w:sz w:val="14"/>
                <w:szCs w:val="14"/>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Real estate taxes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Ground rent</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221.3</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176.8</w:t>
            </w:r>
          </w:p>
        </w:tc>
        <w:tc>
          <w:tcPr>
            <w:tcW w:w="280" w:type="dxa"/>
            <w:vAlign w:val="bottom"/>
          </w:tcPr>
          <w:p>
            <w:pPr>
              <w:spacing w:after="0"/>
              <w:rPr>
                <w:sz w:val="21"/>
                <w:szCs w:val="21"/>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44.5</w:t>
            </w: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Same-Store Properties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185.4</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158.2</w:t>
            </w:r>
          </w:p>
        </w:tc>
        <w:tc>
          <w:tcPr>
            <w:tcW w:w="4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Same-Store Properties operating expenses, excluding real estate taxes ($10.6 million), increased approximately $16.6 million. There were increases in repairs, maintenance and payroll expenses ($9.5 million), utilities ($1.5 million), insurance costs ($4.3 million), ground rent expense ($0.2 million) and other miscellaneous expenses ($1.1 million), respectively.</w:t>
      </w:r>
    </w:p>
    <w:p>
      <w:pPr>
        <w:spacing w:after="0" w:line="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increase in real estate taxes was primarily attributable to the Same-Store Properties ($10.6 million) due to higher assessed property values and the Acquisitions ($6.6 million).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Other Expenses (in millions)</w:t>
            </w:r>
          </w:p>
        </w:tc>
        <w:tc>
          <w:tcPr>
            <w:tcW w:w="2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23.2%</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w w:val="85"/>
              </w:rPr>
              <w:t>28.2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5"/>
              </w:rPr>
              <w:t>48.6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9"/>
                <w:szCs w:val="19"/>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5"/>
              </w:rPr>
              <w:t>30.9</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71" w:gutter="0" w:footer="0" w:header="0"/>
        </w:sectPr>
      </w:pPr>
    </w:p>
    <w:bookmarkStart w:id="25" w:name="page26"/>
    <w:bookmarkEnd w:id="25"/>
    <w:p>
      <w:pPr>
        <w:ind w:right="100"/>
        <w:spacing w:after="0" w:line="259" w:lineRule="auto"/>
        <w:rPr>
          <w:sz w:val="20"/>
          <w:szCs w:val="20"/>
          <w:color w:val="auto"/>
        </w:rPr>
      </w:pPr>
      <w:r>
        <w:rPr>
          <w:rFonts w:ascii="Arial" w:cs="Arial" w:eastAsia="Arial" w:hAnsi="Arial"/>
          <w:sz w:val="18"/>
          <w:szCs w:val="18"/>
          <w:color w:val="auto"/>
        </w:rPr>
        <w:t>The increase in interest expense was primarily attributable to borrowings associated with new investment activity and the funding of ongoing capital projects and working capital requirements. The weighted average interest rate increased from 5.54% for the year ended December 31, 2005 to 5.93% for the year ended December 31, 2006. As a result of the new investment activity, the weighted average debt balance increased from $1.5 billion as of December 31, 2005 to $1.95 billion as of December 31, 2006.</w:t>
      </w:r>
    </w:p>
    <w:p>
      <w:pPr>
        <w:spacing w:after="0" w:line="18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Marketing, general and administrative, or MG&amp;A, expenses represented 11.9% of total revenues in 2006 compared to 10.4% in 2005. MG&amp;A expenses for 2006 include approximately $8.1 million of costs associated with Gramercy compared to approximately $7.4 million in 2005. In addition, the compensation committee of our board of directors elected to pay approximately $10.0 million of additional incentive compensation to various senior executives in recognition of their extraordinary efforts in 2006, including the approval of the Reckson merger, as well as the Company’s sector leading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2005 to the year ended December 31, 2004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comparison for the year ended December 31, 2005, or 2005, to the year ended December 31, 2004, or 2004, makes reference to the following:</w:t>
      </w:r>
    </w:p>
    <w:p>
      <w:pPr>
        <w:spacing w:after="0" w:line="46" w:lineRule="exact"/>
        <w:rPr>
          <w:sz w:val="20"/>
          <w:szCs w:val="20"/>
          <w:color w:val="auto"/>
        </w:rPr>
      </w:pPr>
    </w:p>
    <w:p>
      <w:pPr>
        <w:ind w:right="100" w:firstLine="8"/>
        <w:spacing w:after="0" w:line="261" w:lineRule="auto"/>
        <w:tabs>
          <w:tab w:leader="none" w:pos="2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effect of the “Same-Store Properties,” which represents all properties owned by us at January 1, 2004 and at December 31, 2005 and total 14 of our 21 wholly-owned properties, representing approximately 75% of our annualized rental revenue, (ii) the effect of the “Acquisitions,” which represents all properties acquired in 2004, namely, 750 Third Avenue (July 2004) and 625 Madison Avenue (October 2004) and in 2005, namely, 28 West 44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Street (February 2005), One Madison Avenue-Clock Tower (April 2005), 19 West 44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Street (June 2005), 141 Fifth Avenue (August 2005), 1604 Broadway (November 2005) and (iii) “Other,” which represents corporate level items not allocable to specific properties, the Service Corporation and eEmerge. Assets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classified as held for sale in 2004, namely 1466 Broadway and 17 Battery Place and in 2005, namely, 1414 Avenue of the Americas, are excluded from the following discussion. In 2006, 286 Madison Avenue, 290 Madison Avenue and 1140 Avenue of the Americas were classified as held for sale. They have also been excluded from the following discussion.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Rental Revenues (in millions)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Rental revenue</w:t>
            </w: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285.3</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Escalation and reimbursement revenue</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Same-Store Properties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341.0</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Occupancy in the Same-Store Properties decreased slightly from 95.9% at December 31, 2004 to 95.8% at December 31, 2005. The increase in the Acquisitions is primarily due to owning these properties for a period during the year in 2005 compared to a partial period or not being included in 2004.</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December 31, 2005, we estimated that the current market rents on our wholly-owned properties were approximately 18.7% higher than then existing in-place fully escalated rents. Approximately 6.7% of the space leased at our wholly-owned properties expires during 2006. We believe that occupancy rates at the Same-Store Properties will range between approximately 96% and 97% in 2006.</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increase in escalation and reimbursement revenue was primarily due to the recoveries at the Same-Store Properties ($6.3 million), and the Acquisitions ($7.4 million) and in Other ($0.4 million). The increase in recoveries at the Same-Store Properties was primarily due to electric reimbursements ($3.3 million), operating expense recoveries ($1.5 million) and real estate tax recoveries ($1.5 million).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spacing w:after="0"/>
              <w:rPr>
                <w:sz w:val="20"/>
                <w:szCs w:val="20"/>
                <w:color w:val="auto"/>
              </w:rPr>
            </w:pPr>
            <w:r>
              <w:rPr>
                <w:rFonts w:ascii="Arial" w:cs="Arial" w:eastAsia="Arial" w:hAnsi="Arial"/>
                <w:sz w:val="14"/>
                <w:szCs w:val="14"/>
                <w:b w:val="1"/>
                <w:bCs w:val="1"/>
                <w:color w:val="auto"/>
              </w:rPr>
              <w:t>Investment and Other Income (in millions)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of unconsolidated joint ventures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Investment and preferred equity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132.4</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increase in equity in net income of unconsolidated joint ventures was primarily due to contributions from 1515 Broadway ($0.4 million), 1221 Avenue of the Americas ($1.0 million) and Gramercy ($7.3 million). This was partially offset by decreases at One-Madison Avenue-South Building ($1.7 million), 100 Park Avenue, ($1.1 million) and by a reduction in our interest in One Park Avenue from 55% to 16.7% ($1.8 million). Occupancy at our joint venture properties increased from 97.1% in 2004 to 97.4% in 2005. At December 31, 2005, we estimated that current market rents at our joint venture properties were approximately 38.4% higher than then existing in-place fully escalated rents. Approximately 6.3% of the space leased at our joint venture properties expires during 2006.</w:t>
      </w:r>
    </w:p>
    <w:p>
      <w:pPr>
        <w:spacing w:after="0" w:line="19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increase in investment and preferred equity income was primarily due to the weighted average investment balance outstanding and yield being $393.9 million and 10.5%, respectively, for 2005 compared to $285.0 million and 10.5%, respectively, for 2004. In addition, we recognized a one-time gain on a mortgage investment of $4.2 million in 2004.</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increase in Other was primarily due to an incentive fee recognized in 2005 in connection with the resolution of the MSREF joint ventures ($10.8 million), lease buy-out income ($0.7 million), fee income earned by GKK Manager LLC, an affiliate of ours and the external manager of Gramercy, (approximately $9.2 million), fee income earned by the service corporation ($1.0 million) and fee income from the settlement of a prior structured finance investment</w:t>
      </w:r>
    </w:p>
    <w:p>
      <w:pPr>
        <w:sectPr>
          <w:pgSz w:w="11900" w:h="16838" w:orient="portrait"/>
          <w:cols w:equalWidth="0" w:num="1">
            <w:col w:w="11420"/>
          </w:cols>
          <w:pgMar w:left="240" w:top="125" w:right="239" w:bottom="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(approximately $1.3 million). This was offset by an incentive fee recognized in 2004 in connection with the recapitalization of One Park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$4.3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Operating Expenses (in millions)</w:t>
            </w: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vMerge w:val="continue"/>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Real estate taxes</w:t>
            </w:r>
          </w:p>
        </w:tc>
        <w:tc>
          <w:tcPr>
            <w:tcW w:w="3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Ground rent</w:t>
            </w:r>
          </w:p>
        </w:tc>
        <w:tc>
          <w:tcPr>
            <w:tcW w:w="3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Total</w:t>
            </w:r>
          </w:p>
        </w:tc>
        <w:tc>
          <w:tcPr>
            <w:tcW w:w="3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176.8</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141.5</w:t>
            </w:r>
          </w:p>
        </w:tc>
        <w:tc>
          <w:tcPr>
            <w:tcW w:w="280" w:type="dxa"/>
            <w:vAlign w:val="bottom"/>
          </w:tcPr>
          <w:p>
            <w:pPr>
              <w:spacing w:after="0"/>
              <w:rPr>
                <w:sz w:val="21"/>
                <w:szCs w:val="21"/>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Borders>
              <w:top w:val="single" w:sz="8" w:color="CCEEFF"/>
            </w:tcBorders>
            <w:shd w:val="clear" w:color="auto" w:fill="CCEEFF"/>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Same-Store Properties</w:t>
            </w:r>
          </w:p>
        </w:tc>
        <w:tc>
          <w:tcPr>
            <w:tcW w:w="38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138.1</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127.6</w:t>
            </w:r>
          </w:p>
        </w:tc>
        <w:tc>
          <w:tcPr>
            <w:tcW w:w="4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3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4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176.8</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20" w:type="dxa"/>
            <w:vAlign w:val="bottom"/>
            <w:vMerge w:val="restart"/>
          </w:tcPr>
          <w:p>
            <w:pPr>
              <w:jc w:val="right"/>
              <w:ind w:right="165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4100" w:type="dxa"/>
            <w:vAlign w:val="bottom"/>
            <w:tcBorders>
              <w:bottom w:val="single" w:sz="8" w:color="010101"/>
            </w:tcBorders>
          </w:tcPr>
          <w:p>
            <w:pPr>
              <w:spacing w:after="0"/>
              <w:rPr>
                <w:sz w:val="24"/>
                <w:szCs w:val="24"/>
                <w:color w:val="auto"/>
              </w:rPr>
            </w:pPr>
          </w:p>
        </w:tc>
        <w:tc>
          <w:tcPr>
            <w:tcW w:w="34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Same-Store Properties operating expenses, excluding real estate taxes ($2.8 million), increased approximately $7.7 million. There were increases in advertising, insurance, and condominium management costs ($0.7 million), repairs, maintenance and payroll expenses ($2.1 million), and utilities ($5.5 million). This was partially offset by a decrease in ground rent ($0.6 million).</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increase in real estate taxes was primarily attributable to the Same-Store Properties ($3.0 million) due to higher assessed property values and the Acquisitions ($9.7 million).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Other Expenses (in millions)</w:t>
            </w:r>
          </w:p>
        </w:tc>
        <w:tc>
          <w:tcPr>
            <w:tcW w:w="2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26.0%</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58.6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w w:val="85"/>
              </w:rPr>
              <w:t>26.8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5"/>
              </w:rPr>
              <w:t>45.9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184.6</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19"/>
                <w:szCs w:val="19"/>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5"/>
              </w:rPr>
              <w:t>30.6</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increase in interest expense was primarily attributable to costs associated with new investment activity and the funding of ongoing capital projects and working capital requirements. The weighted average interest rate decreased from 5.61% for the year ended December 31, 2004 to 5.54% for the year ended December 31, 2005. As a result of the new investment activity, the weighted average debt balance increased from $1.1 billion as of December 31, 2004 to $1.5 billion as of December 31, 2005.</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Marketing, general and administrative expenses represented 10.4% of total revenues in 2005 compared to 9.2% in 2004. The increase in marketing, general and administrative expenses are primarily due to the increased headcount at the Company and GKK Manager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currently expect that our principal sources of working capital and funds for acquisition and redevelopment of properties, tenant improvements and leasing costs and for structured finance investments will include:</w:t>
      </w:r>
    </w:p>
    <w:p>
      <w:pPr>
        <w:spacing w:after="0" w:line="184" w:lineRule="exact"/>
        <w:rPr>
          <w:sz w:val="20"/>
          <w:szCs w:val="20"/>
          <w:color w:val="auto"/>
        </w:rPr>
      </w:pPr>
    </w:p>
    <w:p>
      <w:pPr>
        <w:ind w:left="680" w:hanging="34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23" w:lineRule="exact"/>
        <w:rPr>
          <w:rFonts w:ascii="Arial" w:cs="Arial" w:eastAsia="Arial" w:hAnsi="Arial"/>
          <w:sz w:val="18"/>
          <w:szCs w:val="18"/>
          <w:color w:val="auto"/>
        </w:rPr>
      </w:pPr>
    </w:p>
    <w:p>
      <w:pPr>
        <w:ind w:left="680" w:hanging="34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Borrowings under our 2005 unsecured revolving credit facility;</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forms of secured or unsecured financing;</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common or preferred equity or debt offerings by us or the operating partnership (including issuances of limited partnership units in the operating partnership and trust preferred securities); and</w:t>
      </w:r>
    </w:p>
    <w:p>
      <w:pPr>
        <w:ind w:left="680" w:hanging="34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proceeds from divestitures of properties and redemptions and participations of structured finance investments.</w:t>
      </w:r>
    </w:p>
    <w:p>
      <w:pPr>
        <w:spacing w:after="0" w:line="21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Cash flow from operations is primarily dependent upon the occupancy level of our portfolio, the net effective rental rates achieved on our leases, the collectibility of rent and operating escalations and recoveries from our tenants and the level of operating and other costs. Additionally, we believe that our joint venture investment programs will also continue to serve as a source of capital for acquisitions. We believe that our sources of working capital, specifically our cash flow from operations and borrowings available under our 2005 unsecured revolving credit facility, and our ability to access private and public debt and equity capital, are adequate for us to meet our short-term and long-term liquidity requirements for the foreseeable future. With the commencement of operations of Gramercy in August 2004, we have reduced our focus on direct structured finance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Cash and cash equivalents were $117.2 million and $24.1 million at December 31, 2006 and December 31, 2005, respectively, representing an increase of $93.1 million. The increase was a result of the following increases and decreases in cash flows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140"/>
              <w:spacing w:after="0" w:line="102" w:lineRule="exact"/>
              <w:rPr>
                <w:sz w:val="20"/>
                <w:szCs w:val="20"/>
                <w:color w:val="auto"/>
              </w:rPr>
            </w:pPr>
            <w:r>
              <w:rPr>
                <w:rFonts w:ascii="Arial" w:cs="Arial" w:eastAsia="Arial" w:hAnsi="Arial"/>
                <w:sz w:val="11"/>
                <w:szCs w:val="11"/>
                <w:b w:val="1"/>
                <w:bCs w:val="1"/>
                <w:color w:val="auto"/>
              </w:rPr>
              <w:t>Increase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225,644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(786,912)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(465,674)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654,342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157" w:gutter="0" w:footer="0" w:header="0"/>
        </w:sectPr>
      </w:pPr>
    </w:p>
    <w:bookmarkStart w:id="27" w:name="page28"/>
    <w:bookmarkEnd w:id="27"/>
    <w:p>
      <w:pPr>
        <w:ind w:right="200"/>
        <w:spacing w:after="0" w:line="302" w:lineRule="auto"/>
        <w:rPr>
          <w:sz w:val="20"/>
          <w:szCs w:val="20"/>
          <w:color w:val="auto"/>
        </w:rPr>
      </w:pPr>
      <w:r>
        <w:rPr>
          <w:rFonts w:ascii="Arial" w:cs="Arial" w:eastAsia="Arial" w:hAnsi="Arial"/>
          <w:sz w:val="16"/>
          <w:szCs w:val="16"/>
          <w:color w:val="auto"/>
        </w:rPr>
        <w:t>Our principal source of operating cash flow is related to the leasing and operating of the properties in our portfolio. Our properties provide a relatively consistent stream of cash flow that provides us with resources to pay operating expenses, debt service and fund quarterly dividend and distribution payment requirements. At December 31, 2006, our portfolio was 97.0% occupied. In addition, rental rates continue to increase and tenant concession packages decrease in the Manhattan marketplace. Our structured finance and joint venture investments also provide a steady stream of operating cash flow to us.</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is used in investing activities to fund acquisitions, redevelopment projects and recurring and nonrecurring capital expenditures. We selectively invest in new projects that enable us to take advantage of our development, leasing, financing and property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management skills and invest in existing buildings that meet our investment criteria. During the year ended December 31, 2006, we used cash primarily for the following investing activities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real estate</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(137,045)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Capital expenditures and capitalized interest</w:t>
            </w:r>
          </w:p>
        </w:tc>
        <w:tc>
          <w:tcPr>
            <w:tcW w:w="4220" w:type="dxa"/>
            <w:vAlign w:val="bottom"/>
          </w:tcPr>
          <w:p>
            <w:pPr>
              <w:jc w:val="right"/>
              <w:spacing w:after="0"/>
              <w:rPr>
                <w:sz w:val="20"/>
                <w:szCs w:val="20"/>
                <w:color w:val="auto"/>
              </w:rPr>
            </w:pPr>
            <w:r>
              <w:rPr>
                <w:rFonts w:ascii="Arial" w:cs="Arial" w:eastAsia="Arial" w:hAnsi="Arial"/>
                <w:sz w:val="18"/>
                <w:szCs w:val="18"/>
                <w:color w:val="auto"/>
              </w:rPr>
              <w:t>(3,644)</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Escrow cash-capital improvements/acquisition deposits</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(191,559)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Joint venture investments</w:t>
            </w:r>
          </w:p>
        </w:tc>
        <w:tc>
          <w:tcPr>
            <w:tcW w:w="4220" w:type="dxa"/>
            <w:vAlign w:val="bottom"/>
          </w:tcPr>
          <w:p>
            <w:pPr>
              <w:jc w:val="right"/>
              <w:spacing w:after="0"/>
              <w:rPr>
                <w:sz w:val="20"/>
                <w:szCs w:val="20"/>
                <w:color w:val="auto"/>
              </w:rPr>
            </w:pPr>
            <w:r>
              <w:rPr>
                <w:rFonts w:ascii="Arial" w:cs="Arial" w:eastAsia="Arial" w:hAnsi="Arial"/>
                <w:sz w:val="18"/>
                <w:szCs w:val="18"/>
                <w:color w:val="auto"/>
              </w:rPr>
              <w:t>(39,152)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joint ventures</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Proceeds from sales of real estate</w:t>
            </w:r>
          </w:p>
        </w:tc>
        <w:tc>
          <w:tcPr>
            <w:tcW w:w="4220" w:type="dxa"/>
            <w:vAlign w:val="bottom"/>
          </w:tcPr>
          <w:p>
            <w:pPr>
              <w:jc w:val="right"/>
              <w:ind w:right="10"/>
              <w:spacing w:after="0"/>
              <w:rPr>
                <w:sz w:val="20"/>
                <w:szCs w:val="20"/>
                <w:color w:val="auto"/>
              </w:rPr>
            </w:pPr>
            <w:r>
              <w:rPr>
                <w:rFonts w:ascii="Arial" w:cs="Arial" w:eastAsia="Arial" w:hAnsi="Arial"/>
                <w:sz w:val="18"/>
                <w:szCs w:val="18"/>
                <w:color w:val="auto"/>
              </w:rPr>
              <w:t>143,778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and other investments</w:t>
            </w:r>
          </w:p>
        </w:tc>
        <w:tc>
          <w:tcPr>
            <w:tcW w:w="4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17,093</w:t>
            </w:r>
          </w:p>
        </w:tc>
      </w:tr>
    </w:tbl>
    <w:p>
      <w:pPr>
        <w:spacing w:after="0" w:line="200" w:lineRule="exact"/>
        <w:rPr>
          <w:sz w:val="20"/>
          <w:szCs w:val="20"/>
          <w:color w:val="auto"/>
        </w:rPr>
      </w:pPr>
    </w:p>
    <w:p>
      <w:pPr>
        <w:spacing w:after="0" w:line="21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generally fund our investment activity through property-level financing, our 2005 unsecured revolving credit facility, term loans or construction loans. During the year ended December 31, 2006, the following financing activities provided the funds to complete the investing activity noted above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our debt obligations</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(281,738)</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Repayments under our debt obligations</w:t>
            </w:r>
          </w:p>
        </w:tc>
        <w:tc>
          <w:tcPr>
            <w:tcW w:w="4740" w:type="dxa"/>
            <w:vAlign w:val="bottom"/>
          </w:tcPr>
          <w:p>
            <w:pPr>
              <w:jc w:val="right"/>
              <w:spacing w:after="0"/>
              <w:rPr>
                <w:sz w:val="20"/>
                <w:szCs w:val="20"/>
                <w:color w:val="auto"/>
              </w:rPr>
            </w:pPr>
            <w:r>
              <w:rPr>
                <w:rFonts w:ascii="Arial" w:cs="Arial" w:eastAsia="Arial" w:hAnsi="Arial"/>
                <w:sz w:val="18"/>
                <w:szCs w:val="18"/>
                <w:color w:val="auto"/>
              </w:rPr>
              <w:t>(180,140)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 of common stock</w:t>
            </w:r>
          </w:p>
        </w:tc>
        <w:tc>
          <w:tcPr>
            <w:tcW w:w="4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800,269</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4740" w:type="dxa"/>
            <w:vAlign w:val="bottom"/>
          </w:tcPr>
          <w:p>
            <w:pPr>
              <w:jc w:val="right"/>
              <w:ind w:right="10"/>
              <w:spacing w:after="0"/>
              <w:rPr>
                <w:sz w:val="20"/>
                <w:szCs w:val="20"/>
                <w:color w:val="auto"/>
              </w:rPr>
            </w:pPr>
            <w:r>
              <w:rPr>
                <w:rFonts w:ascii="Arial" w:cs="Arial" w:eastAsia="Arial" w:hAnsi="Arial"/>
                <w:sz w:val="18"/>
                <w:szCs w:val="18"/>
                <w:color w:val="auto"/>
              </w:rPr>
              <w:t>23,771</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Dividends and distributions paid</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(23,406)</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2006, we had 49,839,636 shares of common stock, 2,693,900 units of limited partnership interest in our Operating partnership, 6,300,000 shares of our 7.625% Series C cumulative redeemable preferred stock, or Series C preferred stock and 4,000,000 shares of our 7.875% Series D cumulative redeemable preferred stock, or Series D preferred stock, outstanding.</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2006, in two offerings, we sold 6,498,100 shares of our common stock. The net proceeds from these offerings (approximately $800.3 million) were used to pay down our unsecured revolving credit facility and fund new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Plan</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 shareholder rights plan which provides, among other things, that when specified events occur, our common stockholders will be entitled to purchase from us a newly created series of junior preferred shares, subject to our ownership limit described below. The preferred share purchase rights are triggered by the earlier to occur of (1) ten days after the date of a purchase announcement that a person or group acting in concert has acquired, or obtained the right to acquire, beneficial ownership of 17% or more of our outstanding shares of common stock or (2) ten business days after the commencement of or announcement of an intention to make a tender offer or exchange offer, the consummation of which would result in the acquiring person becoming the beneficial owner of 17% or more of our outstanding common stock. The preferred share purchase rights would cause substantial dilution to a person or group that attempts to acquire us on terms not approved by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w:t>
      </w:r>
    </w:p>
    <w:p>
      <w:pPr>
        <w:spacing w:after="0" w:line="27" w:lineRule="exact"/>
        <w:rPr>
          <w:sz w:val="20"/>
          <w:szCs w:val="20"/>
          <w:color w:val="auto"/>
        </w:rPr>
      </w:pPr>
    </w:p>
    <w:p>
      <w:pPr>
        <w:ind w:right="1040"/>
        <w:spacing w:after="0" w:line="323" w:lineRule="auto"/>
        <w:rPr>
          <w:sz w:val="20"/>
          <w:szCs w:val="20"/>
          <w:color w:val="auto"/>
        </w:rPr>
      </w:pPr>
      <w:r>
        <w:rPr>
          <w:rFonts w:ascii="Arial" w:cs="Arial" w:eastAsia="Arial" w:hAnsi="Arial"/>
          <w:sz w:val="16"/>
          <w:szCs w:val="16"/>
          <w:color w:val="auto"/>
        </w:rPr>
        <w:t>We filed a registration statement with the SEC for our dividend reinvestment and stock purchase plan, or DRIP, which was declared effective on September 10, 2001. The DRIP commenced on September 24, 2001. We registered 3,000,000 shares of common stock under the DRIP.</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years ended December 31, 2006 and 2005, we issued approximately 132,000 and 338,000 shares of our common stock and received approximately $13.0 million and $20.4 million of proceeds from dividend reinvestments and/or stock purchases under the DRIP, respectively. DRIP shares may be issued at a discount to the market price.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Long-Term Outperformance Compensation Program</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board of directors has adopted a long-term, seven-year compensation program for certain members of senior management. The program, which measures our performance over a 48-month period (unless terminated earlier) commencing April 1, 2003, provides that holders of our common equity are to achieve a 40% total return, or baseline return, during the measurement period over a base share price of $30.07 per share before any restricted stock awards are granted. Plan participants will receive an award of restricted stock in an amount between 8% and 10% of the excess total return over the baseline return. At the end of the four-year measurement period, 40% of the award will vest on the measurement date and 60% of the award will vest ratably over the subsequent three years based on continued employment. Any restricted stock to be issued under the program will be allocated from our 1997 Stock Option and Incentive Plan, as amended, which was previously approved through a shareholder vote in May 2002. We will record the expense of the restricted stock award in accordance with Financial Accounting Standards Board, or FASB, Statement No. 123-R, or SFAS 123-R, “Share Based Payment”. The fair value of the award on the date of grant was determined to be $3.2 million. Forty percent of the award will be amortized over four years and the balance will be amortized at 20% per year over five, six and seven years, respectively, such that 20% of year five, 16.67% of year six and 14.29% of year seven will be recorded in year one. The total value of</w:t>
      </w:r>
    </w:p>
    <w:p>
      <w:pPr>
        <w:sectPr>
          <w:pgSz w:w="11900" w:h="16838" w:orient="portrait"/>
          <w:cols w:equalWidth="0" w:num="1">
            <w:col w:w="11420"/>
          </w:cols>
          <w:pgMar w:left="240" w:top="125" w:right="239" w:bottom="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award (capped at $25.5 million) will determine the number of shares assumed to be issued for purposes of calculating diluted earnings per share.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of $0.65 million, related to this plan was recorded during each of the years ended December 31, 2006, 2005 and 2004,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Long-Term Outperformance Compensation Program</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December 2005, the compensation committee of our board of directors approved a long-term incentive compensation program, the 2005 Outperformance Plan. Participants in the 2005 Outperformance Plan will share in a “performance pool” if our total return to stockholders for the period from December 1, 2005 through November 30, 2008 exceeds a cumulative total return to stockholders of 30% during the measurement period over a base share price of $68.51 per share. The size of the pool will be 10% of the outperformance amount in excess of the 30% benchmark, subject to a maximum dilution cap equal to the lesser of 3% of our outstanding shares and units of limited partnership interest as of December 1, 2005 or $50 million. In the event the potential performance pool reaches this dilution cap before November 30, 2008 and remains at that level or higher for 30 consecutive days, the performance period will end early and the pool will be formed on the last day of such 30 day period. Each participant’s award under the 2005 Outperformance Plan will be designated as a specified percentage of the aggregate performance pool to be allocated to him or her assuming the 30% benchmark is achieved. Individual awards will be made in the form of partnership units, or LTIP Units, that may ultimately become exchangeable for shares of our common stock or cash, at our election. LTIP Units will be granted prior to the determination of the performance pool; however, they will only vest upon satisfaction of performance and other thresholds, and will not be entitled to distributions until after the performance pool is established. The 2005 Outperformance Plan provides that if the pool is established, each participant will also be entitled to the distributions that would have been paid on the number of LTIP Units earned, had they been issued at the beginning of the performance period. Those distributions will be paid in the form of additional LTIP Units. After the performance pool is established, the earned LTIP Units will receive regular quarterly distributions on a per unit basis equal to the dividends per share paid on our common stock, whether or not they are vested. Any LTIP Units that are not earned upon the establishment of the performance pool will be automatically forfeited, and the LTIP Units that are earned will be subject to time-based vesting, with one-third of the LTIP Units earned vesting on November 30, 2008 and each of the first two anniversaries thereafter based on continued employment.</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14, 2006, the Compensation Committee determined that under the terms of the 2005 Outperformance Plan, as of June 8, 2006, the performance period had accelerated and the maximum performance pool of $49,250,000, taking into account forfeitures, was established. Individual awards under the 2005 Outperformance Plan are in the form of partnership units, or LTIP Units, in our operating partnership, that, subject to certain conditions, are convertible into shares of the Company’s common stock or cash, at our election. The total number of LTIP Units earned by all participants as a result of the establishment of the performance pool was 490,475.</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cost of the 2005 Outperformance Plan (approximately $8.0 million, subject to adjustment for forfeitures) will continue to be amortized into earnings through the final vesting period in accordance with SFAS 123-R. We recorded approximately $2.0 million and $0.3 million of compensation expense during the year ended December 31, 2006 and 2005, respectively, in connection with the 2005 Outperformance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Long-Term Outperformance Compensation Program</w:t>
      </w:r>
    </w:p>
    <w:p>
      <w:pPr>
        <w:spacing w:after="0" w:line="27"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On August 14, 2006, the compensation committee of our board of directors approved a long-term incentive compensation program, the 2006 Outperformance Plan. Participants in the 2006 Outperformance Plan will share in a “performance pool” if our total return to stockholders for the period from August 1, 2006 through July 31, 2009 exceeds a cumulative total return to stockholders of 30% during the measurement period over a base share price of $106.39 per share.</w:t>
      </w:r>
    </w:p>
    <w:p>
      <w:pPr>
        <w:spacing w:after="0" w:line="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size of the pool will be 10% of the outperformance amount in excess of the 30% benchmark, subject to a maximum award of $60 million. The maximum award will be reduced by the amount of any unallocated or forfeited awards. In the event the potential performance pool reaches the maximum award before July 31, 2009 and remains at that level or higher for 30 consecutive days, the performance period will end early and the pool will be formed on the last day of such 30 day period. Each participant’s award under the 2006 Outperformance Plan will be designated as a specified percentage of the aggregate performance pool. Assuming the 30% benchmark is achieved, the pool will be allocated among the participants in accordance with the percentage specified in each participant’s participation agreement. Individual awards will be made in the form of partnership units, or LTIP Units, that, subject to vesting and the satisfaction of other conditions, are exchangeable for a per unit value equal to the then trading price of one share of our common stock. This value is payable in cash or, at our election, in shares of common stock. LTIP Units are granted prior to the determination of the performance pool; however, they will only vest upon satisfaction of performance and time vesting thresholds under the 2006 Outperformance Plan, and will not be entitled to distributions until after the performance pool is established. Distributions on LTIP Units will equal the dividends paid on our common stock on a per unit basis. The 2006 Outperformance Plan provides that if the pool is established, each participant will also be entitled to the distributions that would have been paid had the number of earned LTIP Units been issued at the beginning of the performance period. Those distributions will be paid in the form of additional LTIP Units. Thereafter, distributions will be paid currently with respect to all earned LTIP Units that are a part of the performance pool, whether vested or unvested. Although the amount of earned awards under the 2006 Outperformance Plan (i.e. the number of LTIP Units earned) will be determined when the performance pool is established, not all of the awards will vest at that time. Instead, one-third of the awards will vest on July 31, 2009 and each of the first two anniversaries thereafter based on continued employment.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cost of the 2006 Outperformance Plan (approximately $9.6 million, subject to adjustment for forfeitures) will be amortized into earnings through the final vesting period in accordance with SFAS 123-R. We recorded approximately $1.1 million of compensation expense during the year ended December 31, 2006 in connection with the 2006 Outperformance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Stock Option and Incentive Plan</w:t>
      </w:r>
    </w:p>
    <w:p>
      <w:pPr>
        <w:spacing w:after="0" w:line="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Subject to adjustments upon certain corporate transactions or events, up to a maximum of 4,375,000 shares, or the Fungible Pool Limit, may be granted as options, restricted stock, phantom shares, dividend equivalent rights and other equity-based awards under the 2005 Stock Option and Incentive Plan, or the 2005 Plan. At December 31, 2006, approximately 1.1 million shares of our common stock, calculated on a weighted basis, were available for issuance under the 2005 Plan, or 1.4 million shares if all shares available under the 2005 Plan were issued as five-year options.</w:t>
      </w:r>
    </w:p>
    <w:p>
      <w:pPr>
        <w:sectPr>
          <w:pgSz w:w="11900" w:h="16838" w:orient="portrait"/>
          <w:cols w:equalWidth="0" w:num="1">
            <w:col w:w="11420"/>
          </w:cols>
          <w:pgMar w:left="240" w:top="125" w:right="239" w:bottom="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Deferred Stock Compensation Plan for Directors</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our Independent Director’s Deferral Program, which commenced July 2004, our non-employee directors may elect to defer up to 100% of their annual retainer fee, chairman fees and meeting fees. Unless otherwise elected by a participant, fees deferred under the program shall be credited in the form of phantom stock units. The phantom stock units are convertible into an equal number of shares of common stock upon such directors’ termination of service from the Board of Directors or a change in control by us, as defined by the program. Phantom stock units are credited to each non-employee director quarterly using the closing price of our common stock on the applicable dividend record date for the respective quarter. Each participating non-employee director’s account is also credited for an equivalent amount of phantom stock units based on the dividend rate for each quarter.</w:t>
      </w:r>
    </w:p>
    <w:p>
      <w:pPr>
        <w:spacing w:after="0" w:line="16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year ended December 31, 2006, approximately 5,200 phantom stock units were earned. As of December 31, 2006, there were approximately 10,600 phantom stock units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Capitalization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December 31, 2006, borrowings under our mortgage loans, 2005 unsecured revolving credit facility, term loans and trust preferred securities (including our share of joint venture debt of approximately $1.2 billion) represented 29.5% of our combined market capitalization of approximately $10.3 billion (based on a common stock price of $132.78 per share, the closing price of our common stock on the New York Stock Exchange on December 31, 2006). Market capitalization includes our consolidated debt, common and preferred stock and the conversion of all units of limited partnership interest in our operating partnership, and our share of joint venture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table below summarizes our consolidated mortgage debt, 2005 unsecured revolving credit facility, term loans and trust preferred securities outstanding at December 31, 2006 and 2005, respectively (in thousands).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vMerge w:val="restart"/>
          </w:tcPr>
          <w:p>
            <w:pPr>
              <w:spacing w:after="0"/>
              <w:rPr>
                <w:sz w:val="20"/>
                <w:szCs w:val="20"/>
                <w:color w:val="auto"/>
              </w:rPr>
            </w:pPr>
            <w:r>
              <w:rPr>
                <w:rFonts w:ascii="Arial" w:cs="Arial" w:eastAsia="Arial" w:hAnsi="Arial"/>
                <w:sz w:val="14"/>
                <w:szCs w:val="14"/>
                <w:b w:val="1"/>
                <w:bCs w:val="1"/>
                <w:color w:val="auto"/>
              </w:rPr>
              <w:t>Debt Summary:</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60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Fixed rate</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1,026,714</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770,141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 hedged</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485,000</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fixed rate</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1,511,714</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1,255,141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Variable rate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291,665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rate—supporting variable rate assets</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91,000</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variable rate</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303,665</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1,815,379</w:t>
            </w:r>
          </w:p>
        </w:tc>
        <w:tc>
          <w:tcPr>
            <w:tcW w:w="2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1,542,252</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Percent of Total Debt:</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fixed rate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60"/>
              <w:spacing w:after="0"/>
              <w:rPr>
                <w:sz w:val="20"/>
                <w:szCs w:val="20"/>
                <w:color w:val="auto"/>
              </w:rPr>
            </w:pPr>
            <w:r>
              <w:rPr>
                <w:rFonts w:ascii="Arial" w:cs="Arial" w:eastAsia="Arial" w:hAnsi="Arial"/>
                <w:sz w:val="18"/>
                <w:szCs w:val="18"/>
                <w:color w:val="auto"/>
              </w:rPr>
              <w:t>Variable rate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Effective Interest Rate for the Year:</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60"/>
              <w:spacing w:after="0"/>
              <w:rPr>
                <w:sz w:val="20"/>
                <w:szCs w:val="20"/>
                <w:color w:val="auto"/>
              </w:rPr>
            </w:pPr>
            <w:r>
              <w:rPr>
                <w:rFonts w:ascii="Arial" w:cs="Arial" w:eastAsia="Arial" w:hAnsi="Arial"/>
                <w:sz w:val="18"/>
                <w:szCs w:val="18"/>
                <w:color w:val="auto"/>
              </w:rPr>
              <w:t>Fixed rate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5.75%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Variable rate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Effective interest rate</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980"/>
        <w:spacing w:after="0" w:line="308" w:lineRule="auto"/>
        <w:rPr>
          <w:sz w:val="20"/>
          <w:szCs w:val="20"/>
          <w:color w:val="auto"/>
        </w:rPr>
      </w:pPr>
      <w:r>
        <w:rPr>
          <w:rFonts w:ascii="Arial" w:cs="Arial" w:eastAsia="Arial" w:hAnsi="Arial"/>
          <w:sz w:val="17"/>
          <w:szCs w:val="17"/>
          <w:color w:val="auto"/>
        </w:rPr>
        <w:t>The variable rate debt shown above bears interest at an interest rate based on 30-day LIBOR (5.32% and 4.39% at December 31, 2006 and 2005, respectively). Our consolidated debt at December 31, 2006 had a weighted average term to maturity of approximately 5 years.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Certain of our structured finance investments, totaling $12.0 million, are variable rate investments which mitigate our exposure to interest rate changes on our unhedged variable rate debt at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Financing</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of December 31, 2006, our total mortgage debt (excluding our share of joint venture debt of approximately $1.2 billion) consisted of approximately $0.9 billion of fixed rate debt, including hedged variable rate debt, with an effective weighted average interest rate of approximately 6.25% and approximately $263.7 million of variable rate debt with an effective weighted average interest rate of approximately 7.07%.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Unsecured Revolving Credit Facility</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 $500.0 million unsecured revolving credit facility. In January 2007, we exercised our option to increase the capacity under the 2005 unsecured revolving credit facility to $800.0 million. The 2005 unsecured revolving credit facility bears interest at a spread ranging from 85 basis points to 125 basis points over the 30-day LIBOR, based on our leverage ratio, and is currently 110 basis points. The facility has a one-year extension option. The 2005 unsecured revolving credit facility also requires a 12.5 to 25 basis point fee on the unused balance payable annually in arrears. The 2005 unsecured revolving credit facility had no outstanding balance at December 31, 2006. Availability under the 2005 unsecured revolving credit facility was further reduced by the issuance of approximately $15.5 million in letters of credit. The 2005 unsecured revolving credit facility includes certain restrictions and covenants (see restrictive covenants below).</w:t>
      </w:r>
    </w:p>
    <w:p>
      <w:pPr>
        <w:sectPr>
          <w:pgSz w:w="11900" w:h="16838" w:orient="portrait"/>
          <w:cols w:equalWidth="0" w:num="1">
            <w:col w:w="11420"/>
          </w:cols>
          <w:pgMar w:left="240" w:top="121" w:right="239" w:bottom="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Term Loans</w:t>
      </w:r>
    </w:p>
    <w:p>
      <w:pPr>
        <w:spacing w:after="0" w:line="27"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We have a $325.0 million unsecured term loan, which matures in August 2009. As of December 31, 2006, we had $325.0 million outstanding under the unsecured term loan at the rate of 140 basis points over LIBOR. To limit our exposure to the variable 30-day LIBOR rate we entered into various swap agreements to fix the LIBOR rate on the entire unsecured term loan. The effective all-in annual weighted average interest rate on the unsecured term loan was 5.0% for the year ended December 31, 2006. The term loan includes certain restrictions and covenants (see restrictive covenants below).</w:t>
      </w:r>
    </w:p>
    <w:p>
      <w:pPr>
        <w:spacing w:after="0" w:line="1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 $200.0 million five-year non-recourse term loan, secured by a pledge of our ownership interest in 1221 Avenue of the Americas. The loan matures in May 2010. This term loan has a floating rate of 125 basis points over the current 30-day LIBOR rate. During April 2004, we entered into a swap agreement to fix the LIBOR at a blended all-in interest rate of 5.10% through December 2008. This loan carried an effective all-in annual weighted average interest rate of 5.34% for the year ended December 31,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 Deferrable Interest Debentures</w:t>
      </w:r>
    </w:p>
    <w:p>
      <w:pPr>
        <w:spacing w:after="0" w:line="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June 2005, we issued $100.0 million of Trust Preferred Securities, which are reflected on the balance sheet at December 31, 2006 as Junior Subordinate Deferrable Interest Debentures. The proceeds were used to repay our unsecured revolving credit facility. The $100.0 million of junior subordinate deferrable interest debentures have a 30-year term ending July 2035. They bear interest at a fixed rate of 5.61% for the first 10 years ending July 2015. Thereafter, the rate will float at three month LIBOR plus 1.25%. The securities are redeemable at par beginning in July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terms of our 2005 unsecured revolving credit facility and term loans include certain restrictions and covenants which limit, among other things, the payment of dividends (as discussed below), the incurrence of additional indebtedness, the incurrence of liens and the disposition of assets, and which require compliance with financial ratios relating to the minimum amount of tangible net worth, the minimum amount of debt service coverage, the minimum amount of fixed charge coverage, the maximum amount of unsecured indebtedness, the minimum amount of unencumbered property debt service coverage and certain investment limitations. The dividend restriction referred to above provides that, except to enable us to continue to qualify as a REIT for Federal income tax purposes, we will not during any four consecutive fiscal quarters make distributions with respect to common stock or other equity interests in an aggregate amount in excess of 90% of funds from operations for such period, subject to certain other adjustments. As of December 31, 2006 and 2005, we were in compliance with all such covenants.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Rate Risk</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are exposed to changes in interest rates primarily from our floating rate borrowing arrangements. We use interest rate derivative instruments to manage exposure to interest rate changes. A hypothetical 100 basis point increase in interest rates along the entire interest rate curve for 2006 and 2005, would increase our annual interest cost by approximately $2.9 million and $2.7 million and would increase our share of joint venture annual interest cost by approximately $6.7 million and $6.0 million, respectively.</w:t>
      </w:r>
    </w:p>
    <w:p>
      <w:pPr>
        <w:spacing w:after="0" w:line="1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recognize all derivatives on the balance sheet at fair value. Derivatives that are not hedges must be adjusted to fair value through income. If a derivative is a hedge, depending on the nature of the hedge, changes in the fair value of the derivative will either be offset against the change in fair value of the hedged asset, liability, or firm commitment through earnings, or recognized in other comprehensive income until the hedged item is recognized in earnings. The ineffective portion of a derivative’s change in fair value is immediately recognized in earnings.</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Approximately $1.5 billion of our long-term debt bears interest at fixed rates, and therefore the fair value of these instruments is affected by changes in the market interest rates. The interest rate on our variable rate debt and joint venture debt as of December 31, 2006 ranged from LIBOR plus 75 basis points to LIBOR plus 275 basis points.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Combined aggregate principal maturities of mortgages and notes payable, 2005 unsecured revolving credit facility, term loans, trust preferred securities, our share of joint venture debt, excluding extension options, estimated interest expense, and our obligations under our capital lease and ground leases, as of December 31, 2006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Loans</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center"/>
              <w:ind w:left="107"/>
              <w:spacing w:after="0"/>
              <w:rPr>
                <w:sz w:val="20"/>
                <w:szCs w:val="20"/>
                <w:color w:val="auto"/>
              </w:rPr>
            </w:pPr>
            <w:r>
              <w:rPr>
                <w:rFonts w:ascii="Arial" w:cs="Arial" w:eastAsia="Arial" w:hAnsi="Arial"/>
                <w:sz w:val="14"/>
                <w:szCs w:val="14"/>
                <w:b w:val="1"/>
                <w:bCs w:val="1"/>
                <w:color w:val="auto"/>
                <w:w w:val="92"/>
              </w:rPr>
              <w:t>Revolving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Joint</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Property</w:t>
            </w: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Trust</w:t>
            </w:r>
          </w:p>
        </w:tc>
        <w:tc>
          <w:tcPr>
            <w:tcW w:w="18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1"/>
                <w:szCs w:val="11"/>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Ground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40" w:type="dxa"/>
            <w:vAlign w:val="bottom"/>
          </w:tcPr>
          <w:p>
            <w:pPr>
              <w:jc w:val="center"/>
              <w:ind w:left="107"/>
              <w:spacing w:after="0" w:line="135" w:lineRule="exact"/>
              <w:rPr>
                <w:sz w:val="20"/>
                <w:szCs w:val="20"/>
                <w:color w:val="auto"/>
              </w:rPr>
            </w:pPr>
            <w:r>
              <w:rPr>
                <w:rFonts w:ascii="Arial" w:cs="Arial" w:eastAsia="Arial" w:hAnsi="Arial"/>
                <w:sz w:val="14"/>
                <w:szCs w:val="14"/>
                <w:b w:val="1"/>
                <w:bCs w:val="1"/>
                <w:color w:val="auto"/>
                <w:w w:val="93"/>
              </w:rPr>
              <w:t>Credit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Preferred</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Venture</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Mortgages</w:t>
            </w:r>
          </w:p>
        </w:tc>
        <w:tc>
          <w:tcPr>
            <w:tcW w:w="840" w:type="dxa"/>
            <w:vAlign w:val="bottom"/>
          </w:tcPr>
          <w:p>
            <w:pPr>
              <w:jc w:val="center"/>
              <w:ind w:left="107"/>
              <w:spacing w:after="0"/>
              <w:rPr>
                <w:sz w:val="20"/>
                <w:szCs w:val="20"/>
                <w:color w:val="auto"/>
              </w:rPr>
            </w:pPr>
            <w:r>
              <w:rPr>
                <w:rFonts w:ascii="Arial" w:cs="Arial" w:eastAsia="Arial" w:hAnsi="Arial"/>
                <w:sz w:val="14"/>
                <w:szCs w:val="14"/>
                <w:b w:val="1"/>
                <w:bCs w:val="1"/>
                <w:color w:val="auto"/>
                <w:w w:val="95"/>
              </w:rPr>
              <w:t>Facility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Lease</w:t>
            </w:r>
          </w:p>
        </w:tc>
        <w:tc>
          <w:tcPr>
            <w:tcW w:w="180" w:type="dxa"/>
            <w:vAlign w:val="bottom"/>
          </w:tcPr>
          <w:p>
            <w:pPr>
              <w:spacing w:after="0"/>
              <w:rPr>
                <w:sz w:val="14"/>
                <w:szCs w:val="14"/>
                <w:color w:val="auto"/>
              </w:rPr>
            </w:pPr>
          </w:p>
        </w:tc>
        <w:tc>
          <w:tcPr>
            <w:tcW w:w="840" w:type="dxa"/>
            <w:vAlign w:val="bottom"/>
          </w:tcPr>
          <w:p>
            <w:pPr>
              <w:jc w:val="right"/>
              <w:ind w:right="234"/>
              <w:spacing w:after="0"/>
              <w:rPr>
                <w:sz w:val="20"/>
                <w:szCs w:val="20"/>
                <w:color w:val="auto"/>
              </w:rPr>
            </w:pPr>
            <w:r>
              <w:rPr>
                <w:rFonts w:ascii="Arial" w:cs="Arial" w:eastAsia="Arial" w:hAnsi="Arial"/>
                <w:sz w:val="14"/>
                <w:szCs w:val="14"/>
                <w:b w:val="1"/>
                <w:bCs w:val="1"/>
                <w:color w:val="auto"/>
              </w:rPr>
              <w:t>Leases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210"/>
        </w:trPr>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107,442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223,954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456,823</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2008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264,033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94,341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382,252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2010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115,972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195,586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388,282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684,467</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356,355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1,329,826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524,352</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1,190,379</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57,568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459,099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513,941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2,845,987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1,209,140</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We have a number of off-balance sheet investments, including joint ventures and structured finance investments. These investments all have varying ownership structures. Substantially all of our joint venture arrangements are accounted for under the equity method of accounting as we have the ability to exercise significant influence, but not control over the operating and financial decisions of these joint venture arrangements. Our off-balance sheet arrangements are discussed in Note 5, “Structured Finance Investments” and Note 6, “Investments in Unconsolidated Joint Ventures” in the accompanying financial statements. Additional information about the debt of our unconsolidated joint ventures is included in “Contractual Obligations” above.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ectPr>
          <w:pgSz w:w="11900" w:h="16838" w:orient="portrait"/>
          <w:cols w:equalWidth="0" w:num="1">
            <w:col w:w="11420"/>
          </w:cols>
          <w:pgMar w:left="240" w:top="121" w:right="239" w:bottom="0" w:gutter="0" w:footer="0" w:header="0"/>
        </w:sectPr>
      </w:pPr>
    </w:p>
    <w:bookmarkStart w:id="31" w:name="page32"/>
    <w:bookmarkEnd w:id="31"/>
    <w:p>
      <w:pPr>
        <w:ind w:right="60"/>
        <w:spacing w:after="0" w:line="255" w:lineRule="auto"/>
        <w:rPr>
          <w:sz w:val="20"/>
          <w:szCs w:val="20"/>
          <w:color w:val="auto"/>
        </w:rPr>
      </w:pPr>
      <w:r>
        <w:rPr>
          <w:rFonts w:ascii="Arial" w:cs="Arial" w:eastAsia="Arial" w:hAnsi="Arial"/>
          <w:sz w:val="18"/>
          <w:szCs w:val="18"/>
          <w:color w:val="auto"/>
        </w:rPr>
        <w:t>We estimate that for the year ending December 31, 2007, we will incur, inclusive of the Reckson assets, approximately $170.7 million of capital expenditures (including tenant improvements and leasing commissions) on existing wholly-owned properties and our share of capital expenditures at our joint venture properties will be approximately $41.3 million. We expect to fund these capital expenditures with operating cash flow, borrowings under our credit facility, additional property level mortgage financings, and cash on hand. Future property acquisitions may require substantial capital investments for refurbishment and leasing costs. We expect that these financing requirements will be met in a similar fashion. We believe that we will have sufficient resources to satisfy our capital needs during the next 12-month period and thereafter through a combination of net cash provided by operations, borrowings, potential asset sales or additional equity or debt issuances.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expect to pay dividends to our stockholders based on the distributions we receive from the operating partnership primarily from property revenues net of operating expenses or, if necessary, from working capital or borrowings.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maintain our qualification as a REIT, we must pay annual dividends to our stockholders of at least 90% of our REIT taxable income, determined before taking into consideration the dividends paid deduction and net capital gains. We intend to continue to pay regular quarterly dividends to our stockholders. Based on our current annual dividend rate of $2.80 per share, we would pay approximately $165.7 million in dividends to our common stockholders. Before we pay any dividend, whether for Federal income tax purposes or otherwise, which would only be paid out of available cash to the extent permitted under our unsecured revolving credit facility and our unsecured term loan, we must first meet both our operating requirements and scheduled debt service on our mortgages and loans payable.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Cleaning/ Security/ Messenger and Restoration Services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owned by Gary Green, a son of Stephen L. Green, the chairman of our board of directors. First Quality also provides additional services directly to tenants on a separately negotiated basis. In addition, First Quality has the non-exclusive opportunity to provide cleaning and related services to individual tenants at our properties on a basis separately negotiated with any tenant seeking such additional services. In the first quarter of 2006, First Quality expanded its space leased to 26,800 square feet of space at 70 West 36th Street pursuant to a lease that expires on December 31, 2015 and provides for annual rental payments of approximately $629,000. We paid Alliance approximately $13.6 million, $11.0 million and $8.9 million for three years ended December 31, 2006 respectively, for these services (excluding services provided directly to tenants).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27"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Nancy Peck and Company leases 2,013 square feet of space at 420 Lexington Avenue, New York, New York pursuant to a lease that expired on June 30, 2005 and provided for annual rental payments of approximately $66,000. This space is now leased on a month-to-month basis. Nancy Peck and Company is owned by Nancy Peck, the wife of Stephen L. Green. The rent due under the lease was offset against a consulting fee, of $11,025 per month; an affiliate pays to her under a consulting agreement which is cancelable upon 30-days notice. This consulting agreement was cancelled in July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Fees</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S.L. Green Management Corp. receives property management fees from certain entities in which Stephen L. Green owns an interest. The aggregate amount of fees paid to S.L. Green Management Corp. from such entities was approximately $205,000 in 2006, $209,000 in 2005 and $258,000 in 2004.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Indebtedness</w:t>
      </w:r>
    </w:p>
    <w:p>
      <w:pPr>
        <w:spacing w:after="0" w:line="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January 2001, Mr. Marc Holliday, then our president, received a non-recourse loan from us in the principal amount of $1.0 million pursuant to his amended and restated employment and non-competition agreement he executed at the time. This loan bore interest at the applicable federal rate per annum and was secured by a pledge of certain of Mr. Holliday’s shares of our common stock. The principal of and interest on this loan was forgivable upon our attainment of specified financial performance goals prior to December 31, 2006, provided that Mr. Holliday remains employed by us until January 17, 2007. As a result of the performance goals being met, this loan was forgiven in January 2007. In April 2000, Mr. Holliday received a loan from us in the principal amount of $300,000 with a maturity date of July 2003. This loan bore interest at a rate of 6.60% per annum and was secured by a pledge of certain of Mr. Holliday’s shares of our common stock. In May 2002, Mr. Holliday entered into a loan modification agreement with us in order to modify the repayment terms of the $300,000 loan. Pursuant to the agreement, $100,000 (plus accrued interest thereon) was forgivable on each of January 1, 2004, January 1, 2005 and January 1, 2006, provided that Mr. Holliday remains employed by us through each of such date. This loan was forgiven in 2006.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Brokerage Services</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Sonnenblick-Goldman Company, or Sonnenblick, a nationally recognized real estate investment banking firm, provided mortgage brokerage services to us. Mr. Morton Holliday, the father of Mr. Marc Holliday, was a Managing Director of Sonnenblick at the time of the financings. In 2005, we paid approximately $457,000 to Sonnenblick in connection with securing a $120.0 million first mortgage for the property located at 711 Third Avenue. In 2005, our 1515 Broadway joint venture paid approximately $400,000 to Sonnenblick in connection with refinancing the property and increasing the first mortgage to $625.0 million. In 2006, our 485 Lexington Avenue joint venture paid approximately $757,000 to Sonnenblick in connection with refinancing the property and</w:t>
      </w:r>
    </w:p>
    <w:p>
      <w:pPr>
        <w:sectPr>
          <w:pgSz w:w="11900" w:h="16838" w:orient="portrait"/>
          <w:cols w:equalWidth="0" w:num="1">
            <w:col w:w="11420"/>
          </w:cols>
          <w:pgMar w:left="240" w:top="125" w:right="239" w:bottom="0" w:gutter="0" w:footer="0" w:header="0"/>
        </w:sectPr>
      </w:pPr>
    </w:p>
    <w:bookmarkStart w:id="32" w:name="page33"/>
    <w:bookmarkEnd w:id="32"/>
    <w:p>
      <w:pPr>
        <w:ind w:right="480"/>
        <w:spacing w:after="0" w:line="277" w:lineRule="auto"/>
        <w:rPr>
          <w:sz w:val="20"/>
          <w:szCs w:val="20"/>
          <w:color w:val="auto"/>
        </w:rPr>
      </w:pPr>
      <w:r>
        <w:rPr>
          <w:rFonts w:ascii="Arial" w:cs="Arial" w:eastAsia="Arial" w:hAnsi="Arial"/>
          <w:sz w:val="18"/>
          <w:szCs w:val="18"/>
          <w:color w:val="auto"/>
        </w:rPr>
        <w:t>increasing the first mortgage to $390.0 million. Also in 2006, an entity in which we hold a preferred equity investment paid approximately $438,000 to Sonnenblick in connection with refinancing the property held by that entity and increasing the first mortgage to $90.0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Gramercy Capital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related party transactions with Gramercy are discussed in Note 13, “Related Party Transactions” in the accompanying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maintain “all-risk” property and rental value coverage (including coverage regarding the perils of flood, earthquake and terrorism) and liability insurance with limits in excess of $200.0 million per location. The property coverage has a blanket limit of $600.0 million per occurrence for all the properties in our portfolio with a sub-limit of $450.0 million for acts of terrorism. The property policies expire on December 31, 2007 and the liability policies expire on October 31, 2007. The new property policies incorporate our newly formed Belmont Insurance Company, or Belmont, a captive insurance company which we formed and which received its license to underwrite insurance in New York State, in an effort to stabilize, to some extent, the fluctuations of insurance market conditions. Belmont is licensed to write up to $100.0 million of coverage for us, but at this time is providing $50.0 million of terrorism coverage in excess of $100.0 million and is insuring a large deductible on the liability insurance with a $250,000 deductible per occurrence and a $2,000,000 annual aggregate loss limit. We have secured an insurer to protect against catastrophic liability losses. We have retained a third party administrator to manage all claims within the deductible and we anticipate that direct management of liability claims will improve loss experience and ultimately lower the cost of liability insurance in future years. We have a 45% interest in the property at 1221 Avenue of the Americas, where we participate with the Rockefeller Group Inc., which carries a blanket policy providing $1.0 billion of “all-risk” property insurance, including terrorism coverage, and a 49.9% interest in the property at 100 Park Avenue, where we participate with Prudential, which carries a blanket policy of $500.0 million of “all-risk” property insurance, including terrorism coverage. We, together with Gramercy, own One Madison Avenue, which is under a triple net lease with insurance provided by the tenant, Credit Suisse Securities (USA) LLC. We monitor the coverage provided by Credit Suisse Securities (USA) LLC to make sure that our asset is adequately protected. Although we consider our insurance coverage to be appropriate, in the event of a major catastrophe, such as an act of terrorism, we may not have sufficient coverage to replace certain properties.</w:t>
      </w:r>
    </w:p>
    <w:p>
      <w:pPr>
        <w:spacing w:after="0" w:line="19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October 2006, we formed a wholly-owned taxable REIT subsidiary, Belmont, to act as a captive insurance company and be one of the elements of our overall insurance program. Belmont acts as a direct insurer with respect to a portion of our terrorism coverage and provides primary liability insurance to cover the deductible program. As long as we own Belmont, we are responsible for its liquidity and capital resources, and the accounts of Belmont are part of our consolidated financial statements. If we experience a loss and Belmont is required to pay under its insurance policy, we would ultimately record the loss to the extent of Belmont’s required payment. Therefore, insurance coverage provided by Belmont should not be considered as the equivalent of third-party insurance, but rather as a modified form of self-insurance.</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Terrorism Risk Insurance Act, or TRIA, which was enacted in November 2002, was renewed on January 1, 2006. Congress extended TRIA, now called TRIEA (Terrorism Risk Insurance Extension Act) until December 31, 2007. Our debt instruments, consisting of mortgage loans secured by our properties (which are generally non-recourse to us), mezzanine loans, ground leases and our 2005 unsecured revolving credit facility and secured and unsecured term loans, contain customary covenants requiring us to maintain insurance. There can be no assurance that the lenders or ground lessors under these instruments will not take the position that a total or partial exclusion from “all-risk” insurance coverage for losses due to terrorist acts is a breach of these debt and ground lease instruments that allows the lenders or ground lessors to declare an event of default and accelerate repayment of debt or recapture of ground lease positions. In addition, if lenders insist on full coverage for these risks and prevail in asserting that we are required to maintain such coverage, it could result in substantially higher insurance premiums.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Funds From Operations, or FFO, is a widely recognized measure of REIT performance. We compute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defines FFO as net income (loss) (computed in accordance with Generally Accepted Accounting Principles, or GAAP), excluding gains (or losses) from debt restructuring and sales of properties,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w:t>
      </w:r>
    </w:p>
    <w:p>
      <w:pPr>
        <w:spacing w:after="0" w:line="17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FFO for the years ended December 31, 2006, 2005 and 2004 are as follows (in thousands):</w:t>
      </w:r>
    </w:p>
    <w:p>
      <w:pPr>
        <w:spacing w:after="0" w:line="191" w:lineRule="exact"/>
        <w:rPr>
          <w:sz w:val="20"/>
          <w:szCs w:val="20"/>
          <w:color w:val="auto"/>
        </w:rPr>
      </w:pPr>
    </w:p>
    <w:tbl>
      <w:tblPr>
        <w:tblLayout w:type="fixed"/>
        <w:tblInd w:w="8280" w:type="dxa"/>
        <w:tblCellMar>
          <w:top w:w="0" w:type="dxa"/>
          <w:left w:w="0" w:type="dxa"/>
          <w:bottom w:w="0" w:type="dxa"/>
          <w:right w:w="0" w:type="dxa"/>
        </w:tblCellMar>
      </w:tblPr>
      <w:tr>
        <w:trPr>
          <w:trHeight w:val="161"/>
        </w:trPr>
        <w:tc>
          <w:tcPr>
            <w:tcW w:w="4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3"/>
              </w:rPr>
              <w:t>2006</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3"/>
        </w:trPr>
        <w:tc>
          <w:tcPr>
            <w:tcW w:w="420" w:type="dxa"/>
            <w:vAlign w:val="bottom"/>
            <w:vMerge w:val="continue"/>
          </w:tcPr>
          <w:p>
            <w:pPr>
              <w:spacing w:after="0"/>
              <w:rPr>
                <w:sz w:val="15"/>
                <w:szCs w:val="15"/>
                <w:color w:val="auto"/>
              </w:rPr>
            </w:pPr>
          </w:p>
        </w:tc>
        <w:tc>
          <w:tcPr>
            <w:tcW w:w="1880" w:type="dxa"/>
            <w:vAlign w:val="bottom"/>
          </w:tcPr>
          <w:p>
            <w:pPr>
              <w:jc w:val="right"/>
              <w:ind w:right="728"/>
              <w:spacing w:after="0"/>
              <w:rPr>
                <w:sz w:val="20"/>
                <w:szCs w:val="20"/>
                <w:color w:val="auto"/>
              </w:rPr>
            </w:pPr>
            <w:r>
              <w:rPr>
                <w:rFonts w:ascii="Arial" w:cs="Arial" w:eastAsia="Arial" w:hAnsi="Arial"/>
                <w:sz w:val="14"/>
                <w:szCs w:val="14"/>
                <w:b w:val="1"/>
                <w:bCs w:val="1"/>
                <w:color w:val="auto"/>
              </w:rPr>
              <w:t>2005</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-94615</wp:posOffset>
            </wp:positionV>
            <wp:extent cx="21609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tabs>
          <w:tab w:leader="none" w:pos="7920" w:val="left"/>
          <w:tab w:leader="none" w:pos="8300" w:val="left"/>
          <w:tab w:leader="none" w:pos="9160" w:val="left"/>
          <w:tab w:leader="none" w:pos="9500" w:val="left"/>
          <w:tab w:leader="none" w:pos="10380" w:val="left"/>
          <w:tab w:leader="none" w:pos="10720" w:val="left"/>
        </w:tabs>
        <w:rPr>
          <w:sz w:val="20"/>
          <w:szCs w:val="20"/>
          <w:color w:val="auto"/>
        </w:rPr>
      </w:pPr>
      <w:r>
        <w:rPr>
          <w:rFonts w:ascii="Arial" w:cs="Arial" w:eastAsia="Arial" w:hAnsi="Arial"/>
          <w:sz w:val="18"/>
          <w:szCs w:val="18"/>
          <w:color w:val="auto"/>
        </w:rPr>
        <w:t>Net income available to common stockholders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200,844</w:t>
      </w:r>
      <w:r>
        <w:rPr>
          <w:sz w:val="20"/>
          <w:szCs w:val="20"/>
          <w:color w:val="auto"/>
        </w:rPr>
        <w:tab/>
      </w:r>
      <w:r>
        <w:rPr>
          <w:rFonts w:ascii="Arial" w:cs="Arial" w:eastAsia="Arial" w:hAnsi="Arial"/>
          <w:sz w:val="18"/>
          <w:szCs w:val="18"/>
          <w:color w:val="auto"/>
        </w:rPr>
        <w:t>$</w:t>
        <w:tab/>
        <w:t>137,544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193,172</w:t>
      </w:r>
    </w:p>
    <w:p>
      <w:pPr>
        <w:sectPr>
          <w:pgSz w:w="11900" w:h="16838" w:orient="portrait"/>
          <w:cols w:equalWidth="0" w:num="1">
            <w:col w:w="11420"/>
          </w:cols>
          <w:pgMar w:left="240" w:top="125" w:right="239"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Add:</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46,206</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Minority interest</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5,320</w:t>
            </w: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 from discontinued operations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19,226</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FFO adjustment for unconsolidated joint ventures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34,049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23,817</w:t>
            </w: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(6,505)</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(12,277)</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discontinued operations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(93,976)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(33,875)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(90,370)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Gain on sale of joint venture property/ partial interest</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(11,550)</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(22,012)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on non-rental real estate assets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Funds from Operations - available to common stockholders</w:t>
            </w:r>
          </w:p>
        </w:tc>
        <w:tc>
          <w:tcPr>
            <w:tcW w:w="1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223,634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189,513</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162,377</w:t>
            </w:r>
          </w:p>
        </w:tc>
        <w:tc>
          <w:tcPr>
            <w:tcW w:w="8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convertible preferred shares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Funds from Operations - available to all stockholders</w:t>
            </w:r>
          </w:p>
        </w:tc>
        <w:tc>
          <w:tcPr>
            <w:tcW w:w="18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223,634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189,513</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162,377</w:t>
            </w:r>
          </w:p>
        </w:tc>
        <w:tc>
          <w:tcPr>
            <w:tcW w:w="80" w:type="dxa"/>
            <w:vAlign w:val="bottom"/>
            <w:tcBorders>
              <w:bottom w:val="single" w:sz="8" w:color="CCEEFF"/>
            </w:tcBorders>
          </w:tcPr>
          <w:p>
            <w:pPr>
              <w:spacing w:after="0"/>
              <w:rPr>
                <w:sz w:val="21"/>
                <w:szCs w:val="21"/>
                <w:color w:val="auto"/>
              </w:rPr>
            </w:pPr>
          </w:p>
        </w:tc>
      </w:tr>
      <w:tr>
        <w:trPr>
          <w:trHeight w:val="197"/>
        </w:trPr>
        <w:tc>
          <w:tcPr>
            <w:tcW w:w="61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Cash flows provided by operating activities</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225,644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138,398</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164,458</w:t>
            </w:r>
          </w:p>
        </w:tc>
        <w:tc>
          <w:tcPr>
            <w:tcW w:w="80" w:type="dxa"/>
            <w:vAlign w:val="bottom"/>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202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(786,912)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(465,674)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(269,045)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financing activities</w:t>
            </w:r>
          </w:p>
        </w:tc>
        <w:tc>
          <w:tcPr>
            <w:tcW w:w="2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654,342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101,836</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Substantially all of the office leases provide for separate real estate tax and operating expense escalations as well as operating expense recoveries based on increases in the Consumer Price Index or other measures such as porters’ wage. In addition, many of the leases provide for fixed base rent increases. We believe that inflationary increases may be at least partially offset by the contractual rent increases and expense escalations described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Recently Issued Accounting Pronouncements are discussed in Note 2, “Significant Accounting Policies-Recently Issued Accounting Pronouncements” in the accompanying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This report includes certain statements that may be deemed to be “forward-looking statements” within the meaning of Section 27A of the Securities Act of 1933, as amended, or the Act, and Section 21E of the Securities Exchange Act of 1934, as amended, or the Exchange Act. Such forward-looking statements relate to, without limitation, our future capital expenditures, dividends and acquisitions (including the amount and nature thereof) and other development trends of the real estate industry and the Manhattan office market, business strategies, and the expansion and growth of our operations. These statements are based on certain assumptions and analyses made by us in light of our experience and our perception of historical trends, current conditions, expected future developments and other factors we believe are appropriate. We intend such forward-looking statements to be covered by the safe harbor provisions for forward-looking statements contained in Section 27A of the Act and Section 21E of the Exchange Act. Such statements are subject to a number of assumptions, risks and uncertainties which may cause our actual results, performance or achievements to be materially different from future results, performance or achievements expressed or implied by these forward-looking statements. Forward-looking statements are generally identifiable by the use of the words “may,” “will,” “should,” “expect,” “anticipate,” “estimate,” “believe,” “intend,” “project,” “continue,” or the negative of these words, or other similar words or terms. Readers are cautioned not to place undue reliance on these forward-looking statements. Among the factors about which we have made assumptions are:</w:t>
      </w:r>
    </w:p>
    <w:p>
      <w:pPr>
        <w:spacing w:after="0" w:line="180" w:lineRule="exact"/>
        <w:rPr>
          <w:sz w:val="20"/>
          <w:szCs w:val="20"/>
          <w:color w:val="auto"/>
        </w:rPr>
      </w:pPr>
    </w:p>
    <w:p>
      <w:pPr>
        <w:ind w:left="620" w:hanging="28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economic or business (particularly real estate) conditions, either nationally or in New York City, being less favorable than expected;</w:t>
      </w:r>
    </w:p>
    <w:p>
      <w:pPr>
        <w:spacing w:after="0" w:line="128" w:lineRule="exact"/>
        <w:rPr>
          <w:rFonts w:ascii="Arial" w:cs="Arial" w:eastAsia="Arial" w:hAnsi="Arial"/>
          <w:sz w:val="17"/>
          <w:szCs w:val="17"/>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demand for office space;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of real estate acquisitions;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of structured finance investments;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and creditworthiness of prospective tenants;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changes in the real estate markets, including increasing vacancy, decreasing rental revenue and increased insurance costs;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capital (debt and equity);</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increases in financing and other costs, including a rise in interest rates;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interest rates could adversely affect the market price of our common stock, as well as our performance and cash flows;</w:t>
      </w:r>
    </w:p>
    <w:p>
      <w:pPr>
        <w:spacing w:after="0" w:line="117" w:lineRule="exact"/>
        <w:rPr>
          <w:rFonts w:ascii="Arial" w:cs="Arial" w:eastAsia="Arial" w:hAnsi="Arial"/>
          <w:sz w:val="18"/>
          <w:szCs w:val="18"/>
          <w:color w:val="auto"/>
        </w:rPr>
      </w:pPr>
    </w:p>
    <w:p>
      <w:pPr>
        <w:ind w:left="660" w:hanging="328"/>
        <w:spacing w:after="0" w:line="259" w:lineRule="auto"/>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satisfy complex rules in order for us to qualify as a REIT, for federal income tax purposes, our operating partnership’s ability to satisfy the rules in order for it to qualify as a partnership for federal income tax purposes, the ability of certain of our subsidiaries to qualify as REITs and certain of our subsidiaries to qualify as taxable REIT subsidiaries for federal income tax purposes and our ability and the ability of our subsidiaries to operate effectively within the limitations imposed by these rules;</w:t>
      </w:r>
    </w:p>
    <w:p>
      <w:pPr>
        <w:spacing w:after="0" w:line="78"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accounting principles and policies and guidelines applicable to REITs;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with other companies;</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continuing threat of terrorist attacks on the national, regional and local economies including, in particular, the New York City area and our tenants;</w:t>
      </w:r>
    </w:p>
    <w:p>
      <w:pPr>
        <w:spacing w:after="0" w:line="62"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legislative or regulatory changes adversely affecting REIT’s and the real estate business; and</w:t>
      </w:r>
    </w:p>
    <w:p>
      <w:pPr>
        <w:sectPr>
          <w:pgSz w:w="11900" w:h="16838" w:orient="portrait"/>
          <w:cols w:equalWidth="0" w:num="1">
            <w:col w:w="11420"/>
          </w:cols>
          <w:pgMar w:left="240" w:top="125" w:right="239" w:bottom="0" w:gutter="0" w:footer="0" w:header="0"/>
        </w:sectPr>
      </w:pPr>
    </w:p>
    <w:bookmarkStart w:id="34" w:name="page35"/>
    <w:bookmarkEnd w:id="34"/>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environmental, regulatory and/or safety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undertake no obligation to publicly update or revise any forward-looking statements, whether as a result of future events, new information or otherwise.</w:t>
      </w:r>
    </w:p>
    <w:p>
      <w:pPr>
        <w:spacing w:after="0" w:line="24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risks included here are not exhaustive. Other sections of this report may include additional factors that could adversely affect the Company’s business and financial performance. Moreover, the Company operates in a very competitive and rapidly changing environment. New risk factors emerge from time to time and it is not possible for management to predict all such risk factors, nor can it assess the impact of all such risk factors on the Company’s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Rate Risk” for additional information regarding our exposure to interest rate fluctuations.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presents principal cash flows based upon maturity dates of our debt obligations and structured finance investments and the related weighted-average interest rates by expected maturity dates as of December 31, 2006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vMerge w:val="restart"/>
          </w:tcPr>
          <w:p>
            <w:pPr>
              <w:jc w:val="right"/>
              <w:ind w:right="555"/>
              <w:spacing w:after="0"/>
              <w:rPr>
                <w:sz w:val="20"/>
                <w:szCs w:val="20"/>
                <w:color w:val="auto"/>
              </w:rPr>
            </w:pPr>
            <w:r>
              <w:rPr>
                <w:rFonts w:ascii="Arial" w:cs="Arial" w:eastAsia="Arial" w:hAnsi="Arial"/>
                <w:sz w:val="14"/>
                <w:szCs w:val="14"/>
                <w:b w:val="1"/>
                <w:bCs w:val="1"/>
                <w:color w:val="auto"/>
              </w:rPr>
              <w:t>Long-Term Debt</w:t>
            </w:r>
          </w:p>
        </w:tc>
        <w:tc>
          <w:tcPr>
            <w:tcW w:w="28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Structured Finance</w:t>
            </w: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4"/>
          </w:tcPr>
          <w:p>
            <w:pPr>
              <w:jc w:val="right"/>
              <w:ind w:right="1040"/>
              <w:spacing w:after="0" w:line="139" w:lineRule="exact"/>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3"/>
        </w:trPr>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vMerge w:val="restart"/>
          </w:tcPr>
          <w:p>
            <w:pPr>
              <w:jc w:val="right"/>
              <w:ind w:right="294"/>
              <w:spacing w:after="0" w:line="145" w:lineRule="exact"/>
              <w:rPr>
                <w:sz w:val="20"/>
                <w:szCs w:val="20"/>
                <w:color w:val="auto"/>
              </w:rPr>
            </w:pPr>
            <w:r>
              <w:rPr>
                <w:rFonts w:ascii="Arial" w:cs="Arial" w:eastAsia="Arial" w:hAnsi="Arial"/>
                <w:sz w:val="14"/>
                <w:szCs w:val="14"/>
                <w:b w:val="1"/>
                <w:bCs w:val="1"/>
                <w:color w:val="auto"/>
              </w:rPr>
              <w:t>Fixed</w:t>
            </w: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vMerge w:val="restart"/>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rPr>
              <w:t>Average</w:t>
            </w:r>
          </w:p>
        </w:tc>
        <w:tc>
          <w:tcPr>
            <w:tcW w:w="160" w:type="dxa"/>
            <w:vAlign w:val="bottom"/>
          </w:tcPr>
          <w:p>
            <w:pPr>
              <w:spacing w:after="0"/>
              <w:rPr>
                <w:sz w:val="8"/>
                <w:szCs w:val="8"/>
                <w:color w:val="auto"/>
              </w:rPr>
            </w:pPr>
          </w:p>
        </w:tc>
        <w:tc>
          <w:tcPr>
            <w:tcW w:w="860" w:type="dxa"/>
            <w:vAlign w:val="bottom"/>
          </w:tcPr>
          <w:p>
            <w:pPr>
              <w:jc w:val="right"/>
              <w:ind w:right="175"/>
              <w:spacing w:after="0" w:line="102" w:lineRule="exact"/>
              <w:rPr>
                <w:sz w:val="20"/>
                <w:szCs w:val="20"/>
                <w:color w:val="auto"/>
              </w:rPr>
            </w:pPr>
            <w:r>
              <w:rPr>
                <w:rFonts w:ascii="Arial" w:cs="Arial" w:eastAsia="Arial" w:hAnsi="Arial"/>
                <w:sz w:val="11"/>
                <w:szCs w:val="11"/>
                <w:b w:val="1"/>
                <w:bCs w:val="1"/>
                <w:color w:val="auto"/>
              </w:rPr>
              <w:t>Variable</w:t>
            </w:r>
          </w:p>
        </w:tc>
        <w:tc>
          <w:tcPr>
            <w:tcW w:w="28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8"/>
                <w:szCs w:val="8"/>
                <w:color w:val="auto"/>
              </w:rPr>
            </w:pPr>
          </w:p>
        </w:tc>
        <w:tc>
          <w:tcPr>
            <w:tcW w:w="1020" w:type="dxa"/>
            <w:vAlign w:val="bottom"/>
          </w:tcPr>
          <w:p>
            <w:pPr>
              <w:jc w:val="right"/>
              <w:ind w:right="143"/>
              <w:spacing w:after="0" w:line="102" w:lineRule="exact"/>
              <w:rPr>
                <w:sz w:val="20"/>
                <w:szCs w:val="20"/>
                <w:color w:val="auto"/>
              </w:rPr>
            </w:pPr>
            <w:r>
              <w:rPr>
                <w:rFonts w:ascii="Arial" w:cs="Arial" w:eastAsia="Arial" w:hAnsi="Arial"/>
                <w:sz w:val="11"/>
                <w:szCs w:val="11"/>
                <w:b w:val="1"/>
                <w:bCs w:val="1"/>
                <w:color w:val="auto"/>
              </w:rPr>
              <w:t>Weighted</w:t>
            </w:r>
          </w:p>
        </w:tc>
        <w:tc>
          <w:tcPr>
            <w:tcW w:w="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3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Yield</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83,943</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12,591</w:t>
            </w:r>
          </w:p>
        </w:tc>
        <w:tc>
          <w:tcPr>
            <w:tcW w:w="1560" w:type="dxa"/>
            <w:vAlign w:val="bottom"/>
            <w:gridSpan w:val="3"/>
          </w:tcPr>
          <w:p>
            <w:pPr>
              <w:ind w:left="980"/>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253,208</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28,500</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349,726</w:t>
            </w:r>
          </w:p>
        </w:tc>
        <w:tc>
          <w:tcPr>
            <w:tcW w:w="15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271,558</w:t>
            </w:r>
          </w:p>
        </w:tc>
        <w:tc>
          <w:tcPr>
            <w:tcW w:w="1560" w:type="dxa"/>
            <w:vAlign w:val="bottom"/>
            <w:gridSpan w:val="3"/>
          </w:tcPr>
          <w:p>
            <w:pPr>
              <w:ind w:left="980"/>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3,911</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15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784,467</w:t>
            </w:r>
          </w:p>
        </w:tc>
        <w:tc>
          <w:tcPr>
            <w:tcW w:w="28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329,115</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1,511,714</w:t>
            </w:r>
          </w:p>
        </w:tc>
        <w:tc>
          <w:tcPr>
            <w:tcW w:w="28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5.72%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303,665</w:t>
            </w:r>
          </w:p>
        </w:tc>
        <w:tc>
          <w:tcPr>
            <w:tcW w:w="280" w:type="dxa"/>
            <w:vAlign w:val="bottom"/>
            <w:vMerge w:val="continue"/>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445,026</w:t>
            </w:r>
          </w:p>
        </w:tc>
        <w:tc>
          <w:tcPr>
            <w:tcW w:w="28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Fair Value</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1,495,124</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303,665</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445,026</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table below presents the gross principal cash flows based upon maturity dates of our share of our joint venture debt obligations and the related weighted-average interest rates by expected maturity dates as of December 31, 2006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4"/>
                <w:szCs w:val="14"/>
                <w:b w:val="1"/>
                <w:bCs w:val="1"/>
                <w:color w:val="auto"/>
              </w:rPr>
              <w:t>Long Term Debt</w:t>
            </w:r>
          </w:p>
        </w:tc>
        <w:tc>
          <w:tcPr>
            <w:tcW w:w="28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Fixed</w:t>
            </w:r>
          </w:p>
        </w:tc>
        <w:tc>
          <w:tcPr>
            <w:tcW w:w="280" w:type="dxa"/>
            <w:vAlign w:val="bottom"/>
          </w:tcPr>
          <w:p>
            <w:pPr>
              <w:spacing w:after="0"/>
              <w:rPr>
                <w:sz w:val="8"/>
                <w:szCs w:val="8"/>
                <w:color w:val="auto"/>
              </w:rPr>
            </w:pPr>
          </w:p>
        </w:tc>
        <w:tc>
          <w:tcPr>
            <w:tcW w:w="110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Variable</w:t>
            </w:r>
          </w:p>
        </w:tc>
        <w:tc>
          <w:tcPr>
            <w:tcW w:w="2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2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2"/>
        </w:trPr>
        <w:tc>
          <w:tcPr>
            <w:tcW w:w="666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2007 (1)</w:t>
            </w:r>
          </w:p>
        </w:tc>
        <w:tc>
          <w:tcPr>
            <w:tcW w:w="4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450,989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2008</w:t>
            </w: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6,125</w:t>
            </w:r>
          </w:p>
        </w:tc>
        <w:tc>
          <w:tcPr>
            <w:tcW w:w="1380" w:type="dxa"/>
            <w:vAlign w:val="bottom"/>
            <w:gridSpan w:val="3"/>
          </w:tcPr>
          <w:p>
            <w:pPr>
              <w:ind w:left="800"/>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52,900</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13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5.97%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2010</w:t>
            </w: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36,308</w:t>
            </w:r>
          </w:p>
        </w:tc>
        <w:tc>
          <w:tcPr>
            <w:tcW w:w="1380" w:type="dxa"/>
            <w:vAlign w:val="bottom"/>
            <w:gridSpan w:val="3"/>
          </w:tcPr>
          <w:p>
            <w:pPr>
              <w:ind w:left="800"/>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47,250</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3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5.98%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524,352</w:t>
            </w:r>
          </w:p>
        </w:tc>
        <w:tc>
          <w:tcPr>
            <w:tcW w:w="28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3"/>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588,002</w:t>
            </w:r>
          </w:p>
        </w:tc>
        <w:tc>
          <w:tcPr>
            <w:tcW w:w="280" w:type="dxa"/>
            <w:vAlign w:val="bottom"/>
            <w:vMerge w:val="continue"/>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5.96%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621,139</w:t>
            </w:r>
          </w:p>
        </w:tc>
        <w:tc>
          <w:tcPr>
            <w:tcW w:w="28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Fair Value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gridSpan w:val="3"/>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590,432</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621,139</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right="500" w:hanging="332"/>
        <w:spacing w:after="0" w:line="264" w:lineRule="auto"/>
        <w:tabs>
          <w:tab w:leader="none" w:pos="3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this item is $63,250 based on the contractual maturity date of the debt on 1250 Broadway. This loan has two-year as-of-right extension options. Also included is $343,750 based on the contractual maturity date of the debt on 1515 Broadway. This loan has three one-year as-of-right extension options.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lists all of our derivative instruments, which are hedging variable rate debt, including joint ventures, and their related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Asset</w:t>
            </w:r>
          </w:p>
        </w:tc>
        <w:tc>
          <w:tcPr>
            <w:tcW w:w="1540" w:type="dxa"/>
            <w:vAlign w:val="bottom"/>
            <w:gridSpan w:val="3"/>
          </w:tcPr>
          <w:p>
            <w:pPr>
              <w:ind w:left="240"/>
              <w:spacing w:after="0"/>
              <w:rPr>
                <w:sz w:val="20"/>
                <w:szCs w:val="20"/>
                <w:color w:val="auto"/>
              </w:rPr>
            </w:pPr>
            <w:r>
              <w:rPr>
                <w:rFonts w:ascii="Arial" w:cs="Arial" w:eastAsia="Arial" w:hAnsi="Arial"/>
                <w:sz w:val="14"/>
                <w:szCs w:val="14"/>
                <w:b w:val="1"/>
                <w:bCs w:val="1"/>
                <w:color w:val="auto"/>
              </w:rPr>
              <w:t>Benchmark</w:t>
            </w: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4"/>
                <w:szCs w:val="14"/>
                <w:color w:val="auto"/>
              </w:rPr>
            </w:pPr>
          </w:p>
        </w:tc>
        <w:tc>
          <w:tcPr>
            <w:tcW w:w="820" w:type="dxa"/>
            <w:vAlign w:val="bottom"/>
          </w:tcPr>
          <w:p>
            <w:pPr>
              <w:jc w:val="center"/>
              <w:ind w:left="288"/>
              <w:spacing w:after="0"/>
              <w:rPr>
                <w:sz w:val="20"/>
                <w:szCs w:val="20"/>
                <w:color w:val="auto"/>
              </w:rPr>
            </w:pPr>
            <w:r>
              <w:rPr>
                <w:rFonts w:ascii="Arial" w:cs="Arial" w:eastAsia="Arial" w:hAnsi="Arial"/>
                <w:sz w:val="14"/>
                <w:szCs w:val="14"/>
                <w:b w:val="1"/>
                <w:bCs w:val="1"/>
                <w:color w:val="auto"/>
                <w:w w:val="97"/>
              </w:rPr>
              <w:t>Strike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340"/>
              <w:spacing w:after="0"/>
              <w:rPr>
                <w:sz w:val="20"/>
                <w:szCs w:val="20"/>
                <w:color w:val="auto"/>
              </w:rPr>
            </w:pPr>
            <w:r>
              <w:rPr>
                <w:rFonts w:ascii="Arial" w:cs="Arial" w:eastAsia="Arial" w:hAnsi="Arial"/>
                <w:sz w:val="14"/>
                <w:szCs w:val="14"/>
                <w:b w:val="1"/>
                <w:bCs w:val="1"/>
                <w:color w:val="auto"/>
              </w:rPr>
              <w:t>Effective</w:t>
            </w:r>
          </w:p>
        </w:tc>
        <w:tc>
          <w:tcPr>
            <w:tcW w:w="1540" w:type="dxa"/>
            <w:vAlign w:val="bottom"/>
            <w:gridSpan w:val="3"/>
          </w:tcPr>
          <w:p>
            <w:pPr>
              <w:jc w:val="right"/>
              <w:ind w:right="569"/>
              <w:spacing w:after="0"/>
              <w:rPr>
                <w:sz w:val="20"/>
                <w:szCs w:val="20"/>
                <w:color w:val="auto"/>
              </w:rPr>
            </w:pPr>
            <w:r>
              <w:rPr>
                <w:rFonts w:ascii="Arial" w:cs="Arial" w:eastAsia="Arial" w:hAnsi="Arial"/>
                <w:sz w:val="14"/>
                <w:szCs w:val="14"/>
                <w:b w:val="1"/>
                <w:bCs w:val="1"/>
                <w:color w:val="auto"/>
              </w:rPr>
              <w:t>Expiration</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w:t>
            </w:r>
          </w:p>
        </w:tc>
      </w:tr>
      <w:tr>
        <w:trPr>
          <w:trHeight w:val="162"/>
        </w:trPr>
        <w:tc>
          <w:tcPr>
            <w:tcW w:w="22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Hedged</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2"/>
              </w:rPr>
              <w:t>Rate</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CCEEFF"/>
            </w:tcBorders>
          </w:tcPr>
          <w:p>
            <w:pPr>
              <w:spacing w:after="0"/>
              <w:rPr>
                <w:sz w:val="14"/>
                <w:szCs w:val="14"/>
                <w:color w:val="auto"/>
              </w:rPr>
            </w:pPr>
          </w:p>
        </w:tc>
      </w:tr>
      <w:tr>
        <w:trPr>
          <w:trHeight w:val="142"/>
        </w:trPr>
        <w:tc>
          <w:tcPr>
            <w:tcW w:w="2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Interest Rate Swap</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Term loan</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ind w:left="780"/>
              <w:spacing w:after="0" w:line="142" w:lineRule="exact"/>
              <w:rPr>
                <w:sz w:val="20"/>
                <w:szCs w:val="20"/>
                <w:color w:val="auto"/>
              </w:rPr>
            </w:pPr>
            <w:r>
              <w:rPr>
                <w:rFonts w:ascii="Arial" w:cs="Arial" w:eastAsia="Arial" w:hAnsi="Arial"/>
                <w:sz w:val="14"/>
                <w:szCs w:val="14"/>
                <w:color w:val="auto"/>
                <w:w w:val="99"/>
              </w:rPr>
              <w:t>LIBOR</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65,000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4.330%</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9/2006</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6/2008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691</w:t>
            </w:r>
          </w:p>
        </w:tc>
        <w:tc>
          <w:tcPr>
            <w:tcW w:w="2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Interest Rate Swap</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Term loan</w:t>
            </w:r>
          </w:p>
        </w:tc>
        <w:tc>
          <w:tcPr>
            <w:tcW w:w="1540" w:type="dxa"/>
            <w:vAlign w:val="bottom"/>
            <w:gridSpan w:val="3"/>
          </w:tcPr>
          <w:p>
            <w:pPr>
              <w:ind w:left="780"/>
              <w:spacing w:after="0" w:line="149" w:lineRule="exact"/>
              <w:rPr>
                <w:sz w:val="20"/>
                <w:szCs w:val="20"/>
                <w:color w:val="auto"/>
              </w:rPr>
            </w:pPr>
            <w:r>
              <w:rPr>
                <w:rFonts w:ascii="Arial" w:cs="Arial" w:eastAsia="Arial" w:hAnsi="Arial"/>
                <w:sz w:val="14"/>
                <w:szCs w:val="14"/>
                <w:color w:val="auto"/>
              </w:rPr>
              <w:t>LIBOR</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4.060%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12/2003</w:t>
            </w:r>
          </w:p>
        </w:tc>
        <w:tc>
          <w:tcPr>
            <w:tcW w:w="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12/2007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1,037</w:t>
            </w:r>
          </w:p>
        </w:tc>
        <w:tc>
          <w:tcPr>
            <w:tcW w:w="2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Rate Swap</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Term loan</w:t>
            </w:r>
          </w:p>
        </w:tc>
        <w:tc>
          <w:tcPr>
            <w:tcW w:w="1540" w:type="dxa"/>
            <w:vAlign w:val="bottom"/>
            <w:gridSpan w:val="3"/>
            <w:shd w:val="clear" w:color="auto" w:fill="CCEEFF"/>
          </w:tcPr>
          <w:p>
            <w:pPr>
              <w:ind w:left="780"/>
              <w:spacing w:after="0" w:line="149" w:lineRule="exact"/>
              <w:rPr>
                <w:sz w:val="20"/>
                <w:szCs w:val="20"/>
                <w:color w:val="auto"/>
              </w:rPr>
            </w:pPr>
            <w:r>
              <w:rPr>
                <w:rFonts w:ascii="Arial" w:cs="Arial" w:eastAsia="Arial" w:hAnsi="Arial"/>
                <w:sz w:val="14"/>
                <w:szCs w:val="14"/>
                <w:color w:val="auto"/>
              </w:rPr>
              <w:t>LIBOR</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4.113%</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12/2004</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w:t>
            </w:r>
          </w:p>
        </w:tc>
        <w:tc>
          <w:tcPr>
            <w:tcW w:w="2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Interest Rate Swap</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Term loan</w:t>
            </w:r>
          </w:p>
        </w:tc>
        <w:tc>
          <w:tcPr>
            <w:tcW w:w="1540" w:type="dxa"/>
            <w:vAlign w:val="bottom"/>
            <w:gridSpan w:val="3"/>
          </w:tcPr>
          <w:p>
            <w:pPr>
              <w:ind w:left="780"/>
              <w:spacing w:after="0" w:line="149" w:lineRule="exact"/>
              <w:rPr>
                <w:sz w:val="20"/>
                <w:szCs w:val="20"/>
                <w:color w:val="auto"/>
              </w:rPr>
            </w:pPr>
            <w:r>
              <w:rPr>
                <w:rFonts w:ascii="Arial" w:cs="Arial" w:eastAsia="Arial" w:hAnsi="Arial"/>
                <w:sz w:val="14"/>
                <w:szCs w:val="14"/>
                <w:color w:val="auto"/>
              </w:rPr>
              <w:t>LIBOR</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4.650%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5/2006</w:t>
            </w:r>
          </w:p>
        </w:tc>
        <w:tc>
          <w:tcPr>
            <w:tcW w:w="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12/2008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693</w:t>
            </w:r>
          </w:p>
        </w:tc>
        <w:tc>
          <w:tcPr>
            <w:tcW w:w="2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Rate Swap</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Term loan</w:t>
            </w:r>
          </w:p>
        </w:tc>
        <w:tc>
          <w:tcPr>
            <w:tcW w:w="1540" w:type="dxa"/>
            <w:vAlign w:val="bottom"/>
            <w:gridSpan w:val="3"/>
            <w:shd w:val="clear" w:color="auto" w:fill="CCEEFF"/>
          </w:tcPr>
          <w:p>
            <w:pPr>
              <w:ind w:left="780"/>
              <w:spacing w:after="0" w:line="149" w:lineRule="exact"/>
              <w:rPr>
                <w:sz w:val="20"/>
                <w:szCs w:val="20"/>
                <w:color w:val="auto"/>
              </w:rPr>
            </w:pPr>
            <w:r>
              <w:rPr>
                <w:rFonts w:ascii="Arial" w:cs="Arial" w:eastAsia="Arial" w:hAnsi="Arial"/>
                <w:sz w:val="14"/>
                <w:szCs w:val="14"/>
                <w:color w:val="auto"/>
              </w:rPr>
              <w:t>LIBOR</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4.352%</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9/2006</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8/2009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1,945</w:t>
            </w:r>
          </w:p>
        </w:tc>
        <w:tc>
          <w:tcPr>
            <w:tcW w:w="2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Interest Rate Swap</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Term loan</w:t>
            </w:r>
          </w:p>
        </w:tc>
        <w:tc>
          <w:tcPr>
            <w:tcW w:w="1540" w:type="dxa"/>
            <w:vAlign w:val="bottom"/>
            <w:gridSpan w:val="3"/>
          </w:tcPr>
          <w:p>
            <w:pPr>
              <w:ind w:left="780"/>
              <w:spacing w:after="0" w:line="149" w:lineRule="exact"/>
              <w:rPr>
                <w:sz w:val="20"/>
                <w:szCs w:val="20"/>
                <w:color w:val="auto"/>
              </w:rPr>
            </w:pPr>
            <w:r>
              <w:rPr>
                <w:rFonts w:ascii="Arial" w:cs="Arial" w:eastAsia="Arial" w:hAnsi="Arial"/>
                <w:sz w:val="14"/>
                <w:szCs w:val="14"/>
                <w:color w:val="auto"/>
              </w:rPr>
              <w:t>LIBOR</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3.770%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5/2005</w:t>
            </w:r>
          </w:p>
        </w:tc>
        <w:tc>
          <w:tcPr>
            <w:tcW w:w="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1/2007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Rate Swap</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Term loan</w:t>
            </w:r>
          </w:p>
        </w:tc>
        <w:tc>
          <w:tcPr>
            <w:tcW w:w="1540" w:type="dxa"/>
            <w:vAlign w:val="bottom"/>
            <w:gridSpan w:val="3"/>
            <w:shd w:val="clear" w:color="auto" w:fill="CCEEFF"/>
          </w:tcPr>
          <w:p>
            <w:pPr>
              <w:ind w:left="780"/>
              <w:spacing w:after="0" w:line="149" w:lineRule="exact"/>
              <w:rPr>
                <w:sz w:val="20"/>
                <w:szCs w:val="20"/>
                <w:color w:val="auto"/>
              </w:rPr>
            </w:pPr>
            <w:r>
              <w:rPr>
                <w:rFonts w:ascii="Arial" w:cs="Arial" w:eastAsia="Arial" w:hAnsi="Arial"/>
                <w:sz w:val="14"/>
                <w:szCs w:val="14"/>
                <w:color w:val="auto"/>
              </w:rPr>
              <w:t>LIBOR</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4.364%</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1/2007</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5/2010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w:t>
            </w:r>
          </w:p>
        </w:tc>
        <w:tc>
          <w:tcPr>
            <w:tcW w:w="2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Interest Rate Cap</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Mortgage</w:t>
            </w:r>
          </w:p>
        </w:tc>
        <w:tc>
          <w:tcPr>
            <w:tcW w:w="1540" w:type="dxa"/>
            <w:vAlign w:val="bottom"/>
            <w:gridSpan w:val="3"/>
          </w:tcPr>
          <w:p>
            <w:pPr>
              <w:ind w:left="780"/>
              <w:spacing w:after="0" w:line="149" w:lineRule="exact"/>
              <w:rPr>
                <w:sz w:val="20"/>
                <w:szCs w:val="20"/>
                <w:color w:val="auto"/>
              </w:rPr>
            </w:pPr>
            <w:r>
              <w:rPr>
                <w:rFonts w:ascii="Arial" w:cs="Arial" w:eastAsia="Arial" w:hAnsi="Arial"/>
                <w:sz w:val="14"/>
                <w:szCs w:val="14"/>
                <w:color w:val="auto"/>
              </w:rPr>
              <w:t>LIBOR</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12,580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6.600%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8/2005</w:t>
            </w:r>
          </w:p>
        </w:tc>
        <w:tc>
          <w:tcPr>
            <w:tcW w:w="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9/2007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Rate Cap</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Mortgage</w:t>
            </w:r>
          </w:p>
        </w:tc>
        <w:tc>
          <w:tcPr>
            <w:tcW w:w="1540" w:type="dxa"/>
            <w:vAlign w:val="bottom"/>
            <w:gridSpan w:val="3"/>
            <w:shd w:val="clear" w:color="auto" w:fill="CCEEFF"/>
          </w:tcPr>
          <w:p>
            <w:pPr>
              <w:ind w:left="780"/>
              <w:spacing w:after="0" w:line="149" w:lineRule="exact"/>
              <w:rPr>
                <w:sz w:val="20"/>
                <w:szCs w:val="20"/>
                <w:color w:val="auto"/>
              </w:rPr>
            </w:pPr>
            <w:r>
              <w:rPr>
                <w:rFonts w:ascii="Arial" w:cs="Arial" w:eastAsia="Arial" w:hAnsi="Arial"/>
                <w:sz w:val="14"/>
                <w:szCs w:val="14"/>
                <w:color w:val="auto"/>
              </w:rPr>
              <w:t>LIBOR</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112,700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7/2006</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Interest Rate Cap</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Mortgage</w:t>
            </w:r>
          </w:p>
        </w:tc>
        <w:tc>
          <w:tcPr>
            <w:tcW w:w="1540" w:type="dxa"/>
            <w:vAlign w:val="bottom"/>
            <w:gridSpan w:val="3"/>
          </w:tcPr>
          <w:p>
            <w:pPr>
              <w:ind w:left="780"/>
              <w:spacing w:after="0" w:line="149" w:lineRule="exact"/>
              <w:rPr>
                <w:sz w:val="20"/>
                <w:szCs w:val="20"/>
                <w:color w:val="auto"/>
              </w:rPr>
            </w:pPr>
            <w:r>
              <w:rPr>
                <w:rFonts w:ascii="Arial" w:cs="Arial" w:eastAsia="Arial" w:hAnsi="Arial"/>
                <w:sz w:val="14"/>
                <w:szCs w:val="14"/>
                <w:color w:val="auto"/>
              </w:rPr>
              <w:t>LIBOR</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175,000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6.000%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9/2006</w:t>
            </w:r>
          </w:p>
        </w:tc>
        <w:tc>
          <w:tcPr>
            <w:tcW w:w="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9/2007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Rate Swap</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Future financing</w:t>
            </w:r>
          </w:p>
        </w:tc>
        <w:tc>
          <w:tcPr>
            <w:tcW w:w="1540" w:type="dxa"/>
            <w:vAlign w:val="bottom"/>
            <w:gridSpan w:val="3"/>
            <w:shd w:val="clear" w:color="auto" w:fill="CCEEFF"/>
          </w:tcPr>
          <w:p>
            <w:pPr>
              <w:ind w:left="780"/>
              <w:spacing w:after="0" w:line="149" w:lineRule="exact"/>
              <w:rPr>
                <w:sz w:val="20"/>
                <w:szCs w:val="20"/>
                <w:color w:val="auto"/>
              </w:rPr>
            </w:pPr>
            <w:r>
              <w:rPr>
                <w:rFonts w:ascii="Arial" w:cs="Arial" w:eastAsia="Arial" w:hAnsi="Arial"/>
                <w:sz w:val="14"/>
                <w:szCs w:val="14"/>
                <w:color w:val="auto"/>
              </w:rPr>
              <w:t>LIBOR</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5.125%</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1/2007</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1/2017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w:t>
            </w:r>
          </w:p>
        </w:tc>
        <w:tc>
          <w:tcPr>
            <w:tcW w:w="20" w:type="dxa"/>
            <w:vAlign w:val="bottom"/>
            <w:shd w:val="clear" w:color="auto" w:fill="CCEEFF"/>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Interest Rate Swap</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Future financing</w:t>
            </w:r>
          </w:p>
        </w:tc>
        <w:tc>
          <w:tcPr>
            <w:tcW w:w="1540" w:type="dxa"/>
            <w:vAlign w:val="bottom"/>
            <w:gridSpan w:val="3"/>
          </w:tcPr>
          <w:p>
            <w:pPr>
              <w:ind w:left="780"/>
              <w:spacing w:after="0" w:line="149" w:lineRule="exact"/>
              <w:rPr>
                <w:sz w:val="20"/>
                <w:szCs w:val="20"/>
                <w:color w:val="auto"/>
              </w:rPr>
            </w:pPr>
            <w:r>
              <w:rPr>
                <w:rFonts w:ascii="Arial" w:cs="Arial" w:eastAsia="Arial" w:hAnsi="Arial"/>
                <w:sz w:val="14"/>
                <w:szCs w:val="14"/>
                <w:color w:val="auto"/>
              </w:rPr>
              <w:t>LIBOR</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5.073%</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1/2007</w:t>
            </w:r>
          </w:p>
        </w:tc>
        <w:tc>
          <w:tcPr>
            <w:tcW w:w="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1/2017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1,370</w:t>
            </w:r>
          </w:p>
        </w:tc>
        <w:tc>
          <w:tcPr>
            <w:tcW w:w="20" w:type="dxa"/>
            <w:vAlign w:val="bottom"/>
          </w:tcPr>
          <w:p>
            <w:pPr>
              <w:spacing w:after="0"/>
              <w:rPr>
                <w:sz w:val="12"/>
                <w:szCs w:val="12"/>
                <w:color w:val="auto"/>
              </w:rPr>
            </w:pPr>
          </w:p>
        </w:tc>
      </w:tr>
      <w:tr>
        <w:trPr>
          <w:trHeight w:val="142"/>
        </w:trPr>
        <w:tc>
          <w:tcPr>
            <w:tcW w:w="2260" w:type="dxa"/>
            <w:vAlign w:val="bottom"/>
            <w:tcBorders>
              <w:top w:val="single" w:sz="8" w:color="CCEEFF"/>
              <w:bottom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Total Consolidated Hedges</w:t>
            </w:r>
          </w:p>
        </w:tc>
        <w:tc>
          <w:tcPr>
            <w:tcW w:w="1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1,135,280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7,750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these derivative instruments, some of our joint venture loan agreements require the joint venture to purchase interest rate caps on its debt. All these interest rate caps were out of the money and had no value at December 31, 2006.</w:t>
      </w:r>
    </w:p>
    <w:p>
      <w:pPr>
        <w:sectPr>
          <w:pgSz w:w="11900" w:h="16838" w:orient="portrait"/>
          <w:cols w:equalWidth="0" w:num="1">
            <w:col w:w="11420"/>
          </w:cols>
          <w:pgMar w:left="240" w:top="125" w:right="239" w:bottom="0" w:gutter="0" w:footer="0" w:header="0"/>
          <w:type w:val="continuous"/>
        </w:sectPr>
      </w:pPr>
    </w:p>
    <w:bookmarkStart w:id="35" w:name="page36"/>
    <w:bookmarkEnd w:id="35"/>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Financial Statements and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2006 and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2006, 2005 and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 for the years ended December 31, 2006, 2005 and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2006, 2005 and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Schedule III Real Estate and Accumulated Depreciation as of December 31, 2006</w:t>
      </w:r>
    </w:p>
    <w:p>
      <w:pPr>
        <w:spacing w:after="0" w:line="225" w:lineRule="exact"/>
        <w:rPr>
          <w:sz w:val="20"/>
          <w:szCs w:val="20"/>
          <w:color w:val="auto"/>
        </w:rPr>
      </w:pPr>
    </w:p>
    <w:p>
      <w:pPr>
        <w:ind w:right="1260"/>
        <w:spacing w:after="0" w:line="258" w:lineRule="auto"/>
        <w:rPr>
          <w:sz w:val="20"/>
          <w:szCs w:val="20"/>
          <w:color w:val="auto"/>
        </w:rPr>
      </w:pPr>
      <w:r>
        <w:rPr>
          <w:rFonts w:ascii="Arial" w:cs="Arial" w:eastAsia="Arial" w:hAnsi="Arial"/>
          <w:sz w:val="18"/>
          <w:szCs w:val="18"/>
          <w:color w:val="auto"/>
        </w:rPr>
        <w:t>Consolidated Financial Statements and Report of Ernst &amp; Young LLP Independent Registered Public Accounting Firm for Rock-Green, Inc. Consolidated Balance Sheets as of December 31, 2006 and 2005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2006, 2005 and 2004</w:t>
      </w:r>
    </w:p>
    <w:p>
      <w:pPr>
        <w:spacing w:after="0" w:line="9" w:lineRule="exact"/>
        <w:rPr>
          <w:sz w:val="20"/>
          <w:szCs w:val="20"/>
          <w:color w:val="auto"/>
        </w:rPr>
      </w:pPr>
    </w:p>
    <w:p>
      <w:pPr>
        <w:ind w:right="2940"/>
        <w:spacing w:after="0" w:line="255" w:lineRule="auto"/>
        <w:rPr>
          <w:sz w:val="20"/>
          <w:szCs w:val="20"/>
          <w:color w:val="auto"/>
        </w:rPr>
      </w:pPr>
      <w:r>
        <w:rPr>
          <w:rFonts w:ascii="Arial" w:cs="Arial" w:eastAsia="Arial" w:hAnsi="Arial"/>
          <w:sz w:val="18"/>
          <w:szCs w:val="18"/>
          <w:color w:val="auto"/>
        </w:rPr>
        <w:t>Consolidated Statements of Changes in Stockholders’ Equity for the years ended December 31, 2006, 2005 and 2004 Consolidated Statements of Cash Flows for the years ended December 31, 2006, 2005 and 2004 Notes to the Consolidated Financial Statements</w:t>
      </w:r>
    </w:p>
    <w:p>
      <w:pPr>
        <w:spacing w:after="0" w:line="190" w:lineRule="exact"/>
        <w:rPr>
          <w:sz w:val="20"/>
          <w:szCs w:val="20"/>
          <w:color w:val="auto"/>
        </w:rPr>
      </w:pPr>
    </w:p>
    <w:p>
      <w:pPr>
        <w:ind w:left="180" w:right="740" w:hanging="179"/>
        <w:spacing w:after="0" w:line="277" w:lineRule="auto"/>
        <w:rPr>
          <w:sz w:val="20"/>
          <w:szCs w:val="20"/>
          <w:color w:val="auto"/>
        </w:rPr>
      </w:pPr>
      <w:r>
        <w:rPr>
          <w:rFonts w:ascii="Arial" w:cs="Arial" w:eastAsia="Arial" w:hAnsi="Arial"/>
          <w:sz w:val="18"/>
          <w:szCs w:val="18"/>
          <w:color w:val="auto"/>
        </w:rPr>
        <w:t>The consolidated financial statements of Rock-Green, Inc. are being provided to comply with applicable rules and Regulations of the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are omitted because they are not required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&amp; #160;</w:t>
      </w:r>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 SL Green Realty Corp.</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management’s assessment, included in the accompanying Item 9A. Controls and Procedures “—Management’s Report on Internal Control over Financial Reporting,” that SL Green Realty Corp. maintained effective internal control over financial reporting as of December 31, 2006, based on criteria established in Internal Control-Integrated Framework issued by the Committee of Sponsoring Organizations of the Treadway Commission (the COSO criteria). SL Green Realty Corp.’s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380"/>
          </w:cols>
          <w:pgMar w:left="240" w:top="125" w:right="279" w:bottom="0" w:gutter="0" w:footer="0" w:header="0"/>
        </w:sectPr>
      </w:pPr>
    </w:p>
    <w:bookmarkStart w:id="36" w:name="page37"/>
    <w:bookmarkEnd w:id="36"/>
    <w:p>
      <w:pPr>
        <w:ind w:right="80"/>
        <w:spacing w:after="0" w:line="264" w:lineRule="auto"/>
        <w:rPr>
          <w:sz w:val="20"/>
          <w:szCs w:val="20"/>
          <w:color w:val="auto"/>
        </w:rPr>
      </w:pPr>
      <w:r>
        <w:rPr>
          <w:rFonts w:ascii="Arial" w:cs="Arial" w:eastAsia="Arial" w:hAnsi="Arial"/>
          <w:sz w:val="18"/>
          <w:szCs w:val="18"/>
          <w:color w:val="auto"/>
        </w:rPr>
        <w:t>In our opinion, management’s assessment that SL Green Realty Corp. maintained effective internal control over financial reporting as of December 31, 2006, is fairly stated, in all material respects, based on the COSO criteria. Also, in our opinion, SL Green Realty Corp. maintained, in all material respects, effective internal control over financial reporting as of December 31, 2006, based on the COSO criteria</w:t>
      </w:r>
      <w:r>
        <w:rPr>
          <w:rFonts w:ascii="Arial" w:cs="Arial" w:eastAsia="Arial" w:hAnsi="Arial"/>
          <w:sz w:val="18"/>
          <w:szCs w:val="18"/>
          <w:b w:val="1"/>
          <w:bCs w:val="1"/>
          <w:color w:val="auto"/>
        </w:rPr>
        <w: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SL Green Realty Corp. as of December 31, 2006 and 2005, and the related consolidated statements of income, stockholders’ equity and cash flows for each of the three years in the period ended December 31, 2006 of SL Green Realty Corp. and our report dated February 28, 2007 expressed an unqualified opinion thereon.</w:t>
      </w:r>
    </w:p>
    <w:p>
      <w:pPr>
        <w:spacing w:after="0" w:line="18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-130810</wp:posOffset>
            </wp:positionV>
            <wp:extent cx="2710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February 28, 2007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 SL Green Realty Corp.</w:t>
      </w:r>
    </w:p>
    <w:p>
      <w:pPr>
        <w:spacing w:after="0" w:line="229"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We have audited the accompanying consolidated balance sheets of SL Green Realty Corp. as of December 31, 2006 and 2005, and the related consolidated statements of income, stockholders’ equity and cash flows for each of the three years in the period ended December 31, 2006. Our audits also included the financial statement schedule listed in the Index as Item 15(a)(2). These financial statements and schedule are the responsibility of SL Green Realty Corp.’s management. Our responsibility is to express an opinion on these financial statements and schedule based on our audits.</w:t>
      </w:r>
    </w:p>
    <w:p>
      <w:pPr>
        <w:spacing w:after="0" w:line="15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SL Green Realty Corp. at December 31, 2006 and 2005, and the consolidated results of its operations and its cash flows for each of the three years in the period ended December 31, 2006,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discussed in Note 2 to the consolidated financial statements, SL Green Realty Corp. adopted Statement of Financial Accounting Standards No. 123(R), “Share-Based Payment” and EITF Issue No. 04-5, “Determining Whether a General Partner, or the General Partners as a Group, Controls a Limited Partnership or Similar Entity When the Limited Partners Have Certain Rights.”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SL Green Realty Corp.’s internal control over financial reporting as of December 31, 2006, based on criteria established in Internal Control-Integrated Framework issued by the Committee of Sponsoring Organizations of the Treadway Commission and our report dated February 28, 2007 expressed an unqualified opinion thereon.</w:t>
      </w:r>
    </w:p>
    <w:p>
      <w:pPr>
        <w:spacing w:after="0" w:line="18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February 28,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85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Commercial real estate properties, at cost: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interests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439,986</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2,111,970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1,440,584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leasehold and improvements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490,995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Property under capital lease</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3,055,159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2,222,922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(279,436)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(219,295)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2,775,723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2,003,627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117,178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252,272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Tenant and other receivables, net of allowance of $11,079 and $9,681 in 2006 and 2005, respectively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34,483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Related party receivables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Deferred rents receivable, net of allowance of $10,925 and $8,698 in 2006 and 2005, respectively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96,624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Structured finance investments, net of discount of $14,804 and $1,537 in 2006 and 2005, respectively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445,026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Investments in unconsolidated joint ventures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686,069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costs, net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97,850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119,807</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91,880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4,632,227</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3,309,777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Liabilities and Stockholders’ Equity</w:t>
            </w:r>
          </w:p>
        </w:tc>
        <w:tc>
          <w:tcPr>
            <w:tcW w:w="6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Mortgage notes payable</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1,190,379</w:t>
            </w:r>
          </w:p>
        </w:tc>
        <w:tc>
          <w:tcPr>
            <w:tcW w:w="28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885,252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525,000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138,181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revenue/gain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43,721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Capitalized lease obligation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16,394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land leases payable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16,938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Dividend and distributions payable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40,917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27,913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Junior subordinate deferrable interest debentures held by trusts that issued trust preferred securities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100,000</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2,109,451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1,751,275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 in Operating partnership</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71,731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Minority interests in other partnerships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56,162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Series C preferred stock, $0.01 par value, $25.00 liquidation preference, 6,300 issued and outstanding at December 31,</w:t>
            </w:r>
          </w:p>
        </w:tc>
        <w:tc>
          <w:tcPr>
            <w:tcW w:w="2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151,981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2006 and 2005, respectively</w:t>
            </w:r>
          </w:p>
        </w:tc>
        <w:tc>
          <w:tcPr>
            <w:tcW w:w="20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151,981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gridSpan w:val="3"/>
          </w:tcPr>
          <w:p>
            <w:pPr>
              <w:spacing w:after="0" w:line="201" w:lineRule="exact"/>
              <w:rPr>
                <w:sz w:val="20"/>
                <w:szCs w:val="20"/>
                <w:color w:val="auto"/>
              </w:rPr>
            </w:pPr>
            <w:r>
              <w:rPr>
                <w:rFonts w:ascii="Arial" w:cs="Arial" w:eastAsia="Arial" w:hAnsi="Arial"/>
                <w:sz w:val="18"/>
                <w:szCs w:val="18"/>
                <w:color w:val="auto"/>
                <w:w w:val="93"/>
              </w:rPr>
              <w:t>Series D preferred stock, $0.01 par value, $25.00 liquidation preference, 4,000 issued and outstanding at December 31,</w:t>
            </w:r>
          </w:p>
        </w:tc>
        <w:tc>
          <w:tcPr>
            <w:tcW w:w="2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96,321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gridSpan w:val="3"/>
          </w:tcPr>
          <w:p>
            <w:pPr>
              <w:ind w:left="160"/>
              <w:spacing w:after="0"/>
              <w:rPr>
                <w:sz w:val="20"/>
                <w:szCs w:val="20"/>
                <w:color w:val="auto"/>
              </w:rPr>
            </w:pPr>
            <w:r>
              <w:rPr>
                <w:rFonts w:ascii="Arial" w:cs="Arial" w:eastAsia="Arial" w:hAnsi="Arial"/>
                <w:sz w:val="18"/>
                <w:szCs w:val="18"/>
                <w:color w:val="auto"/>
              </w:rPr>
              <w:t>2006 and 2005, respectively</w:t>
            </w:r>
          </w:p>
        </w:tc>
        <w:tc>
          <w:tcPr>
            <w:tcW w:w="2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96,321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100,000 shares authorized and 49,840 and 42,456 issued and outstanding at</w:t>
            </w:r>
          </w:p>
        </w:tc>
        <w:tc>
          <w:tcPr>
            <w:tcW w:w="2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31, 2006 and 2005, respectively</w:t>
            </w:r>
          </w:p>
        </w:tc>
        <w:tc>
          <w:tcPr>
            <w:tcW w:w="20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1,809,893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959,858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13,971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322,219</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235,540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2,394,883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1,459,441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gridSpan w:val="3"/>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4,632,227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3,309,777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rPr>
              <w:t>2006</w:t>
            </w:r>
          </w:p>
        </w:tc>
        <w:tc>
          <w:tcPr>
            <w:tcW w:w="1160" w:type="dxa"/>
            <w:vAlign w:val="bottom"/>
            <w:gridSpan w:val="2"/>
          </w:tcPr>
          <w:p>
            <w:pPr>
              <w:jc w:val="right"/>
              <w:ind w:right="210"/>
              <w:spacing w:after="0" w:line="129"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211"/>
              <w:spacing w:after="0" w:line="129"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4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Rental revenue, net</w:t>
            </w:r>
          </w:p>
        </w:tc>
        <w:tc>
          <w:tcPr>
            <w:tcW w:w="45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  365,135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285,317</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229,639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Escalation and reimbursement</w:t>
            </w:r>
          </w:p>
        </w:tc>
        <w:tc>
          <w:tcPr>
            <w:tcW w:w="4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68,053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55,740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Preferred equity and investment income</w:t>
            </w:r>
          </w:p>
        </w:tc>
        <w:tc>
          <w:tcPr>
            <w:tcW w:w="45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61,982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44,989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57,107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revenues</w:t>
            </w:r>
          </w:p>
        </w:tc>
        <w:tc>
          <w:tcPr>
            <w:tcW w:w="45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552,277</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424,189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329,005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4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w w:val="90"/>
              </w:rPr>
              <w:t>Operating expenses including $13,594 (2006)</w:t>
            </w:r>
          </w:p>
        </w:tc>
        <w:tc>
          <w:tcPr>
            <w:tcW w:w="4580" w:type="dxa"/>
            <w:vAlign w:val="bottom"/>
          </w:tcPr>
          <w:p>
            <w:pPr>
              <w:ind w:left="20"/>
              <w:spacing w:after="0"/>
              <w:rPr>
                <w:sz w:val="20"/>
                <w:szCs w:val="20"/>
                <w:color w:val="auto"/>
              </w:rPr>
            </w:pPr>
            <w:r>
              <w:rPr>
                <w:rFonts w:ascii="Arial" w:cs="Arial" w:eastAsia="Arial" w:hAnsi="Arial"/>
                <w:sz w:val="18"/>
                <w:szCs w:val="18"/>
                <w:color w:val="auto"/>
              </w:rPr>
              <w:t>$10,119 (2005) and $8,956 (2004) to affiliates</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125,912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99,465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4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75,204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58,036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Ground rent</w:t>
            </w:r>
          </w:p>
        </w:tc>
        <w:tc>
          <w:tcPr>
            <w:tcW w:w="45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19,250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96,349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77,353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45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4,425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4,461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75,085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Marketing, general and administrative</w:t>
            </w:r>
          </w:p>
        </w:tc>
        <w:tc>
          <w:tcPr>
            <w:tcW w:w="45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65,741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44,215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4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462,866</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361,429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282,951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900" w:type="dxa"/>
            <w:vAlign w:val="bottom"/>
            <w:gridSpan w:val="2"/>
          </w:tcPr>
          <w:p>
            <w:pPr>
              <w:spacing w:after="0" w:line="182" w:lineRule="exact"/>
              <w:rPr>
                <w:sz w:val="20"/>
                <w:szCs w:val="20"/>
                <w:color w:val="auto"/>
              </w:rPr>
            </w:pPr>
            <w:r>
              <w:rPr>
                <w:rFonts w:ascii="Arial" w:cs="Arial" w:eastAsia="Arial" w:hAnsi="Arial"/>
                <w:sz w:val="18"/>
                <w:szCs w:val="18"/>
                <w:color w:val="auto"/>
                <w:w w:val="95"/>
              </w:rPr>
              <w:t>Income from continuing operations before equity in net income of unconsolidated joint ventures, minority</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89,411</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interest and discontinued operations</w:t>
            </w:r>
          </w:p>
        </w:tc>
        <w:tc>
          <w:tcPr>
            <w:tcW w:w="45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62,760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46,054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of unconsolidated joint ventures</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49,349</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8"/>
                <w:szCs w:val="18"/>
                <w:color w:val="auto"/>
                <w:w w:val="95"/>
              </w:rPr>
              <w:t>Income from continuing operations before gain on sale, minority interest, and discontinued operations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130,191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112,109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gain on sale of interest in unconsolidated joint venture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Gain on sale of partial interest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3,451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other partnerships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Minority interest in Operating partnership attributable to continuing operations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(5,811)</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122,526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117,039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106,783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Net income from discontinued operations, net of minority interest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4,217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6,505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minority interest</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220,719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157,419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209,430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(19,875)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(19,875)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(16,258)</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available to common stockholders</w:t>
            </w:r>
          </w:p>
        </w:tc>
        <w:tc>
          <w:tcPr>
            <w:tcW w:w="4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200,844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137,544</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193,172</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7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Basic earnings per share:</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Net income from continuing operations before gain on sale and discontinued operations</w:t>
            </w:r>
          </w:p>
        </w:tc>
        <w:tc>
          <w:tcPr>
            <w:tcW w:w="5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8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Gain on sale of discontinued operations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joint venture property/ partial interest</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available to common stockholders</w:t>
            </w:r>
          </w:p>
        </w:tc>
        <w:tc>
          <w:tcPr>
            <w:tcW w:w="4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7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Diluted earnings per share:</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Net income from continuing operations before gain on sale and discontinued operations</w:t>
            </w:r>
          </w:p>
        </w:tc>
        <w:tc>
          <w:tcPr>
            <w:tcW w:w="5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18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Gain on sale of discontinued operations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joint venture property/ partial interest</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available to common stockholders</w:t>
            </w:r>
          </w:p>
        </w:tc>
        <w:tc>
          <w:tcPr>
            <w:tcW w:w="4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weighted average common shares outstanding</w:t>
            </w:r>
          </w:p>
        </w:tc>
        <w:tc>
          <w:tcPr>
            <w:tcW w:w="4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44,593</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41,793</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39,171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Diluted weighted average common shares and common share equivalents outstanding</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48,495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45,504</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3"/>
          </w:tcPr>
          <w:p>
            <w:pPr>
              <w:jc w:val="right"/>
              <w:ind w:right="449"/>
              <w:spacing w:after="0"/>
              <w:rPr>
                <w:sz w:val="20"/>
                <w:szCs w:val="20"/>
                <w:color w:val="auto"/>
              </w:rPr>
            </w:pPr>
            <w:r>
              <w:rPr>
                <w:rFonts w:ascii="Arial" w:cs="Arial" w:eastAsia="Arial" w:hAnsi="Arial"/>
                <w:sz w:val="11"/>
                <w:szCs w:val="11"/>
                <w:b w:val="1"/>
                <w:bCs w:val="1"/>
                <w:color w:val="auto"/>
              </w:rPr>
              <w:t>Common</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1"/>
                <w:szCs w:val="11"/>
                <w:b w:val="1"/>
                <w:bCs w:val="1"/>
                <w:color w:val="auto"/>
              </w:rPr>
              <w:t>Stock</w:t>
            </w: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jc w:val="center"/>
              <w:ind w:right="122"/>
              <w:spacing w:after="0"/>
              <w:rPr>
                <w:sz w:val="20"/>
                <w:szCs w:val="20"/>
                <w:color w:val="auto"/>
              </w:rPr>
            </w:pPr>
            <w:r>
              <w:rPr>
                <w:rFonts w:ascii="Arial" w:cs="Arial" w:eastAsia="Arial" w:hAnsi="Arial"/>
                <w:sz w:val="11"/>
                <w:szCs w:val="11"/>
                <w:b w:val="1"/>
                <w:bCs w:val="1"/>
                <w:color w:val="auto"/>
                <w:w w:val="86"/>
              </w:rPr>
              <w:t>Series C</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6"/>
              </w:rPr>
              <w:t>Series D</w:t>
            </w: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49"/>
              <w:spacing w:after="0"/>
              <w:rPr>
                <w:sz w:val="20"/>
                <w:szCs w:val="20"/>
                <w:color w:val="auto"/>
              </w:rPr>
            </w:pPr>
            <w:r>
              <w:rPr>
                <w:rFonts w:ascii="Arial" w:cs="Arial" w:eastAsia="Arial" w:hAnsi="Arial"/>
                <w:sz w:val="11"/>
                <w:szCs w:val="11"/>
                <w:b w:val="1"/>
                <w:bCs w:val="1"/>
                <w:color w:val="auto"/>
              </w:rPr>
              <w:t>Par</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9"/>
                <w:szCs w:val="9"/>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Retained</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w w:val="87"/>
              </w:rPr>
              <w:t>Comprehensive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jc w:val="center"/>
              <w:ind w:right="102"/>
              <w:spacing w:after="0" w:line="109" w:lineRule="exact"/>
              <w:rPr>
                <w:sz w:val="20"/>
                <w:szCs w:val="20"/>
                <w:color w:val="auto"/>
              </w:rPr>
            </w:pPr>
            <w:r>
              <w:rPr>
                <w:rFonts w:ascii="Arial" w:cs="Arial" w:eastAsia="Arial" w:hAnsi="Arial"/>
                <w:sz w:val="11"/>
                <w:szCs w:val="11"/>
                <w:b w:val="1"/>
                <w:bCs w:val="1"/>
                <w:color w:val="auto"/>
                <w:w w:val="89"/>
              </w:rPr>
              <w:t>Preferred</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center"/>
              <w:ind w:right="320"/>
              <w:spacing w:after="0" w:line="109" w:lineRule="exact"/>
              <w:rPr>
                <w:sz w:val="20"/>
                <w:szCs w:val="20"/>
                <w:color w:val="auto"/>
              </w:rPr>
            </w:pPr>
            <w:r>
              <w:rPr>
                <w:rFonts w:ascii="Arial" w:cs="Arial" w:eastAsia="Arial" w:hAnsi="Arial"/>
                <w:sz w:val="11"/>
                <w:szCs w:val="11"/>
                <w:b w:val="1"/>
                <w:bCs w:val="1"/>
                <w:color w:val="auto"/>
                <w:w w:val="93"/>
              </w:rPr>
              <w:t>Preferred</w:t>
            </w:r>
          </w:p>
        </w:tc>
        <w:tc>
          <w:tcPr>
            <w:tcW w:w="106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Shares</w:t>
            </w:r>
          </w:p>
        </w:tc>
        <w:tc>
          <w:tcPr>
            <w:tcW w:w="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280"/>
              <w:spacing w:after="0" w:line="109" w:lineRule="exact"/>
              <w:rPr>
                <w:sz w:val="20"/>
                <w:szCs w:val="20"/>
                <w:color w:val="auto"/>
              </w:rPr>
            </w:pPr>
            <w:r>
              <w:rPr>
                <w:rFonts w:ascii="Arial" w:cs="Arial" w:eastAsia="Arial" w:hAnsi="Arial"/>
                <w:sz w:val="11"/>
                <w:szCs w:val="11"/>
                <w:b w:val="1"/>
                <w:bCs w:val="1"/>
                <w:color w:val="auto"/>
                <w:w w:val="89"/>
              </w:rPr>
              <w:t>Paid-</w:t>
            </w:r>
          </w:p>
        </w:tc>
        <w:tc>
          <w:tcPr>
            <w:tcW w:w="80" w:type="dxa"/>
            <w:vAlign w:val="bottom"/>
          </w:tcPr>
          <w:p>
            <w:pPr>
              <w:spacing w:after="0"/>
              <w:rPr>
                <w:sz w:val="9"/>
                <w:szCs w:val="9"/>
                <w:color w:val="auto"/>
              </w:rPr>
            </w:pPr>
          </w:p>
        </w:tc>
        <w:tc>
          <w:tcPr>
            <w:tcW w:w="98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122"/>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Stock</w:t>
            </w:r>
          </w:p>
        </w:tc>
        <w:tc>
          <w:tcPr>
            <w:tcW w:w="1060" w:type="dxa"/>
            <w:vAlign w:val="bottom"/>
            <w:gridSpan w:val="2"/>
            <w:vMerge w:val="continue"/>
          </w:tcPr>
          <w:p>
            <w:pPr>
              <w:spacing w:after="0"/>
              <w:rPr>
                <w:sz w:val="11"/>
                <w:szCs w:val="11"/>
                <w:color w:val="auto"/>
              </w:rPr>
            </w:pPr>
          </w:p>
        </w:tc>
        <w:tc>
          <w:tcPr>
            <w:tcW w:w="640" w:type="dxa"/>
            <w:vAlign w:val="bottom"/>
          </w:tcPr>
          <w:p>
            <w:pPr>
              <w:jc w:val="right"/>
              <w:ind w:right="9"/>
              <w:spacing w:after="0"/>
              <w:rPr>
                <w:sz w:val="20"/>
                <w:szCs w:val="20"/>
                <w:color w:val="auto"/>
              </w:rPr>
            </w:pPr>
            <w:r>
              <w:rPr>
                <w:rFonts w:ascii="Arial" w:cs="Arial" w:eastAsia="Arial" w:hAnsi="Arial"/>
                <w:sz w:val="11"/>
                <w:szCs w:val="11"/>
                <w:b w:val="1"/>
                <w:bCs w:val="1"/>
                <w:color w:val="auto"/>
              </w:rPr>
              <w:t>Value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In-Capital</w:t>
            </w:r>
          </w:p>
        </w:tc>
        <w:tc>
          <w:tcPr>
            <w:tcW w:w="80" w:type="dxa"/>
            <w:vAlign w:val="bottom"/>
          </w:tcPr>
          <w:p>
            <w:pPr>
              <w:spacing w:after="0"/>
              <w:rPr>
                <w:sz w:val="11"/>
                <w:szCs w:val="1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Income (Loss)</w:t>
            </w:r>
          </w:p>
        </w:tc>
        <w:tc>
          <w:tcPr>
            <w:tcW w:w="140" w:type="dxa"/>
            <w:vAlign w:val="bottom"/>
          </w:tcPr>
          <w:p>
            <w:pPr>
              <w:spacing w:after="0"/>
              <w:rPr>
                <w:sz w:val="11"/>
                <w:szCs w:val="11"/>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Earnings</w:t>
            </w:r>
          </w:p>
        </w:tc>
        <w:tc>
          <w:tcPr>
            <w:tcW w:w="2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Income</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5"/>
              </w:rPr>
              <w:t>Balance at December 31, 2003</w:t>
            </w:r>
          </w:p>
        </w:tc>
        <w:tc>
          <w:tcPr>
            <w:tcW w:w="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151,981</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36,016</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29"/>
              <w:spacing w:after="0"/>
              <w:rPr>
                <w:sz w:val="20"/>
                <w:szCs w:val="20"/>
                <w:color w:val="auto"/>
              </w:rPr>
            </w:pPr>
            <w:r>
              <w:rPr>
                <w:rFonts w:ascii="Arial" w:cs="Arial" w:eastAsia="Arial" w:hAnsi="Arial"/>
                <w:sz w:val="9"/>
                <w:szCs w:val="9"/>
                <w:b w:val="1"/>
                <w:bCs w:val="1"/>
                <w:color w:val="auto"/>
                <w:w w:val="78"/>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360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720,436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(961)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78,966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w w:val="82"/>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950,782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spacing w:after="0" w:line="135" w:lineRule="exact"/>
              <w:rPr>
                <w:sz w:val="20"/>
                <w:szCs w:val="20"/>
                <w:color w:val="auto"/>
              </w:rPr>
            </w:pPr>
            <w:r>
              <w:rPr>
                <w:rFonts w:ascii="Arial" w:cs="Arial" w:eastAsia="Arial" w:hAnsi="Arial"/>
                <w:sz w:val="13"/>
                <w:szCs w:val="13"/>
                <w:color w:val="auto"/>
              </w:rPr>
              <w:t>Comprehensive Income: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209,430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209,430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209,430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w w:val="94"/>
              </w:rPr>
              <w:t>Net unrealized gain on derivative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instruments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6,608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SL Green’s share of joint venture</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net unrealized gain on</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derivative instruments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spacing w:after="0" w:line="135" w:lineRule="exact"/>
              <w:rPr>
                <w:sz w:val="20"/>
                <w:szCs w:val="20"/>
                <w:color w:val="auto"/>
              </w:rPr>
            </w:pPr>
            <w:r>
              <w:rPr>
                <w:rFonts w:ascii="Arial" w:cs="Arial" w:eastAsia="Arial" w:hAnsi="Arial"/>
                <w:sz w:val="13"/>
                <w:szCs w:val="13"/>
                <w:color w:val="auto"/>
              </w:rPr>
              <w:t>Preferred dividends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(16,258)</w:t>
            </w:r>
          </w:p>
        </w:tc>
        <w:tc>
          <w:tcPr>
            <w:tcW w:w="20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(16,258)</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Redemption of units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rPr>
              <w:t>Proceeds from dividend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reinvestment plan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195</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Deferred compensation plan &amp;</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award, net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rPr>
              <w:t>Amortization of deferred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compensation plan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Net proceeds from common stock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offerings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138,599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w w:val="90"/>
              </w:rPr>
              <w:t>Net proceeds from preferred stock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offerings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96,321</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96,321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Proceeds from stock options</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exercised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w w:val="91"/>
              </w:rPr>
              <w:t>Stock-based compensation — fair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Cash distributions declared ($2.04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per common share of which</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w w:val="98"/>
              </w:rPr>
              <w:t>none represented a return of</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w w:val="97"/>
              </w:rPr>
              <w:t>capital for federal income tax</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purposes)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(80,956)</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(80,956)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0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5"/>
              </w:rPr>
              <w:t>Balance at December 31, 2004</w:t>
            </w:r>
          </w:p>
        </w:tc>
        <w:tc>
          <w:tcPr>
            <w:tcW w:w="240" w:type="dxa"/>
            <w:vAlign w:val="bottom"/>
            <w:tcBorders>
              <w:bottom w:val="single" w:sz="8" w:color="CCEEFF"/>
            </w:tcBorders>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151,981</w:t>
            </w:r>
          </w:p>
        </w:tc>
        <w:tc>
          <w:tcPr>
            <w:tcW w:w="300" w:type="dxa"/>
            <w:vAlign w:val="bottom"/>
            <w:tcBorders>
              <w:bottom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96,321</w:t>
            </w:r>
          </w:p>
        </w:tc>
        <w:tc>
          <w:tcPr>
            <w:tcW w:w="1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40,876</w:t>
            </w: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529"/>
              <w:spacing w:after="0"/>
              <w:rPr>
                <w:sz w:val="20"/>
                <w:szCs w:val="20"/>
                <w:color w:val="auto"/>
              </w:rPr>
            </w:pPr>
            <w:r>
              <w:rPr>
                <w:rFonts w:ascii="Arial" w:cs="Arial" w:eastAsia="Arial" w:hAnsi="Arial"/>
                <w:sz w:val="9"/>
                <w:szCs w:val="9"/>
                <w:b w:val="1"/>
                <w:bCs w:val="1"/>
                <w:color w:val="auto"/>
                <w:w w:val="78"/>
              </w:rPr>
              <w:t>$</w:t>
            </w:r>
          </w:p>
        </w:tc>
        <w:tc>
          <w:tcPr>
            <w:tcW w:w="2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409</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902,340</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5,647</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191,182</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1,347,880</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218,193</w:t>
            </w:r>
          </w:p>
        </w:tc>
        <w:tc>
          <w:tcPr>
            <w:tcW w:w="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vMerge w:val="restart"/>
          </w:tcPr>
          <w:p>
            <w:pPr>
              <w:spacing w:after="0" w:line="129" w:lineRule="exact"/>
              <w:rPr>
                <w:sz w:val="20"/>
                <w:szCs w:val="20"/>
                <w:color w:val="auto"/>
              </w:rPr>
            </w:pPr>
            <w:r>
              <w:rPr>
                <w:rFonts w:ascii="Arial" w:cs="Arial" w:eastAsia="Arial" w:hAnsi="Arial"/>
                <w:sz w:val="13"/>
                <w:szCs w:val="13"/>
                <w:color w:val="auto"/>
              </w:rPr>
              <w:t>Comprehensive Income:</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157,419</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157,419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157,419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w w:val="94"/>
              </w:rPr>
              <w:t>Net unrealized gain on derivative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instruments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9,669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9,669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SL Green’s share of joint venture</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net unrealized loss on</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derivative instruments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spacing w:after="0" w:line="135" w:lineRule="exact"/>
              <w:rPr>
                <w:sz w:val="20"/>
                <w:szCs w:val="20"/>
                <w:color w:val="auto"/>
              </w:rPr>
            </w:pPr>
            <w:r>
              <w:rPr>
                <w:rFonts w:ascii="Arial" w:cs="Arial" w:eastAsia="Arial" w:hAnsi="Arial"/>
                <w:sz w:val="13"/>
                <w:szCs w:val="13"/>
                <w:color w:val="auto"/>
              </w:rPr>
              <w:t>Preferred dividends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(19,875)</w:t>
            </w:r>
          </w:p>
        </w:tc>
        <w:tc>
          <w:tcPr>
            <w:tcW w:w="20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(19,875)</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Redemption of units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3,160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3,161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rPr>
              <w:t>Proceeds from dividend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reinvestment plan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338</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20,378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20,381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Deferred compensation plan &amp;</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award, net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rPr>
              <w:t>Amortization of deferred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compensation plan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Proceeds from stock options</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exercised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gridSpan w:val="2"/>
          </w:tcPr>
          <w:p>
            <w:pPr>
              <w:spacing w:after="0"/>
              <w:rPr>
                <w:sz w:val="20"/>
                <w:szCs w:val="20"/>
                <w:color w:val="auto"/>
              </w:rPr>
            </w:pPr>
            <w:r>
              <w:rPr>
                <w:rFonts w:ascii="Arial" w:cs="Arial" w:eastAsia="Arial" w:hAnsi="Arial"/>
                <w:sz w:val="13"/>
                <w:szCs w:val="13"/>
                <w:color w:val="auto"/>
                <w:w w:val="92"/>
              </w:rPr>
              <w:t>Stock-based compensation — fair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3,729</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3,729</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0"/>
              </w:rPr>
              <w:t>Cash distributions declared ($2.22</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per common share of which</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w w:val="98"/>
              </w:rPr>
              <w:t>none represented a return of</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w w:val="97"/>
              </w:rPr>
              <w:t>capital for federal income tax</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purposes)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(93,186)</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(93,186)</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0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5"/>
              </w:rPr>
              <w:t>Balance at December 31, 2005</w:t>
            </w:r>
          </w:p>
        </w:tc>
        <w:tc>
          <w:tcPr>
            <w:tcW w:w="380" w:type="dxa"/>
            <w:vAlign w:val="bottom"/>
            <w:tcBorders>
              <w:bottom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151,981</w:t>
            </w:r>
          </w:p>
        </w:tc>
        <w:tc>
          <w:tcPr>
            <w:tcW w:w="480" w:type="dxa"/>
            <w:vAlign w:val="bottom"/>
            <w:tcBorders>
              <w:bottom w:val="single" w:sz="8" w:color="CCEEFF"/>
            </w:tcBorders>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96,321</w:t>
            </w:r>
          </w:p>
        </w:tc>
        <w:tc>
          <w:tcPr>
            <w:tcW w:w="1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42,456</w:t>
            </w:r>
          </w:p>
        </w:tc>
        <w:tc>
          <w:tcPr>
            <w:tcW w:w="1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9"/>
                <w:szCs w:val="9"/>
                <w:b w:val="1"/>
                <w:bCs w:val="1"/>
                <w:color w:val="auto"/>
                <w:w w:val="78"/>
              </w:rPr>
              <w:t>$</w:t>
            </w:r>
          </w:p>
        </w:tc>
        <w:tc>
          <w:tcPr>
            <w:tcW w:w="54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425</w:t>
            </w: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959,858</w:t>
            </w:r>
          </w:p>
        </w:tc>
        <w:tc>
          <w:tcPr>
            <w:tcW w:w="1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15,316</w:t>
            </w:r>
          </w:p>
        </w:tc>
        <w:tc>
          <w:tcPr>
            <w:tcW w:w="1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235,540</w:t>
            </w: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1,459,441</w:t>
            </w:r>
          </w:p>
        </w:tc>
        <w:tc>
          <w:tcPr>
            <w:tcW w:w="1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166,421</w:t>
            </w:r>
          </w:p>
        </w:tc>
        <w:tc>
          <w:tcPr>
            <w:tcW w:w="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vMerge w:val="restart"/>
          </w:tcPr>
          <w:p>
            <w:pPr>
              <w:spacing w:after="0" w:line="129" w:lineRule="exact"/>
              <w:rPr>
                <w:sz w:val="20"/>
                <w:szCs w:val="20"/>
                <w:color w:val="auto"/>
              </w:rPr>
            </w:pPr>
            <w:r>
              <w:rPr>
                <w:rFonts w:ascii="Arial" w:cs="Arial" w:eastAsia="Arial" w:hAnsi="Arial"/>
                <w:sz w:val="13"/>
                <w:szCs w:val="13"/>
                <w:color w:val="auto"/>
              </w:rPr>
              <w:t>Comprehensive Income:</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220,719</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220,719</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220,719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w w:val="94"/>
              </w:rPr>
              <w:t>Net unrealized gain on derivative</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(1,345)</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(1,345)</w:t>
            </w:r>
          </w:p>
        </w:tc>
        <w:tc>
          <w:tcPr>
            <w:tcW w:w="280" w:type="dxa"/>
            <w:vAlign w:val="bottom"/>
          </w:tcPr>
          <w:p>
            <w:pPr>
              <w:spacing w:after="0"/>
              <w:rPr>
                <w:sz w:val="10"/>
                <w:szCs w:val="10"/>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(1,345)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instruments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SL Green’s share of joint venture</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net unrealized loss on</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1,281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derivative instruments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spacing w:after="0" w:line="135" w:lineRule="exact"/>
              <w:rPr>
                <w:sz w:val="20"/>
                <w:szCs w:val="20"/>
                <w:color w:val="auto"/>
              </w:rPr>
            </w:pPr>
            <w:r>
              <w:rPr>
                <w:rFonts w:ascii="Arial" w:cs="Arial" w:eastAsia="Arial" w:hAnsi="Arial"/>
                <w:sz w:val="13"/>
                <w:szCs w:val="13"/>
                <w:color w:val="auto"/>
              </w:rPr>
              <w:t>Preferred dividends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(19,875)</w:t>
            </w:r>
          </w:p>
        </w:tc>
        <w:tc>
          <w:tcPr>
            <w:tcW w:w="24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(19,875)</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Redemption of units</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214</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6,520</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6,522</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rPr>
              <w:t>Proceeds from dividend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132</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12,965</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12,966</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reinvestment plan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Deferred compensation plan &amp;</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94</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302</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303</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award, net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rPr>
              <w:t>Amortization of deferred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10,068</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10,068</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compensation plan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Net proceeds from common stock</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6,498</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64</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800,200</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800,264</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offering</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rPr>
              <w:t>Proceeds from stock options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446</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14,452</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14,457</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exercised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Stock-based compensation — fair</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5,528</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5,528</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value</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spacing w:after="0" w:line="121" w:lineRule="exact"/>
              <w:rPr>
                <w:sz w:val="20"/>
                <w:szCs w:val="20"/>
                <w:color w:val="auto"/>
              </w:rPr>
            </w:pPr>
            <w:r>
              <w:rPr>
                <w:rFonts w:ascii="Arial" w:cs="Arial" w:eastAsia="Arial" w:hAnsi="Arial"/>
                <w:sz w:val="13"/>
                <w:szCs w:val="13"/>
                <w:color w:val="auto"/>
                <w:w w:val="90"/>
              </w:rPr>
              <w:t>Cash distributions declared ($2.50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rPr>
              <w:t>per common share of which</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w w:val="98"/>
              </w:rPr>
              <w:t>none represented a return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w w:val="97"/>
              </w:rPr>
              <w:t>capital for federal income tax</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(114,165)</w:t>
            </w:r>
          </w:p>
        </w:tc>
        <w:tc>
          <w:tcPr>
            <w:tcW w:w="24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(114,165)</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auto"/>
              </w:rPr>
              <w:t>purposes)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8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00" w:type="dxa"/>
            <w:vAlign w:val="bottom"/>
          </w:tcPr>
          <w:p>
            <w:pPr>
              <w:spacing w:after="0" w:line="135" w:lineRule="exact"/>
              <w:rPr>
                <w:sz w:val="20"/>
                <w:szCs w:val="20"/>
                <w:color w:val="auto"/>
              </w:rPr>
            </w:pPr>
            <w:r>
              <w:rPr>
                <w:rFonts w:ascii="Arial" w:cs="Arial" w:eastAsia="Arial" w:hAnsi="Arial"/>
                <w:sz w:val="13"/>
                <w:szCs w:val="13"/>
                <w:b w:val="1"/>
                <w:bCs w:val="1"/>
                <w:color w:val="auto"/>
                <w:w w:val="95"/>
              </w:rPr>
              <w:t>Balance at December 31, 2006</w:t>
            </w:r>
          </w:p>
        </w:tc>
        <w:tc>
          <w:tcPr>
            <w:tcW w:w="3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151,981</w:t>
            </w:r>
          </w:p>
        </w:tc>
        <w:tc>
          <w:tcPr>
            <w:tcW w:w="48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96,321</w:t>
            </w:r>
          </w:p>
        </w:tc>
        <w:tc>
          <w:tcPr>
            <w:tcW w:w="1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49,840</w:t>
            </w:r>
          </w:p>
        </w:tc>
        <w:tc>
          <w:tcPr>
            <w:tcW w:w="140" w:type="dxa"/>
            <w:vAlign w:val="bottom"/>
          </w:tcPr>
          <w:p>
            <w:pPr>
              <w:spacing w:after="0"/>
              <w:rPr>
                <w:sz w:val="11"/>
                <w:szCs w:val="11"/>
                <w:color w:val="auto"/>
              </w:rPr>
            </w:pPr>
          </w:p>
        </w:tc>
        <w:tc>
          <w:tcPr>
            <w:tcW w:w="380" w:type="dxa"/>
            <w:vAlign w:val="bottom"/>
          </w:tcPr>
          <w:p>
            <w:pPr>
              <w:jc w:val="right"/>
              <w:ind w:right="273"/>
              <w:spacing w:after="0"/>
              <w:rPr>
                <w:sz w:val="20"/>
                <w:szCs w:val="20"/>
                <w:color w:val="auto"/>
              </w:rPr>
            </w:pPr>
            <w:r>
              <w:rPr>
                <w:rFonts w:ascii="Arial" w:cs="Arial" w:eastAsia="Arial" w:hAnsi="Arial"/>
                <w:sz w:val="9"/>
                <w:szCs w:val="9"/>
                <w:b w:val="1"/>
                <w:bCs w:val="1"/>
                <w:color w:val="auto"/>
                <w:w w:val="78"/>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498</w:t>
            </w:r>
          </w:p>
        </w:tc>
        <w:tc>
          <w:tcPr>
            <w:tcW w:w="120" w:type="dxa"/>
            <w:vAlign w:val="bottom"/>
          </w:tcPr>
          <w:p>
            <w:pPr>
              <w:spacing w:after="0"/>
              <w:rPr>
                <w:sz w:val="11"/>
                <w:szCs w:val="11"/>
                <w:color w:val="auto"/>
              </w:rPr>
            </w:pP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1,809,893</w:t>
            </w:r>
          </w:p>
        </w:tc>
        <w:tc>
          <w:tcPr>
            <w:tcW w:w="140" w:type="dxa"/>
            <w:vAlign w:val="bottom"/>
          </w:tcPr>
          <w:p>
            <w:pPr>
              <w:spacing w:after="0"/>
              <w:rPr>
                <w:sz w:val="11"/>
                <w:szCs w:val="11"/>
                <w:color w:val="auto"/>
              </w:rPr>
            </w:pPr>
          </w:p>
        </w:tc>
        <w:tc>
          <w:tcPr>
            <w:tcW w:w="320" w:type="dxa"/>
            <w:vAlign w:val="bottom"/>
          </w:tcPr>
          <w:p>
            <w:pPr>
              <w:jc w:val="right"/>
              <w:ind w:right="213"/>
              <w:spacing w:after="0"/>
              <w:rPr>
                <w:sz w:val="20"/>
                <w:szCs w:val="20"/>
                <w:color w:val="auto"/>
              </w:rPr>
            </w:pPr>
            <w:r>
              <w:rPr>
                <w:rFonts w:ascii="Arial" w:cs="Arial" w:eastAsia="Arial" w:hAnsi="Arial"/>
                <w:sz w:val="9"/>
                <w:szCs w:val="9"/>
                <w:b w:val="1"/>
                <w:bCs w:val="1"/>
                <w:color w:val="auto"/>
                <w:w w:val="78"/>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13,971</w:t>
            </w:r>
          </w:p>
        </w:tc>
        <w:tc>
          <w:tcPr>
            <w:tcW w:w="140" w:type="dxa"/>
            <w:vAlign w:val="bottom"/>
          </w:tcPr>
          <w:p>
            <w:pPr>
              <w:spacing w:after="0"/>
              <w:rPr>
                <w:sz w:val="11"/>
                <w:szCs w:val="11"/>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b w:val="1"/>
                <w:bCs w:val="1"/>
                <w:color w:val="auto"/>
                <w:w w:val="78"/>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322,219</w:t>
            </w:r>
          </w:p>
        </w:tc>
        <w:tc>
          <w:tcPr>
            <w:tcW w:w="120" w:type="dxa"/>
            <w:vAlign w:val="bottom"/>
          </w:tcPr>
          <w:p>
            <w:pPr>
              <w:spacing w:after="0"/>
              <w:rPr>
                <w:sz w:val="11"/>
                <w:szCs w:val="11"/>
                <w:color w:val="auto"/>
              </w:rPr>
            </w:pP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2,394,883</w:t>
            </w:r>
          </w:p>
        </w:tc>
        <w:tc>
          <w:tcPr>
            <w:tcW w:w="140" w:type="dxa"/>
            <w:vAlign w:val="bottom"/>
          </w:tcPr>
          <w:p>
            <w:pPr>
              <w:spacing w:after="0"/>
              <w:rPr>
                <w:sz w:val="11"/>
                <w:szCs w:val="11"/>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b w:val="1"/>
                <w:bCs w:val="1"/>
                <w:color w:val="auto"/>
                <w:w w:val="78"/>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220,655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231"/>
              <w:spacing w:after="0" w:line="129"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1"/>
                <w:szCs w:val="11"/>
                <w:color w:val="auto"/>
              </w:rPr>
            </w:pPr>
          </w:p>
        </w:tc>
        <w:tc>
          <w:tcPr>
            <w:tcW w:w="1020" w:type="dxa"/>
            <w:vAlign w:val="bottom"/>
            <w:gridSpan w:val="2"/>
          </w:tcPr>
          <w:p>
            <w:pPr>
              <w:jc w:val="right"/>
              <w:ind w:right="230"/>
              <w:spacing w:after="0" w:line="129"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ind w:right="231"/>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1"/>
                <w:szCs w:val="11"/>
                <w:color w:val="auto"/>
              </w:rPr>
            </w:pPr>
          </w:p>
        </w:tc>
      </w:tr>
      <w:tr>
        <w:trPr>
          <w:trHeight w:val="196"/>
        </w:trPr>
        <w:tc>
          <w:tcPr>
            <w:tcW w:w="694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220,719</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157,419</w:t>
            </w:r>
          </w:p>
        </w:tc>
        <w:tc>
          <w:tcPr>
            <w:tcW w:w="1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209,430</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Non-cash adjustments related to income from discontinued operations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6,249</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12,262</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79,510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49,481</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Gain on sale of discontinued operations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(93,976)</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(35,900)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(95,680)</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from net income from unconsolidated joint ventures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(40,780)</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(49,349)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(44,037)</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Distributions of cumulative earnings of unconsolidated joint ventures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70,692</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48,194</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gain on sale of unconsolidated joint venture/ partial interest</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(3,451)</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(22,012)</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Minority interest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11,116</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rents receivable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(12,398)</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(7,741)</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Other non-cash adjustments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9,105</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Restricted cash — operations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(9,402)</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(11,772)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and other receivables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(12,159)</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(5,553)</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Related party receivables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512</w:t>
            </w:r>
          </w:p>
        </w:tc>
        <w:tc>
          <w:tcPr>
            <w:tcW w:w="18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lease costs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(15,583)</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(16,409)</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(20,416)</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(17,295)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(2,348)</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43,417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25,528</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Deferred revenue and land lease payable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(7,511)</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(4,117)</w:t>
            </w: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225,644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138,398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164,458</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94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real estate property</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(572,785)</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(435,740)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(388,157)</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Additions to land, buildings and improvements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(52,357)</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(48,713)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(31,295)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 capital improvements/acquisitions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(184,120)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(2,127)</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Investments in unconsolidated joint ventures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(166,892)</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(127,740)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(79,827)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cumulative earnings from unconsolidated joint ventures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41,848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144,950</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proceeds from disposition of rental property</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203,451</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59,673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220,300</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and other investments net of repayments/participations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(56,057)</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(73,150)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(132,889)</w:t>
            </w:r>
          </w:p>
        </w:tc>
      </w:tr>
      <w:tr>
        <w:trPr>
          <w:trHeight w:val="210"/>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(786,912)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(465,674)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(269,045)</w:t>
            </w:r>
          </w:p>
        </w:tc>
        <w:tc>
          <w:tcPr>
            <w:tcW w:w="100" w:type="dxa"/>
            <w:vAlign w:val="bottom"/>
            <w:tcBorders>
              <w:bottom w:val="single" w:sz="8" w:color="CCEEFF"/>
            </w:tcBorders>
          </w:tcPr>
          <w:p>
            <w:pPr>
              <w:spacing w:after="0"/>
              <w:rPr>
                <w:sz w:val="18"/>
                <w:szCs w:val="18"/>
                <w:color w:val="auto"/>
              </w:rPr>
            </w:pPr>
          </w:p>
        </w:tc>
      </w:tr>
      <w:tr>
        <w:trPr>
          <w:trHeight w:val="196"/>
        </w:trPr>
        <w:tc>
          <w:tcPr>
            <w:tcW w:w="69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Financing Activities</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Proceeds from mortgage notes payable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329,668</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436,051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mortgage notes payable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(367,670)</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(165,275)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(3,395)</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Proceeds from revolving credit facilities and term loans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749,645</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840,900</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credit facilities and term loans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(781,645)</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(803,900)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(908,578)</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Proceeds from stock options exercised and dividend reinvestment plan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14,457</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24,184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25,383</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 of common/preferred stock</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800,269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234,951</w:t>
            </w:r>
          </w:p>
        </w:tc>
        <w:tc>
          <w:tcPr>
            <w:tcW w:w="100" w:type="dxa"/>
            <w:vAlign w:val="bottom"/>
            <w:shd w:val="clear" w:color="auto" w:fill="CCEEFF"/>
          </w:tcPr>
          <w:p>
            <w:pPr>
              <w:spacing w:after="0"/>
              <w:rPr>
                <w:sz w:val="18"/>
                <w:szCs w:val="18"/>
                <w:color w:val="auto"/>
              </w:rPr>
            </w:pPr>
          </w:p>
        </w:tc>
      </w:tr>
      <w:tr>
        <w:trPr>
          <w:trHeight w:val="234"/>
        </w:trPr>
        <w:tc>
          <w:tcPr>
            <w:tcW w:w="694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35,941</w:t>
            </w: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17,909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r>
    </w:tbl>
    <w:p>
      <w:pPr>
        <w:sectPr>
          <w:pgSz w:w="11900" w:h="16838" w:orient="portrait"/>
          <w:cols w:equalWidth="0" w:num="1">
            <w:col w:w="11420"/>
          </w:cols>
          <w:pgMar w:left="240" w:top="111" w:right="239" w:bottom="0" w:gutter="0" w:footer="0" w:header="0"/>
        </w:sectPr>
      </w:pPr>
    </w:p>
    <w:bookmarkStart w:id="40" w:name="page41"/>
    <w:bookmarkEnd w:id="40"/>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Dividends and distributions paid</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(118,146)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Deferred loan costs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(8,177)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(23,644)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(2,459)</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654,342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93,074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38,546</w:t>
            </w:r>
          </w:p>
        </w:tc>
        <w:tc>
          <w:tcPr>
            <w:tcW w:w="100" w:type="dxa"/>
            <w:vAlign w:val="bottom"/>
            <w:shd w:val="clear" w:color="auto" w:fill="CCEEFF"/>
          </w:tcPr>
          <w:p>
            <w:pPr>
              <w:spacing w:after="0"/>
              <w:rPr>
                <w:sz w:val="18"/>
                <w:szCs w:val="18"/>
                <w:color w:val="auto"/>
              </w:rPr>
            </w:pPr>
          </w:p>
        </w:tc>
      </w:tr>
      <w:tr>
        <w:trPr>
          <w:trHeight w:val="250"/>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117,178</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35,795</w:t>
            </w:r>
          </w:p>
        </w:tc>
        <w:tc>
          <w:tcPr>
            <w:tcW w:w="100" w:type="dxa"/>
            <w:vAlign w:val="bottom"/>
            <w:tcBorders>
              <w:bottom w:val="single" w:sz="8" w:color="CCEEFF"/>
            </w:tcBorders>
          </w:tcPr>
          <w:p>
            <w:pPr>
              <w:spacing w:after="0"/>
              <w:rPr>
                <w:sz w:val="21"/>
                <w:szCs w:val="21"/>
                <w:color w:val="auto"/>
              </w:rPr>
            </w:pPr>
          </w:p>
        </w:tc>
      </w:tr>
      <w:tr>
        <w:trPr>
          <w:trHeight w:val="170"/>
        </w:trPr>
        <w:tc>
          <w:tcPr>
            <w:tcW w:w="5860" w:type="dxa"/>
            <w:vAlign w:val="bottom"/>
            <w:shd w:val="clear" w:color="auto" w:fill="CCEEFF"/>
          </w:tcPr>
          <w:p>
            <w:pPr>
              <w:ind w:left="180"/>
              <w:spacing w:after="0" w:line="170" w:lineRule="exact"/>
              <w:rPr>
                <w:sz w:val="20"/>
                <w:szCs w:val="20"/>
                <w:color w:val="auto"/>
              </w:rPr>
            </w:pPr>
            <w:r>
              <w:rPr>
                <w:rFonts w:ascii="Arial" w:cs="Arial" w:eastAsia="Arial" w:hAnsi="Arial"/>
                <w:sz w:val="18"/>
                <w:szCs w:val="18"/>
                <w:b w:val="1"/>
                <w:bCs w:val="1"/>
                <w:color w:val="auto"/>
              </w:rPr>
              <w:t>Supplemental cash flow disclosures</w:t>
            </w:r>
          </w:p>
        </w:tc>
        <w:tc>
          <w:tcPr>
            <w:tcW w:w="2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102,581</w:t>
            </w:r>
          </w:p>
        </w:tc>
        <w:tc>
          <w:tcPr>
            <w:tcW w:w="18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74,136</w:t>
            </w:r>
          </w:p>
        </w:tc>
        <w:tc>
          <w:tcPr>
            <w:tcW w:w="18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61,716</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paid</w:t>
            </w:r>
          </w:p>
        </w:tc>
        <w:tc>
          <w:tcPr>
            <w:tcW w:w="2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1,356</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December 2006 2005 and 2004, the Company declared quarterly distributions per share of $0.70, $0.60 and $0.54, respectively. These distributions were paid in January 2007, 2006 and 2005,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SL Green Realty Corp., also referred to as the Company or SL Green, a Maryland corporation, and SL Green Operating Partnership, L.P., or the operating partnership, a Delaware limited partnership, were formed in June 1997 for the purpose of combining the commercial real estate business of S.L. Green Properties, Inc. and its affiliated partnerships and entities. The operating partnership received a contribution of interest in the real estate properties, as well as 95% of the economic interest in the management, leasing and construction companies which are referred to as the Service Corporation. The Company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reduce or avoid the payment of Federal income taxes at the corporate level. Unless the context requires otherwise, all references to “we,” “our” and “us” means the Company and all entities owned or controlled by the Company, including the operating partnership.</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Substantially all of our assets are held by, and our operations are conducted through, the operating partnership. The Company is the sole managing general partner of the operating partnership. As of December 31, 2006, minority investors held, in the aggregate, a 5.1% limited partnership interest in the operating partnership.</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2006, our wholly-owned properties consisted of 20 commercial office properties encompassing approximately 10.1 million rentable square feet located primarily in midtown Manhattan, a borough of New York City, or Manhattan. As of December 31, 2006, the weighted average occupancy (total leased square feet divided by total available square feet) of the wholly-owned properties was 96.9%. Our portfolio also includes ownership interests in unconsolidated joint ventures, which own eight commercial office properties in Manhattan, encompassing approximately 8.9 million rentable square feet, and which had a weighted average occupancy of 97.1% as of December 31, 2006. We also own 516,000 square feet of retail (eight) and development (one) properties. In addition, we manage three office properties owned by third parties and affiliated companies encompassing approximately 1.0 million rentable square feet.</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also own approximately 25% of the outstanding common stock of Gramercy Capital Corp. (NYSE: GKK), or Gramercy, as well as 65.83 units of the Class B limited partner interest in Gramercy’s operating partnership. See Note 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Agreement</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accordance with the partnership agreement of the operating partnership, or the operating partnership Agreement, we allocate all distributions and profits and losses in proportion to the percentage ownership interests of the respective partners. As the managing general partner of the operating partnership, we are required to take such reasonable efforts, as determined by us in our sole discretion, to cause the operating partnership to distribute sufficient amounts to enable the payment of sufficient dividends by us to avoid any Federal income or excise tax at the Company level. Under the operating partnership Agreement each limited partner will have the right to redeem units of limited partnership interest for cash, or if we so elect, shares of our common stock on a one-for-one basis. In addition, we are prohibited from selling 673 First Avenue and 470 Park Avenue South before August 2009.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consolidated financial statements include our accounts and those of our subsidiaries, which are wholly-owned or controlled by us or entities which are variable interest entities in which we are the primary beneficiary under the Financial Accounting Standards Board, or FASB, Interpretation No. 46, or FIN 46, “Consolidation of Variable Interest Entities - an Interpretation of ARB No. 51,” and FIN 46, “Interpretation No. 46R,” or FIN 46R. See Note 5, Note 6 and Note 7. Entities, which we do not control, and entities which are variable interest entities, but where we are not the primary beneficiary are accounted for under the equity method. We consolidate variable interest entities in which we are determined to be the primary beneficiary. The interest that we do not own is included in Minority Interest-Other Partnerships on the balance sheet. All significant intercompany balances and transactions have been eliminated.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Commercial Real Estate Properties</w:t>
      </w:r>
    </w:p>
    <w:p>
      <w:pPr>
        <w:spacing w:after="0" w:line="27"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Rental properties are stated at cost less accumulated depreciation and amortization. Costs directly related to the acquisition and redevelopment of rental properties are capitalized. Ordinary repairs and maintenance are expensed as incurred; major replacements and betterments, which improve or extend the life</w:t>
      </w:r>
    </w:p>
    <w:p>
      <w:pPr>
        <w:sectPr>
          <w:pgSz w:w="11900" w:h="16974" w:orient="portrait"/>
          <w:cols w:equalWidth="0" w:num="1">
            <w:col w:w="11420"/>
          </w:cols>
          <w:pgMar w:left="240" w:top="140" w:right="239" w:bottom="0" w:gutter="0" w:footer="0" w:header="0"/>
        </w:sectPr>
      </w:pPr>
    </w:p>
    <w:bookmarkStart w:id="41" w:name="page42"/>
    <w:bookmarkEnd w:id="41"/>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of the asset, are capitalized and depreciated over their estimated useful lives.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accordance with Statement of Financial Accounting Standards, or SFAS, No. 144, “Accounting for the Impairment or Disposal of Long-Lived Assets,” a property to be disposed of is reported at the lower of its carrying amount or its estimated fair value, less its cost to sell. Once an asset is held for sale, depreciation expense and straight-line rent adjustments are no longer recorded and the historic</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results are reclassified as discontinued operations. See Note 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Properties are depreciated using the straight-line method over the estimated useful lives of the assets. The estimated useful lives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7780" w:type="dxa"/>
            <w:vAlign w:val="bottom"/>
          </w:tcPr>
          <w:p>
            <w:pPr>
              <w:ind w:left="3720"/>
              <w:spacing w:after="0"/>
              <w:rPr>
                <w:sz w:val="20"/>
                <w:szCs w:val="20"/>
                <w:color w:val="auto"/>
              </w:rPr>
            </w:pPr>
            <w:r>
              <w:rPr>
                <w:rFonts w:ascii="Arial" w:cs="Arial" w:eastAsia="Arial" w:hAnsi="Arial"/>
                <w:sz w:val="14"/>
                <w:szCs w:val="14"/>
                <w:b w:val="1"/>
                <w:bCs w:val="1"/>
                <w:color w:val="auto"/>
              </w:rPr>
              <w:t>Term</w:t>
            </w:r>
          </w:p>
        </w:tc>
      </w:tr>
      <w:tr>
        <w:trPr>
          <w:trHeight w:val="210"/>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 (fee ownership)</w:t>
            </w:r>
          </w:p>
        </w:tc>
        <w:tc>
          <w:tcPr>
            <w:tcW w:w="220" w:type="dxa"/>
            <w:vAlign w:val="bottom"/>
            <w:tcBorders>
              <w:top w:val="single" w:sz="8" w:color="CCEEFF"/>
            </w:tcBorders>
            <w:shd w:val="clear" w:color="auto" w:fill="CCEEFF"/>
          </w:tcPr>
          <w:p>
            <w:pPr>
              <w:spacing w:after="0"/>
              <w:rPr>
                <w:sz w:val="18"/>
                <w:szCs w:val="18"/>
                <w:color w:val="auto"/>
              </w:rPr>
            </w:pPr>
          </w:p>
        </w:tc>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40 years</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Building improvements</w:t>
            </w:r>
          </w:p>
        </w:tc>
        <w:tc>
          <w:tcPr>
            <w:tcW w:w="7780" w:type="dxa"/>
            <w:vAlign w:val="bottom"/>
          </w:tcPr>
          <w:p>
            <w:pPr>
              <w:spacing w:after="0"/>
              <w:rPr>
                <w:sz w:val="20"/>
                <w:szCs w:val="20"/>
                <w:color w:val="auto"/>
              </w:rPr>
            </w:pPr>
            <w:r>
              <w:rPr>
                <w:rFonts w:ascii="Arial" w:cs="Arial" w:eastAsia="Arial" w:hAnsi="Arial"/>
                <w:sz w:val="18"/>
                <w:szCs w:val="18"/>
                <w:color w:val="auto"/>
              </w:rPr>
              <w:t>shorter of remaining life of the building or useful life</w:t>
            </w: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(leasehold interest)</w:t>
            </w: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lesser of 40 years or remaining term of the lease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Property under capital lease</w:t>
            </w:r>
          </w:p>
        </w:tc>
        <w:tc>
          <w:tcPr>
            <w:tcW w:w="7780" w:type="dxa"/>
            <w:vAlign w:val="bottom"/>
          </w:tcPr>
          <w:p>
            <w:pPr>
              <w:spacing w:after="0"/>
              <w:rPr>
                <w:sz w:val="20"/>
                <w:szCs w:val="20"/>
                <w:color w:val="auto"/>
              </w:rPr>
            </w:pPr>
            <w:r>
              <w:rPr>
                <w:rFonts w:ascii="Arial" w:cs="Arial" w:eastAsia="Arial" w:hAnsi="Arial"/>
                <w:sz w:val="18"/>
                <w:szCs w:val="18"/>
                <w:color w:val="auto"/>
              </w:rPr>
              <w:t>remaining lease term</w:t>
            </w: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four to seven years</w:t>
            </w: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Tenant improvements</w:t>
            </w:r>
          </w:p>
        </w:tc>
        <w:tc>
          <w:tcPr>
            <w:tcW w:w="7780" w:type="dxa"/>
            <w:vAlign w:val="bottom"/>
          </w:tcPr>
          <w:p>
            <w:pPr>
              <w:spacing w:after="0"/>
              <w:rPr>
                <w:sz w:val="20"/>
                <w:szCs w:val="20"/>
                <w:color w:val="auto"/>
              </w:rPr>
            </w:pPr>
            <w:r>
              <w:rPr>
                <w:rFonts w:ascii="Arial" w:cs="Arial" w:eastAsia="Arial" w:hAnsi="Arial"/>
                <w:sz w:val="18"/>
                <w:szCs w:val="18"/>
                <w:color w:val="auto"/>
              </w:rPr>
              <w:t>shorter of remaining term of the lease or useful life</w:t>
            </w:r>
          </w:p>
        </w:tc>
      </w:tr>
    </w:tbl>
    <w:p>
      <w:pPr>
        <w:spacing w:after="0" w:line="200" w:lineRule="exact"/>
        <w:rPr>
          <w:sz w:val="20"/>
          <w:szCs w:val="20"/>
          <w:color w:val="auto"/>
        </w:rPr>
      </w:pPr>
    </w:p>
    <w:p>
      <w:pPr>
        <w:spacing w:after="0" w:line="2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Depreciation expense (including amortization of the capital lease asset) amounted to approximately $66.9 million, $52.5 million and $41.0 million for the years ended December 31, 2006, 2005 and 2004, respectively.</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 periodic basis, we assess whether there are any indicators that the value of our real estate properties may be impaired or that its carrying value may not be recoverable. A property’s value is considered impaired if management’s estimate of the aggregate future cash flows (undiscounted and without interest charges) to be generated by the property are less than the carrying value of the property. To the extent impairment has occurred, the loss shall be measured as the excess of the carrying amount of the property over the fair value of the property. We do not believe that the value of any of our rental properties was impaired at December 31, 2006 and 2005.</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variety of costs are incurred in the acquisition, development and leasing of our properties. After determination is made to capitalize a cost, it is allocated to the specific component of a project that is benefited. Determination of when a development project is substantially complete and capitalization must cease involves a degree of judgment. Our capitalization policy on our development properties is guided by SFAS No. 34 “Capitalization of Interest Cost” and SFAS No. 67 “Accounting for Costs and Initial Rental Operations of Real Estate Projects.” The costs of land and building under development include specifically identifiable costs. The capitalized costs include pre-construction costs essential to the development of the property, development costs, construction costs, interest costs, real estate taxes, salaries and related costs and other costs incurred during the period of development. We consider a construction project as substantially completed and held available for occupancy upon the completion of tenant improvements, but no later than one year from cessation of major construction activity. We cease capitalization on the portions substantially completed and occupied or held available for occupancy, and capitalize only those costs associated with the portions under construction.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of properties acquired are included in the Statement of Operations from the date of acquisition.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June 2005, the FASB ratified the consensus in EITF Issue No. 04-5, or EITF 04-5, “Determining Whether a General Partner, or the General Partners as a Group, Controls a Limited Partnership or Similar Entity When the Limited Partners Have Certain Rights,” which provides guidance in determining whether a general partner controls a limited partnership. EITF 04-5 states that the general partner in a limited partnership is presumed to control that limited partnership. The presumption may be overcome if the limited partners have either (1) the substantive ability to dissolve the limited partnership or otherwise remove the general partner without cause or (2) substantive participating rights, which provide the limited partners with the ability to effectively participate in significant decisions that would be expected to be made in the ordinary course of the limited partnership’s business and thereby preclude the general partner from exercising unilateral control over the partnership. Our adoption of EITF 04-5 did not have any effect on net income or stockholders’ equity.</w:t>
      </w:r>
    </w:p>
    <w:p>
      <w:pPr>
        <w:spacing w:after="0" w:line="16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accordance with SFAS No. 141, “Business Combinations,” we allocate the purchase price of real estate to land and building and, if determined to be material, intangibles, such as the value of above, below and at-market leases and origination costs associated with the in-place leases. We depreciate the amount allocated to building and other intangible assets over their estimated useful lives, which generally range from three to 40 years. The values of the above and below market leases are amortized and recorded as either an increase (in the case of below market leases) or a decrease (in the case of above market leases) to rental income over the remaining term of the associated lease. The value associated with in-place leases and tenant relationships are amortized over the expected term of the relationship, which includes an estimated probability of the lease renewal, and its estimated term.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its contractual expiration date). We assess fair value of the leases based on estimated cash flow projections that utilize appropriate discount and capitalization rates and available market information. Estimates of future cash flows are based on a number of factors including the historical operating results, known trends, and market/economic conditions that may affect the property.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62"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a result of our evaluations, under SFAS No. 141, of acquisitions made, we recognized an increase of approximately $2.2 million, $1.2 million and $62,000 in rental revenue for the years ended December 31, 2006, 2005 and 2004, respectively, for the amortization of aggregate below market rents in excess of</w:t>
      </w:r>
    </w:p>
    <w:p>
      <w:pPr>
        <w:sectPr>
          <w:pgSz w:w="11900" w:h="16962" w:orient="portrait"/>
          <w:cols w:equalWidth="0" w:num="1">
            <w:col w:w="11420"/>
          </w:cols>
          <w:pgMar w:left="240" w:top="125" w:right="239" w:bottom="0" w:gutter="0" w:footer="0" w:header="0"/>
          <w:type w:val="continuous"/>
        </w:sectPr>
      </w:pPr>
    </w:p>
    <w:bookmarkStart w:id="42" w:name="page43"/>
    <w:bookmarkEnd w:id="42"/>
    <w:p>
      <w:pPr>
        <w:ind w:right="80"/>
        <w:spacing w:after="0" w:line="264" w:lineRule="auto"/>
        <w:rPr>
          <w:sz w:val="20"/>
          <w:szCs w:val="20"/>
          <w:color w:val="auto"/>
        </w:rPr>
      </w:pPr>
      <w:r>
        <w:rPr>
          <w:rFonts w:ascii="Arial" w:cs="Arial" w:eastAsia="Arial" w:hAnsi="Arial"/>
          <w:sz w:val="18"/>
          <w:szCs w:val="18"/>
          <w:color w:val="auto"/>
        </w:rPr>
        <w:t>above market leases and a reduction in lease origination costs, resulting from the reallocation of the purchase price of the applicable properties. We recognized a reduction in interest expense for the amortization of the above-market rate mortgage of approximately $777,000, $715,000 and $657,000 for the years ended December 31, 2006, 2005 and 2004,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Scheduled amortization on existing intangible liabilities on real estate investments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Intangible</w:t>
            </w:r>
          </w:p>
        </w:tc>
      </w:tr>
      <w:tr>
        <w:trPr>
          <w:trHeight w:val="162"/>
        </w:trPr>
        <w:tc>
          <w:tcPr>
            <w:tcW w:w="56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4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2008</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2,622</w:t>
            </w:r>
          </w:p>
        </w:tc>
        <w:tc>
          <w:tcPr>
            <w:tcW w:w="2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2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2010</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1,874</w:t>
            </w:r>
          </w:p>
        </w:tc>
        <w:tc>
          <w:tcPr>
            <w:tcW w:w="2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0" w:type="dxa"/>
            <w:vAlign w:val="bottom"/>
            <w:shd w:val="clear" w:color="auto" w:fill="CCEEFF"/>
          </w:tcPr>
          <w:p>
            <w:pPr>
              <w:spacing w:after="0"/>
              <w:rPr>
                <w:sz w:val="18"/>
                <w:szCs w:val="18"/>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9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20" w:type="dxa"/>
            <w:vAlign w:val="bottom"/>
            <w:tcBorders>
              <w:bottom w:val="single" w:sz="8" w:color="CCEEFF"/>
            </w:tcBorders>
          </w:tcPr>
          <w:p>
            <w:pPr>
              <w:spacing w:after="0"/>
              <w:rPr>
                <w:sz w:val="18"/>
                <w:szCs w:val="18"/>
                <w:color w:val="auto"/>
              </w:rPr>
            </w:pPr>
          </w:p>
        </w:tc>
      </w:tr>
      <w:tr>
        <w:trPr>
          <w:trHeight w:val="210"/>
        </w:trPr>
        <w:tc>
          <w:tcPr>
            <w:tcW w:w="5680" w:type="dxa"/>
            <w:vAlign w:val="bottom"/>
            <w:tcBorders>
              <w:bottom w:val="single" w:sz="8" w:color="CCEEFF"/>
            </w:tcBorders>
            <w:shd w:val="clear" w:color="auto" w:fill="CCEEFF"/>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with maturity of three months or less when purchased to be cash equivalents.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Joint Ventures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account for our investments in unconsolidated joint ventures under the equity method of accounting as we exercise significant influence, but do not control these entities and are not considered to be the primary beneficiary under FIN 46R. We consolidate those joint ventures where we are considered to be the primary beneficiary, even though we do not control the entity. In all the joint ventures, the rights of the minority investor are both protective as well as participating. Unless we are determined to be the primary beneficiary, these rights preclude us from consolidating these investments. These investments are recorded initially at cost, as investments in unconsolidated joint ventures, and subsequently adjusted for equity in net income (loss) and cash contributions and distributions. Any difference between the carrying amount of these investments on our balance sheet and the underlying equity in net assets is amortized as an adjustment to equity in net income (loss) of unconsolidated joint ventures over the lesser of the joint venture term or 40 years. Equity income (loss) from unconsolidated joint ventures is allocated based on our ownership interest in each joint venture. When a capital event (as defined in each joint venture agreement) such as a refinancing occurs, if return thresholds are met, future equity income will be allocated at our increased economic percentage. We recognize incentive income from unconsolidated real estate joint ventures as income to the extent it is earned and not subject to a clawback feature. Distributions we receive from unconsolidated real estate joint ventures in excess of our basis in the investment are recorded as offsets to our investment balance if we remain liable for future obligations of the joint venture or may otherwise be committed to provide future additional financial support. None of the joint venture debt is recourse to us. See Note 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Restricted cash primarily consists of security deposits held on behalf of our tenants as well as capital improvement and real estate tax escrows required under certain loan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Costs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Deferred lease costs consist of fees and direct costs incurred to initiate and renew operating leases and are amortized on a straight-line basis over the related lease term. Certain of our employees provide leasing services to the wholly-owned properties. A portion of their compensation, approximating $3.5 million, $2.3 million and $1.7 million for the years ended December 31, 2006, 2005 and 2004, respectively, was capitalized and is amortized over an estimated average lease term of seven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Deferred financing costs represent commitment fees, legal and other third party costs associated with obtaining commitments for financing which result in a closing of such financing. These costs are amortized over the terms of the respective agreements. Unamortized deferred financing costs are expensed when the associated debt is refinanced or repaid before maturity. Costs incurred in seeking financial transactions, which do not close, are expensed in the period in which it is determined that the financing will not close.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Rental revenue is recognized on a straight-line basis over the term of the lease. The excess of rents recognized over amounts contractually due pursuant to the underlying leases are included in deferred rents receivable on the accompanying balance sheets. We establish, on a current basis, an allowance for future potential tenant credit losses, which may occur against this account. The balance reflected on the balance sheet is net of such allowance.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to base rent, our tenants also generally will pay their pro rata share of increases in real estate taxes and operating expenses for the building over a base year. In some leases, in lieu of paying additional rent based upon increases 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typically are provided at no additional cost, with the tenant paying additional rent only for services which exceed base building services or for services which are provided outside normal business hours.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sectPr>
          <w:pgSz w:w="11900" w:h="16838" w:orient="portrait"/>
          <w:cols w:equalWidth="0" w:num="1">
            <w:col w:w="11420"/>
          </w:cols>
          <w:pgMar w:left="240" w:top="125" w:right="239" w:bottom="0" w:gutter="0" w:footer="0" w:header="0"/>
        </w:sectPr>
      </w:pPr>
    </w:p>
    <w:bookmarkStart w:id="43" w:name="page44"/>
    <w:bookmarkEnd w:id="43"/>
    <w:p>
      <w:pPr>
        <w:spacing w:after="0" w:line="342" w:lineRule="auto"/>
        <w:rPr>
          <w:sz w:val="20"/>
          <w:szCs w:val="20"/>
          <w:color w:val="auto"/>
        </w:rPr>
      </w:pPr>
      <w:r>
        <w:rPr>
          <w:rFonts w:ascii="Arial" w:cs="Arial" w:eastAsia="Arial" w:hAnsi="Arial"/>
          <w:sz w:val="16"/>
          <w:szCs w:val="16"/>
          <w:color w:val="auto"/>
        </w:rPr>
        <w:t>We maintain an allowance for doubtful accounts for estimated losses resulting from the inability of its tenants to make required rent payments. If the financial condition of a specific tenant were to deteriorate, resulting in an impairment of their ability to make payments, additional allowances may be required.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record a gain on sale of real estate when title is conveyed to the buyer, subject to the buyer’s financial commitment being sufficient to provide economic substance to the sale and we have no substantial economic involvement with the buyer.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on structured finance investments is recognized over the life of the investment using the effective interest method and recognized on the accrual basis. Fees received in connection with loan commitments are deferred until the loan is funded and are then recognized over the term of the loan as an adjustment to yield. Anticipated exit fees, whose collection is expected, are also recognized over the term of the loan as an adjustment to yield. Fees on commitments that expire unused are recognized at expiration.</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Income recognition is generally suspended for structured finance investments at the earlier of the date at which payments become 90 days past due or when, in the opinion of management, a full recovery of income and principal becomes doubtful. Income recognition is resumed when the loan becomes contractually current and performance is demonstrated to be resumed.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fees are recognized on a straight-line basis over the term of the asset management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Possible Credit Losses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expense for possible credit losses in connection with structured finance investments is the charge to earnings to increase the allowance for possible credit losses to the level that we estimate to be adequate considering delinquencies, loss experience and collateral quality. Other factors considered relate to geographic trends and product diversification, the size of the portfolio and current economic conditions. Based upon these factors, we establish the provision for possible credit losses by category of asset. When it is probable that we will be unable to collect all amounts contractually due, the account is considered impaired.</w:t>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Where impairment is indicated, a valuation write-down or write-off is measured based upon the excess of the recorded investment amount over the net fair value of the collateral, as reduced by selling costs. Any deficiency between the carrying amount of an asset and the net sales price of repossessed collateral is charged to the allowance for credit losses. No reserve for impairment was required at December 31, 2006 or 2005.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Expense</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Rent expense is recognized on a straight-line basis over the initial term of the lease. The excess of the rent expense recognized over the amounts contractually due pursuant to the underlying lease is included in the deferred land lease payable in the accompanying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We are taxed as a REIT under Section 856(c) of the Code. As a REIT, we generally are not subject to Federal income tax. To maintain our qualification as a REIT, we must distribute at least 90% of our REIT taxable income to our stockholders and meet certain other requirements. If we fail to qualify as a REIT in any taxable year, we will be subject to Federal income tax on our taxable income at regular corporate rates. We may also be subject to certain state, local and franchise taxes. Under certain circumstances, Federal income and excise taxes may be due on our undistributed taxable income.</w:t>
      </w:r>
    </w:p>
    <w:p>
      <w:pPr>
        <w:spacing w:after="0" w:line="16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Pursuant to amendments to the Code that became effective January 1, 2001, we have elected, and may in the future, elect to treat certain of our existing or newly created corporate subsidiaries as taxable REIT subsidiaries, or TRS. In general, a TRS of ours may perform non-customary services for our tenants, hold assets that we cannot hold directly and generally may engage in any real estate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or non-real estate related business. A TRS is subject to corporate Federal income tax. Our TRS’s paid approximately $1.4 million and $1.8 million in Federal, state and local taxes in 2006 and 2005,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Commissions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Underwriting commissions and costs incurred in connection with our stock offerings are reflected as a reduction of additional paid-in-capital.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Employee Compensation Plans</w:t>
      </w:r>
    </w:p>
    <w:p>
      <w:pPr>
        <w:spacing w:after="0" w:line="2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have a stock-based employee compensation plan, described more fully in Note 14. Prior to 2003, we accounted for this plan under Accounting Principles Board Opinion No. 25, or APB 25, “Accounting for Stock Issued to Employees,” and related interpretations. No stock-based employee compensation cost was reflected in net income prior to January 1, 2003, as all awards granted under such plan had an intrinsic value of zero on the date of grant. Effective January 1, 2003, we adopted the fair value recognition provisions of SFAS No. 123, “Accounting for Stock-Based Compensation.” Under the prospective method of adoption we selected under the provisions of SFAS No. 148, “Accounting for Stock-Based Compensation - Transition and Disclosure,” the recognition provisions apply to all employee awards granted, modified, or settled after January 1, 2003. In December 2004, the FASB revised SFAS No. 123 through the issuance of SFAS No. 123-R “Shared Based Payment,” revised, or SFAS No. 123-R. SFAS No. 123-R was effective for us commencing in the first quarter of 2006. SFAS No. 123-R, among other things, eliminates the alternative to use the intrinsic value method of accounting for stock-based compensation and requires entities to recognize the cost of employee services received in exchange for awards of equity instruments based on the grant-date fair value of those awards (with limited exceptions). The fair-value based method in SFAS No. 123-R is similar to the fair-value based method in SFAS No. 123 in most respects, subject to certain key differences. The adoption of SFAS No. 123-R did not have a material impact on us, as we have applied the fair value method of accounting for stock-based compensation since January 1, 2003.</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plan has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our employee stock options.</w:t>
      </w:r>
    </w:p>
    <w:p>
      <w:pPr>
        <w:sectPr>
          <w:pgSz w:w="11900" w:h="16838" w:orient="portrait"/>
          <w:cols w:equalWidth="0" w:num="1">
            <w:col w:w="11420"/>
          </w:cols>
          <w:pgMar w:left="240" w:top="125" w:right="239" w:bottom="36" w:gutter="0" w:footer="0" w:header="0"/>
        </w:sectPr>
      </w:pPr>
    </w:p>
    <w:bookmarkStart w:id="44" w:name="page45"/>
    <w:bookmarkEnd w:id="44"/>
    <w:p>
      <w:pPr>
        <w:jc w:val="both"/>
        <w:ind w:right="220"/>
        <w:spacing w:after="0" w:line="286" w:lineRule="auto"/>
        <w:rPr>
          <w:sz w:val="20"/>
          <w:szCs w:val="20"/>
          <w:color w:val="auto"/>
        </w:rPr>
      </w:pPr>
      <w:r>
        <w:rPr>
          <w:rFonts w:ascii="Arial" w:cs="Arial" w:eastAsia="Arial" w:hAnsi="Arial"/>
          <w:sz w:val="17"/>
          <w:szCs w:val="17"/>
          <w:color w:val="auto"/>
        </w:rPr>
        <w:t>Compensation cost for stock options, if any, is recognized ratably over the vesting period of the award. Our policy is to grant options with an exercise price equal to the quoted closing market price of our stock on the business day on the grant date. Awards of stock, restricted stock or employee loans to purchase stock, which may be forgiven over a period of time, are expensed as compensation on a current basis over the benefit period.</w:t>
      </w:r>
    </w:p>
    <w:p>
      <w:pPr>
        <w:spacing w:after="0" w:line="1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fair value of each stock option granted is estimated on the date of grant using the Black-Scholes option pricing model with the following weighted average assumptions for grants in 2006, 2005 and 2004.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CCEEFF"/>
            </w:tcBorders>
          </w:tcPr>
          <w:p>
            <w:pPr>
              <w:spacing w:after="0"/>
              <w:rPr>
                <w:sz w:val="14"/>
                <w:szCs w:val="14"/>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 years</w:t>
            </w: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5 years</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5 years</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4.76%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r>
      <w:tr>
        <w:trPr>
          <w:trHeight w:val="234"/>
        </w:trPr>
        <w:tc>
          <w:tcPr>
            <w:tcW w:w="85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17.76%</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15.58%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14.40%</w:t>
            </w:r>
          </w:p>
        </w:tc>
      </w:tr>
    </w:tbl>
    <w:p>
      <w:pPr>
        <w:spacing w:after="0" w:line="4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illustrates the effect on net income available to common stockholders and earnings per share if the fair value method had been applied to all outstanding and unvested stock options for the years ended December 31, 2006, 2005 and 2004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60" w:type="dxa"/>
            <w:vAlign w:val="bottom"/>
            <w:tcBorders>
              <w:bottom w:val="single" w:sz="8" w:color="CCEEFF"/>
            </w:tcBorders>
          </w:tcPr>
          <w:p>
            <w:pPr>
              <w:spacing w:after="0"/>
              <w:rPr>
                <w:sz w:val="11"/>
                <w:szCs w:val="11"/>
                <w:color w:val="auto"/>
              </w:rPr>
            </w:pPr>
          </w:p>
        </w:tc>
        <w:tc>
          <w:tcPr>
            <w:tcW w:w="33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CCEE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200,844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193,172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Deduct stock option expense-all awards</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(4,137)</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Add back stock option expense included in net income</w:t>
            </w: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Allocation of compensation expense to minority interest</w:t>
            </w:r>
          </w:p>
        </w:tc>
        <w:tc>
          <w:tcPr>
            <w:tcW w:w="3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 available to common stockholders</w:t>
            </w:r>
          </w:p>
        </w:tc>
        <w:tc>
          <w:tcPr>
            <w:tcW w:w="3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199,963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136,719</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191,919</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Basic earnings per common share-historical</w:t>
            </w:r>
          </w:p>
        </w:tc>
        <w:tc>
          <w:tcPr>
            <w:tcW w:w="3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3300" w:type="dxa"/>
            <w:vAlign w:val="bottom"/>
            <w:vMerge w:val="continue"/>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4.50</w:t>
            </w: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3.29</w:t>
            </w:r>
          </w:p>
        </w:tc>
        <w:tc>
          <w:tcPr>
            <w:tcW w:w="280" w:type="dxa"/>
            <w:vAlign w:val="bottom"/>
            <w:vMerge w:val="continue"/>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4.93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share-pro forma</w:t>
            </w:r>
          </w:p>
        </w:tc>
        <w:tc>
          <w:tcPr>
            <w:tcW w:w="3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Diluted earnings per common share-historical</w:t>
            </w:r>
          </w:p>
        </w:tc>
        <w:tc>
          <w:tcPr>
            <w:tcW w:w="34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18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share-pro forma</w:t>
            </w:r>
          </w:p>
        </w:tc>
        <w:tc>
          <w:tcPr>
            <w:tcW w:w="3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4860" w:type="dxa"/>
            <w:vAlign w:val="bottom"/>
          </w:tcPr>
          <w:p>
            <w:pPr>
              <w:spacing w:after="0"/>
              <w:rPr>
                <w:sz w:val="24"/>
                <w:szCs w:val="24"/>
                <w:color w:val="auto"/>
              </w:rPr>
            </w:pPr>
          </w:p>
        </w:tc>
        <w:tc>
          <w:tcPr>
            <w:tcW w:w="3300" w:type="dxa"/>
            <w:vAlign w:val="bottom"/>
          </w:tcPr>
          <w:p>
            <w:pPr>
              <w:jc w:val="right"/>
              <w:ind w:right="227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860" w:type="dxa"/>
            <w:vAlign w:val="bottom"/>
            <w:tcBorders>
              <w:bottom w:val="single" w:sz="8" w:color="010101"/>
            </w:tcBorders>
          </w:tcPr>
          <w:p>
            <w:pPr>
              <w:spacing w:after="0"/>
              <w:rPr>
                <w:sz w:val="24"/>
                <w:szCs w:val="24"/>
                <w:color w:val="auto"/>
              </w:rPr>
            </w:pPr>
          </w:p>
        </w:tc>
        <w:tc>
          <w:tcPr>
            <w:tcW w:w="33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applying SFAS No. 123-R in this pro forma disclosure are not indicative of the impact future awards may have on our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the normal course of business, we use a variety of derivative instruments to manage, or hedge, interest rate risk. We require that hedging derivative instruments are effective in reducing the interest rate risk exposure that they are designated to hedge. This effectiveness is essential for qualifying for hedge accounting. Some derivative instruments are associated with an anticipated transaction. In those cases, hedge effectiveness criteria also require that it be probable that the underlying transaction occurs. Instruments that meet these hedging criteria are formally designated as hedges at the inception of the derivative contract.</w:t>
      </w:r>
    </w:p>
    <w:p>
      <w:pPr>
        <w:spacing w:after="0" w:line="19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To determine the fair values of derivative instruments, we use a variety of methods and assumptions that are based on market conditions and risks existing at each balance sheet date. For the majority of financial instruments including most derivatives, long-term investments and long-term debt, standard market conventions and techniques such as discounted cash flow analysis, option pricing models, replacement cost, and termination cost are used to determine fair value. All methods of assessing fair value result in a general approximation of value, and such value may never actually be realized.</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the normal course of business, we are exposed to the effect of interest rate changes and limit these risks by following established risk management policies and procedures including the use of derivatives. To address exposure to interest rates, derivatives are used primarily to fix the rate on debt based on floating-rate indices and manage the cost of borrowing obligations.</w:t>
      </w:r>
    </w:p>
    <w:p>
      <w:pPr>
        <w:spacing w:after="0" w:line="18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use a variety of commonly used derivative products that are considered plain vanilla derivatives. These derivatives typically include interest rate swaps, caps, collars and floors. We expressly prohibit the use of unconventional derivative instruments and using derivative instruments for trading or speculative purposes. Further, we have a policy of only entering into contracts with major financial institutions based upon their credit ratings and other factors.</w:t>
      </w:r>
    </w:p>
    <w:p>
      <w:pPr>
        <w:spacing w:after="0" w:line="14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may employ swaps, forwards or purchased options to hedge qualifying forecasted transactions. Gains and losses related to these transactions are deferred and recognized in net income as interest expense in the same period or periods that the underlying transaction occurs, expires or is otherwise terminated.</w:t>
      </w:r>
    </w:p>
    <w:p>
      <w:pPr>
        <w:spacing w:after="0" w:line="12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Hedges that are reported at fair value and presented on the balance sheet could be characterized as either cash flow hedges or fair value hedges. Interest rate caps and collars are examples of cash flow hedges. Cash flow hedges address the risk associated with future cash flows of debt transactions. All hedges held by us are deemed to be fully effective in meeting the hedging objectives established by our corporate policy governing interest rate risk management and as such no net gains or losses were reported in earnings. The changes in fair value of hedge instruments are reflected in accumulated other comprehensive income. For derivative instruments not designated as hedging instruments, the gain or loss, resulting from the change in the estimated fair value of the derivative instruments, is recognized in current earnings during the period of change.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present both basic and diluted earnings per share, or EPS. Basic EPS excludes dilution and is computed by dividing net income available to common stockholders by the weighted average number of common shares outstanding during the period. Diluted EPS reflects the potential dilution that could occur if securities or other contracts to issue common stock were exercised or converted into common stock, where such exercise or conversion would result in a lower EPS amount. This also includes units of limited partnership interest.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ectPr>
          <w:pgSz w:w="11900" w:h="16838" w:orient="portrait"/>
          <w:cols w:equalWidth="0" w:num="1">
            <w:col w:w="11460"/>
          </w:cols>
          <w:pgMar w:left="240" w:top="125" w:right="199" w:bottom="0" w:gutter="0" w:footer="0" w:header="0"/>
        </w:sectPr>
      </w:pPr>
    </w:p>
    <w:bookmarkStart w:id="45" w:name="page46"/>
    <w:bookmarkEnd w:id="45"/>
    <w:p>
      <w:pPr>
        <w:jc w:val="both"/>
        <w:ind w:right="56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investments, structured finance investments and accounts receivable. We place our cash investments in excess of insured amounts with high quality financial institutions. The collateral securing our structured finance investments is primarily located in the greater New York area. See Note 5. We perform ongoing credit evaluations of our tenants and require certain tenants to provide security deposits or letters of credit. Though these security deposits and letters of credit are insufficient to meet the total value of a tenant’s lease obligation, they are a measure of good faith and a source of funds to offset the economic costs associated with lost rent and the costs associated with re-tenanting the space. Although the properties in our real estate portfolio are primarily located in Manhattan, the tenants located in these buildings operate in various industries. Other than one tenant at 1515 Broadway who contributed approximately 7.9% of our annualized rent, no single tenant in the portfolio contributed more than 4.4% of our annualized rent, including our share of joint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venture annualized rent, at December 31, 2006. Approximately 14%, 10%, 9% and 9% of our annualized rent was attributable to 420 Lexington Avenue, 220 East 42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Street, 625 Madison Avenue and 485 Lexington Avenue respectively, for the year ended December 31, 2006. Approximately 15%, 11% and 10% of our annualized rent was attributable to 420 Lexington Avenue, 220 East 42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Street and 750 Third Avenue, respectively, for the year ended December 31, 2005. Approximately 16%, 12% and 10% of our annualized rent was attributable to 420 Lexington Avenue, 220 East 42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Street and 750 Third Avenue, respectively, for the year ended December 31, 2004. One borrower accounted for more than 10.0% of the revenue earned on structured finance investments at December 31, 2006. Currently 75.1% of our workforce which service substantially all of our properties is covered by three collective bargaining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balances have been reclassified to conform to the current year presentation and to comply with SFAS No. 144.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February 2006, the FASB issued SFAS No. 155, “Accounting for Certain Hybrid Financial Instruments — An Amendment of FASB No. 133 and 140.” The purpose of SFAS No. 155 is to simplify the accounting for certain hybrid financial instruments by permitting fair value re-measurement for any hybrid financial instrument that contains an embedded derivative that otherwise would require bifurcation. SFAS No. 155 also eliminates the restriction on passive derivative instruments that a qualifying special-purpose entity may hold. SFAS No. 155 is effective for all financial instruments acquired or issued after the beginning of an entity’s first fiscal year beginning after September 15, 2006. We believe that the adoption of this standard on January 1, 2007 will not have a material effect on our consolidated financial statements.</w:t>
      </w:r>
    </w:p>
    <w:p>
      <w:pPr>
        <w:spacing w:after="0" w:line="19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March 2006, the FASB issued SFAS No. 156, “Accounting for Servicing of Financial Assets, an Amendment of SFAS No. 140.” SFAS No. 156 requires separate recognition of a servicing asset and a servicing liability each time an entity undertakes an obligation to service a financial asset by entering into a servicing contract. This statement also requires that servicing assets and liabilities be initially recorded at fair value and subsequently adjusted to the fair value at the end of each reporting period. This statement is effective in fiscal years beginning after September 15, 2006. We believe that the adoption of this standard on January 1, 2007 will not have a material effect on our consolidated financial statements.</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April 2006, the FASB issued a FASB Staff Position, or FSP, which addresses how a reporting enterprise should determine the variability to be considered in applying FIN 46. The variability that is considered in applying FIN 46 affects the determination of (a) whether the entity is a variable interest entity, or VIE, (b) which interests are variable interests in the entity, and (c) which party, if any, is the primary beneficiary of the VIE. That variability will affect any calculation of expected losses and expected residual returns, if such a calculation is necessary. We will be considering the factors discussed in this FSP when assessing our VIE’s in accordance with FIN 46.</w:t>
      </w:r>
    </w:p>
    <w:p>
      <w:pPr>
        <w:spacing w:after="0" w:line="188"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In July 2006, the FASB issued Interpretation No. 48, “</w:t>
      </w:r>
      <w:r>
        <w:rPr>
          <w:rFonts w:ascii="Arial" w:cs="Arial" w:eastAsia="Arial" w:hAnsi="Arial"/>
          <w:sz w:val="16"/>
          <w:szCs w:val="16"/>
          <w:color w:val="auto"/>
        </w:rPr>
        <w:t>Accounting for Uncertainty in Income Taxes,” or FIN 48. This interpretation, among other things, creates</w:t>
      </w:r>
      <w:r>
        <w:rPr>
          <w:rFonts w:ascii="Arial" w:cs="Arial" w:eastAsia="Arial" w:hAnsi="Arial"/>
          <w:sz w:val="17"/>
          <w:szCs w:val="17"/>
          <w:color w:val="auto"/>
        </w:rPr>
        <w:t xml:space="preserve"> </w:t>
      </w:r>
      <w:r>
        <w:rPr>
          <w:rFonts w:ascii="Arial" w:cs="Arial" w:eastAsia="Arial" w:hAnsi="Arial"/>
          <w:sz w:val="16"/>
          <w:szCs w:val="16"/>
          <w:color w:val="auto"/>
        </w:rPr>
        <w:t>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more-likely-than-not will be realized upon settlement. Derecognition of a tax position that was previously recognized would occur when a company subsequently determines that a tax position no longer meets the more-likely-than-not threshold of being sustained. FIN 48 specifically prohibits the use of a valuation allowance as a substitute for derecognition of tax positions, and it has expanded disclosure requirements. FIN 48 is effective for fiscal years beginning after December 15, 2006, in which the impact of adoption should be accounted for as a cumulative-effect adjustment to the beginning balance of retained earnings. We are evaluating FIN 48, but do not believe it will have a material effect on our consolidated financial statements.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September 2006, the FASB issued Statement No. 157, Fair Value Measurements, or SFAS No. 157. SFAS No. 157 provides guidance for using fair value to measure assets and liabilities. This statement clarifies the principle that fair value should be based on the assumptions that market participants would use when pricing the asset or liability. SFAS No. 157 establishes a fair value hierarchy, giving the highest priority to quoted prices in active markets and the lowest priority to unobservable data. SFAS No. 157 applies whenever other standards require assets or liabilities to be measured at fair value. This statement is effective in fiscal years beginning after November 15, 2007. We believe that the adoption of this standard on January 1, 2008 will not have a material effect on our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53" w:gutter="0" w:footer="0" w:header="0"/>
        </w:sectPr>
      </w:pPr>
    </w:p>
    <w:bookmarkStart w:id="46" w:name="page47"/>
    <w:bookmarkEnd w:id="46"/>
    <w:p>
      <w:pPr>
        <w:ind w:right="80"/>
        <w:spacing w:after="0" w:line="254" w:lineRule="auto"/>
        <w:rPr>
          <w:sz w:val="20"/>
          <w:szCs w:val="20"/>
          <w:color w:val="auto"/>
        </w:rPr>
      </w:pPr>
      <w:r>
        <w:rPr>
          <w:rFonts w:ascii="Arial" w:cs="Arial" w:eastAsia="Arial" w:hAnsi="Arial"/>
          <w:sz w:val="18"/>
          <w:szCs w:val="18"/>
          <w:color w:val="auto"/>
        </w:rPr>
        <w:t>In September 2006, the Securities and Exchange Commission issued Staff Accounting Bulletin No. 108, or SAB 108, which becomes effective beginning on January 1, 2007. SAB 108 provides guidance on the consideration of the effects of prior period misstatements in quantifying current year misstatements for the purpose of a materiality assessment. SAB 108 provides for the quantification of the impact of correcting all misstatements, including both the carryover and reversing effects of prior year misstatements, on the current year financial statements. If a misstatement is material to the current year financial statements, the prior year financial statements should also be corrected, even though such revision was, and continues to be, immaterial to the prior year financial statements. Correcting prior year financial statements for immaterial errors would not require previously filed reports to be amended. Such correction should be made in the current period filings. We believe that the adoption of this standard on January 1, 2008 will not have a material effect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Acquisitions</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TIn January 2006, we, through a joint venture with Jeff Sutton, acquired the fee interests in three adjoining buildings at 25-27 and 29 West 34P</w:t>
      </w:r>
      <w:r>
        <w:rPr>
          <w:rFonts w:ascii="Arial" w:cs="Arial" w:eastAsia="Arial" w:hAnsi="Arial"/>
          <w:sz w:val="22"/>
          <w:szCs w:val="22"/>
          <w:color w:val="auto"/>
          <w:vertAlign w:val="superscript"/>
        </w:rPr>
        <w:t>thP</w:t>
      </w:r>
      <w:r>
        <w:rPr>
          <w:rFonts w:ascii="Arial" w:cs="Arial" w:eastAsia="Arial" w:hAnsi="Arial"/>
          <w:sz w:val="17"/>
          <w:szCs w:val="17"/>
          <w:color w:val="auto"/>
        </w:rPr>
        <w:t xml:space="preserve"> Street for an aggregate purchase price of $30.0 million, excluding closing costs. The buildings comprise approximately 50,900 square feet. We own approximately 50% of the equity in the joint venture. TWe loaned approximately $13.3 million to Jeff Sutton to fund a portion of his equity. These loans are secured by a pledge of Jeff Sutton’s partnership interest in the joint venture. As we have been designated as the primary beneficiary of the joint venture under FIN 46(R), we have consolidated the accounts of the joint venture. Effective December 2006, we deconsolidated 25 West 34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March 2006, we entered into a long term operating net leasehold interest in 521 Fifth Avenue — a 40-story, 460,000-square-foot office building — with an ownership group led by RFR Holding LLC, which retained fee ownership of the property. We also purchased an option to acquire fee ownership of the property in five years for $15.0 million. Assuming we exercise our option, the total cost would be $225.0 million. The acquisition was financed with a $140.0 million loan and proceeds drawn under our revolving credit facility. The loan, which was for two years and bore interest at the London Interbank Offered Rate, or LIBOR, plus 162.5 basis points, was replaced in April with a five-year loan that bears interest at LIBOR plus 100 basis points. In December 2006, we sold a 49.9% partnership interest to the City Investment Fund, or CIF. This sale valued the property at $240.0 million. We recognized a gain on the sale of approximately $3.5 million. The loan was also assigned to the joint venture. See Note 6.</w:t>
      </w:r>
    </w:p>
    <w:p>
      <w:pPr>
        <w:spacing w:after="0" w:line="17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May 2005, we acquired a 10% interest in a joint venture that acquired a 670,000 square feet property located at 55 Corporate Drive, N.J. The acquisition was funded with an $86.0 million interest-only mortgage, which was to mature in June 2007 and carried an interest rate of 215 basis points over the 30-day LIBOR. This mortgage was acquired by Gramercy in March 2006. In June 2006, the mortgage was repaid and replaced with a $190.0 million, ten-year interest-only mortgage with a fixed interest rate of 5.75%. The property is net-leased to a single tenant until 2023. In connection with the refinancing, the joint venture distributed out all the capital and preferred return to its majority partner. This resulted in our interest increasing from 10% to 50%. Simultaneous with the refinancing, Gramercy acquired a 49.75% interest from the other partners. These interests are held as tenant-in-common interests. This transaction valued the property at $236.0 million. As we no longer expect to sell our interest within the next twelve months, we have reclassified this investment out of assets and liabilities held for sale on the balance sheet. See Note 6.</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30, 2006, we completed the investment in the previously announced transaction involving 609 Fifth Avenue — a mixed-use property that includes New York City’s American Girl Store and approximately 100,000 square feet of Class A office space — in a transaction that valued the property at approximately $182.0 million. We issued approximately 64 million preferred units in SL Green Operating Partnership, L.P., valued at $1.00 per unit, to subsidiaries of 609 Partners, LLC, the partnership that indirectly holds the property, and acquired all of its common partnership interests. The property remains subject to a $102.0 million mortgage loan held by Morgan Stanley Mortgage Capital, Inc. The mortgage has a fixed annual interest rate of 5.85% and will mature in October 2013.</w:t>
      </w:r>
    </w:p>
    <w:p>
      <w:pPr>
        <w:spacing w:after="0" w:line="19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September 2006, we, along with Jeff Sutton, were able to consolidate several partnership interests totaling 92.25% in the retail portion and one floor of office space at 717 Fifth Avenue. 717 Fifth Avenue has 47,000 square feet of rentable retail space, approximately 90% of which is currently occupied. This transaction, which valued the property at $235.0 million, was financed with our investment of approximately $46.0 million and a $175.0 million loan from a third party at a blended rate of LIBOR plus 160 basis points. We also have an option to acquire up to 33% of the ownership interests in the property. In January 2007, we exercised a portion of the option and acquired a 25% ownership interest in the property. We are consolidating our investment in 717 Fifth Ave. due to our significant economic interest resulting from the financing we provided.</w:t>
      </w:r>
    </w:p>
    <w:p>
      <w:pPr>
        <w:spacing w:after="0" w:line="178"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In December 2006, we purchased interests in 485 Lexington Avenue from our partners, CIF and The Witkoff Group, or Witkoff, resulting in majority ownership and control of the property. As a result of the acquisition of interests from CIF and Witkoff, our direct ownership interest in 485 Lexington Avenue increased to 87%. The transaction valued the property at approximately $578.0 million compared to $225.0 million when first acquired in 2004. In addition, we originated a loan secured by CIF’s remaining ownership stake. We also acquired an option from CIF to purchase its remaining equity interest. This investment was reviously accounted for under the equity method.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Acquisitions</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February 2005, we acquired the fee interest in 28 West 44th Street for $105.0 million, excluding closing costs. The property is a 21-story, 359,000 square foot building located two blocks from Grand Central Station, and is directly across the street from 19 West 44th Street, also owned by an affiliate of ours. The property was acquired with funds drawn under our unsecured revolving credit facility.</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2005, we acquired the fee interest in One Madison Avenue for approximately $919.0 million, excluding closing costs. The property consists of two contiguous buildings, the South Building and the North Tower totaling approximately 1.44 million square feet. We entered into a joint venture agreement with Gramercy, whereby we own a 55% interest in the 1.176 million square foot South Building, which is occupied almost entirely by Credit Suisse Securities (USA) LLC pursuant to a lease that expires in 2020.</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along with Gramercy, acquired the South Building on a pari passu basis for approximately $803.0 million. This was financed in part through a $690.0 million mortgage on the South Building. We, along with Credit Suisse Securities (USA) LLC, will share equally in the profits from a planned conversion of the Clock Tower from office use to residential condominiums. The Clock Tower was acquired for approximately $116.0 million and was financed in part by a</w:t>
      </w:r>
    </w:p>
    <w:p>
      <w:pPr>
        <w:sectPr>
          <w:pgSz w:w="11900" w:h="16838" w:orient="portrait"/>
          <w:cols w:equalWidth="0" w:num="1">
            <w:col w:w="11420"/>
          </w:cols>
          <w:pgMar w:left="240" w:top="125" w:right="239" w:bottom="0" w:gutter="0" w:footer="0" w:header="0"/>
        </w:sectPr>
      </w:pPr>
    </w:p>
    <w:bookmarkStart w:id="47" w:name="page48"/>
    <w:bookmarkEnd w:id="47"/>
    <w:p>
      <w:pPr>
        <w:ind w:right="40"/>
        <w:spacing w:after="0" w:line="277" w:lineRule="auto"/>
        <w:rPr>
          <w:sz w:val="20"/>
          <w:szCs w:val="20"/>
          <w:color w:val="auto"/>
        </w:rPr>
      </w:pPr>
      <w:r>
        <w:rPr>
          <w:rFonts w:ascii="Arial" w:cs="Arial" w:eastAsia="Arial" w:hAnsi="Arial"/>
          <w:sz w:val="18"/>
          <w:szCs w:val="18"/>
          <w:color w:val="auto"/>
        </w:rPr>
        <w:t>$115.0 million loan facility of which we drew down approximately $98.3 million at closing. This loan was refinanced in November 2005. In March 2006 we sold a 40% interest in the venture. See Note 6.</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June 2005, we purchased from our partner, the City Investment Fund, or CIF, an interest in 19 West 44th Street resulting in majority ownership and control of the property. The transaction valued the property at approximately $91.2 million, excluding closing costs. Pursuant to the terms of the initial joint venture agreement, we would have been entitled to an incentive fee of approximately $7.3 million upon a sale of the property. As a result of acquiring the partnership interests, the incentive fee income was deferred and reflected as a reduction to our basis in the property to approximately $79.2 million. In addition, we originated a loan secured by CIF’s remaining ownership stake. CIF also granted us an option to purchase CIF’s remaining equity interest. We consolidate this property as we control the asset and are entitled to all of the underlying economics.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In July 2005, we, through a joint venture with Jeff Sutton, acquired the fee interests in two adjoining buildings at 1551 and 1555 Broadway and in a third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building at 21 West 34th Street, or 21 West, for an aggregate purchase price of $102.5 million, excluding closing costs. The buildings comprise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43,700 square feet. We own approximately 50% of the equity in the joint venture. The joint venture entered into a $103.9 million credit facility to finance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redevelopment of these three properties. The loan, which will bear interest at 200 basis points over the 30-day LIBOR, is for three years.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closing, the joint venture drew approximately $85.4 million to fund the acquisition. This loan is non-recourse to us. The joint venture agreement provides Jeff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Sutton with the opportunity to earn incentive fees based upon the financial performance of the properties. We loaned approximately $10.2 million to Jeff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Sutton to fund a portion of his equity. These loans are secured by a pledge of Jeff Sutton’s partnership interest in the joint venture. As we are the primary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beneficiary of the joint venture under FIN 46(R), we have consolidated the accounts of the joint venture. In November 2006, 21 West was leased to Apple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 under a long-term net lease arrangement. In connection with this lease, the property was released as collateral from its original mortgage and a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ten-year financing secured by this property, was put in place. As a result of this refinancing, Jeff Sutton was paid his incentive fee and repaid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his loan, along with accrued interest, to us. As we are no longer the primary beneficiary of this investment, effective November 2006, we are accounting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investment under the equity method of accounting.</w:t>
      </w:r>
    </w:p>
    <w:p>
      <w:pPr>
        <w:spacing w:after="0" w:line="2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August 2005, we, through another joint venture with Jeff Sutton, acquired the ground and second floors in a mixed-use property at 141 Fifth Avenue for $13.25 million, excluding closing costs. Our portion of the building comprises approximately 21,500 square feet. We own approximately 50% of the equity in the joint venture. The joint venture entered into a $12.58 million credit facility to finance the acquisition of the property. The loan, which will bear interest at 225 basis points over the 30-day LIBOR, is for two years and has three one-year extension options. This loan is non-recourse to us. At closing, the joint venture drew approximately $10.0 million to fund the acquisition. In addition, the venture retained a 22.5% carried interest in floors 3 to 12, which were acquired by a third party for $46.75 million, excluding closing costs, and which are to be converted to residential condominiums. The joint venture agreement provides Jeff Sutton with the opportunity to earn incentive fees based upon the financial performance of the property. In connection with this transaction, we loaned approximately $8.5 million to Jeff Sutton. This loan is secured by a pledge of Jeff Sutton’s partnership interest in the joint venture. As we are the primary beneficiary of the joint venture under FIN 46(R), we have consolidated the accounts of the joint venture.</w:t>
      </w:r>
    </w:p>
    <w:p>
      <w:pPr>
        <w:spacing w:after="0" w:line="16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November 2005, we, through a joint venture with Jeff Sutton, acquired a controlling leasehold interest in 1604 Broadway — a retail property located in Manhattan’s Times Square for approximately $4.4 million. The joint venture acquired a 90% interest in the 41,100-square-foot Times Square building. The property is subject to a ground lease that was extended from 2019 to 2036 as part of the transaction. We have a 50% interest in the joint venture with Jeff Sutton. We have the opportunity to earn incentive fees based upon the financial performance of the property. We loaned approximately $1.6 million to Jeff Sutton to fund a portion of his equity. This loan is secured by a pledge of Jeff Sutton’s partnership interest in the joint venture. As we have been designated as the primary beneficiary of the joint venture under FIN 46(R), we have consolidated the accounts of the joint venture.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Acquisitions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July 2004, we acquired the 780,000 square foot office property located at 750 Third Avenue, or 750 Third, for $255.0 million. The acquisition was initially funded using proceeds from our unsecured revolving credit facility. At closing, TIAA-CREF, a AAA-rated company, entered into an operating lease for the entire building.</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October 2004, we acquired the long-term leasehold in the 563,000 square foot office property at 625 Madison Avenue, or 625 Madison, for $231.5 million. The property was acquired with borrowings under our unsecured revolving credit facility, approximately 306,000 units of limited partnership interest in our operating partnership, having an aggregate value of approximately $15.5 million, and the assumption of a $102.0 million mortgage loan held by the New York State Teacher’s Retirement System. The mortgage has a fixed annual interest rate of 6.27% and will mature in November 2015. The property is subject to a ground lease with a final expiration date of June 30, 2054.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following table (in thousands, except per share amounts) summarizes, on an unaudited pro forma basis, our combined results of operations for the years ended December 31, 2006 and 2005 as though the acquisitions of 28 West 44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(February 2005) and 521 Fifth Avenue (March 2006), the investment in 609 Fifth Avenue and the July and November 2006 common stock offerings as well as the acquisition of Reckson Associates Realty Corp. (See Note 23) were completed on January 1, 2005. The supplemental pro forma operating data is not necessarily indicative of what our actual results of operations would have been assuming the transactions had been completed as set forth above, nor do they purport to represent our results of operations for future periods. In addition, the following supplemental pro forma operating data does not present the sale of assets through December 31, 2006. We accounted for the acquisition of assets utilizing the purchase method of accounting.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CCEEFF"/>
            </w:tcBorders>
          </w:tcPr>
          <w:p>
            <w:pPr>
              <w:spacing w:after="0"/>
              <w:rPr>
                <w:sz w:val="14"/>
                <w:szCs w:val="14"/>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839,716</w:t>
            </w:r>
          </w:p>
        </w:tc>
        <w:tc>
          <w:tcPr>
            <w:tcW w:w="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Pro forma net income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$165,440</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102,565</w:t>
            </w:r>
          </w:p>
        </w:tc>
        <w:tc>
          <w:tcPr>
            <w:tcW w:w="2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common share-basic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Pro forma earnings per common share and common share equivalents-diluted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 forma common shares-basic</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57,313</w:t>
            </w:r>
          </w:p>
        </w:tc>
        <w:tc>
          <w:tcPr>
            <w:tcW w:w="20" w:type="dxa"/>
            <w:vAlign w:val="bottom"/>
            <w:shd w:val="clear" w:color="auto" w:fill="CCEEFF"/>
          </w:tcPr>
          <w:p>
            <w:pPr>
              <w:spacing w:after="0"/>
              <w:rPr>
                <w:sz w:val="18"/>
                <w:szCs w:val="18"/>
                <w:color w:val="auto"/>
              </w:rPr>
            </w:pPr>
          </w:p>
        </w:tc>
      </w:t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Pro forma common share and common share equivalents-diluted</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62,582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61,024</w:t>
            </w:r>
          </w:p>
        </w:tc>
        <w:tc>
          <w:tcPr>
            <w:tcW w:w="20" w:type="dxa"/>
            <w:vAlign w:val="bottom"/>
          </w:tcPr>
          <w:p>
            <w:pPr>
              <w:spacing w:after="0"/>
              <w:rPr>
                <w:sz w:val="20"/>
                <w:szCs w:val="20"/>
                <w:color w:val="auto"/>
              </w:rPr>
            </w:pPr>
          </w:p>
        </w:tc>
      </w:tr>
    </w:tbl>
    <w:p>
      <w:pPr>
        <w:sectPr>
          <w:pgSz w:w="11900" w:h="16838" w:orient="portrait"/>
          <w:cols w:equalWidth="0" w:num="1">
            <w:col w:w="11420"/>
          </w:cols>
          <w:pgMar w:left="240" w:top="125" w:right="239" w:bottom="102" w:gutter="0" w:footer="0" w:header="0"/>
        </w:sectPr>
      </w:pPr>
    </w:p>
    <w:bookmarkStart w:id="48" w:name="page49"/>
    <w:bookmarkEnd w:id="48"/>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Dispositions and Assets Held for Sale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July 2006, we sold the fee interests in 286 Madison Avenue and 290 Madison Avenue for approximately $63.0 million, excluding closing costs. The properties are approximately 149,000 square feet. We recognized a gain on sale of approximately $34.3 million, which is net of a $2.0 million employee compensation award accrued in connection with the realization of this investment gain as a bonus to certain employees that were instrumental in realizing the gain on this sale.</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August 2006, we sold the leasehold interest in 1140 Avenue of the Americas for approximately $97.5 million, excluding closing costs. The property is approximately 191,000 square feet. We recognized a gain on sale of approximately $65.0 million which is net of a $3.0 million employee compensation award accrued in connection with the realization of this investment gain as a bonus to certain employees that were instrumental in realizing the gain on this sale.</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December 2006, we sold to CIF a 49.9% interest in the entity that owns the leasehold interest in 521 Fifth Avenue. The sale of the interest in the property, which encompasses approximately 460,000 square feet, valued the property at approximately $240.0 million. This sale generated a realized gain of approximately $3.5 million. As a result of the sale, this investment is accounted for under the equity method. See Note 6.</w:t>
      </w:r>
    </w:p>
    <w:p>
      <w:pPr>
        <w:spacing w:after="0" w:line="16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April 2005, we sold the fee interest in 1414 Avenue of the Americas for approximately $60.5 million, excluding closing costs. The property is approximately 121,000 square feet. We recognized a gain on sale of approximately $35.9 million, which is net of approximately $2.1 million of costs incurred in connection with the defeasance of its existing mortgage debt and a $5.0 million employee compensation award accrued in connection with the realization of this investment gain as a bonus to certain employees that were instrumental in realizing the gain on this sale.</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October 2004, we sold 17 Battery Place North for approximately $70.0 million, realizing a gain of approximately $22.5 million. The net proceeds were reinvested into the acquisition of 750 Third to effectuate a 1031 tax-free exchange.</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November 2004, we sold 1466 Broadway for approximately $160.0 million, realizing a gain of approximately $73.2 million. The net proceeds were reinvested into the acquisition of 750 Third to effectuate a 1031 tax-free exchange.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December 31, 2006, discontinued operations included the results of operations of real estate assets sold prior to that date. This included 1414 Avenue of the Americas, which was sold in April 2005, 286 and 290 Madison Avenue, which were sold in July 2006 and 1140 Avenue of the Americas, which was sold in August 2006.</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 summarizes income from discontinued operations (net of minority interest) and the related realized gain on sale of discontinued operations (net of minority interest) for the years ended December 31, 2006, 2005 and 2004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6400" w:type="dxa"/>
            <w:vAlign w:val="bottom"/>
            <w:tcBorders>
              <w:bottom w:val="single" w:sz="8" w:color="CCEEFF"/>
            </w:tcBorders>
          </w:tcPr>
          <w:p>
            <w:pPr>
              <w:spacing w:after="0"/>
              <w:rPr>
                <w:sz w:val="11"/>
                <w:szCs w:val="11"/>
                <w:color w:val="auto"/>
              </w:rPr>
            </w:pPr>
          </w:p>
        </w:tc>
        <w:tc>
          <w:tcPr>
            <w:tcW w:w="18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CCEEFF"/>
            </w:tcBorders>
          </w:tcPr>
          <w:p>
            <w:pPr>
              <w:spacing w:after="0"/>
              <w:rPr>
                <w:sz w:val="11"/>
                <w:szCs w:val="11"/>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Rental revenue</w:t>
            </w:r>
          </w:p>
        </w:tc>
        <w:tc>
          <w:tcPr>
            <w:tcW w:w="19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8,497</w:t>
            </w:r>
          </w:p>
        </w:tc>
        <w:tc>
          <w:tcPr>
            <w:tcW w:w="16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14,530</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31,925</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Escalation and reimbursement revenues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39,054</w:t>
            </w:r>
          </w:p>
        </w:tc>
        <w:tc>
          <w:tcPr>
            <w:tcW w:w="8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Operating expense</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11,857</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Ground rent</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w:t>
            </w:r>
          </w:p>
        </w:tc>
        <w:tc>
          <w:tcPr>
            <w:tcW w:w="8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1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26,055</w:t>
            </w:r>
          </w:p>
        </w:tc>
        <w:tc>
          <w:tcPr>
            <w:tcW w:w="8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12,999</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discontinued operations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95,680</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Minority interest in operating partnership</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(2,414)</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(6,032)</w:t>
            </w:r>
          </w:p>
        </w:tc>
      </w:tr>
      <w:tr>
        <w:trPr>
          <w:trHeight w:val="210"/>
        </w:trPr>
        <w:tc>
          <w:tcPr>
            <w:tcW w:w="6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net of minority interest</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102,647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Structured Finance Investments</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During the years ended December 31, 2006 and 2005, we originated approximately $240.7 million and $148.1 million in structured finance and preferred equity investments (net of discount), respectively. There were also approximately $195.7 million and $98.1 million in repayments and participations during those years, respectively. At December 31, 2006, 2005 and 2004 all loans were performing in accordance with the terms of the loan agreements.</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2006 and 2005, we held the following structured finance investments, excluding preferred equity investments, with an aggregate weighted-average current yield of approximately 9.5%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Loan</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2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Senior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4"/>
                <w:szCs w:val="14"/>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35"/>
        </w:trPr>
        <w:tc>
          <w:tcPr>
            <w:tcW w:w="2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ind w:right="155"/>
              <w:spacing w:after="0" w:line="135" w:lineRule="exact"/>
              <w:rPr>
                <w:sz w:val="20"/>
                <w:szCs w:val="20"/>
                <w:color w:val="auto"/>
              </w:rPr>
            </w:pPr>
            <w:r>
              <w:rPr>
                <w:rFonts w:ascii="Arial" w:cs="Arial" w:eastAsia="Arial" w:hAnsi="Arial"/>
                <w:sz w:val="14"/>
                <w:szCs w:val="14"/>
                <w:b w:val="1"/>
                <w:bCs w:val="1"/>
                <w:color w:val="auto"/>
                <w:w w:val="97"/>
              </w:rPr>
              <w:t>Principal</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4"/>
              </w:rPr>
              <w:t>Principal</w:t>
            </w:r>
          </w:p>
        </w:tc>
        <w:tc>
          <w:tcPr>
            <w:tcW w:w="15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62"/>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Investment</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Financing</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Mezzanine Loan (1)</w:t>
            </w:r>
          </w:p>
        </w:tc>
        <w:tc>
          <w:tcPr>
            <w:tcW w:w="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September 2021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Mezzanine Loan (1) (2)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29,750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31,226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30,249</w:t>
            </w:r>
          </w:p>
        </w:tc>
        <w:tc>
          <w:tcPr>
            <w:tcW w:w="2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December 2020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Mezzanine Loan (1)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August 2008</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Mezzanine Loan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58,013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February 2016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Mezzanine Loan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May 2016</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Mezzanine Loan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33,082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October 2016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Mezzanine Loan (6)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December 2016</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1" w:right="2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gridSpan w:val="3"/>
          </w:tcPr>
          <w:p>
            <w:pPr>
              <w:spacing w:after="0"/>
              <w:rPr>
                <w:sz w:val="20"/>
                <w:szCs w:val="20"/>
                <w:color w:val="auto"/>
              </w:rPr>
            </w:pPr>
            <w:r>
              <w:rPr>
                <w:rFonts w:ascii="Arial" w:cs="Arial" w:eastAsia="Arial" w:hAnsi="Arial"/>
                <w:sz w:val="18"/>
                <w:szCs w:val="18"/>
                <w:color w:val="auto"/>
              </w:rPr>
              <w:t>Mezzanine Loan (1) (3) (4)</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13,927</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Mezzanine Loan</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Junior Participation (1)</w:t>
            </w:r>
          </w:p>
        </w:tc>
        <w:tc>
          <w:tcPr>
            <w:tcW w:w="980" w:type="dxa"/>
            <w:vAlign w:val="bottom"/>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477,500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37,500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37,500</w:t>
            </w:r>
          </w:p>
        </w:tc>
        <w:tc>
          <w:tcPr>
            <w:tcW w:w="1820" w:type="dxa"/>
            <w:vAlign w:val="bottom"/>
          </w:tcPr>
          <w:p>
            <w:pPr>
              <w:jc w:val="right"/>
              <w:spacing w:after="0"/>
              <w:rPr>
                <w:sz w:val="20"/>
                <w:szCs w:val="20"/>
                <w:color w:val="auto"/>
              </w:rPr>
            </w:pPr>
            <w:r>
              <w:rPr>
                <w:rFonts w:ascii="Arial" w:cs="Arial" w:eastAsia="Arial" w:hAnsi="Arial"/>
                <w:sz w:val="18"/>
                <w:szCs w:val="18"/>
                <w:color w:val="auto"/>
              </w:rPr>
              <w:t>January 2014</w:t>
            </w: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Junior Participation (1) (3)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2010</w:t>
            </w: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Junior Participation (1)</w:t>
            </w:r>
          </w:p>
        </w:tc>
        <w:tc>
          <w:tcPr>
            <w:tcW w:w="980" w:type="dxa"/>
            <w:vAlign w:val="bottom"/>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53,000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11,000</w:t>
            </w:r>
          </w:p>
        </w:tc>
        <w:tc>
          <w:tcPr>
            <w:tcW w:w="1820" w:type="dxa"/>
            <w:vAlign w:val="bottom"/>
          </w:tcPr>
          <w:p>
            <w:pPr>
              <w:jc w:val="right"/>
              <w:spacing w:after="0"/>
              <w:rPr>
                <w:sz w:val="20"/>
                <w:szCs w:val="20"/>
                <w:color w:val="auto"/>
              </w:rPr>
            </w:pPr>
            <w:r>
              <w:rPr>
                <w:rFonts w:ascii="Arial" w:cs="Arial" w:eastAsia="Arial" w:hAnsi="Arial"/>
                <w:sz w:val="18"/>
                <w:szCs w:val="18"/>
                <w:color w:val="auto"/>
              </w:rPr>
              <w:t>November 2009</w:t>
            </w: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Junior Participation (1)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2009</w:t>
            </w: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Junior Participation (1)</w:t>
            </w:r>
          </w:p>
        </w:tc>
        <w:tc>
          <w:tcPr>
            <w:tcW w:w="980" w:type="dxa"/>
            <w:vAlign w:val="bottom"/>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73,000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June 2007</w:t>
            </w: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Junior Participation (4)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Junior Participation (4)</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Junior Participation (1)(5)</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2014</w:t>
            </w:r>
          </w:p>
        </w:tc>
      </w:tr>
      <w:tr>
        <w:trPr>
          <w:trHeight w:val="210"/>
        </w:trPr>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342,250</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5,772,500</w:t>
            </w: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328,832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235,951</w:t>
            </w:r>
          </w:p>
        </w:tc>
        <w:tc>
          <w:tcPr>
            <w:tcW w:w="1820" w:type="dxa"/>
            <w:vAlign w:val="bottom"/>
          </w:tcPr>
          <w:p>
            <w:pPr>
              <w:spacing w:after="0"/>
              <w:rPr>
                <w:sz w:val="18"/>
                <w:szCs w:val="18"/>
                <w:color w:val="auto"/>
              </w:rPr>
            </w:pPr>
          </w:p>
        </w:tc>
      </w:tr>
      <w:tr>
        <w:trPr>
          <w:trHeight w:val="20"/>
        </w:trPr>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20" w:type="dxa"/>
            <w:vAlign w:val="bottom"/>
          </w:tcPr>
          <w:p>
            <w:pPr>
              <w:spacing w:after="0"/>
              <w:rPr>
                <w:sz w:val="7"/>
                <w:szCs w:val="7"/>
                <w:color w:val="auto"/>
              </w:rPr>
            </w:pPr>
          </w:p>
        </w:tc>
      </w:tr>
    </w:tbl>
    <w:p>
      <w:pPr>
        <w:spacing w:after="0" w:line="94"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is a fixed rate loan.</w:t>
      </w:r>
    </w:p>
    <w:p>
      <w:pPr>
        <w:spacing w:after="0" w:line="23" w:lineRule="exact"/>
        <w:rPr>
          <w:rFonts w:ascii="Arial" w:cs="Arial" w:eastAsia="Arial" w:hAnsi="Arial"/>
          <w:sz w:val="18"/>
          <w:szCs w:val="18"/>
          <w:color w:val="auto"/>
        </w:rPr>
      </w:pPr>
    </w:p>
    <w:p>
      <w:pPr>
        <w:ind w:left="480" w:hanging="472"/>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difference between the pay and accrual rates is included as an addition to the principal balance outstanding.</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is an amortizing loan.</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investment was repaid during the second quarter of 2006.</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investment was redeemed in September 2006.</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Gramercy holds a pari-passu interest in a mezzanine loan on this asset.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Equity Investments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2006 and 2005, we held the following preferred equity investments with an aggregate weighted-average current yield of approximately 11.6%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14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Senior</w:t>
            </w:r>
          </w:p>
        </w:tc>
        <w:tc>
          <w:tcPr>
            <w:tcW w:w="180" w:type="dxa"/>
            <w:vAlign w:val="bottom"/>
          </w:tcPr>
          <w:p>
            <w:pPr>
              <w:spacing w:after="0"/>
              <w:rPr>
                <w:sz w:val="13"/>
                <w:szCs w:val="13"/>
                <w:color w:val="auto"/>
              </w:rPr>
            </w:pPr>
          </w:p>
        </w:tc>
        <w:tc>
          <w:tcPr>
            <w:tcW w:w="114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2006</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3"/>
                <w:szCs w:val="13"/>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35"/>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1"/>
                <w:szCs w:val="11"/>
                <w:color w:val="auto"/>
              </w:rPr>
            </w:pPr>
          </w:p>
        </w:tc>
        <w:tc>
          <w:tcPr>
            <w:tcW w:w="138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8"/>
              </w:rPr>
              <w:t>Mandatory</w:t>
            </w:r>
          </w:p>
        </w:tc>
        <w:tc>
          <w:tcPr>
            <w:tcW w:w="0" w:type="dxa"/>
            <w:vAlign w:val="bottom"/>
          </w:tcPr>
          <w:p>
            <w:pPr>
              <w:spacing w:after="0"/>
              <w:rPr>
                <w:sz w:val="1"/>
                <w:szCs w:val="1"/>
                <w:color w:val="auto"/>
              </w:rPr>
            </w:pPr>
          </w:p>
        </w:tc>
      </w:tr>
      <w:tr>
        <w:trPr>
          <w:trHeight w:val="162"/>
        </w:trPr>
        <w:tc>
          <w:tcPr>
            <w:tcW w:w="3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Investment</w:t>
            </w:r>
          </w:p>
        </w:tc>
        <w:tc>
          <w:tcPr>
            <w:tcW w:w="2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Financing</w:t>
            </w:r>
          </w:p>
        </w:tc>
        <w:tc>
          <w:tcPr>
            <w:tcW w:w="180" w:type="dxa"/>
            <w:vAlign w:val="bottom"/>
          </w:tcPr>
          <w:p>
            <w:pPr>
              <w:spacing w:after="0"/>
              <w:rPr>
                <w:sz w:val="14"/>
                <w:szCs w:val="14"/>
                <w:color w:val="auto"/>
              </w:rPr>
            </w:pPr>
          </w:p>
        </w:tc>
        <w:tc>
          <w:tcPr>
            <w:tcW w:w="114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Preferred equity (1) (2)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July 2014</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Preferred equity (1)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February 2015</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equity (3)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February 2014</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Preferred equity (1)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August 2015</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equity (1)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June 2009</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Preferred equity (4)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32,500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July 2007</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equity (5)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Preferred equity (1) (2) (5)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6,125</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3,103,724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116,194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164,125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20" w:hanging="71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is a fixed rate investment.</w:t>
      </w:r>
    </w:p>
    <w:p>
      <w:pPr>
        <w:spacing w:after="0" w:line="23" w:lineRule="exact"/>
        <w:rPr>
          <w:rFonts w:ascii="Arial" w:cs="Arial" w:eastAsia="Arial" w:hAnsi="Arial"/>
          <w:sz w:val="18"/>
          <w:szCs w:val="18"/>
          <w:color w:val="auto"/>
        </w:rPr>
      </w:pPr>
    </w:p>
    <w:p>
      <w:pPr>
        <w:ind w:left="720" w:hanging="71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Gramercy owned an interest in the first mortgage of the underlying property.</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Gramercy holds a mezzanine loan on this asset.</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Gramercy holds a preferred equity investment in this asset.</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investment was repaid during the second quarter of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in Unconsolidated Joint Ventures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investments in several real estate joint ventures with various partners, including The Rockefeller Group International Inc., or RGII, CIF, SITQ Immobilier, a subsidiary of Caisse de depot et placement du Quebec, or SITQ, SEB Immobilier — Investment GmbH, or SEB, Prudential Real Estate Investors, or Prudential, Ian Schrager, or Schrager, RFR Holding LLC, or RFR, Credit Suisse Securities (USA) LLC, or Credit Suisse, Mack-Cali Realty Corporation, or Mack-Cali, Jeff Sutton, and Gramercy. As we do not control these joint ventures, we account for them under the equity method of accounting. The table below provides general information on each joint venture as of December 31, 2006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Property</w:t>
            </w:r>
          </w:p>
        </w:tc>
        <w:tc>
          <w:tcPr>
            <w:tcW w:w="80" w:type="dxa"/>
            <w:vAlign w:val="bottom"/>
            <w:vMerge w:val="restart"/>
          </w:tcPr>
          <w:p>
            <w:pPr>
              <w:spacing w:after="0"/>
              <w:rPr>
                <w:sz w:val="14"/>
                <w:szCs w:val="14"/>
                <w:color w:val="auto"/>
              </w:rPr>
            </w:pPr>
          </w:p>
        </w:tc>
        <w:tc>
          <w:tcPr>
            <w:tcW w:w="12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Partner</w:t>
            </w:r>
          </w:p>
        </w:tc>
        <w:tc>
          <w:tcPr>
            <w:tcW w:w="80" w:type="dxa"/>
            <w:vAlign w:val="bottom"/>
            <w:vMerge w:val="restart"/>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Ownership</w:t>
            </w:r>
          </w:p>
        </w:tc>
        <w:tc>
          <w:tcPr>
            <w:tcW w:w="1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Economic</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Square</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Acquired</w:t>
            </w:r>
          </w:p>
        </w:tc>
        <w:tc>
          <w:tcPr>
            <w:tcW w:w="80" w:type="dxa"/>
            <w:vAlign w:val="bottom"/>
            <w:vMerge w:val="restart"/>
          </w:tcPr>
          <w:p>
            <w:pPr>
              <w:spacing w:after="0"/>
              <w:rPr>
                <w:sz w:val="14"/>
                <w:szCs w:val="14"/>
                <w:color w:val="auto"/>
              </w:rPr>
            </w:pPr>
          </w:p>
        </w:tc>
        <w:tc>
          <w:tcPr>
            <w:tcW w:w="300" w:type="dxa"/>
            <w:vAlign w:val="bottom"/>
            <w:vMerge w:val="restart"/>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Acquisition</w:t>
            </w:r>
          </w:p>
        </w:tc>
        <w:tc>
          <w:tcPr>
            <w:tcW w:w="0" w:type="dxa"/>
            <w:vAlign w:val="bottom"/>
          </w:tcPr>
          <w:p>
            <w:pPr>
              <w:spacing w:after="0"/>
              <w:rPr>
                <w:sz w:val="1"/>
                <w:szCs w:val="1"/>
                <w:color w:val="auto"/>
              </w:rPr>
            </w:pPr>
          </w:p>
        </w:tc>
      </w:tr>
      <w:tr>
        <w:trPr>
          <w:trHeight w:val="162"/>
        </w:trPr>
        <w:tc>
          <w:tcPr>
            <w:tcW w:w="338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Interest</w:t>
            </w:r>
          </w:p>
        </w:tc>
        <w:tc>
          <w:tcPr>
            <w:tcW w:w="1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Interest</w:t>
            </w:r>
          </w:p>
        </w:tc>
        <w:tc>
          <w:tcPr>
            <w:tcW w:w="1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Feet</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8"/>
                <w:szCs w:val="8"/>
                <w:b w:val="1"/>
                <w:bCs w:val="1"/>
                <w:color w:val="auto"/>
              </w:rPr>
              <w:t>(1)</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96"/>
              </w:rPr>
              <w:t>1221</w:t>
            </w:r>
          </w:p>
        </w:tc>
        <w:tc>
          <w:tcPr>
            <w:tcW w:w="30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Avenue of the Americas (2)</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RGII</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45.00%</w:t>
            </w:r>
          </w:p>
        </w:tc>
        <w:tc>
          <w:tcPr>
            <w:tcW w:w="13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45.00%</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2,550</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12/03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5"/>
          </w:tcPr>
          <w:p>
            <w:pPr>
              <w:spacing w:after="0" w:line="149" w:lineRule="exact"/>
              <w:rPr>
                <w:sz w:val="20"/>
                <w:szCs w:val="20"/>
                <w:color w:val="auto"/>
              </w:rPr>
            </w:pPr>
            <w:r>
              <w:rPr>
                <w:rFonts w:ascii="Arial" w:cs="Arial" w:eastAsia="Arial" w:hAnsi="Arial"/>
                <w:sz w:val="14"/>
                <w:szCs w:val="14"/>
                <w:color w:val="auto"/>
              </w:rPr>
              <w:t>One Park Avenue (3)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SEB</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16.67%</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16.67%</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913</w:t>
            </w:r>
          </w:p>
        </w:tc>
        <w:tc>
          <w:tcPr>
            <w:tcW w:w="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05/01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1250</w:t>
            </w:r>
          </w:p>
        </w:tc>
        <w:tc>
          <w:tcPr>
            <w:tcW w:w="3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Broadway (4)</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SITQ</w:t>
            </w: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55.00%</w:t>
            </w: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66.18%</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08/99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gridSpan w:val="2"/>
          </w:tcPr>
          <w:p>
            <w:pPr>
              <w:spacing w:after="0" w:line="149" w:lineRule="exact"/>
              <w:rPr>
                <w:sz w:val="20"/>
                <w:szCs w:val="20"/>
                <w:color w:val="auto"/>
              </w:rPr>
            </w:pPr>
            <w:r>
              <w:rPr>
                <w:rFonts w:ascii="Arial" w:cs="Arial" w:eastAsia="Arial" w:hAnsi="Arial"/>
                <w:sz w:val="14"/>
                <w:szCs w:val="14"/>
                <w:color w:val="auto"/>
                <w:w w:val="96"/>
              </w:rPr>
              <w:t>1515</w:t>
            </w:r>
          </w:p>
        </w:tc>
        <w:tc>
          <w:tcPr>
            <w:tcW w:w="3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Broadway (5)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SITQ</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55.00%</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68.45%</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1,750</w:t>
            </w:r>
          </w:p>
        </w:tc>
        <w:tc>
          <w:tcPr>
            <w:tcW w:w="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05/02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483,500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100</w:t>
            </w:r>
          </w:p>
        </w:tc>
        <w:tc>
          <w:tcPr>
            <w:tcW w:w="322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Park Avenue</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Prudential</w:t>
            </w: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49.90%</w:t>
            </w: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49.90%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02/00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5"/>
          </w:tcPr>
          <w:p>
            <w:pPr>
              <w:spacing w:after="0" w:line="149" w:lineRule="exact"/>
              <w:rPr>
                <w:sz w:val="20"/>
                <w:szCs w:val="20"/>
                <w:color w:val="auto"/>
              </w:rPr>
            </w:pPr>
            <w:r>
              <w:rPr>
                <w:rFonts w:ascii="Arial" w:cs="Arial" w:eastAsia="Arial" w:hAnsi="Arial"/>
                <w:sz w:val="14"/>
                <w:szCs w:val="14"/>
                <w:color w:val="auto"/>
              </w:rPr>
              <w:t>One Madison Avenue — South Building</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Gramercy</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55.00%</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55.00%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1,176</w:t>
            </w:r>
          </w:p>
        </w:tc>
        <w:tc>
          <w:tcPr>
            <w:tcW w:w="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04/05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803,000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Schrager/RFR/</w:t>
            </w: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One Madison Avenue — Clock Tower (6)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Credit Suisse</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30.00%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line="149" w:lineRule="exact"/>
              <w:rPr>
                <w:sz w:val="20"/>
                <w:szCs w:val="20"/>
                <w:color w:val="auto"/>
              </w:rPr>
            </w:pPr>
            <w:r>
              <w:rPr>
                <w:rFonts w:ascii="Arial" w:cs="Arial" w:eastAsia="Arial" w:hAnsi="Arial"/>
                <w:sz w:val="14"/>
                <w:szCs w:val="14"/>
                <w:color w:val="auto"/>
                <w:w w:val="94"/>
              </w:rPr>
              <w:t>379</w:t>
            </w:r>
          </w:p>
        </w:tc>
        <w:tc>
          <w:tcPr>
            <w:tcW w:w="32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West Broadway</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Jeff Sutton</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45.00%</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45.00%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12/05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Mack-Green joint venture</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Mack-Cali</w:t>
            </w: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48.00%</w:t>
            </w: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48.00%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05/06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line="149" w:lineRule="exact"/>
              <w:rPr>
                <w:sz w:val="20"/>
                <w:szCs w:val="20"/>
                <w:color w:val="auto"/>
              </w:rPr>
            </w:pPr>
            <w:r>
              <w:rPr>
                <w:rFonts w:ascii="Arial" w:cs="Arial" w:eastAsia="Arial" w:hAnsi="Arial"/>
                <w:sz w:val="14"/>
                <w:szCs w:val="14"/>
                <w:color w:val="auto"/>
                <w:w w:val="94"/>
              </w:rPr>
              <w:t>800</w:t>
            </w:r>
          </w:p>
        </w:tc>
        <w:tc>
          <w:tcPr>
            <w:tcW w:w="32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Third Avenue (7)</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Private Investors</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45.01%</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45.01%</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526</w:t>
            </w:r>
          </w:p>
        </w:tc>
        <w:tc>
          <w:tcPr>
            <w:tcW w:w="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12/06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285,000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521</w:t>
            </w:r>
          </w:p>
        </w:tc>
        <w:tc>
          <w:tcPr>
            <w:tcW w:w="322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Fifth Avenue</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CIF</w:t>
            </w: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50.10%</w:t>
            </w:r>
          </w:p>
        </w:tc>
        <w:tc>
          <w:tcPr>
            <w:tcW w:w="1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50.10%</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Acquisition price represents the actual or implied purchase price for the joint venture.</w:t>
      </w:r>
    </w:p>
    <w:p>
      <w:pPr>
        <w:ind w:left="360" w:right="140" w:hanging="352"/>
        <w:spacing w:after="0" w:line="221" w:lineRule="auto"/>
        <w:tabs>
          <w:tab w:leader="none" w:pos="312"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acquired our interest from The McGraw-Hill Companies, or MHC. MHC is a tenant at the property and accounted for approximately 14.3% of property’s annualized rent at December 31, 2006. We do not manage this joint venture.</w:t>
      </w:r>
    </w:p>
    <w:p>
      <w:pPr>
        <w:ind w:left="360" w:right="200" w:hanging="352"/>
        <w:spacing w:after="0" w:line="221" w:lineRule="auto"/>
        <w:tabs>
          <w:tab w:leader="none" w:pos="312"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May 2004, Credit Suisse, through a wholly owned affiliate, acquired a 75% interest in One Park. The interest was acquired from a joint venture comprised of SITQ and us. Credit Suisse’s affiliated entity transferred its interest to SEB in April 2005. See Note 23.</w:t>
      </w:r>
    </w:p>
    <w:p>
      <w:pPr>
        <w:ind w:left="320" w:hanging="312"/>
        <w:spacing w:after="0"/>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As a result of exceeding the performance thresholds set forth in our joint venture agreement with SITQ, our economic stake in the property was increased to 66.175% in August 2006.</w:t>
      </w:r>
    </w:p>
    <w:p>
      <w:pPr>
        <w:jc w:val="both"/>
        <w:ind w:left="360" w:right="100" w:hanging="352"/>
        <w:spacing w:after="0" w:line="221" w:lineRule="auto"/>
        <w:tabs>
          <w:tab w:leader="none" w:pos="312" w:val="left"/>
        </w:tabs>
        <w:numPr>
          <w:ilvl w:val="0"/>
          <w:numId w:val="36"/>
        </w:numPr>
        <w:rPr>
          <w:rFonts w:ascii="Arial" w:cs="Arial" w:eastAsia="Arial" w:hAnsi="Arial"/>
          <w:sz w:val="14"/>
          <w:szCs w:val="14"/>
          <w:color w:val="auto"/>
        </w:rPr>
      </w:pPr>
      <w:r>
        <w:rPr>
          <w:rFonts w:ascii="Arial" w:cs="Arial" w:eastAsia="Arial" w:hAnsi="Arial"/>
          <w:sz w:val="14"/>
          <w:szCs w:val="14"/>
          <w:color w:val="auto"/>
        </w:rPr>
        <w:t>Under a tax protection agreement established to protect the limited partners of the partnership that transferred 1515 Broadway to the joint venture, the joint venture has agreed not to adversely affect the limited partners’ tax positions before December 2011. One tenant, whose leases end between 2008 and 2015, represents approximately 85.3% of this joint venture’s annualized rent at December 31, 2006.</w:t>
      </w:r>
    </w:p>
    <w:p>
      <w:pPr>
        <w:ind w:left="360" w:right="340" w:hanging="352"/>
        <w:spacing w:after="0" w:line="221" w:lineRule="auto"/>
        <w:tabs>
          <w:tab w:leader="none" w:pos="312"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March 2006, we, along with Credit Suisse, sold a 40.0% interest in the joint venture to Schrager and RFR. They will perform the redevelopment and residential conversion of the Clock Tower. The arrangement provides Schrager and RFR with the ability to increase their ownership interest if certain performance thresholds are achieved.</w:t>
      </w:r>
    </w:p>
    <w:p>
      <w:pPr>
        <w:ind w:left="360" w:right="100" w:hanging="352"/>
        <w:spacing w:after="0" w:line="237" w:lineRule="auto"/>
        <w:tabs>
          <w:tab w:leader="none" w:pos="312"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invested approximately $109.5 million in this asset through the origination of a loan secured by up to 47% of the interests in the property’s ownership, with an option to convert the loan to an equity interest. Certain existing members have the right to re-acquire approximately 4% of the property’s equity.</w:t>
      </w:r>
    </w:p>
    <w:p>
      <w:pPr>
        <w:sectPr>
          <w:pgSz w:w="11900" w:h="16838" w:orient="portrait"/>
          <w:cols w:equalWidth="0" w:num="1">
            <w:col w:w="11420"/>
          </w:cols>
          <w:pgMar w:left="240" w:top="121" w:right="239" w:bottom="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2005, our joint venture with Morgan Stanley Real Estate Fund, or MSREF, sold the fee interest in 180 Madison Avenue for $92.7 million. The joint venture recognized a gain of approximately $40.0 million from the sale, of which our share was approximately $19.3 million. Approximately $7.7 million of a gain was deferred and will be recognized upon redemption of the preferred equity investment retained in the property. 180 Madison Avenue represents the last property to be sold through our joint ventures with MSREF. In connection with the resolution of the joint venture, we recognized an incentive fee of approximately $10.8 million.</w:t>
      </w:r>
    </w:p>
    <w:p>
      <w:pPr>
        <w:spacing w:after="0" w:line="18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June 2005, we acquired substantially all of CIF’s partnership interest in the joint venture that owned 19 West 44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We previously held a 35% interest in this joint venture. See Note 3 for additional details.</w:t>
      </w:r>
    </w:p>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May 2005, we acquired a 10% interest in a joint venture that acquired a 670,000 square feet property located at 55 Corporate Drive, N.J. The acquisition was funded with an $84.0 million interest-only mortgage. The mortgage, which was to mature in June 2007, carried an interest rate of 215 basis points over the 30-day LIBOR, and had three one-year as-of-right extension options. See Note 3.</w:t>
      </w:r>
    </w:p>
    <w:p>
      <w:pPr>
        <w:spacing w:after="0" w:line="18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finance our joint ventures with non-recourse debt. The first mortgage notes payable collateralized by the respective joint venture properties and assignment of leases at December 31, 2006 and 2005, respectively, are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Property</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Maturity</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80" w:type="dxa"/>
            <w:vAlign w:val="bottom"/>
            <w:gridSpan w:val="5"/>
            <w:vMerge w:val="continue"/>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Rate (1)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1221</w:t>
            </w: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Avenue of the Americas(2)</w:t>
            </w: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12/2010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170,000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One Park Avenue</w:t>
            </w:r>
          </w:p>
        </w:tc>
        <w:tc>
          <w:tcPr>
            <w:tcW w:w="860" w:type="dxa"/>
            <w:vAlign w:val="bottom"/>
          </w:tcPr>
          <w:p>
            <w:pPr>
              <w:ind w:left="260"/>
              <w:spacing w:after="0"/>
              <w:rPr>
                <w:sz w:val="20"/>
                <w:szCs w:val="20"/>
                <w:color w:val="auto"/>
              </w:rPr>
            </w:pPr>
            <w:r>
              <w:rPr>
                <w:rFonts w:ascii="Arial" w:cs="Arial" w:eastAsia="Arial" w:hAnsi="Arial"/>
                <w:sz w:val="18"/>
                <w:szCs w:val="18"/>
                <w:color w:val="auto"/>
                <w:w w:val="89"/>
              </w:rPr>
              <w:t>05/2014</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5.80%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238,500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1250</w:t>
            </w: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Broadway(3)</w:t>
            </w: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08/2007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115,000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w w:val="89"/>
              </w:rPr>
              <w:t>1515</w:t>
            </w:r>
          </w:p>
        </w:tc>
        <w:tc>
          <w:tcPr>
            <w:tcW w:w="6680" w:type="dxa"/>
            <w:vAlign w:val="bottom"/>
            <w:gridSpan w:val="2"/>
          </w:tcPr>
          <w:p>
            <w:pPr>
              <w:ind w:left="20"/>
              <w:spacing w:after="0"/>
              <w:rPr>
                <w:sz w:val="20"/>
                <w:szCs w:val="20"/>
                <w:color w:val="auto"/>
              </w:rPr>
            </w:pPr>
            <w:r>
              <w:rPr>
                <w:rFonts w:ascii="Arial" w:cs="Arial" w:eastAsia="Arial" w:hAnsi="Arial"/>
                <w:sz w:val="18"/>
                <w:szCs w:val="18"/>
                <w:color w:val="auto"/>
              </w:rPr>
              <w:t>Broadway(4)</w:t>
            </w:r>
          </w:p>
        </w:tc>
        <w:tc>
          <w:tcPr>
            <w:tcW w:w="860" w:type="dxa"/>
            <w:vAlign w:val="bottom"/>
          </w:tcPr>
          <w:p>
            <w:pPr>
              <w:ind w:left="280"/>
              <w:spacing w:after="0"/>
              <w:rPr>
                <w:sz w:val="20"/>
                <w:szCs w:val="20"/>
                <w:color w:val="auto"/>
              </w:rPr>
            </w:pPr>
            <w:r>
              <w:rPr>
                <w:rFonts w:ascii="Arial" w:cs="Arial" w:eastAsia="Arial" w:hAnsi="Arial"/>
                <w:sz w:val="18"/>
                <w:szCs w:val="18"/>
                <w:color w:val="auto"/>
                <w:w w:val="86"/>
              </w:rPr>
              <w:t>11/2007</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625,000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100</w:t>
            </w:r>
          </w:p>
        </w:tc>
        <w:tc>
          <w:tcPr>
            <w:tcW w:w="6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Park Avenue(5)</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11/2015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One Madison Avenue — South Building</w:t>
            </w:r>
          </w:p>
        </w:tc>
        <w:tc>
          <w:tcPr>
            <w:tcW w:w="860" w:type="dxa"/>
            <w:vAlign w:val="bottom"/>
          </w:tcPr>
          <w:p>
            <w:pPr>
              <w:ind w:left="260"/>
              <w:spacing w:after="0"/>
              <w:rPr>
                <w:sz w:val="20"/>
                <w:szCs w:val="20"/>
                <w:color w:val="auto"/>
              </w:rPr>
            </w:pPr>
            <w:r>
              <w:rPr>
                <w:rFonts w:ascii="Arial" w:cs="Arial" w:eastAsia="Arial" w:hAnsi="Arial"/>
                <w:sz w:val="18"/>
                <w:szCs w:val="18"/>
                <w:color w:val="auto"/>
                <w:w w:val="89"/>
              </w:rPr>
              <w:t>05/2020</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683,374</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687,984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379</w:t>
            </w:r>
          </w:p>
        </w:tc>
        <w:tc>
          <w:tcPr>
            <w:tcW w:w="6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West Broadway</w:t>
            </w: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12/2007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12,872</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One Madison Avenue — Clock Tower(6)</w:t>
            </w:r>
          </w:p>
        </w:tc>
        <w:tc>
          <w:tcPr>
            <w:tcW w:w="860" w:type="dxa"/>
            <w:vAlign w:val="bottom"/>
          </w:tcPr>
          <w:p>
            <w:pPr>
              <w:ind w:left="280"/>
              <w:spacing w:after="0"/>
              <w:rPr>
                <w:sz w:val="20"/>
                <w:szCs w:val="20"/>
                <w:color w:val="auto"/>
              </w:rPr>
            </w:pPr>
            <w:r>
              <w:rPr>
                <w:rFonts w:ascii="Arial" w:cs="Arial" w:eastAsia="Arial" w:hAnsi="Arial"/>
                <w:sz w:val="18"/>
                <w:szCs w:val="18"/>
                <w:color w:val="auto"/>
                <w:w w:val="86"/>
              </w:rPr>
              <w:t>11/2007</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6.98%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127,323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Mack-Green joint venture(7)</w:t>
            </w: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08/2014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102,519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tcPr>
          <w:p>
            <w:pPr>
              <w:spacing w:after="0" w:line="216" w:lineRule="exact"/>
              <w:rPr>
                <w:sz w:val="20"/>
                <w:szCs w:val="20"/>
                <w:color w:val="auto"/>
              </w:rPr>
            </w:pPr>
            <w:r>
              <w:rPr>
                <w:rFonts w:ascii="Arial" w:cs="Arial" w:eastAsia="Arial" w:hAnsi="Arial"/>
                <w:sz w:val="18"/>
                <w:szCs w:val="18"/>
                <w:color w:val="auto"/>
              </w:rPr>
              <w:t>21 West 34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tc>
        <w:tc>
          <w:tcPr>
            <w:tcW w:w="860" w:type="dxa"/>
            <w:vAlign w:val="bottom"/>
          </w:tcPr>
          <w:p>
            <w:pPr>
              <w:ind w:left="260"/>
              <w:spacing w:after="0"/>
              <w:rPr>
                <w:sz w:val="20"/>
                <w:szCs w:val="20"/>
                <w:color w:val="auto"/>
              </w:rPr>
            </w:pPr>
            <w:r>
              <w:rPr>
                <w:rFonts w:ascii="Arial" w:cs="Arial" w:eastAsia="Arial" w:hAnsi="Arial"/>
                <w:sz w:val="18"/>
                <w:szCs w:val="18"/>
                <w:color w:val="auto"/>
                <w:w w:val="89"/>
              </w:rPr>
              <w:t>12/2016</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800</w:t>
            </w:r>
          </w:p>
        </w:tc>
        <w:tc>
          <w:tcPr>
            <w:tcW w:w="6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Third Avenue</w:t>
            </w: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08/2008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521</w:t>
            </w:r>
          </w:p>
        </w:tc>
        <w:tc>
          <w:tcPr>
            <w:tcW w:w="6780" w:type="dxa"/>
            <w:vAlign w:val="bottom"/>
            <w:gridSpan w:val="3"/>
          </w:tcPr>
          <w:p>
            <w:pPr>
              <w:ind w:left="20"/>
              <w:spacing w:after="0"/>
              <w:rPr>
                <w:sz w:val="20"/>
                <w:szCs w:val="20"/>
                <w:color w:val="auto"/>
              </w:rPr>
            </w:pPr>
            <w:r>
              <w:rPr>
                <w:rFonts w:ascii="Arial" w:cs="Arial" w:eastAsia="Arial" w:hAnsi="Arial"/>
                <w:sz w:val="18"/>
                <w:szCs w:val="18"/>
                <w:color w:val="auto"/>
              </w:rPr>
              <w:t>Fifth Avenue</w:t>
            </w:r>
          </w:p>
        </w:tc>
        <w:tc>
          <w:tcPr>
            <w:tcW w:w="860" w:type="dxa"/>
            <w:vAlign w:val="bottom"/>
          </w:tcPr>
          <w:p>
            <w:pPr>
              <w:ind w:left="280"/>
              <w:spacing w:after="0"/>
              <w:rPr>
                <w:sz w:val="20"/>
                <w:szCs w:val="20"/>
                <w:color w:val="auto"/>
              </w:rPr>
            </w:pPr>
            <w:r>
              <w:rPr>
                <w:rFonts w:ascii="Arial" w:cs="Arial" w:eastAsia="Arial" w:hAnsi="Arial"/>
                <w:sz w:val="18"/>
                <w:szCs w:val="18"/>
                <w:color w:val="auto"/>
                <w:w w:val="86"/>
              </w:rPr>
              <w:t>04/2011</w:t>
            </w: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140,000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1"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rate represents the effective all-in weighted average interest rate for the quarter ended December 31, 2006.</w:t>
      </w:r>
    </w:p>
    <w:p>
      <w:pPr>
        <w:spacing w:after="0" w:line="23" w:lineRule="exact"/>
        <w:rPr>
          <w:rFonts w:ascii="Arial" w:cs="Arial" w:eastAsia="Arial" w:hAnsi="Arial"/>
          <w:sz w:val="18"/>
          <w:szCs w:val="18"/>
          <w:color w:val="auto"/>
        </w:rPr>
      </w:pPr>
    </w:p>
    <w:p>
      <w:pPr>
        <w:ind w:left="360" w:right="180" w:hanging="352"/>
        <w:spacing w:after="0" w:line="250" w:lineRule="auto"/>
        <w:tabs>
          <w:tab w:leader="none" w:pos="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loan has an interest rate based on the LIBOR plus 75 basis points. $65.0 million of this loan has been hedged through December 2010. The hedge fixed the LIBOR rate at 4.8%.</w:t>
      </w:r>
    </w:p>
    <w:p>
      <w:pPr>
        <w:ind w:left="360" w:right="140" w:hanging="352"/>
        <w:spacing w:after="0" w:line="265" w:lineRule="auto"/>
        <w:tabs>
          <w:tab w:leader="none" w:pos="38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interest only loan carried an interest rate of 120 basis points over the 30-day LIBOR, but was reduced to 80 basis points over the 30-day LIBOR in December 2006. The loan is subject to two one-year as-of-right renewal extensions. The joint venture extended this loan for one year.</w:t>
      </w:r>
    </w:p>
    <w:p>
      <w:pPr>
        <w:ind w:left="360" w:right="260" w:hanging="352"/>
        <w:spacing w:after="0" w:line="250" w:lineRule="auto"/>
        <w:tabs>
          <w:tab w:leader="none" w:pos="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interest only loan carries an interest rate of 90 basis points over the 30-day LIBOR. The mortgage is subject to three one-year as-of-right renewal options.</w:t>
      </w:r>
    </w:p>
    <w:p>
      <w:pPr>
        <w:ind w:left="360" w:right="180" w:hanging="352"/>
        <w:spacing w:after="0" w:line="250" w:lineRule="auto"/>
        <w:tabs>
          <w:tab w:leader="none" w:pos="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October 2005, the loan was increased by $60.0 million to $175.0 million. It will mature in 2015 and carries an interest rate of approximately 6.52%. Proceeds from the refinancing will be used to redevelop the property.</w:t>
      </w: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interest only loan carries an interest rate of 160 basis points over the 30-day LIBOR.</w:t>
      </w:r>
    </w:p>
    <w:p>
      <w:pPr>
        <w:spacing w:after="0" w:line="9" w:lineRule="exact"/>
        <w:rPr>
          <w:rFonts w:ascii="Arial" w:cs="Arial" w:eastAsia="Arial" w:hAnsi="Arial"/>
          <w:sz w:val="18"/>
          <w:szCs w:val="18"/>
          <w:color w:val="auto"/>
        </w:rPr>
      </w:pPr>
    </w:p>
    <w:p>
      <w:pPr>
        <w:ind w:left="360" w:right="540" w:hanging="352"/>
        <w:spacing w:after="0" w:line="261" w:lineRule="auto"/>
        <w:tabs>
          <w:tab w:leader="none" w:pos="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Comprised of $90.6 million variable rate debt that matures in May 2008 and $12.0 million fixed rate debt that matures in August 2014. Gramercy provided the variable rate debt.</w:t>
      </w:r>
    </w:p>
    <w:p>
      <w:pPr>
        <w:spacing w:after="0" w:line="18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act as the operating partner and day-to-day manager for all our joint ventures, except for 1221 Avenue of the Americas, Mack-Green and 800 Third Avenue. We are entitled to receive fees for providing management, leasing, construction supervision and asset management services to our joint ventures. We earned approximately $9.7 million, $10.8 million and $8.4 million from these services for the years ended December 31, 2006, 2005 and 2004, respectively. In addition, we have the ability to earn incentive fees based on the ultimate financial performance of certain of the joint venture properties.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Gramercy Capital Corp.</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April 2004, we formed Gramercy as a national commercial real estate specialty finance company that focuses on the direct origination and acquisition of whole loans, subordinate interests in whole loans, mezzanine loans, preferred equity and net lease investments involving commercial properties throughout the United States. Gramercy qualified as a REIT for federal income tax purposes and expects to qualify for its current fiscal year. In July 2004, Gramercy sold 12.5 million shares of common stock in its initial public offering at a price of $15.00 per share, for a total offering of $187.5 million. Certain of our executive officers purchased from us shares of common stock of Gramercy issued to one of our subsidiaries as part of Gramercy’s initial capitalization prior to 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initial public offering at the same price as the estimated fair value of such shares at the time of formation. As part of the offering, which closed on August 2, 2004, we purchased 3,125,000 shares, or 25%, of Gramercy, for a total investment of approximately $46.9 million. In January 2005, we purchased an additional 1,275,000 shares of common stock of Gramercy, increasing our total investment to approximately $68.9 million. In September 2005, we purchased an additional 958,333 shares of common stock of Gramercy, increasing our total investment to approximately $93.6 million. In May 2006, we purchased an additional 750,000 shares of common stock of Gramercy, increasing our total investment to approximately $113.7 million. We currently hold 6,418,333 shares of Gramercy’s common stock. The market value of our investment in Gramercy was approximately $198.3 million at December 31, 2006.</w:t>
      </w:r>
    </w:p>
    <w:p>
      <w:pPr>
        <w:sectPr>
          <w:pgSz w:w="11900" w:h="16838" w:orient="portrait"/>
          <w:cols w:equalWidth="0" w:num="1">
            <w:col w:w="11420"/>
          </w:cols>
          <w:pgMar w:left="240" w:top="125" w:right="239" w:bottom="53" w:gutter="0" w:footer="0" w:header="0"/>
        </w:sectPr>
      </w:pPr>
    </w:p>
    <w:bookmarkStart w:id="51" w:name="page52"/>
    <w:bookmarkEnd w:id="51"/>
    <w:p>
      <w:pPr>
        <w:ind w:right="320"/>
        <w:spacing w:after="0" w:line="277" w:lineRule="auto"/>
        <w:rPr>
          <w:sz w:val="20"/>
          <w:szCs w:val="20"/>
          <w:color w:val="auto"/>
        </w:rPr>
      </w:pPr>
      <w:r>
        <w:rPr>
          <w:rFonts w:ascii="Arial" w:cs="Arial" w:eastAsia="Arial" w:hAnsi="Arial"/>
          <w:sz w:val="18"/>
          <w:szCs w:val="18"/>
          <w:color w:val="auto"/>
        </w:rPr>
        <w:t>Gramercy is a variable interest entity, but we are not the primary beneficiary. Due to the significant influence we have over Gramercy, we account for our investment under the equity method of accounting.</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Gramercy’s initial public offering, GKK Manager LLC, or the Manager, an affiliate of ours, entered into a management agreement with Gramercy, which provided for an initial term through December 2007, with automatic one-year extension options and certain termination rights. In April 2006, Gramercy’s board of directors approved, among other things, an extension of the management agreement through December 2009. Gramercy pays the Manager an annual management fee equal to 1.75% of their gross stockholders’ equity (as defined in the amended and restated management agreement). In addition, Gramercy also pays the Manager a collateral management fee (as defined in the collateral management agreement) of 0.25% per annum on the outstanding investment grade bonds in Gramercy’s July 2005 collateralized debt obligation. The amended and restated management agreement provides that in connection with formations of future collateralized debt obligations, or CDO, or other securitization vehicles, if a collateral manager is retained, the Manager or an affiliate will be the collateral manager and will receive the following fees: (i) 0.25% per annum of the book value of the assets owned for transitional “managed” CDOs, (ii) 0.15% per annum of the book value of the assets owned for non-transitional “managed” CDOs, (iii) 0.10% per annum of the book value of the assets owned for static CDOs that own primarily non-investment grade bonds, and (iv) 0.05% per annum of the book value of the assets owned for static CDOs that own primarily investment grade bonds; limited in each instance by the fees that are paid to the collateral manager. For the years ended December 31, 2006, 2005 and 2004, we received an aggregate of approximately $10.2 million, $6.3 million, and $1.3 million, respectively, in fees under the management agreement and $2.9 million, $0.9 million and none under the collateral management agreement.</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 provide an incentive for the Manager to enhance the value of the common stock, we, along with the Manager and other holders of Class B limited partnership interests in Gramercy’s operating partnership, are entitled to an incentive return payable through the Class B limited partner interests in Gramercy’s operating partnership, equal to 25% of the amount by which funds from operations (as defined in Gramercy’s partnership agreement) plus certain accounting gains exceed the product of the weighted average stockholders’ equity of Gramercy multiplied by 9.5% (divided by 4 to adjust for quarterly calculations). We will record any distributions on the Class B limited partner interests as incentive distribution income in the period when earned and when receipt of such amounts have become probable and reasonably estimable in accordance with Gramercy’s partnership agreement as if such agreement had been terminated on that date. We earned approximately $7.6 million, $2.3 million and none under this agreement for the years ended December 31, 2006, 2005 and 2004, respectively. Due to the control we have over the Manager, we consolidate the accounts of the Manager into ours.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2005, our Compensation Committee approved long-term incentive performance awards pursuant to which certain of our officers and employees, including some of whom are our senior executive officers, were awarded a portion of the interests previously held by us in the Manager as well as in the Class B limited partner interests in Gramercy’s operating partnership. These awards are dependent upon, among other things, tenure of employment and the performance by SL Green Realty Corp. and its investment in Gramercy. We recorded compensation expense of approximately $2.0 million and $0.4 million for the years ended December 31, 2006 and 2005, respectively, related to these awards. After giving effect to these awards, we own 65.83 units of the Class B limited partner interests and 65.83% of the Manager. The officers and employees who received these awards own 15.75 units of the Class B limited partner interests and 15.75% of the Manager.</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Gramercy is obligated to reimburse the Manager for its costs incurred under an asset servicing agreement and an outsource agreement between the Manager and us. The asset servicing agreement, which was amended and restated in April 2006, provides for an annual fee payable to us of 0.05% of the book value of all Gramercy’s credit tenant lease assets and non-investment grade bonds and 0.15% of the book value of all other Gramercy assets. We may reduce the asset-servicing fee for fees that Gramercy pays directly to outside servicers. The outsourcing agreement currently provides for a fee of $1.33 million per year, increasing 3% annually over the prior year. For the years ended December 31, 2006, 2005 and 2004, the Manager received an aggregate of approximately $3.7 million, $2.3 million and $0.6 million, respectively, under the outsourcing and asset servicing agreements.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5,500,000 shares of common stock that were sold on December 31, 2004 and settled on December 31, 2004 and January 3, 2005 in a private placement of Gramercy stock, Gramercy paid the Manager a fee of $1.0 million as compensation for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structuring and other services performed on Gramercy’s behalf.</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year ended December 31, 2006, we paid our proportionate share of an advisory fee of approximately $162,500 to Gramercy in connection with a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of Gramercy elected to make an additional payment of approximately $1.6 million based upon the 2006 performance of Gramercy.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All fees earned from Gramercy are included in other income in the Consolidated Statements of 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May 1, 2005 Gramercy entered into a lease agreement with an affiliate of ours, for their corporate offices at 420 Lexington Avenue, New York, NY. The lease is for approximately five thousand square feet with an option to lease an additional approximately two thousand square feet and carries a term of ten year with rents of approximately $249,000 per annum for year one rising to $315,000 per annum in year ten.</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above for a discussion on Gramercy’s joint venture investment, along with us, in One Madison Avenue-South Building and Note 3 for a discussion on 55 Corporate Drive.</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condensed combined balance sheets for the unconsolidated joint ventures, including Gramercy, at December 31, 2006 and 2005,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8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Commercial real estate property, net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3,760,477</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3,327,691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finance investments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2,144,151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1,205,745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783,754</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424,468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6,688,382</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4,957,904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Liabilities and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2" w:name="page53"/>
    <w:bookmarkEnd w:id="5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Arial" w:cs="Arial" w:eastAsia="Arial" w:hAnsi="Arial"/>
                <w:sz w:val="18"/>
                <w:szCs w:val="18"/>
                <w:color w:val="auto"/>
              </w:rPr>
              <w:t>Mortgages payable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2,605,023</w:t>
            </w:r>
          </w:p>
        </w:tc>
        <w:tc>
          <w:tcPr>
            <w:tcW w:w="28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2,257,667</w:t>
            </w:r>
          </w:p>
        </w:tc>
        <w:tc>
          <w:tcPr>
            <w:tcW w:w="60" w:type="dxa"/>
            <w:vAlign w:val="bottom"/>
          </w:tcPr>
          <w:p>
            <w:pPr>
              <w:spacing w:after="0"/>
              <w:rPr>
                <w:sz w:val="20"/>
                <w:szCs w:val="20"/>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loans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2,156,662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1,068,866</w:t>
            </w:r>
          </w:p>
        </w:tc>
        <w:tc>
          <w:tcPr>
            <w:tcW w:w="6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141,504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120,959</w:t>
            </w:r>
          </w:p>
        </w:tc>
        <w:tc>
          <w:tcPr>
            <w:tcW w:w="6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1,785,193</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1,510,412</w:t>
            </w:r>
          </w:p>
        </w:tc>
        <w:tc>
          <w:tcPr>
            <w:tcW w:w="60" w:type="dxa"/>
            <w:vAlign w:val="bottom"/>
            <w:shd w:val="clear" w:color="auto" w:fill="CCEEFF"/>
          </w:tcPr>
          <w:p>
            <w:pPr>
              <w:spacing w:after="0"/>
              <w:rPr>
                <w:sz w:val="18"/>
                <w:szCs w:val="18"/>
                <w:color w:val="auto"/>
              </w:rPr>
            </w:pPr>
          </w:p>
        </w:tc>
      </w:tr>
      <w:tr>
        <w:trPr>
          <w:trHeight w:val="250"/>
        </w:trPr>
        <w:tc>
          <w:tcPr>
            <w:tcW w:w="9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 and members’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6,688,382</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4,957,904</w:t>
            </w:r>
          </w:p>
        </w:tc>
        <w:tc>
          <w:tcPr>
            <w:tcW w:w="60" w:type="dxa"/>
            <w:vAlign w:val="bottom"/>
            <w:tcBorders>
              <w:bottom w:val="single" w:sz="8" w:color="CCEEFF"/>
            </w:tcBorders>
          </w:tcPr>
          <w:p>
            <w:pPr>
              <w:spacing w:after="0"/>
              <w:rPr>
                <w:sz w:val="21"/>
                <w:szCs w:val="21"/>
                <w:color w:val="auto"/>
              </w:rPr>
            </w:pPr>
          </w:p>
        </w:tc>
      </w:tr>
      <w:tr>
        <w:trPr>
          <w:trHeight w:val="197"/>
        </w:trPr>
        <w:tc>
          <w:tcPr>
            <w:tcW w:w="90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Company’s net investment in unconsolidated joint ventures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686,069</w:t>
            </w: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543,189</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9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condensed combined statements of operations for the unconsolidated joint ventures, including Gramercy, from acquisition date through December 31, 2006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652,240</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501,079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345,389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143,852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109,566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69,922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241,481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133,723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78,545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533,800</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377,970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248,453</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before gain on sale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118,440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123,109</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color w:val="auto"/>
              </w:rPr>
              <w:t>Company’s equity in net income of unconsolidated joint ventures</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40,780</w:t>
            </w:r>
          </w:p>
        </w:tc>
        <w:tc>
          <w:tcPr>
            <w:tcW w:w="2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49,349</w:t>
            </w: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44,037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 in and Advances to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Corporation</w:t>
      </w:r>
    </w:p>
    <w:p>
      <w:pPr>
        <w:spacing w:after="0" w:line="2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Income from management, leasing and construction contracts from third parties and joint venture properties, is realized by the Service Corporation. In order to maintain our qualification as a REIT, we, through our operating partnership, own 100% of the non-voting common stock (representing 95% of the total equity) of the Service Corporation our operating partnership receives substantially all of the cash flow from the Service Corporation’s operations through dividends on its equity interest. All of the voting common stock of the Service Corporation (representing 5% of the total equity) is held by our affiliate. This controlling interest gives the affiliate the power to elect all directors of the Service Corporation. Effective July 1, 2003, we consolidated the operations of the Service Corporation because it is considered to be a variable interest entity under FIN 46 and we are the primary beneficiary. For the years ended December 31, 2006, 2005 and 2004, the Service Corporation earned approximately $9.0 million, $10.5 million and $7.7 million of revenue and incurred approximately $7.6 million, $7.9 million and $6.3 million in expenses, respectively. Effective January 1, 2001, the Service Corporation elected to be treated as a TRS.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of the management, leasing and construction services with respect to our wholly-owned properties are conducted through SL Green Management LLC, which is 100% owned by our operating partnership.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eEmerge</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May 2000, our operating partnership formed eEmerge, Inc., a Delaware corporation, or eEmerge. eEmerge is a separately managed, self-funded company that provides fully-wired and furnished office space, services and support to businesses.</w:t>
      </w:r>
    </w:p>
    <w:p>
      <w:pPr>
        <w:spacing w:after="0" w:line="18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In March 2002, we acquired all the voting common stock of eEmerge Inc. As a result, we control all the common stock of eEmerge. Effective with the quarter ended March 31, 2002, we consolidated the operations of eEmerge. Effective January 1, 2001, eEmerge elected to be taxed as a TRS.</w:t>
      </w:r>
    </w:p>
    <w:p>
      <w:pPr>
        <w:spacing w:after="0" w:line="12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June 2000, eEmerge and Eureka Broadband Corporation, or Eureka, formed eEmerge.NYC LLC, a Delaware limited liability company, or ENYC, in which eEmerge had a 95% interest and Eureka had a 5% interest in ENYC. During the third quarter of 2006, ENYC acquired the interest held by Eureka. As a result, eEmerge owns 100% of ENYC. ENYC operates a 71,700 square foot fractional office suites business. In 2000, ENYC entered into a 10-year lease with our operating partnership for its 50,200 square foot premises, which is located at 440 Ninth Avenue, Manhattan. In 2005 ENYC entered into another 10-year lease with our operating partnership for its 21,500 square foot premises at 28 West 44P</w:t>
      </w:r>
      <w:r>
        <w:rPr>
          <w:rFonts w:ascii="Arial" w:cs="Arial" w:eastAsia="Arial" w:hAnsi="Arial"/>
          <w:sz w:val="23"/>
          <w:szCs w:val="23"/>
          <w:color w:val="auto"/>
          <w:vertAlign w:val="superscript"/>
        </w:rPr>
        <w:t>thP</w:t>
      </w:r>
      <w:r>
        <w:rPr>
          <w:rFonts w:ascii="Arial" w:cs="Arial" w:eastAsia="Arial" w:hAnsi="Arial"/>
          <w:sz w:val="18"/>
          <w:szCs w:val="18"/>
          <w:color w:val="auto"/>
        </w:rPr>
        <w:t xml:space="preserve"> Street, Manhattan. Allocations of net profits, net losses and distributions are made in accordance with the Limited Liability Company Agreement of ENYC. Effective with the quarter ended March 31, 2002, we consolidated the operations of ENYC.</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net book value of our investment in eEmerge as of December 31, 2006 and 2005 was approximately $3.6 million and $3.9 million, respectively.</w:t>
      </w:r>
    </w:p>
    <w:p>
      <w:pPr>
        <w:spacing w:after="0" w:line="233"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Costs</w:t>
      </w:r>
    </w:p>
    <w:p>
      <w:pPr>
        <w:spacing w:after="0" w:line="229"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Deferred costs at December 31 consisted of the following (in thousands):</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40,118</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Deferred leasing</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2"/>
              </w:rPr>
              <w:t>115,147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78,086</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143,731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118,204</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(45,881)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(38,776)</w:t>
            </w:r>
          </w:p>
        </w:tc>
      </w:tr>
      <w:tr>
        <w:trPr>
          <w:trHeight w:val="21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costs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97,850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Mortgage Notes Payable</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first mortgage notes payable collateralized by the respective properties and assignment of leases at December 31, 2006 and December 31, 2005, respectively,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Property</w:t>
            </w:r>
          </w:p>
        </w:tc>
        <w:tc>
          <w:tcPr>
            <w:tcW w:w="280" w:type="dxa"/>
            <w:vAlign w:val="bottom"/>
            <w:vMerge w:val="restart"/>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Interest</w:t>
            </w:r>
          </w:p>
        </w:tc>
        <w:tc>
          <w:tcPr>
            <w:tcW w:w="10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3"/>
                <w:szCs w:val="13"/>
                <w:color w:val="auto"/>
              </w:rPr>
            </w:pPr>
          </w:p>
        </w:tc>
        <w:tc>
          <w:tcPr>
            <w:tcW w:w="10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62"/>
        </w:trPr>
        <w:tc>
          <w:tcPr>
            <w:tcW w:w="61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80" w:type="dxa"/>
            <w:vAlign w:val="bottom"/>
          </w:tcPr>
          <w:p>
            <w:pPr>
              <w:spacing w:after="0"/>
              <w:rPr>
                <w:sz w:val="14"/>
                <w:szCs w:val="14"/>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Rate (6)</w:t>
            </w:r>
          </w:p>
        </w:tc>
        <w:tc>
          <w:tcPr>
            <w:tcW w:w="2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21" w:right="23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70 West 36th Street(1)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11,199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11,414</w:t>
            </w:r>
          </w:p>
        </w:tc>
      </w:tr>
      <w:tr>
        <w:trPr>
          <w:trHeight w:val="216"/>
        </w:trPr>
        <w:tc>
          <w:tcPr>
            <w:tcW w:w="6420" w:type="dxa"/>
            <w:vAlign w:val="bottom"/>
            <w:gridSpan w:val="4"/>
          </w:tcPr>
          <w:p>
            <w:pPr>
              <w:spacing w:after="0"/>
              <w:rPr>
                <w:sz w:val="20"/>
                <w:szCs w:val="20"/>
                <w:color w:val="auto"/>
              </w:rPr>
            </w:pPr>
            <w:r>
              <w:rPr>
                <w:rFonts w:ascii="Arial" w:cs="Arial" w:eastAsia="Arial" w:hAnsi="Arial"/>
                <w:sz w:val="18"/>
                <w:szCs w:val="18"/>
                <w:color w:val="auto"/>
              </w:rPr>
              <w:t>711 Third Avenue(1)</w:t>
            </w:r>
          </w:p>
        </w:tc>
        <w:tc>
          <w:tcPr>
            <w:tcW w:w="1040" w:type="dxa"/>
            <w:vAlign w:val="bottom"/>
          </w:tcPr>
          <w:p>
            <w:pPr>
              <w:jc w:val="right"/>
              <w:spacing w:after="0"/>
              <w:rPr>
                <w:sz w:val="20"/>
                <w:szCs w:val="20"/>
                <w:color w:val="auto"/>
              </w:rPr>
            </w:pPr>
            <w:r>
              <w:rPr>
                <w:rFonts w:ascii="Arial" w:cs="Arial" w:eastAsia="Arial" w:hAnsi="Arial"/>
                <w:sz w:val="18"/>
                <w:szCs w:val="18"/>
                <w:color w:val="auto"/>
              </w:rPr>
              <w:t>6/2015</w:t>
            </w: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120,000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420</w:t>
            </w:r>
          </w:p>
        </w:tc>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Lexington Avenue(1)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115,182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117,466</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673</w:t>
            </w:r>
          </w:p>
        </w:tc>
        <w:tc>
          <w:tcPr>
            <w:tcW w:w="6120" w:type="dxa"/>
            <w:vAlign w:val="bottom"/>
            <w:gridSpan w:val="3"/>
          </w:tcPr>
          <w:p>
            <w:pPr>
              <w:ind w:left="20"/>
              <w:spacing w:after="0"/>
              <w:rPr>
                <w:sz w:val="20"/>
                <w:szCs w:val="20"/>
                <w:color w:val="auto"/>
              </w:rPr>
            </w:pPr>
            <w:r>
              <w:rPr>
                <w:rFonts w:ascii="Arial" w:cs="Arial" w:eastAsia="Arial" w:hAnsi="Arial"/>
                <w:sz w:val="18"/>
                <w:szCs w:val="18"/>
                <w:color w:val="auto"/>
              </w:rPr>
              <w:t>First Avenue(1)</w:t>
            </w:r>
          </w:p>
        </w:tc>
        <w:tc>
          <w:tcPr>
            <w:tcW w:w="1040" w:type="dxa"/>
            <w:vAlign w:val="bottom"/>
          </w:tcPr>
          <w:p>
            <w:pPr>
              <w:jc w:val="right"/>
              <w:spacing w:after="0"/>
              <w:rPr>
                <w:sz w:val="20"/>
                <w:szCs w:val="20"/>
                <w:color w:val="auto"/>
              </w:rPr>
            </w:pPr>
            <w:r>
              <w:rPr>
                <w:rFonts w:ascii="Arial" w:cs="Arial" w:eastAsia="Arial" w:hAnsi="Arial"/>
                <w:sz w:val="18"/>
                <w:szCs w:val="18"/>
                <w:color w:val="auto"/>
              </w:rPr>
              <w:t>2/2013</w:t>
            </w: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33,816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34,474</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125</w:t>
            </w:r>
          </w:p>
        </w:tc>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Broad Street(2)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10/2007</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73,985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74,787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220</w:t>
            </w:r>
          </w:p>
        </w:tc>
        <w:tc>
          <w:tcPr>
            <w:tcW w:w="6120" w:type="dxa"/>
            <w:vAlign w:val="bottom"/>
            <w:gridSpan w:val="3"/>
          </w:tcPr>
          <w:p>
            <w:pPr>
              <w:ind w:left="20"/>
              <w:spacing w:after="0"/>
              <w:rPr>
                <w:sz w:val="20"/>
                <w:szCs w:val="20"/>
                <w:color w:val="auto"/>
              </w:rPr>
            </w:pPr>
            <w:r>
              <w:rPr>
                <w:rFonts w:ascii="Arial" w:cs="Arial" w:eastAsia="Arial" w:hAnsi="Arial"/>
                <w:sz w:val="18"/>
                <w:szCs w:val="18"/>
                <w:color w:val="auto"/>
              </w:rPr>
              <w:t>East 42nd Street(1)</w:t>
            </w:r>
          </w:p>
        </w:tc>
        <w:tc>
          <w:tcPr>
            <w:tcW w:w="1040" w:type="dxa"/>
            <w:vAlign w:val="bottom"/>
          </w:tcPr>
          <w:p>
            <w:pPr>
              <w:jc w:val="right"/>
              <w:spacing w:after="0"/>
              <w:rPr>
                <w:sz w:val="20"/>
                <w:szCs w:val="20"/>
                <w:color w:val="auto"/>
              </w:rPr>
            </w:pPr>
            <w:r>
              <w:rPr>
                <w:rFonts w:ascii="Arial" w:cs="Arial" w:eastAsia="Arial" w:hAnsi="Arial"/>
                <w:sz w:val="18"/>
                <w:szCs w:val="18"/>
                <w:color w:val="auto"/>
              </w:rPr>
              <w:t>12/2013</w:t>
            </w: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210,000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210,000</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625</w:t>
            </w:r>
          </w:p>
        </w:tc>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Madison Avenue(1)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11/2015</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101,834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102,000</w:t>
            </w:r>
          </w:p>
        </w:tc>
      </w:tr>
      <w:tr>
        <w:trPr>
          <w:trHeight w:val="216"/>
        </w:trPr>
        <w:tc>
          <w:tcPr>
            <w:tcW w:w="6420" w:type="dxa"/>
            <w:vAlign w:val="bottom"/>
            <w:gridSpan w:val="4"/>
          </w:tcPr>
          <w:p>
            <w:pPr>
              <w:spacing w:after="0"/>
              <w:rPr>
                <w:sz w:val="20"/>
                <w:szCs w:val="20"/>
                <w:color w:val="auto"/>
              </w:rPr>
            </w:pPr>
            <w:r>
              <w:rPr>
                <w:rFonts w:ascii="Arial" w:cs="Arial" w:eastAsia="Arial" w:hAnsi="Arial"/>
                <w:sz w:val="18"/>
                <w:szCs w:val="18"/>
                <w:color w:val="auto"/>
              </w:rPr>
              <w:t>55 Corporate Drive</w:t>
            </w:r>
          </w:p>
        </w:tc>
        <w:tc>
          <w:tcPr>
            <w:tcW w:w="1040" w:type="dxa"/>
            <w:vAlign w:val="bottom"/>
          </w:tcPr>
          <w:p>
            <w:pPr>
              <w:jc w:val="right"/>
              <w:spacing w:after="0"/>
              <w:rPr>
                <w:sz w:val="20"/>
                <w:szCs w:val="20"/>
                <w:color w:val="auto"/>
              </w:rPr>
            </w:pPr>
            <w:r>
              <w:rPr>
                <w:rFonts w:ascii="Arial" w:cs="Arial" w:eastAsia="Arial" w:hAnsi="Arial"/>
                <w:sz w:val="18"/>
                <w:szCs w:val="18"/>
                <w:color w:val="auto"/>
              </w:rPr>
              <w:t>12/2015</w:t>
            </w: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95,000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609</w:t>
            </w:r>
          </w:p>
        </w:tc>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Fifth Avenue(1)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10/2013</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101,807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609</w:t>
            </w:r>
          </w:p>
        </w:tc>
        <w:tc>
          <w:tcPr>
            <w:tcW w:w="6120" w:type="dxa"/>
            <w:vAlign w:val="bottom"/>
            <w:gridSpan w:val="3"/>
          </w:tcPr>
          <w:p>
            <w:pPr>
              <w:ind w:left="20"/>
              <w:spacing w:after="0"/>
              <w:rPr>
                <w:sz w:val="20"/>
                <w:szCs w:val="20"/>
                <w:color w:val="auto"/>
              </w:rPr>
            </w:pPr>
            <w:r>
              <w:rPr>
                <w:rFonts w:ascii="Arial" w:cs="Arial" w:eastAsia="Arial" w:hAnsi="Arial"/>
                <w:sz w:val="18"/>
                <w:szCs w:val="18"/>
                <w:color w:val="auto"/>
              </w:rPr>
              <w:t>Partners, LLC</w:t>
            </w:r>
          </w:p>
        </w:tc>
        <w:tc>
          <w:tcPr>
            <w:tcW w:w="1040" w:type="dxa"/>
            <w:vAlign w:val="bottom"/>
          </w:tcPr>
          <w:p>
            <w:pPr>
              <w:jc w:val="right"/>
              <w:spacing w:after="0"/>
              <w:rPr>
                <w:sz w:val="20"/>
                <w:szCs w:val="20"/>
                <w:color w:val="auto"/>
              </w:rPr>
            </w:pPr>
            <w:r>
              <w:rPr>
                <w:rFonts w:ascii="Arial" w:cs="Arial" w:eastAsia="Arial" w:hAnsi="Arial"/>
                <w:sz w:val="18"/>
                <w:szCs w:val="18"/>
                <w:color w:val="auto"/>
              </w:rPr>
              <w:t>7/2014</w:t>
            </w: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63,891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fixed rate debt</w:t>
            </w:r>
          </w:p>
        </w:tc>
        <w:tc>
          <w:tcPr>
            <w:tcW w:w="10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926,714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670,141</w:t>
            </w:r>
          </w:p>
        </w:tc>
      </w:tr>
      <w:tr>
        <w:trPr>
          <w:trHeight w:val="210"/>
        </w:trPr>
        <w:tc>
          <w:tcPr>
            <w:tcW w:w="6420" w:type="dxa"/>
            <w:vAlign w:val="bottom"/>
            <w:gridSpan w:val="4"/>
          </w:tcPr>
          <w:p>
            <w:pPr>
              <w:spacing w:after="0"/>
              <w:rPr>
                <w:sz w:val="20"/>
                <w:szCs w:val="20"/>
                <w:color w:val="auto"/>
              </w:rPr>
            </w:pPr>
            <w:r>
              <w:rPr>
                <w:rFonts w:ascii="Arial" w:cs="Arial" w:eastAsia="Arial" w:hAnsi="Arial"/>
                <w:sz w:val="18"/>
                <w:szCs w:val="18"/>
                <w:color w:val="auto"/>
              </w:rPr>
              <w:t>One Madison Avenue — Clock Tower(3)</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113,546</w:t>
            </w:r>
          </w:p>
        </w:tc>
      </w:tr>
      <w:tr>
        <w:trPr>
          <w:trHeight w:val="216"/>
        </w:trPr>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1551/1555 Broadway and 21 West 34th Street(4)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8/2008</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78,208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91,532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141</w:t>
            </w:r>
          </w:p>
        </w:tc>
        <w:tc>
          <w:tcPr>
            <w:tcW w:w="6120" w:type="dxa"/>
            <w:vAlign w:val="bottom"/>
            <w:gridSpan w:val="3"/>
          </w:tcPr>
          <w:p>
            <w:pPr>
              <w:ind w:left="20"/>
              <w:spacing w:after="0"/>
              <w:rPr>
                <w:sz w:val="20"/>
                <w:szCs w:val="20"/>
                <w:color w:val="auto"/>
              </w:rPr>
            </w:pPr>
            <w:r>
              <w:rPr>
                <w:rFonts w:ascii="Arial" w:cs="Arial" w:eastAsia="Arial" w:hAnsi="Arial"/>
                <w:sz w:val="18"/>
                <w:szCs w:val="18"/>
                <w:color w:val="auto"/>
              </w:rPr>
              <w:t>Fifth Avenue(4)</w:t>
            </w:r>
          </w:p>
        </w:tc>
        <w:tc>
          <w:tcPr>
            <w:tcW w:w="1040" w:type="dxa"/>
            <w:vAlign w:val="bottom"/>
          </w:tcPr>
          <w:p>
            <w:pPr>
              <w:jc w:val="right"/>
              <w:spacing w:after="0"/>
              <w:rPr>
                <w:sz w:val="20"/>
                <w:szCs w:val="20"/>
                <w:color w:val="auto"/>
              </w:rPr>
            </w:pPr>
            <w:r>
              <w:rPr>
                <w:rFonts w:ascii="Arial" w:cs="Arial" w:eastAsia="Arial" w:hAnsi="Arial"/>
                <w:sz w:val="18"/>
                <w:szCs w:val="18"/>
                <w:color w:val="auto"/>
              </w:rPr>
              <w:t>9/2007</w:t>
            </w: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10,457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10,033</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717</w:t>
            </w:r>
          </w:p>
        </w:tc>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Fifth Avenue(5)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9/2008</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175,000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Total floating rate debt</w:t>
            </w:r>
          </w:p>
        </w:tc>
        <w:tc>
          <w:tcPr>
            <w:tcW w:w="10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263,665</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215,111</w:t>
            </w:r>
          </w:p>
        </w:tc>
      </w:tr>
      <w:tr>
        <w:trPr>
          <w:trHeight w:val="210"/>
        </w:trPr>
        <w:tc>
          <w:tcPr>
            <w:tcW w:w="6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mortgage notes payable</w:t>
            </w:r>
          </w:p>
        </w:tc>
        <w:tc>
          <w:tcPr>
            <w:tcW w:w="1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1,190,379</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885,252</w:t>
            </w:r>
          </w:p>
        </w:tc>
      </w:tr>
      <w:tr>
        <w:trPr>
          <w:trHeight w:val="20"/>
        </w:trPr>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9"/>
        </w:trPr>
        <w:tc>
          <w:tcPr>
            <w:tcW w:w="30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pacing w:after="0" w:line="94"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Held in bankruptcy remote special purpose entity.</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mortgage has an initial maturity date of October 2007 and a contractual maturity date of October 2030.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mortgage was assumed by the joint venture. See Note 6.</w:t>
      </w:r>
    </w:p>
    <w:p>
      <w:pPr>
        <w:spacing w:after="0" w:line="9" w:lineRule="exact"/>
        <w:rPr>
          <w:rFonts w:ascii="Arial" w:cs="Arial" w:eastAsia="Arial" w:hAnsi="Arial"/>
          <w:sz w:val="18"/>
          <w:szCs w:val="18"/>
          <w:color w:val="auto"/>
        </w:rPr>
      </w:pPr>
    </w:p>
    <w:p>
      <w:pPr>
        <w:ind w:left="360" w:right="160" w:hanging="352"/>
        <w:spacing w:after="0" w:line="250" w:lineRule="auto"/>
        <w:tabs>
          <w:tab w:leader="none" w:pos="3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own a 50% interest in the joint venture that is the borrower on these loans. These loans are non-recourse to us. The 2006 balance does not include 21 West as it was deconsolidated. See Note 6.</w:t>
      </w: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Note 3 for a description of our ownership interest in this property.</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 interest rate for the quarter ended December 31, 2006.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December 31, 2006 and 2005 the gross book value of the properties collateralizing the mortgage notes was approximately $1.6 billion and $1.2 billion, respectively.</w:t>
      </w:r>
    </w:p>
    <w:p>
      <w:pPr>
        <w:spacing w:after="0" w:line="170"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For the years ended December 31, 2006, 2005 and 2004, we incurred approximately $96.4 million, $81.8 million and $64.9 million of interest expense, respectively, excluding approximately $8.5 million, $6.9 million and $433,000, respectively, which was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Maturities</w:t>
      </w:r>
    </w:p>
    <w:p>
      <w:pPr>
        <w:spacing w:after="0" w:line="27"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Combined aggregate principal maturities of mortgages and notes payable, 2005 unsecured revolving credit facility, term loans and trust preferred securities and our share of joint venture debt as of December 31, 2006, excluding extension options,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Revolving</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Loans and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Joint</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Scheduled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7"/>
              </w:rPr>
              <w:t>Trust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center"/>
              <w:ind w:left="121"/>
              <w:spacing w:after="0" w:line="135" w:lineRule="exact"/>
              <w:rPr>
                <w:sz w:val="20"/>
                <w:szCs w:val="20"/>
                <w:color w:val="auto"/>
              </w:rPr>
            </w:pPr>
            <w:r>
              <w:rPr>
                <w:rFonts w:ascii="Arial" w:cs="Arial" w:eastAsia="Arial" w:hAnsi="Arial"/>
                <w:sz w:val="14"/>
                <w:szCs w:val="14"/>
                <w:b w:val="1"/>
                <w:bCs w:val="1"/>
                <w:color w:val="auto"/>
                <w:w w:val="98"/>
              </w:rPr>
              <w:t>Credit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6"/>
              </w:rPr>
              <w:t>Preferred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Venture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Repayments</w:t>
            </w:r>
          </w:p>
        </w:tc>
        <w:tc>
          <w:tcPr>
            <w:tcW w:w="260" w:type="dxa"/>
            <w:vAlign w:val="bottom"/>
          </w:tcPr>
          <w:p>
            <w:pPr>
              <w:spacing w:after="0"/>
              <w:rPr>
                <w:sz w:val="14"/>
                <w:szCs w:val="14"/>
                <w:color w:val="auto"/>
              </w:rPr>
            </w:pPr>
          </w:p>
        </w:tc>
        <w:tc>
          <w:tcPr>
            <w:tcW w:w="84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Facility</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83,798</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456,823</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253,208</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265,799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349,726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104,691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195,586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311,558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23,543</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660,924</w:t>
            </w: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784,467</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524,352</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77,129</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1,113,250</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1,815,379</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1,209,140</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Recording Tax - Hypothecated Loan</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had a credit loan totaling approximately $250.0 million from Wachovia Bank, National Association (“Wachovia”) at December 31, 2006. This loan was collateralized by the mortgage encumbering our interest in 485 Lexington Avenue. The loan was also collateralized by an equivalent amount of our cash, which was held by Wachovia and invested in US Treasury securities. Interest earned on the cash collateral was applied by Wachovia to service the loan with interest rates commensurate with that of a portfolio of six-month US Treasury securities. We, along with Wachovia, each had the right of offset and, therefore, the loan and the cash collateral were presented on a net basis in the consolidated balance sheet at December 31, 2006. The purpose of this loan was to preserve mortgage recording tax credits for future potential refinancing for which these credits would be applicable. At the same time, the underlying mortgage remains a bona-fide debt to Wachovia. On January 22, 2007, we refinanced 485 Lexington Avenue at which time this mortgage was assigned to the new lender and we repaid an equivalent amount of the loan.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Revolving 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Unsecured Revolving Credit Facility</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a $500.0 million unsecured revolving credit facility. In January 2007, we exercised our option to increase the capacity under the 2005 unsecured revolving credit facility to $800.0 million. The 2005 unsecured revolving credit facility bears interest at a spread ranging from 85 basis points to 125 basis points over LIBOR, based on our leverage ratio, and has a one-year extension option. The 2005 unsecured revolving credit facility also requires a 12.5 to 25 basis point fee on the unused balance payable annually in arrears. The 2005 unsecured revolving credit facility had no outstanding balance and carried a spread over LIBOR of 110 basis points at December 31, 2006. Availability under the 2005 unsecured revolving credit facility was further reduced by the issuance of approximately $15.5 million in letters of credit. The effective all-in interest rate on the 2005 unsecured revolving credit facility was 6.05% for the year ended December 31, 2006. The 2005 unsecured revolving credit facility includes certain restrictions and covenants (see restrictive covenants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Loans</w:t>
      </w:r>
    </w:p>
    <w:p>
      <w:pPr>
        <w:sectPr>
          <w:pgSz w:w="11900" w:h="16838" w:orient="portrait"/>
          <w:cols w:equalWidth="0" w:num="1">
            <w:col w:w="11420"/>
          </w:cols>
          <w:pgMar w:left="240" w:top="140" w:right="239" w:bottom="0" w:gutter="0" w:footer="0" w:header="0"/>
        </w:sectPr>
      </w:pPr>
    </w:p>
    <w:bookmarkStart w:id="54" w:name="page55"/>
    <w:bookmarkEnd w:id="54"/>
    <w:p>
      <w:pPr>
        <w:ind w:right="60"/>
        <w:spacing w:after="0" w:line="302" w:lineRule="auto"/>
        <w:rPr>
          <w:sz w:val="20"/>
          <w:szCs w:val="20"/>
          <w:color w:val="auto"/>
        </w:rPr>
      </w:pPr>
      <w:r>
        <w:rPr>
          <w:rFonts w:ascii="Arial" w:cs="Arial" w:eastAsia="Arial" w:hAnsi="Arial"/>
          <w:sz w:val="16"/>
          <w:szCs w:val="16"/>
          <w:color w:val="auto"/>
        </w:rPr>
        <w:t>We have a $325.0 million unsecured term loan, which matures in August 2009. This term loan bears interest at a spread ranging from 110 basis points to 140 basis points over LIBOR, based on our leverage ratio. As of December 31, 2006, we had $325.0 million outstanding under the unsecured term loan at the rate of 140 basis points over LIBOR. To limit our exposure to the variable LIBOR rate we entered into various swap agreements to fix the LIBOR rate on the entire unsecured term loan. The effective all-in interest rate on the unsecured term loan was 5.00% for year ended December 31, 2006.</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a $200.0 million five-year non-recourse term loan secured by a pledge of our ownership interest in 1221 Avenue of the Americas. This term loan has a floating rate of 125 basis points over the current LIBOR rate and matures in May 2010. The effective all-in interest rate on this secured term loan was 5.34% for the year ended December 31, 2006.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terms of the 2005 unsecured revolving credit facility and the term loans include certain restrictions and covenants which limit, among other things, the payment of dividends (as discussed below), the incurrence of additional indebtedness, the incurrence of liens and the disposition of assets, and which require compliance with financial ratios relating to the minimum amount of tangible net worth, the minimum amount of debt service coverage and fixed charge coverage, the maximum amount of unsecured indebtedness, the minimum amount of unencumbered property debt service coverage and certain investment limitations. The dividend restriction referred to above provides that, except to enable us to continue to qualify as a REIT for Federal Income Tax purposes, we will not during any four consecutive fiscal quarters make distributions with respect to common stock or other equity interests in an aggregate amount in excess of 90% of funds from operations for such period, subject to certain other adjustments. As of December 31, 2006 and 2005, we were in compliance with all such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 Deferrable Interest Debentures</w:t>
      </w:r>
    </w:p>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June 2005, we issued $100.0 million in unsecured floating rate trust preferred securities through a newly formed trust, SL Green Capital Trust I, or the Trust that is a wholly-owned subsidiary of our operating partnership. The securities mature in 2035 and bear interest at a fixed rate of 5.61% for the first ten years ending July 2015, a period of up to eight consecutive quarters if our operating partnership exercises its right to defer such payments. The trust preferred securities are redeemable, at the option of our operating partnership, in whole or in part, with no prepayment premium any time after July 2010. We do not consolidate the Trust even though it is a variable interest entity under FIN46 as we are not the primary beneficiary. Because the Trust is not consolidated, we have issued debt and the related payments are classified as interest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disclosures of estimated fair value were determined by management, using available market information and appropriate valuation methodologies. Considerable judgment is necessary to interpret market data and develop estimated fair value. Accordingly, the estimates presented herein are not necessarily indicative of the amounts we could realize on disposition of the financial instruments. The use of different market assumptions and/or estimation methodologies may have a material effect on the estimated fair value amounts.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and cash equivalents, accounts receivable, accounts payable, and the 2005 unsecured revolving credit facility balances reasonably approximate their fair values due to the short maturities of these items. Mortgage notes payable, junior subordinate deferrable interest debentures and the secured and unsecured term loans have an estimated fair value based on discounted cash flow models of approximately $1.5 billion, which was less than the book value of the related fixed rate debt by approximately $17.0 million. Structured finance investments are carried at amounts, which reasonably approximate their fair value as determined by us.</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Disclosure about fair value of financial instruments is based on pertinent information available to us as of December 31, 2006. Although we are not aware of any factors that would significantly affect the reasonable fair value amounts, such amounts have not been comprehensively revalued for purposes of these financial statements since that date and current estimates of fair value may differ significantly from the amounts presented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Rental Income</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operating partnership is the lessor and the sublessor to tenants under operating leases with expiration dates ranging from January 1, 2007 to 2023. The minimum rental amounts due under the leases are generally either subject to scheduled fixed increases or adjustments. The leases generally also require that the tenants reimburse us for increases in certain operating costs and real estate taxes above their base year costs. Approximate future minimum rents to be received over the next five years and thereafter for non-cancelable operating leases in effect at December 31, 2006 for the wholly-owned properties, including consolidated joint venture properties, and our share of unconsolidated joint venture properties are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Wholly-Owned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Joint Venture</w:t>
            </w:r>
          </w:p>
        </w:tc>
      </w:tr>
      <w:tr>
        <w:trPr>
          <w:trHeight w:val="162"/>
        </w:trPr>
        <w:tc>
          <w:tcPr>
            <w:tcW w:w="4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214"/>
              <w:spacing w:after="0"/>
              <w:rPr>
                <w:sz w:val="20"/>
                <w:szCs w:val="20"/>
                <w:color w:val="auto"/>
              </w:rPr>
            </w:pPr>
            <w:r>
              <w:rPr>
                <w:rFonts w:ascii="Arial" w:cs="Arial" w:eastAsia="Arial" w:hAnsi="Arial"/>
                <w:sz w:val="14"/>
                <w:szCs w:val="14"/>
                <w:b w:val="1"/>
                <w:bCs w:val="1"/>
                <w:color w:val="auto"/>
              </w:rPr>
              <w:t>Properties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Properties</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4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388,822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169,715</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2008</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383,129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162,247</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357,340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158,093</w:t>
            </w:r>
          </w:p>
        </w:tc>
        <w:tc>
          <w:tcPr>
            <w:tcW w:w="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2010</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316,986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139,432</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285,603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125,987</w:t>
            </w:r>
          </w:p>
        </w:tc>
        <w:tc>
          <w:tcPr>
            <w:tcW w:w="20" w:type="dxa"/>
            <w:vAlign w:val="bottom"/>
            <w:shd w:val="clear" w:color="auto" w:fill="CCEEFF"/>
          </w:tcPr>
          <w:p>
            <w:pPr>
              <w:spacing w:after="0"/>
              <w:rPr>
                <w:sz w:val="18"/>
                <w:szCs w:val="18"/>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1,418,912</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804,226</w:t>
            </w:r>
          </w:p>
        </w:tc>
        <w:tc>
          <w:tcPr>
            <w:tcW w:w="20" w:type="dxa"/>
            <w:vAlign w:val="bottom"/>
            <w:tcBorders>
              <w:bottom w:val="single" w:sz="8" w:color="CCEEFF"/>
            </w:tcBorders>
          </w:tcPr>
          <w:p>
            <w:pPr>
              <w:spacing w:after="0"/>
              <w:rPr>
                <w:sz w:val="18"/>
                <w:szCs w:val="18"/>
                <w:color w:val="auto"/>
              </w:rPr>
            </w:pPr>
          </w:p>
        </w:tc>
      </w:tr>
      <w:tr>
        <w:trPr>
          <w:trHeight w:val="210"/>
        </w:trPr>
        <w:tc>
          <w:tcPr>
            <w:tcW w:w="474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3,150,792</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1,559,700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 Security/Messenger and Restoration Services</w:t>
      </w:r>
    </w:p>
    <w:p>
      <w:pPr>
        <w:sectPr>
          <w:pgSz w:w="11900" w:h="16838" w:orient="portrait"/>
          <w:cols w:equalWidth="0" w:num="1">
            <w:col w:w="11420"/>
          </w:cols>
          <w:pgMar w:left="240" w:top="125" w:right="239" w:bottom="0" w:gutter="0" w:footer="0" w:header="0"/>
        </w:sectPr>
      </w:pPr>
    </w:p>
    <w:bookmarkStart w:id="55" w:name="page56"/>
    <w:bookmarkEnd w:id="55"/>
    <w:p>
      <w:pPr>
        <w:spacing w:after="0" w:line="5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owned by Gary Green, a son of Stephen L. Green, the chairman of our board of directors. First Quality also provides additional services directly to tenants on a separately negotiated basis. In addition, First Quality has the non-exclusive opportunity to provide cleaning and related services to individual tenants at our properties on a basis separately negotiated with any tenant seeking such additional services. In the first quarter of 2006, First Quality expanded its space leased to 26,800 square feet of space at 70 West 36th Street pursuant to a lease that expires on December 31, 2015 and provides for annual rental payments of approximately $629,000. We paid Alliance approximately $13.6 million, $11.0 million and $8.9 million for the three years ended December 31, 2006, respectively, for these services (excluding services provided directly to tenants).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Nancy Peck and Company leases 2,013 square feet of space at 420 Lexington Avenue, pursuant to a lease that expired on June 30, 2005 and provided for annual rental payments of approximately $66,000. This space is now leased on a month-to-month basis. Nancy Peck and Company is owned by Nancy Peck, the wife of Stephen L. Green. The rent due pursuant to the lease was offset against a consulting fee of $11,025 per month an affiliate pays to her pursuant to a consulting agreement, which is cancelable upon 30-days notice. This consulting agreement was cancelled in July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Services</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Sonnenblick-Goldman Company, or Sonnenblick, a nationally recognized real estate investment banking firm, provided mortgage brokerage services to us. Mr. Morton Holliday, the father of Mr. Marc Holliday, was a Managing Director of Sonnenblick at the time of the financings. In 2005, we paid approximately $457,000 to Sonnenblick in connection with securing a $120.0 million first mortgage for the property located at 711 Third Avenue. In 2004, our 1515 Broadway joint venture paid approximately $855,000 to Sonnenblick in connection with securing a $425.0 million first mortgage for the property. In 2005, our 1515 Broadway joint venture paid approximately $400,000 to Sonnenblick in connection with refinancing the property and increasing the first mortgage to $625.0 million. In 2006, our 485 Lexington Avenue joint venture paid approximately $757,000 to Sonnenblick in connection with refinancing the property and increasing the first mortgage to $390.0 million. Also in 2006, an entity in which we hold a preferred equity investment paid approximately $438,000 to Sonnenblick in connection with refinancing the property held by that entity and increasing the first mortgage to $90.0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S.L. Green Management Corp. receives property management fees from an entity in which Stephen L. Green owns an interest. The aggregate amount of fees paid to S.L. Green Management Corp. from such entity was approximately $205,000 in 2006, $209,000 in 2005 and $258,000 in 2004.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Amounts due from (to) related parties at December 31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40" w:type="dxa"/>
            <w:vAlign w:val="bottom"/>
            <w:tcBorders>
              <w:bottom w:val="single" w:sz="8" w:color="CCEEFF"/>
            </w:tcBorders>
          </w:tcPr>
          <w:p>
            <w:pPr>
              <w:spacing w:after="0"/>
              <w:rPr>
                <w:sz w:val="14"/>
                <w:szCs w:val="14"/>
                <w:color w:val="auto"/>
              </w:rPr>
            </w:pPr>
          </w:p>
        </w:tc>
      </w:tr>
      <w:tr>
        <w:trPr>
          <w:trHeight w:val="210"/>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Due from joint ventures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Officers and employees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1,527</w:t>
            </w:r>
          </w:p>
        </w:tc>
        <w:tc>
          <w:tcPr>
            <w:tcW w:w="4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3,563</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40" w:type="dxa"/>
            <w:vAlign w:val="bottom"/>
            <w:shd w:val="clear" w:color="auto" w:fill="CCEEFF"/>
          </w:tcPr>
          <w:p>
            <w:pPr>
              <w:spacing w:after="0"/>
              <w:rPr>
                <w:sz w:val="18"/>
                <w:szCs w:val="18"/>
                <w:color w:val="auto"/>
              </w:rPr>
            </w:pPr>
          </w:p>
        </w:tc>
      </w:tr>
      <w:tr>
        <w:trPr>
          <w:trHeight w:val="210"/>
        </w:trPr>
        <w:tc>
          <w:tcPr>
            <w:tcW w:w="9820" w:type="dxa"/>
            <w:vAlign w:val="bottom"/>
          </w:tcPr>
          <w:p>
            <w:pPr>
              <w:spacing w:after="0"/>
              <w:rPr>
                <w:sz w:val="20"/>
                <w:szCs w:val="20"/>
                <w:color w:val="auto"/>
              </w:rPr>
            </w:pPr>
            <w:r>
              <w:rPr>
                <w:rFonts w:ascii="Arial" w:cs="Arial" w:eastAsia="Arial" w:hAnsi="Arial"/>
                <w:sz w:val="18"/>
                <w:szCs w:val="18"/>
                <w:color w:val="auto"/>
              </w:rPr>
              <w:t>Related party receivables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7,195</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w:t>
            </w:r>
          </w:p>
        </w:tc>
        <w:tc>
          <w:tcPr>
            <w:tcW w:w="40" w:type="dxa"/>
            <w:vAlign w:val="bottom"/>
          </w:tcPr>
          <w:p>
            <w:pPr>
              <w:spacing w:after="0"/>
              <w:rPr>
                <w:sz w:val="18"/>
                <w:szCs w:val="18"/>
                <w:color w:val="auto"/>
              </w:rPr>
            </w:pPr>
          </w:p>
        </w:tc>
      </w:tr>
      <w:tr>
        <w:trPr>
          <w:trHeight w:val="20"/>
        </w:trPr>
        <w:tc>
          <w:tcPr>
            <w:tcW w:w="9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Indebtedness</w:t>
      </w:r>
    </w:p>
    <w:p>
      <w:pPr>
        <w:spacing w:after="0" w:line="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January 2001, Mr. Marc Holliday, then our president, received a non-recourse loan from us in the principal amount of $1.0 million pursuant to his amended and restated employment and non-competition agreement he executed at the time. This loan bore interest at the applicable federal rate per annum and was secured by a pledge of certain of Mr. Holliday’s shares of our common stock. The principal of and interest on this loan was forgivable upon our attainment of specified financial performance goals prior to December 31, 2006, provided that Mr. Holliday remains employed by us until January 17, 2007. As a result of the performance goals being met, this loan was forgiven in January 2007. In April 2000, Mr. Holliday received a loan from us in the principal amount of $300,000 with a maturity date of July 2003. This loan bore interest at a rate of 6.60% per annum and was secured by a pledge of certain of Mr. Holliday’s shares of our common stock. In May 2002, Mr. Holliday entered into a loan modification agreement with us in order to modify the repayment terms of the $300,000 loan. Pursuant to the agreement, $100,000 (plus accrued interest thereon) was forgivable on each of January 1, 2004, January 1, 2005 and January 1, 2006, provided that Mr. Holliday remains employed by us through each of such date. This loan was forgiven in 2006.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Gramercy Capital Corp.</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See Note 6. Investment in Unconsolidated Joint Ventures — Gramercy Capital Corp. for disclosure on related party transactions between Gramercy and us.</w:t>
      </w:r>
    </w:p>
    <w:p>
      <w:pPr>
        <w:spacing w:after="0" w:line="234"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Our authorized capital stock consists of 200,000,000 shares, $.01 par value, of which we have authorized the issuance of up to 100,000,000 shares of common stock, $.01 par value per share, 75,000,000 shares of excess stock, at $.01 par value per share, and 25,000,000 shares of preferred stock, par value $.01 per share. As of December 31, 2006, 49,839,636 shares of common stock and no shares of excess stock were issued and outstanding.</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2006, in two offerings, we sold 6,498,100 shares of our common stock. The net proceeds from these offerings (approximately $800.3 million) were used to pay down our unsecured revolving credit facility and fund new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Perpetual Preferred Stock</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December 2003, we sold 6,300,000 shares of 7.625% Series C cumulative redeemable preferred stock, or the Series C preferred stock, (including the underwriters’ over-allotment option of 700,000 shares) with a mandatory liquidation preference of $25.00 per share. Net proceeds from this offering (approximately $152.0 million) were used principally to repay amounts outstanding under our secured and unsecured revolving credit facilities. The Series C preferred stock receive annual dividends of $1.90625 per share paid on a quarterly basis and dividends are cumulative, subject to certain provisions. On or after December 12, 2008, we may redeem the Series C preferred stock at par for cash at our option. The Series C preferred stock was recorded net of underwriters discount and issuance costs.</w:t>
      </w:r>
    </w:p>
    <w:p>
      <w:pPr>
        <w:spacing w:after="0" w:line="194" w:lineRule="exact"/>
        <w:rPr>
          <w:sz w:val="20"/>
          <w:szCs w:val="20"/>
          <w:color w:val="auto"/>
        </w:rPr>
      </w:pPr>
    </w:p>
    <w:p>
      <w:pPr>
        <w:ind w:right="120"/>
        <w:spacing w:after="0" w:line="305" w:lineRule="auto"/>
        <w:rPr>
          <w:sz w:val="20"/>
          <w:szCs w:val="20"/>
          <w:color w:val="auto"/>
        </w:rPr>
      </w:pPr>
      <w:r>
        <w:rPr>
          <w:rFonts w:ascii="Arial" w:cs="Arial" w:eastAsia="Arial" w:hAnsi="Arial"/>
          <w:sz w:val="17"/>
          <w:szCs w:val="17"/>
          <w:color w:val="auto"/>
        </w:rPr>
        <w:t xml:space="preserve">In 2004, we issued 4,000,000 shares of our 7.875% Series D cumulative redeemable preferred stock, or the Series D preferred stock, </w:t>
      </w:r>
      <w:r>
        <w:rPr>
          <w:rFonts w:ascii="Arial" w:cs="Arial" w:eastAsia="Arial" w:hAnsi="Arial"/>
          <w:sz w:val="16"/>
          <w:szCs w:val="16"/>
          <w:color w:val="auto"/>
        </w:rPr>
        <w:t>with a mandatory</w:t>
      </w:r>
      <w:r>
        <w:rPr>
          <w:rFonts w:ascii="Arial" w:cs="Arial" w:eastAsia="Arial" w:hAnsi="Arial"/>
          <w:sz w:val="17"/>
          <w:szCs w:val="17"/>
          <w:color w:val="auto"/>
        </w:rPr>
        <w:t xml:space="preserve"> </w:t>
      </w:r>
      <w:r>
        <w:rPr>
          <w:rFonts w:ascii="Arial" w:cs="Arial" w:eastAsia="Arial" w:hAnsi="Arial"/>
          <w:sz w:val="16"/>
          <w:szCs w:val="16"/>
          <w:color w:val="auto"/>
        </w:rPr>
        <w:t>liquidation preference of $25.00 per share. Net proceeds from these offerings (approximately $96.3 million) were used principally to repay amounts outstanding</w:t>
      </w:r>
    </w:p>
    <w:p>
      <w:pPr>
        <w:sectPr>
          <w:pgSz w:w="11900" w:h="16894" w:orient="portrait"/>
          <w:cols w:equalWidth="0" w:num="1">
            <w:col w:w="11420"/>
          </w:cols>
          <w:pgMar w:left="240" w:top="125" w:right="239" w:bottom="0" w:gutter="0" w:footer="0" w:header="0"/>
        </w:sectPr>
      </w:pPr>
    </w:p>
    <w:bookmarkStart w:id="56" w:name="page57"/>
    <w:bookmarkEnd w:id="56"/>
    <w:p>
      <w:pPr>
        <w:ind w:right="20"/>
        <w:spacing w:after="0" w:line="259" w:lineRule="auto"/>
        <w:rPr>
          <w:sz w:val="20"/>
          <w:szCs w:val="20"/>
          <w:color w:val="auto"/>
        </w:rPr>
      </w:pPr>
      <w:r>
        <w:rPr>
          <w:rFonts w:ascii="Arial" w:cs="Arial" w:eastAsia="Arial" w:hAnsi="Arial"/>
          <w:sz w:val="18"/>
          <w:szCs w:val="18"/>
          <w:color w:val="auto"/>
        </w:rPr>
        <w:t>under our secured and unsecured revolving credit facilities. The Series D preferred stock receive annual dividends of $1.96875 per share paid on a quarterly basis and dividends are cumulative, subject to certain provisions. On or after May 27, 2009, we may redeem the Series D preferred stock at par for cash at our option. The Series D preferred stock was recorded net of underwriters discount and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Plan</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February 2000, our board of directors authorized a distribution of one preferred share purchase right, or Right, for each outstanding share of common stock under a shareholder rights plan. This distribution was made to all holders of record of the common stock on March 31, 2000. Each Right entitles the registered holder to purchase from the Company one one-hundredth of a share of Series B junior participating preferred stock, par value $0.01 per share, or Preferred Shares, at a price of $60.00 per one one-hundredth of a Preferred Share, or Purchase Price, subject to adjustment as provided in the rights agreement. The Rights expire on March 5, 2010, unless we extend the expiration date or the Right is redeemed or exchanged earlier.</w:t>
      </w:r>
    </w:p>
    <w:p>
      <w:pPr>
        <w:spacing w:after="0" w:line="16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Rights are attached to each share of common stock. The Rights are generally exercisable only if a person or group becomes the beneficial owner of 17% or more of the outstanding common stock or announces a tender offer for 17% or more of the outstanding common stock, or Acquiring Person. In the event that a person or group becomes an Acquiring Person, each holder of a Right, excluding the Acquiring Person, will have the right to receive, upon exercise, common stock having a market value equal to two times the Purchase Price of the Preferred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w:t>
      </w:r>
    </w:p>
    <w:p>
      <w:pPr>
        <w:spacing w:after="0" w:line="27" w:lineRule="exact"/>
        <w:rPr>
          <w:sz w:val="20"/>
          <w:szCs w:val="20"/>
          <w:color w:val="auto"/>
        </w:rPr>
      </w:pPr>
    </w:p>
    <w:p>
      <w:pPr>
        <w:ind w:right="1040"/>
        <w:spacing w:after="0" w:line="323" w:lineRule="auto"/>
        <w:rPr>
          <w:sz w:val="20"/>
          <w:szCs w:val="20"/>
          <w:color w:val="auto"/>
        </w:rPr>
      </w:pPr>
      <w:r>
        <w:rPr>
          <w:rFonts w:ascii="Arial" w:cs="Arial" w:eastAsia="Arial" w:hAnsi="Arial"/>
          <w:sz w:val="16"/>
          <w:szCs w:val="16"/>
          <w:color w:val="auto"/>
        </w:rPr>
        <w:t>We filed a registration statement with the SEC for our dividend reinvestment and stock purchase plan, or DRIP, which was declared effective on September 10, 2001, and commenced on September 24, 2001. We registered 3,000,000 shares of our common stock under the DRIP.</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During the years ended December 31, 2006 and 2005, approximately 132,000 and 338,000 shares of our common stock were issued and approximately $13.0 million and $20.4 million of proceeds were received, respectively, from dividend reinvestments and/or stock purchases under the DRIP. DRIP shares may be issued at a discount to the market price.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Long-Term Outperformance Compensation Program</w:t>
      </w:r>
    </w:p>
    <w:p>
      <w:pPr>
        <w:spacing w:after="0" w:line="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board of directors adopted a long-term, seven-year compensation program for senior management. The program, which measures our performance over a 48-month period (unless terminated earlier) commencing April 1, 2003, provides that holders of our common equity are to achieve a 40% total return during the measurement period over a base of $30.07 per share before any restricted stock awards are granted. Management will receive an award of restricted stock in an amount between 8% and 10% of the excess return over the baseline return. At the end of the four-year measurement period, 40% of the award will vest on the measurement date and 60% of the award will vest ratably over the subsequent three years based on continued employment. Any restricted stock to be issued under the program will be allocated from our Stock Option Plan (as defined below), which was previously approved through a stockholder vote in May 2002. We record the expense of the restricted stock award in accordance with SFAS 123. The fair value of the award on the date of grant was determined to be $3.2 million. Forty percent of the value of the award will be amortized over four years and the balance will be amortized at 20% per year over five, six and seven years, respectively, such that 20% of year five, 16.67% of year six, and 14.29% of year seven will be recorded in year one. The total value of the award (capped at $25.5 million) will determine the number of shares assumed to be issued for purposes of calculating diluted earnings per share. Compensation expense of $650,000 was recorded during each of the years ended December 31, 2006, 2005 and 2004,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Long-Term Outperformance Compensation Program</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December 2005, the compensation committee of our board of directors approved a long-term incentive compensation program, the 2005 Outperformance Plan. Participants in the 2005 Outperformance Plan will share in a “performance pool” if our total return to stockholders for the period from December 1, 2005 through November 30, 2008 exceeds a cumulative total return to stockholders of 30% during the measurement period over a base share price of $68.51 per share. The size of the pool will be 10% of the outperformance amount in excess of the 30% benchmark, subject to a maximum dilution cap equal to the lesser of 3% of our outstanding shares and units of limited partnership interest as of December 1, 2005 or $50.0 million. In the event the potential performance pool reaches this dilution cap before November 30, 2008 and remains at that level or higher for 30 consecutive days, the performance period will end early and the pool will be formed on the last day of such 30 day period. Each participant’s award under the 2005 Outperformance Plan will be designated as a specified percentage of the aggregate performance pool to be allocated to him or her assuming the 30% benchmark is achieved. Individual awards will be made in the form of partnership units, or LTIP Units, that may ultimately become exchangeable for shares of our common stock or cash, at our election. LTIP Units will be granted prior to the determination of the performance pool; however, they will only vest upon satisfaction of performance and other thresholds, and will not be entitled to distributions until after the performance pool is established. The 2005 Outperformance Plan provides that if the pool is established, each participant will also be entitled to the distributions that would have been paid on the number of LTIP Units earned, had they been issued at the beginning of the performance period. Those distributions will be paid in the form of additional LTIP Units. After the performance pool is established, the earned LTIP Units will receive regular quarterly distributions on a per unit basis equal to the dividends per share paid on our common stock, whether or not they are vested. Any LTIP Units that are not earned upon the establishment of the performance pool will be automatically forfeited, and the LTIP Units that are earned will be subject to time-based vesting, with one-third of the LTIP Units earned vesting on November 30, 2008 and each of the first two anniversaries thereafter based on continued employment. On June 14, 2006, the Compensation Committee determined that under the terms of the 2005 Outperformance Plan, as of June 8, 2006, the performance period had accelerated and the maximum performance pool of $49,250,000, taking into account forfeitures, was established. Individual awards under the 2005 Outperformance Plan are in the form of partnership units, or LTIP Units, in our operating partnership, that, subject to certain conditions, are convertible into shares of our common stock or cash, at our election. The total number of LTIP Units earned by all participants as a result of the establishment of the performance pool was 490,475.</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cost of the 2005 Outperformance Plan (approximately $8.0 million, subject to adjustment for forfeitures) will continue to be amortized into earnings through the final vesting period in accordance with SFAS 123-R. We recorded approximately $2.0 million and $0.3 million of compensation expense during the year ended December 31, 2006 and 2005, respectively, in connection with the 2005 Outperformance Plan.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2006 Long-Term Outperformance Compensation Program</w:t>
      </w:r>
    </w:p>
    <w:p>
      <w:pPr>
        <w:sectPr>
          <w:pgSz w:w="11900" w:h="16838" w:orient="portrait"/>
          <w:cols w:equalWidth="0" w:num="1">
            <w:col w:w="11420"/>
          </w:cols>
          <w:pgMar w:left="240" w:top="131" w:right="239" w:bottom="0" w:gutter="0" w:footer="0" w:header="0"/>
          <w:type w:val="continuous"/>
        </w:sectPr>
      </w:pPr>
    </w:p>
    <w:bookmarkStart w:id="57" w:name="page58"/>
    <w:bookmarkEnd w:id="57"/>
    <w:p>
      <w:pPr>
        <w:spacing w:after="0" w:line="40"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On August 14, 2006, the compensation committee of our board of directors approved a long-term incentive compensation program, the 2006 Outperformance Plan. Participants in the 2006 Outperformance Plan will share in a “performance pool” if our total return to stockholders for the period from August 1, 2006 through July 31, 2009 exceeds a cumulative total return to stockholders of 30% during the measurement period over a base share price of $106.39 per share.</w:t>
      </w:r>
    </w:p>
    <w:p>
      <w:pPr>
        <w:spacing w:after="0" w:line="266" w:lineRule="auto"/>
        <w:rPr>
          <w:sz w:val="20"/>
          <w:szCs w:val="20"/>
          <w:color w:val="auto"/>
        </w:rPr>
      </w:pPr>
      <w:r>
        <w:rPr>
          <w:rFonts w:ascii="Arial" w:cs="Arial" w:eastAsia="Arial" w:hAnsi="Arial"/>
          <w:sz w:val="17"/>
          <w:szCs w:val="17"/>
          <w:color w:val="auto"/>
        </w:rPr>
        <w:t>The size of the pool will be 10% of the outperformance amount in excess of the 30% benchmark, subject to a maximum award of $60.0 million. The maximum award will be reduced by the amount of any unallocated or forfeited awards. In the event the potential performance pool reaches the maximum award before July 31, 2009 and remains at that level or higher for 30 consecutive days, the performance period will end early and the pool will be formed on the last day of such 30 day period. Each participant’s award under the 2006 Outperformance Plan will be designated as a specified percentage of the aggregate performance pool. Assuming the 30% benchmark is achieved, the pool will be allocated among the participants in accordance with the percentage specified in each participant’s participation agreement. Individual awards will be made in the form of partnership units, or LTIP Units, that, subject to vesting and the satisfaction of other conditions, are exchangeable for a per unit value equal to the then trading price of one share of our common stock. This value is payable in cash or, at our election, in shares of common stock. LTIP Units will be granted prior to the determination of the performance pool; however, they will only vest upon satisfaction of performance and time vesting thresholds under the 2006 Outperformance Plan, and will not be entitled to distributions until after the performance pool is established. Distributions on LTIP Units will equal the dividends paid on our common stock on a per unit basis. The 2006 Outperformance Plan provides that if the pool is established, each participant will also be entitled to the distributions that would have been paid had the number of earned LTIP Units been issued at the beginning of the performance period. Those distributions will be paid in the form of additional LTIP Units. Thereafter, distributions will be paid currently with respect to all earned LTIP Units that are a part of the performance pool, whether vested or unvested. Although the amount of earned awards under the 2006 Outperformance Plan (i.e. the number of LTIP Units earned) will be determined when the performance pool is established, not all of the awards will vest at that time. Instead, one-third of the awards will vest on July 31, 2009 and each of the first two anniversaries thereafter based on continued employment.</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cost of the 2006 Outperformance Plan (approximately $9.6 million, subject to adjustment for forfeitures) will be amortized into earnings through the final vesting period in accordance with SFAS 123-R. We recorded approximately $1.1 million of compensation expense during the year ended December 31, 2006 in connection with the 2006 Outperformance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Stock Compensation Plan for Directors</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our Independent Director’s Deferral Program, which commenced July 2004, our non-employee directors may elect to defer up to 100% of their annual retainer fee, chairman fees and meeting fees. Unless otherwise elected by a participant, fees deferred under the program shall be credited in the form of phantom stock units. The phantom stock units are convertible into an equal number of shares of common stock upon such directors’ termination of service from the Board of Directors or a change in control by us, as defined by the program. Phantom stock units are credited to each non-employee director quarterly using the closing price of our common stock on the applicable dividend record date for the respective quarter. Each participating non-employee director’s account is also credited for an equivalent amount of phantom stock units based on the dividend rate for each quarter.</w:t>
      </w:r>
    </w:p>
    <w:p>
      <w:pPr>
        <w:spacing w:after="0" w:line="16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year ended December 31, 2006, approximately 5,200 phantom stock units were earned. As of December 31, 2006, there were approximately 10,600 phantom stock units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August 1997, we instituted the 1997 Stock Option and Incentive Plan, or the 1997 Plan. The 1997 Plan was amended in December 1997, March 1998, March 1999 and May 2002. The 1997 Plan, as amended, authorizes (i) the grant of stock options that qualify as incentive stock options under Section 422 of the Code, or ISOs, (ii) the grant of stock options that do not qualify, or NQSOs, (iii) the grant of stock options in lieu of cash Directors’ fees and (iv) grants of shares of restricted and unrestricted common stock. The exercise price of stock options are determined by our compensation committee, but may not be less than 100% of the fair market value of the shares of our common stock on the date of grant. At December 31, 2006, approximately 0.9 million shares of our common stock were reserved for issuance under the 1997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Stock Option and Incentive Plan</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Subject to adjustments upon certain corporate transactions or events, up to a maximum of 3,500,000 shares, or the Fungible Pool Limit, may be granted as Options, Restricted Stock, Phantom Shares, dividend equivalent rights and other equity-based awards under the 2005 Plan; provided that, as described below, the manner in which the Fungible Pool Limit is finally determined can ultimately result in the issuance under the 2005 Plan of up to 4,375,000 shares (subject to adjustments upon certain corporate transactions or events). Each share issued 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to be issued in connection with ‘‘Full-Value Awards’’ (as defined below) that vest or are granted based on the achievement of certain performance goals that are based on (A) FFO growth, (B) total return to stockholders (either in absolute terms or compared with other companies in the market) or (C) a combination of the foregoing (as set forth in the 2005 Plan), shall be counted against the Fungible Pool Limit as 2.6 units. “Full-Value Awards” are awards other than Options, Stock Appreciation Rights or other awards that do not deliver the full value at grant thereof of the underlying shares (e.g., Restricted Stock). Each share issued or to be issued in connection with any other Full-Value Awards shall be counted against the Fungible Pool Limit as 3.9 units. Options, Stock Appreciation Rights and other awards that do not deliver the value at grant thereof of the underlying shares and that expire 10 years from the date of grant shall be counted against the Fungible Pool Limit as one unit. Options, Stock Appreciation Rights and other awards that do not deliver the value at grant thereof of the underlying shares and that expire five years from the date of grant shall be counted against the Fungible Pool Limit as 0.8 of a unit, or 5-year option. Thus, under the foregoing rules, depending on the type of grants made, as many as 4,375,000 shares can be the subject of grants under the 2005 Plan. At the end of the third calendar year following the effective date of the 2005 Plan, (i) the three-year average of (A) the number of shares subject to awards granted in a single year, divided by (B) the number of shares of our outstanding common stock at the end of such year shall not exceed the (ii) greater of (A) 2% or (B) the mean of the applicable peer group. For purposes of calculating the number of shares granted in a year in connection with the limitation set forth in the foregoing sentence, shares underlying Full-Value Awards will be taken into account as (i) 1.5 shares if our annual common stock price volatility is 53% or higher, (ii) two shares if our annual common stock price volatility is between 25% and 52%, and (iii) four shares if our annual common stock price volatility is less than 25%. No award may be granted to any person who, assuming exercise of all options and payment of all awards held by such person, would own or be deemed to own more than 9.8% of the outstanding shares of the Company’s common stock. In addition, subject to adjustment upon certain corporate transactions or events, a participant may not receive awards (with shares subject to awards being counted, depending on the type of award, in the proportions ranging from 0.8 to 3.9, as described above) in any one year covering more than 700,000 shares; thus, under this provision, depending on the type of grant involved, as many as 875,000 shares can be the subject of option grants to any one person in any year, and as many as 269,230 shares may be granted as restricted stock (or be the subject of other Full-Value Grants) to any one person in any year. If an option or other award granted under the 2005 Plan expires or terminates, the common stock subject to any portion of the award that expires or terminates without having been exercised or paid, as the case may be, will again become available for the issuance of additional awards. Shares of our common stock distributed under the 2005 Plan may be treasury shares or</w:t>
      </w:r>
    </w:p>
    <w:p>
      <w:pPr>
        <w:sectPr>
          <w:pgSz w:w="11900" w:h="16879" w:orient="portrait"/>
          <w:cols w:equalWidth="0" w:num="1">
            <w:col w:w="11420"/>
          </w:cols>
          <w:pgMar w:left="240" w:top="125" w:right="239" w:bottom="0" w:gutter="0" w:footer="0" w:header="0"/>
        </w:sectPr>
      </w:pPr>
    </w:p>
    <w:bookmarkStart w:id="58" w:name="page59"/>
    <w:bookmarkEnd w:id="58"/>
    <w:p>
      <w:pPr>
        <w:ind w:right="180"/>
        <w:spacing w:after="0" w:line="259" w:lineRule="auto"/>
        <w:rPr>
          <w:sz w:val="20"/>
          <w:szCs w:val="20"/>
          <w:color w:val="auto"/>
        </w:rPr>
      </w:pPr>
      <w:r>
        <w:rPr>
          <w:rFonts w:ascii="Arial" w:cs="Arial" w:eastAsia="Arial" w:hAnsi="Arial"/>
          <w:sz w:val="18"/>
          <w:szCs w:val="18"/>
          <w:color w:val="auto"/>
        </w:rPr>
        <w:t>authorized but unissued shares. Unless the 2005 Plan is previously terminated by the Board, no new Award may be granted under the 2005 Plan after the tenth anniversary of the date that such 2005 Plan was initially approved by the Board. At December 31, 2006, approximately 1.1 million shares of our common stock, calculated on a weighted average basis, were available for issuance under the 2005 Plan, or 1.4 million if all shares available under the 2005 Plan were issued as five-year options.</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Options granted under the plans are exercisable at the fair market value on the date of grant and, subject to termination of employment, generally expire ten years from the date of grant, are not transferable other than on death, and are generally exercisable in three to five annual installments commencing one year from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our stock options as of December 31, 2006, 2005 and 2004 and changes during the years then ended are presented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2004</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jc w:val="center"/>
              <w:ind w:right="79"/>
              <w:spacing w:after="0" w:line="102" w:lineRule="exact"/>
              <w:rPr>
                <w:sz w:val="20"/>
                <w:szCs w:val="20"/>
                <w:color w:val="auto"/>
              </w:rPr>
            </w:pPr>
            <w:r>
              <w:rPr>
                <w:rFonts w:ascii="Arial" w:cs="Arial" w:eastAsia="Arial" w:hAnsi="Arial"/>
                <w:sz w:val="11"/>
                <w:szCs w:val="11"/>
                <w:b w:val="1"/>
                <w:bCs w:val="1"/>
                <w:color w:val="auto"/>
              </w:rPr>
              <w:t>Weighted</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jc w:val="center"/>
              <w:ind w:right="99"/>
              <w:spacing w:after="0" w:line="102" w:lineRule="exact"/>
              <w:rPr>
                <w:sz w:val="20"/>
                <w:szCs w:val="20"/>
                <w:color w:val="auto"/>
              </w:rPr>
            </w:pPr>
            <w:r>
              <w:rPr>
                <w:rFonts w:ascii="Arial" w:cs="Arial" w:eastAsia="Arial" w:hAnsi="Arial"/>
                <w:sz w:val="11"/>
                <w:szCs w:val="11"/>
                <w:b w:val="1"/>
                <w:bCs w:val="1"/>
                <w:color w:val="auto"/>
              </w:rPr>
              <w:t>Weighted</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jc w:val="center"/>
              <w:ind w:right="79"/>
              <w:spacing w:after="0" w:line="102" w:lineRule="exact"/>
              <w:rPr>
                <w:sz w:val="20"/>
                <w:szCs w:val="20"/>
                <w:color w:val="auto"/>
              </w:rPr>
            </w:pPr>
            <w:r>
              <w:rPr>
                <w:rFonts w:ascii="Arial" w:cs="Arial" w:eastAsia="Arial" w:hAnsi="Arial"/>
                <w:sz w:val="11"/>
                <w:szCs w:val="11"/>
                <w:b w:val="1"/>
                <w:bCs w:val="1"/>
                <w:color w:val="auto"/>
              </w:rPr>
              <w:t>Weighted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1"/>
                <w:szCs w:val="11"/>
                <w:color w:val="auto"/>
              </w:rPr>
            </w:pPr>
          </w:p>
        </w:tc>
        <w:tc>
          <w:tcPr>
            <w:tcW w:w="860" w:type="dxa"/>
            <w:vAlign w:val="bottom"/>
          </w:tcPr>
          <w:p>
            <w:pPr>
              <w:jc w:val="center"/>
              <w:ind w:right="79"/>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0"/>
              </w:rPr>
              <w:t>Exercise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6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1,731,258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2,169,762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3,250,231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403,500</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103.30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466,203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132,333</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(444,449)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(888,374)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(1,080,835)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Lapsed or cancelled</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(44,666)</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(16,333)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(131,967)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1,645,643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1,731,258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2,169,762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597,974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599,828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Weighted average fair value of options granted</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7,805,000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during the year</w:t>
            </w:r>
          </w:p>
        </w:tc>
        <w:tc>
          <w:tcPr>
            <w:tcW w:w="1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3,538,000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475,000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fair value of restricted stock granted during the year was approximately $7.9 million.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options were granted within a price range of $18.44 to $134.95. The remaining weighted average contractual life of the options was 7.4 years.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Earnings per share for the years ended December 31, is computed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gridSpan w:val="4"/>
          </w:tcPr>
          <w:p>
            <w:pPr>
              <w:spacing w:after="0"/>
              <w:rPr>
                <w:sz w:val="20"/>
                <w:szCs w:val="20"/>
                <w:color w:val="auto"/>
              </w:rPr>
            </w:pPr>
            <w:r>
              <w:rPr>
                <w:rFonts w:ascii="Arial" w:cs="Arial" w:eastAsia="Arial" w:hAnsi="Arial"/>
                <w:sz w:val="14"/>
                <w:szCs w:val="14"/>
                <w:b w:val="1"/>
                <w:bCs w:val="1"/>
                <w:color w:val="auto"/>
              </w:rPr>
              <w:t>Numerator (Income)</w:t>
            </w:r>
          </w:p>
        </w:tc>
        <w:tc>
          <w:tcPr>
            <w:tcW w:w="16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4"/>
                <w:szCs w:val="14"/>
                <w:color w:val="auto"/>
              </w:rPr>
            </w:pPr>
          </w:p>
        </w:tc>
      </w:tr>
      <w:tr>
        <w:trPr>
          <w:trHeight w:val="210"/>
        </w:trPr>
        <w:tc>
          <w:tcPr>
            <w:tcW w:w="7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Basic Earnings:</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gridSpan w:val="4"/>
          </w:tcPr>
          <w:p>
            <w:pPr>
              <w:ind w:left="180"/>
              <w:spacing w:after="0"/>
              <w:rPr>
                <w:sz w:val="20"/>
                <w:szCs w:val="20"/>
                <w:color w:val="auto"/>
              </w:rPr>
            </w:pPr>
            <w:r>
              <w:rPr>
                <w:rFonts w:ascii="Arial" w:cs="Arial" w:eastAsia="Arial" w:hAnsi="Arial"/>
                <w:sz w:val="18"/>
                <w:szCs w:val="18"/>
                <w:color w:val="auto"/>
              </w:rPr>
              <w:t>Income available to common stockholders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200,844</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137,544</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193,172</w:t>
            </w:r>
          </w:p>
        </w:tc>
        <w:tc>
          <w:tcPr>
            <w:tcW w:w="40" w:type="dxa"/>
            <w:vAlign w:val="bottom"/>
          </w:tcPr>
          <w:p>
            <w:pPr>
              <w:spacing w:after="0"/>
              <w:rPr>
                <w:sz w:val="18"/>
                <w:szCs w:val="18"/>
                <w:color w:val="auto"/>
              </w:rPr>
            </w:pPr>
          </w:p>
        </w:tc>
      </w:tr>
      <w:tr>
        <w:trPr>
          <w:trHeight w:val="216"/>
        </w:trPr>
        <w:tc>
          <w:tcPr>
            <w:tcW w:w="8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240" w:type="dxa"/>
            <w:vAlign w:val="bottom"/>
            <w:gridSpan w:val="4"/>
          </w:tcPr>
          <w:p>
            <w:pPr>
              <w:ind w:left="180"/>
              <w:spacing w:after="0"/>
              <w:rPr>
                <w:sz w:val="20"/>
                <w:szCs w:val="20"/>
                <w:color w:val="auto"/>
              </w:rPr>
            </w:pPr>
            <w:r>
              <w:rPr>
                <w:rFonts w:ascii="Arial" w:cs="Arial" w:eastAsia="Arial" w:hAnsi="Arial"/>
                <w:sz w:val="18"/>
                <w:szCs w:val="18"/>
                <w:color w:val="auto"/>
              </w:rPr>
              <w:t>Redemption of units to common shares</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11,436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11,352</w:t>
            </w:r>
          </w:p>
        </w:tc>
        <w:tc>
          <w:tcPr>
            <w:tcW w:w="40" w:type="dxa"/>
            <w:vAlign w:val="bottom"/>
          </w:tcPr>
          <w:p>
            <w:pPr>
              <w:spacing w:after="0"/>
              <w:rPr>
                <w:sz w:val="18"/>
                <w:szCs w:val="18"/>
                <w:color w:val="auto"/>
              </w:rPr>
            </w:pPr>
          </w:p>
        </w:tc>
      </w:tr>
      <w:tr>
        <w:trPr>
          <w:trHeight w:val="216"/>
        </w:trPr>
        <w:tc>
          <w:tcPr>
            <w:tcW w:w="8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196"/>
        </w:trPr>
        <w:tc>
          <w:tcPr>
            <w:tcW w:w="8240" w:type="dxa"/>
            <w:vAlign w:val="bottom"/>
            <w:gridSpan w:val="4"/>
          </w:tcPr>
          <w:p>
            <w:pPr>
              <w:spacing w:after="0" w:line="196" w:lineRule="exact"/>
              <w:rPr>
                <w:sz w:val="20"/>
                <w:szCs w:val="20"/>
                <w:color w:val="auto"/>
              </w:rPr>
            </w:pPr>
            <w:r>
              <w:rPr>
                <w:rFonts w:ascii="Arial" w:cs="Arial" w:eastAsia="Arial" w:hAnsi="Arial"/>
                <w:sz w:val="18"/>
                <w:szCs w:val="18"/>
                <w:color w:val="auto"/>
              </w:rPr>
              <w:t>Diluted Earnings: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Income available to common stockholders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212,280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145,766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204,524</w:t>
            </w:r>
          </w:p>
        </w:tc>
        <w:tc>
          <w:tcPr>
            <w:tcW w:w="40" w:type="dxa"/>
            <w:vAlign w:val="bottom"/>
            <w:shd w:val="clear" w:color="auto" w:fill="CCEEFF"/>
          </w:tcPr>
          <w:p>
            <w:pPr>
              <w:spacing w:after="0"/>
              <w:rPr>
                <w:sz w:val="18"/>
                <w:szCs w:val="18"/>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332"/>
        </w:trPr>
        <w:tc>
          <w:tcPr>
            <w:tcW w:w="8240" w:type="dxa"/>
            <w:vAlign w:val="bottom"/>
            <w:gridSpan w:val="4"/>
          </w:tcPr>
          <w:p>
            <w:pPr>
              <w:spacing w:after="0"/>
              <w:rPr>
                <w:sz w:val="20"/>
                <w:szCs w:val="20"/>
                <w:color w:val="auto"/>
              </w:rPr>
            </w:pPr>
            <w:r>
              <w:rPr>
                <w:rFonts w:ascii="Arial" w:cs="Arial" w:eastAsia="Arial" w:hAnsi="Arial"/>
                <w:sz w:val="14"/>
                <w:szCs w:val="14"/>
                <w:b w:val="1"/>
                <w:bCs w:val="1"/>
                <w:color w:val="auto"/>
              </w:rPr>
              <w:t>Denominator Weighted Average (Shares)</w:t>
            </w:r>
          </w:p>
        </w:tc>
        <w:tc>
          <w:tcPr>
            <w:tcW w:w="160" w:type="dxa"/>
            <w:vAlign w:val="bottom"/>
          </w:tcPr>
          <w:p>
            <w:pPr>
              <w:spacing w:after="0"/>
              <w:rPr>
                <w:sz w:val="24"/>
                <w:szCs w:val="2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4"/>
                <w:szCs w:val="24"/>
                <w:color w:val="auto"/>
              </w:rPr>
            </w:pPr>
          </w:p>
        </w:tc>
      </w:tr>
      <w:tr>
        <w:trPr>
          <w:trHeight w:val="210"/>
        </w:trPr>
        <w:tc>
          <w:tcPr>
            <w:tcW w:w="7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Shares:</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gridSpan w:val="4"/>
          </w:tcPr>
          <w:p>
            <w:pPr>
              <w:ind w:left="180"/>
              <w:spacing w:after="0"/>
              <w:rPr>
                <w:sz w:val="20"/>
                <w:szCs w:val="20"/>
                <w:color w:val="auto"/>
              </w:rPr>
            </w:pPr>
            <w:r>
              <w:rPr>
                <w:rFonts w:ascii="Arial" w:cs="Arial" w:eastAsia="Arial" w:hAnsi="Arial"/>
                <w:sz w:val="18"/>
                <w:szCs w:val="18"/>
                <w:color w:val="auto"/>
              </w:rPr>
              <w:t>Shares available to common stockholders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44,593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39,171</w:t>
            </w:r>
          </w:p>
        </w:tc>
        <w:tc>
          <w:tcPr>
            <w:tcW w:w="40" w:type="dxa"/>
            <w:vAlign w:val="bottom"/>
          </w:tcPr>
          <w:p>
            <w:pPr>
              <w:spacing w:after="0"/>
              <w:rPr>
                <w:sz w:val="18"/>
                <w:szCs w:val="18"/>
                <w:color w:val="auto"/>
              </w:rPr>
            </w:pPr>
          </w:p>
        </w:tc>
      </w:tr>
      <w:tr>
        <w:trPr>
          <w:trHeight w:val="216"/>
        </w:trPr>
        <w:tc>
          <w:tcPr>
            <w:tcW w:w="8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240" w:type="dxa"/>
            <w:vAlign w:val="bottom"/>
            <w:gridSpan w:val="4"/>
          </w:tcPr>
          <w:p>
            <w:pPr>
              <w:ind w:left="180"/>
              <w:spacing w:after="0"/>
              <w:rPr>
                <w:sz w:val="20"/>
                <w:szCs w:val="20"/>
                <w:color w:val="auto"/>
              </w:rPr>
            </w:pPr>
            <w:r>
              <w:rPr>
                <w:rFonts w:ascii="Arial" w:cs="Arial" w:eastAsia="Arial" w:hAnsi="Arial"/>
                <w:sz w:val="18"/>
                <w:szCs w:val="18"/>
                <w:color w:val="auto"/>
              </w:rPr>
              <w:t>Redemption of units to common shares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2,302</w:t>
            </w:r>
          </w:p>
        </w:tc>
        <w:tc>
          <w:tcPr>
            <w:tcW w:w="40" w:type="dxa"/>
            <w:vAlign w:val="bottom"/>
          </w:tcPr>
          <w:p>
            <w:pPr>
              <w:spacing w:after="0"/>
              <w:rPr>
                <w:sz w:val="18"/>
                <w:szCs w:val="18"/>
                <w:color w:val="auto"/>
              </w:rPr>
            </w:pPr>
          </w:p>
        </w:tc>
      </w:tr>
      <w:tr>
        <w:trPr>
          <w:trHeight w:val="216"/>
        </w:trPr>
        <w:tc>
          <w:tcPr>
            <w:tcW w:w="8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Stock-based compensation plans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40" w:type="dxa"/>
            <w:vAlign w:val="bottom"/>
            <w:shd w:val="clear" w:color="auto" w:fill="CCEEFF"/>
          </w:tcPr>
          <w:p>
            <w:pPr>
              <w:spacing w:after="0"/>
              <w:rPr>
                <w:sz w:val="18"/>
                <w:szCs w:val="18"/>
                <w:color w:val="auto"/>
              </w:rPr>
            </w:pPr>
          </w:p>
        </w:tc>
      </w:tr>
      <w:tr>
        <w:trPr>
          <w:trHeight w:val="210"/>
        </w:trPr>
        <w:tc>
          <w:tcPr>
            <w:tcW w:w="8200" w:type="dxa"/>
            <w:vAlign w:val="bottom"/>
            <w:gridSpan w:val="3"/>
          </w:tcPr>
          <w:p>
            <w:pPr>
              <w:spacing w:after="0"/>
              <w:rPr>
                <w:sz w:val="20"/>
                <w:szCs w:val="20"/>
                <w:color w:val="auto"/>
              </w:rPr>
            </w:pPr>
            <w:r>
              <w:rPr>
                <w:rFonts w:ascii="Arial" w:cs="Arial" w:eastAsia="Arial" w:hAnsi="Arial"/>
                <w:sz w:val="18"/>
                <w:szCs w:val="18"/>
                <w:color w:val="auto"/>
              </w:rPr>
              <w:t>Diluted Shares</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48,495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45,504</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43,078</w:t>
            </w:r>
          </w:p>
        </w:tc>
        <w:tc>
          <w:tcPr>
            <w:tcW w:w="4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Minority Interest</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unit holders represent the minority interest ownership in our operating partnership. As of December 31, 2006 and 2005, the minority interest unit holders owned 5.1% (2,693,900 units) and 5.4% (2,426,786 units) of our operating partnership, respectively. At December 31, 2006, 2,693,900 shares of our common stock were reserved for the conversion of units of limited partnership interest in our operating partnership.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June 2006, our operating partnership issued 490,475 units of limited partnership interest in connection with the 2005 Outperformance Plan.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October 2004, our operating partnership issued 306,000 units of limited partnership interest in connection with the acquisition of 625 Madison Avenue.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Benefit Plans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building employees are covered by multi-employer defined benefit pension plans and post-retirement health and welfare plans. Contributions to these plans amounted to approximately $5.5 million, $4.6 million and $3.4 million during the years ended December 31, 2006, 2005 and 2004, respectively. Separate actuarial information regarding such plans is not made available to the contributing employers by the union administrators or trustees, since the plans do not maintain separate records for each reporting unit.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Stock Compensation</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July 1998, we issued 150,000 shares in connection with an employment contract. These shares vested annually at rates of 15% to 35% and were recorded at fair value. At December 31, 2005, all of these shares had vested. We recorded compensation expense of approximately $151,000 and $604,000 for the years ended December 31, 2005 and 2004, respectively.</w:t>
      </w:r>
    </w:p>
    <w:p>
      <w:pPr>
        <w:sectPr>
          <w:pgSz w:w="11900" w:h="16838" w:orient="portrait"/>
          <w:cols w:equalWidth="0" w:num="1">
            <w:col w:w="11420"/>
          </w:cols>
          <w:pgMar w:left="240" w:top="125" w:right="239" w:bottom="0" w:gutter="0" w:footer="0" w:header="0"/>
        </w:sectPr>
      </w:pPr>
    </w:p>
    <w:bookmarkStart w:id="59" w:name="page60"/>
    <w:bookmarkEnd w:id="59"/>
    <w:p>
      <w:pPr>
        <w:spacing w:after="0" w:line="1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Effective January 1, 1999, we implemented a deferred compensation plan, or the Deferred Plan, covering certain of our employees, including our executives. In connection with the Deferred Plan, we issued 102,826, 251,293 and 351,750 restricted shares in 2006, 2005 and 2004, respectively. The shares issued under the Deferred Plan were granted to certain employees, including our executives and vesting will occur annually upon our meeting established financial performance criteria. Annual vesting occurs at rates ranging from 15% to 35% once performance criteria are reached. As of December 31, 2006, 595,616 of these shares had vested and 136,233 had been retired. We recorded compensation expense of approximately $9.6 million, $4.3 million and $7.1 million for the years ended December 31, 2006, 2005 and 2004,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August 1997, we implemented a 401(K) Savings/Retirement Plan, or the 401(K) Plan, to cover eligible employees of ours, and any designated affiliate. The 401(K) Plan permits eligible employees to defer up to 15% of their annual compensation, subject to certain limitations imposed by the Code. The employees’ elective deferrals are immediately vested and non-forfeitable upon contribution to the 401(K) Plan. During 2000, we amended our 401(K) Plan to include a matching contribution, subject to ERISA limitations, equal to 50% of the first 4% of annual compensation deferred by an employee. During 2003, we amended our 401(K) Plan to provide for discretionary matching contributions only. For 2006, a matching contribution equal to 50% of the first 6% of annual compensation was made. For the years ended December 31, 2006, 2005 and, 2004, we made matching contributions of approximately $320,000, $270,000 and $149,000,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and our operating partnership are not presently involved in any material litigation nor, to our knowledge, is any material litigation threatened against us or our properties, other than routine litigation arising in the ordinary course of business. Management believes the costs, if any, incurred by us and our operating partnership related to this litigation will not materially affect our financial position, operating results or liquidity.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entered into employment agreements with certain executives. Five executives have employment agreements, which expire between February 2007 and January 2010. The minimum cash-based compensation, including base salary and guaranteed bonus payments, associated with these employment agreements totals approximately $3.2 million for 2007.</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March 1998, we acquired an operating sub-leasehold position at 420 Lexington Avenue. The operating sub-leasehold position requires annual ground lease payments totaling $6.0 million and sub-leasehold position payments totaling $1.1 million (excluding an operating sub-lease position purchased January 1999). The ground lease and sub-leasehold positions expire in 2008.</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property located at 711 Third Avenue operates under an operating sub-lease, which expires in 2083. Under the sub-lease, we are responsible for ground rent payments of $1.55 million annually through July 2011 on the 50% portion of the fee we do not own. The ground rent is reset after July 2011 based on the estimated fair market value of the property. We have an option to buy out the sub-lease at a fixed future date.</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property located at 461 Fifth Avenue operates under a ground lease (approximately $2.1 million annually) with a term expiration date of 2027 and with two options to renew for an additional 21 years each, followed by a third option for 15 years. We also have an option to purchase the ground lease for a fixed price on a specific date.</w:t>
      </w:r>
    </w:p>
    <w:p>
      <w:pPr>
        <w:spacing w:after="0" w:line="181"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The property located at 625 Madison Avenue operates under a ground lease (approximately $4.6 million annually) with a term expiration date of 2022 and with two options to renew for an additional 23 years.</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property located at 1604 Broadway operates under a ground lease that was extended from 2019 to 2036 as part of the acquisition. Annual ground rent payments are approximately $2.4 million through July 2011, $2.5 million through July 2014, $2.7 million through July 2016 and $3.0 million through July 2036. We have a 50% interest in the joint venture with Jeff Sutton.</w:t>
      </w:r>
    </w:p>
    <w:p>
      <w:pPr>
        <w:spacing w:after="0" w:line="18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April 1988, the SL Green predecessor entered into a lease agreement for property at 673 First Avenue, which has been capitalized for financial statement purposes. Land was estimated to be approximately 70% of the fair market value of the property. The portion of the lease attributed to land is classified as an operating lease and the remainder as a capital lease. The initial lease term is 49 years with an option for an additional 26 years. Beginning in lease years 11 and 25, the lessor is entitled to additional rent as defined by the lease agreement.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continue to lease the 673 First Avenue property, which has been classified as a capital lease with a cost basis of $12.2 million and cumulative amortization of $4.7 million and $4.4 million at December 31, 2006 and 2005,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is a schedule of future minimum lease payments under capital leases and noncancellable operating leases with initial terms in excess of one year as of December 31, 2006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Capital lease</w:t>
            </w: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Non-cancellable</w:t>
            </w:r>
          </w:p>
        </w:tc>
        <w:tc>
          <w:tcPr>
            <w:tcW w:w="0" w:type="dxa"/>
            <w:vAlign w:val="bottom"/>
          </w:tcPr>
          <w:p>
            <w:pPr>
              <w:spacing w:after="0"/>
              <w:rPr>
                <w:sz w:val="1"/>
                <w:szCs w:val="1"/>
                <w:color w:val="auto"/>
              </w:rPr>
            </w:pPr>
          </w:p>
        </w:tc>
      </w:tr>
      <w:tr>
        <w:trPr>
          <w:trHeight w:val="162"/>
        </w:trPr>
        <w:tc>
          <w:tcPr>
            <w:tcW w:w="86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50,314</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356,355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57,568</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459,099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25" w:right="23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ind w:left="180"/>
              <w:spacing w:after="0"/>
              <w:rPr>
                <w:sz w:val="20"/>
                <w:szCs w:val="20"/>
                <w:color w:val="auto"/>
              </w:rPr>
            </w:pPr>
            <w:r>
              <w:rPr>
                <w:rFonts w:ascii="Arial" w:cs="Arial" w:eastAsia="Arial" w:hAnsi="Arial"/>
                <w:sz w:val="18"/>
                <w:szCs w:val="18"/>
                <w:color w:val="auto"/>
              </w:rPr>
              <w:t>Less amount representing interest</w:t>
            </w:r>
          </w:p>
        </w:tc>
        <w:tc>
          <w:tcPr>
            <w:tcW w:w="3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(41,174)</w:t>
            </w:r>
          </w:p>
        </w:tc>
        <w:tc>
          <w:tcPr>
            <w:tcW w:w="12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8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 value of net minimum lease payments</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Derivatives and Hedging</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accordance with SFAS No. 133, “Accounting for Derivative Instruments and Hedging Activities,” we recognize all derivatives on the balance sheet at fair value. Derivatives that are not hedges must be adjusted to fair value through income. If a derivative is a hedge, depending on the nature of the hedge, changes in the fair value of the derivative will either be offset against the change in fair value of the hedged asset, liability, or firm commitment through earnings, or recognized in other comprehensive income until the hedged item is recognized in earnings. The ineffective portion of a derivative’s change in fair value will be immediately recognized in earnings. SFAS No. 133 may increase or decrease reported net income and stockholders’ equity prospectively, depending on future levels of interest rates and other variables affecting the fair values of derivative instruments and hedged items, but will have no effect on cash flows.</w:t>
      </w:r>
    </w:p>
    <w:p>
      <w:pPr>
        <w:spacing w:after="0" w:line="18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table summarizes the notional and fair value of our derivative financial instruments at December 31, 2006. The notional value is an indication of the extent of our involvement in these instruments at that time, but does not represent exposure to credit, interest rate or market risks (in thousands).</w:t>
      </w:r>
    </w:p>
    <w:p>
      <w:pPr>
        <w:spacing w:after="0" w:line="85"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Notional</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Strike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Effective</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Expiration</w:t>
            </w: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Rate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rPr>
              <w:t>Date</w:t>
            </w: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9/2006</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6/2008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4.060%</w:t>
            </w:r>
          </w:p>
        </w:tc>
        <w:tc>
          <w:tcPr>
            <w:tcW w:w="700" w:type="dxa"/>
            <w:vAlign w:val="bottom"/>
          </w:tcPr>
          <w:p>
            <w:pPr>
              <w:jc w:val="right"/>
              <w:spacing w:after="0"/>
              <w:rPr>
                <w:sz w:val="20"/>
                <w:szCs w:val="20"/>
                <w:color w:val="auto"/>
              </w:rPr>
            </w:pPr>
            <w:r>
              <w:rPr>
                <w:rFonts w:ascii="Arial" w:cs="Arial" w:eastAsia="Arial" w:hAnsi="Arial"/>
                <w:sz w:val="18"/>
                <w:szCs w:val="18"/>
                <w:color w:val="auto"/>
              </w:rPr>
              <w:t>12/2003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12/2007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4.650%</w:t>
            </w:r>
          </w:p>
        </w:tc>
        <w:tc>
          <w:tcPr>
            <w:tcW w:w="700" w:type="dxa"/>
            <w:vAlign w:val="bottom"/>
          </w:tcPr>
          <w:p>
            <w:pPr>
              <w:jc w:val="right"/>
              <w:spacing w:after="0"/>
              <w:rPr>
                <w:sz w:val="20"/>
                <w:szCs w:val="20"/>
                <w:color w:val="auto"/>
              </w:rPr>
            </w:pPr>
            <w:r>
              <w:rPr>
                <w:rFonts w:ascii="Arial" w:cs="Arial" w:eastAsia="Arial" w:hAnsi="Arial"/>
                <w:sz w:val="18"/>
                <w:szCs w:val="18"/>
                <w:color w:val="auto"/>
              </w:rPr>
              <w:t>5/2006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12/2008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3.770%</w:t>
            </w:r>
          </w:p>
        </w:tc>
        <w:tc>
          <w:tcPr>
            <w:tcW w:w="700" w:type="dxa"/>
            <w:vAlign w:val="bottom"/>
          </w:tcPr>
          <w:p>
            <w:pPr>
              <w:jc w:val="right"/>
              <w:spacing w:after="0"/>
              <w:rPr>
                <w:sz w:val="20"/>
                <w:szCs w:val="20"/>
                <w:color w:val="auto"/>
              </w:rPr>
            </w:pPr>
            <w:r>
              <w:rPr>
                <w:rFonts w:ascii="Arial" w:cs="Arial" w:eastAsia="Arial" w:hAnsi="Arial"/>
                <w:sz w:val="18"/>
                <w:szCs w:val="18"/>
                <w:color w:val="auto"/>
              </w:rPr>
              <w:t>5/2005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Interest Rate Cap</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12,580</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6.600%</w:t>
            </w:r>
          </w:p>
        </w:tc>
        <w:tc>
          <w:tcPr>
            <w:tcW w:w="700" w:type="dxa"/>
            <w:vAlign w:val="bottom"/>
          </w:tcPr>
          <w:p>
            <w:pPr>
              <w:jc w:val="right"/>
              <w:spacing w:after="0"/>
              <w:rPr>
                <w:sz w:val="20"/>
                <w:szCs w:val="20"/>
                <w:color w:val="auto"/>
              </w:rPr>
            </w:pPr>
            <w:r>
              <w:rPr>
                <w:rFonts w:ascii="Arial" w:cs="Arial" w:eastAsia="Arial" w:hAnsi="Arial"/>
                <w:sz w:val="18"/>
                <w:szCs w:val="18"/>
                <w:color w:val="auto"/>
              </w:rPr>
              <w:t>8/2005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112,700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Interest Rate Cap</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175,000</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700" w:type="dxa"/>
            <w:vAlign w:val="bottom"/>
          </w:tcPr>
          <w:p>
            <w:pPr>
              <w:jc w:val="right"/>
              <w:spacing w:after="0"/>
              <w:rPr>
                <w:sz w:val="20"/>
                <w:szCs w:val="20"/>
                <w:color w:val="auto"/>
              </w:rPr>
            </w:pPr>
            <w:r>
              <w:rPr>
                <w:rFonts w:ascii="Arial" w:cs="Arial" w:eastAsia="Arial" w:hAnsi="Arial"/>
                <w:sz w:val="18"/>
                <w:szCs w:val="18"/>
                <w:color w:val="auto"/>
              </w:rPr>
              <w:t>9/2006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200,000</w:t>
            </w:r>
          </w:p>
        </w:tc>
        <w:tc>
          <w:tcPr>
            <w:tcW w:w="2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5.073%</w:t>
            </w:r>
          </w:p>
        </w:tc>
        <w:tc>
          <w:tcPr>
            <w:tcW w:w="700" w:type="dxa"/>
            <w:vAlign w:val="bottom"/>
          </w:tcPr>
          <w:p>
            <w:pPr>
              <w:jc w:val="right"/>
              <w:spacing w:after="0"/>
              <w:rPr>
                <w:sz w:val="20"/>
                <w:szCs w:val="20"/>
                <w:color w:val="auto"/>
              </w:rPr>
            </w:pPr>
            <w:r>
              <w:rPr>
                <w:rFonts w:ascii="Arial" w:cs="Arial" w:eastAsia="Arial" w:hAnsi="Arial"/>
                <w:sz w:val="18"/>
                <w:szCs w:val="18"/>
                <w:color w:val="auto"/>
              </w:rPr>
              <w:t>1/2007</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31, 2006, the derivative instruments were reported as an asset at their fair value of approximately $7.8 million. This is included in Other Assets on the consolidated balance sheet at December 31, 2006. Offsetting adjustments are represented as deferred gains or losses in Accumulated Other Comprehensive Income of $14.0 million, including a gain of approximately $7.2 million from the settlement of a forward swap, which is being amortized over the ten-year term of its related mortgage obligation from December 2003. Currently, all of our derivative instruments are designated as effective hedging instruments.</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Over time, the realized and unrealized gains and losses held in Accumulated Other Comprehensive Income will be reclassified into earnings as a reduction to interest expense in the same periods in which the hedged interest payments affect earnings. We estimate that approximately $5.5 million of the current balance held in Accumulated Other Comprehensive Income will be reclassified into earnings within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are hedging exposure to variability in future cash flows for forecasted transactions in addition to anticipated future interest payments on existing debt.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Environmental Matters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the properties were sold.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w:t>
      </w:r>
    </w:p>
    <w:p>
      <w:pPr>
        <w:spacing w:after="0" w:line="22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are a REIT engaged in acquiring, owning, repositioning, managing and leasing commercial office properties in Manhattan and have two reportable segments, office real estate and structured finance investments. Our investment in Gramercy and its related earnings are included in the structured finance segment. We evaluate real estate performance and allocate resources based on contribution to income from continuing operations.</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real estate portfolio is primarily located in the geographical market of Manhattan. The primary sources of revenue are generated from tenant rents and escalations and reimbursement revenue. Real estate property operating expenses consist primarily of security, maintenance, utility costs, real estate taxes and ground rent expense (at certain applicable properties). See Note 5 for additional details on our structured finance investments.</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Selected results of operations for the years ended December 31, 2006, 2005 and 2004, and selected asset information as of December 31, 2006 and 2005, regarding our operating segments are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Real</w:t>
            </w:r>
          </w:p>
        </w:tc>
        <w:tc>
          <w:tcPr>
            <w:tcW w:w="140" w:type="dxa"/>
            <w:vAlign w:val="bottom"/>
          </w:tcPr>
          <w:p>
            <w:pPr>
              <w:spacing w:after="0"/>
              <w:rPr>
                <w:sz w:val="14"/>
                <w:szCs w:val="14"/>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Structured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1"/>
                <w:szCs w:val="11"/>
                <w:color w:val="auto"/>
              </w:rPr>
            </w:pPr>
          </w:p>
        </w:tc>
        <w:tc>
          <w:tcPr>
            <w:tcW w:w="88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4"/>
              </w:rPr>
              <w:t>Finance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Segment</w:t>
            </w:r>
          </w:p>
        </w:tc>
        <w:tc>
          <w:tcPr>
            <w:tcW w:w="140" w:type="dxa"/>
            <w:vAlign w:val="bottom"/>
          </w:tcPr>
          <w:p>
            <w:pPr>
              <w:spacing w:after="0"/>
              <w:rPr>
                <w:sz w:val="14"/>
                <w:szCs w:val="14"/>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Year ended: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2006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456,337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December 31, 2005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359,614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64,575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2004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0" w:gutter="0" w:footer="0" w:header="0"/>
        </w:sectPr>
      </w:pPr>
    </w:p>
    <w:bookmarkStart w:id="61" w:name="page62"/>
    <w:bookmarkEnd w:id="61"/>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Year ended:</w:t>
            </w:r>
          </w:p>
        </w:tc>
        <w:tc>
          <w:tcPr>
            <w:tcW w:w="2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2006</w:t>
            </w:r>
          </w:p>
        </w:tc>
        <w:tc>
          <w:tcPr>
            <w:tcW w:w="2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57,484</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65,042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December 31, 2005</w:t>
            </w:r>
          </w:p>
        </w:tc>
        <w:tc>
          <w:tcPr>
            <w:tcW w:w="27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73,821</w:t>
            </w:r>
          </w:p>
        </w:tc>
        <w:tc>
          <w:tcPr>
            <w:tcW w:w="4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43,218</w:t>
            </w:r>
          </w:p>
        </w:tc>
        <w:tc>
          <w:tcPr>
            <w:tcW w:w="3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2004</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74,280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32,503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106,783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As of:</w:t>
            </w:r>
          </w:p>
        </w:tc>
        <w:tc>
          <w:tcPr>
            <w:tcW w:w="2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2006</w:t>
            </w:r>
          </w:p>
        </w:tc>
        <w:tc>
          <w:tcPr>
            <w:tcW w:w="2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4,068,571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563,656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4,632,227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December 31, 2005</w:t>
            </w:r>
          </w:p>
        </w:tc>
        <w:tc>
          <w:tcPr>
            <w:tcW w:w="276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2,813,232</w:t>
            </w:r>
          </w:p>
        </w:tc>
        <w:tc>
          <w:tcPr>
            <w:tcW w:w="4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496,545</w:t>
            </w: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3,309,777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Income from continuing operations represents total revenues less total expenses for the real estate segment and total revenues less allocated interest expense for the structured finance segment. Interest costs for the structured finance segment are imputed assuming 100% leverage at our unsecured revolving credit facility borrowing cost. We do not allocate marketing, general and administrative expenses (approximately $65.7 million, $44.2 million and $30.3 million for the years ended December 31, 2006, 2005 and 2004, respectively) to the structured finance segment, since it bases performance on the individual segments prior to allocating marketing, general and administrative expenses. All other expenses, except interest, relate entirely to the real estate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transactions between the above two segments.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reconciles income from continuing operations before minority interest to net income available to common stockholders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2005 and 2004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0"/>
          </w:tcPr>
          <w:p>
            <w:pPr>
              <w:jc w:val="right"/>
              <w:ind w:right="25"/>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2006</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130,191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Equity in net gain on sale of unconsolidated joint venture/ partial interest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11,550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partial interest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Minority interest in operating partnership attributable to continuing operations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(5,906)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(5,811)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other partnerships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122,526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117,039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106,783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minority interest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sale of discontinued operations, net of minority interest</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93,976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33,875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90,370</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220,719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209,430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Preferred stock dividends and accretion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(19,875)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(19,875)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(16,258)</w:t>
            </w:r>
          </w:p>
        </w:tc>
        <w:tc>
          <w:tcPr>
            <w:tcW w:w="0" w:type="dxa"/>
            <w:vAlign w:val="bottom"/>
          </w:tcPr>
          <w:p>
            <w:pPr>
              <w:spacing w:after="0"/>
              <w:rPr>
                <w:sz w:val="1"/>
                <w:szCs w:val="1"/>
                <w:color w:val="auto"/>
              </w:rPr>
            </w:pPr>
          </w:p>
        </w:tc>
      </w:tr>
      <w:tr>
        <w:trPr>
          <w:trHeight w:val="210"/>
        </w:trPr>
        <w:tc>
          <w:tcPr>
            <w:tcW w:w="7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available for common stockholders</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200,844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137,544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b w:val="1"/>
                <w:bCs w:val="1"/>
                <w:color w:val="auto"/>
              </w:rPr>
              <w:t>21. Supplemental Disclosure of Non-Cash Investing and Financing Activities</w:t>
            </w: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tcPr>
          <w:p>
            <w:pPr>
              <w:spacing w:after="0"/>
              <w:rPr>
                <w:sz w:val="20"/>
                <w:szCs w:val="20"/>
                <w:color w:val="auto"/>
              </w:rPr>
            </w:pPr>
            <w:r>
              <w:rPr>
                <w:rFonts w:ascii="Arial" w:cs="Arial" w:eastAsia="Arial" w:hAnsi="Arial"/>
                <w:sz w:val="18"/>
                <w:szCs w:val="18"/>
                <w:color w:val="auto"/>
                <w:w w:val="96"/>
              </w:rPr>
              <w:t>The following table provides information on non-cash investing and financing activities (in thousands):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9"/>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29"/>
        </w:trPr>
        <w:tc>
          <w:tcPr>
            <w:tcW w:w="780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as deferred compensation</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Redemption of units and dividend reinvestments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19,448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 at fair value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Fair value of above and below market leases (SFAS No. 141) in connection with acquisitions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8,997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Tenant improvements payable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Assumption of joint venture interest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Exchange of joint venture interest for structured finance investment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Real estate investments consolidated under FIN 46R</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Transfer of real estate to joint venture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237,918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Assignment of mortgage to joint venture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260,859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Assignment of minority interest to joint venture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Issuance of preferred units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63,891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Assumption of mortgage loan upon acquisition of real estate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102,000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Assumption of other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3,725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investment in consolidated joint venture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Data (unaudited)</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of the adoption of SFAS No. 144, “Accounting for the Impairment or Disposal of Long-Lived Assets,” and SFAS No. 145, “Rescission of FASB Statements No. 4, 44, and 62, Amendment of FASB Statement No. 13, and Technical Corrections,” we are providing updated summary selected quarterly financial information, which is included below reflecting the prior period reclassification as discontinued operations of the properties classified as held for sale during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Quarterly data for the last two years is presented in the tables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color w:val="auto"/>
              </w:rPr>
              <w:t>2006 Quarter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10"/>
        </w:trPr>
        <w:tc>
          <w:tcPr>
            <w:tcW w:w="58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Income net of minority interest and before gain on sale</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30,876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27,432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32,243</w:t>
            </w:r>
          </w:p>
        </w:tc>
        <w:tc>
          <w:tcPr>
            <w:tcW w:w="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27,676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gain on sale of joint venture property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57" w:orient="portrait"/>
          <w:cols w:equalWidth="0" w:num="1">
            <w:col w:w="11420"/>
          </w:cols>
          <w:pgMar w:left="240" w:top="356" w:right="239" w:bottom="0" w:gutter="0" w:footer="0" w:header="0"/>
        </w:sectPr>
      </w:pPr>
    </w:p>
    <w:bookmarkStart w:id="62" w:name="page63"/>
    <w:bookmarkEnd w:id="6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Gain on sale of partial interest</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94,631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before preferred dividends</w:t>
            </w:r>
          </w:p>
        </w:tc>
        <w:tc>
          <w:tcPr>
            <w:tcW w:w="1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34,029</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(4,969)</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Net income per common share-Basic</w:t>
            </w:r>
          </w:p>
        </w:tc>
        <w:tc>
          <w:tcPr>
            <w:tcW w:w="18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tcBorders>
              <w:bottom w:val="single" w:sz="8" w:color="CCEEFF"/>
            </w:tcBorders>
            <w:vMerge w:val="continue"/>
          </w:tcPr>
          <w:p>
            <w:pPr>
              <w:spacing w:after="0"/>
              <w:rPr>
                <w:sz w:val="20"/>
                <w:szCs w:val="20"/>
                <w:color w:val="auto"/>
              </w:rPr>
            </w:pPr>
          </w:p>
        </w:tc>
        <w:tc>
          <w:tcPr>
            <w:tcW w:w="18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0.55</w:t>
            </w:r>
          </w:p>
        </w:tc>
        <w:tc>
          <w:tcPr>
            <w:tcW w:w="18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per common share-Diluted</w:t>
            </w:r>
          </w:p>
        </w:tc>
        <w:tc>
          <w:tcPr>
            <w:tcW w:w="18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0" w:type="dxa"/>
            <w:vAlign w:val="bottom"/>
            <w:vMerge w:val="restart"/>
          </w:tcPr>
          <w:p>
            <w:pPr>
              <w:jc w:val="right"/>
              <w:ind w:right="250"/>
              <w:spacing w:after="0"/>
              <w:rPr>
                <w:sz w:val="20"/>
                <w:szCs w:val="20"/>
                <w:color w:val="auto"/>
              </w:rPr>
            </w:pPr>
            <w:r>
              <w:rPr>
                <w:rFonts w:ascii="Arial" w:cs="Arial" w:eastAsia="Arial" w:hAnsi="Arial"/>
                <w:sz w:val="18"/>
                <w:szCs w:val="18"/>
                <w:color w:val="auto"/>
              </w:rPr>
              <w:t>81</w:t>
            </w: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34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20"/>
                <w:szCs w:val="20"/>
                <w:color w:val="auto"/>
              </w:rPr>
            </w:pPr>
            <w:r>
              <w:rPr>
                <w:rFonts w:ascii="Arial" w:cs="Arial" w:eastAsia="Arial" w:hAnsi="Arial"/>
                <w:sz w:val="14"/>
                <w:szCs w:val="14"/>
                <w:b w:val="1"/>
                <w:bCs w:val="1"/>
                <w:color w:val="auto"/>
              </w:rPr>
              <w:t>2005 Quarter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10"/>
        </w:trPr>
        <w:tc>
          <w:tcPr>
            <w:tcW w:w="5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Income net of minority interest and before gain on sale</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23,828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29,333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26,014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26,326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gain on sale of joint venture property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Net income before preferred dividends</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61,439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 and accretion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available to common stockholders</w:t>
            </w:r>
          </w:p>
        </w:tc>
        <w:tc>
          <w:tcPr>
            <w:tcW w:w="2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56,470</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per common share-Basic</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income per common share-Diluted</w:t>
            </w: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1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0.87</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January 2007, we acquired Reckson Associates Realty Corp. for approximately $6.0 billion, inclusive of transaction costs. Simultaneously, we sold approximately $2.0 billion of the Reckson assets to an asset purchasing venture which includes certain former members of Reckson’s senior management. The transaction includes the acquisition of 30 properties encompassing approximately 9.2 million square feet, of which five properties encompassing approximately 4.2 million square feet are located in Manhattan. In connection with the acquisition, we issued approximately 9.0 million shares of our common stock, closed on $298.0 million of new mortgage financing and a $500.0 million term loan, and assumed approximately $238.6 million of mortgage debt, approximately $967.8 million of public unsecured notes and approximately $287.5 million of public convertible debt. In connection with the Reckson acquisition, we made loans totaling $215.0 million to the asset purchasing venture. We may syndicate all or a portion of these loans.</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January 2007, we exercised the accordion feature in our unsecured revolving line of credit. As a result, the capacity under the unsecured revolver increased by $300.0 million to $800.0 million.</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January 29, 2007, we completed a refinancing of the first mortgage loan on 485 Lexington Avenue for $450.0 million. The ten-year interest only mortgage has an effective interest rate of 5.566%. The mortgage matures in February 2017.</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January 30, 2007, a joint venture between our company, SITQ and SEB announced that it is selling One Park Avenue for $550.0 million. We expect to receive approximately $108.0 million in proceeds from the sale, a substantial portion of which will represent an incentive distribution under our joint venture arrangement with SEB. The proceeds may be utilized in a tax efficient 1031-exchange. The sale, which is subject to customary closing conditions, is expected to close in the first quarter of 2007.</w:t>
      </w:r>
    </w:p>
    <w:p>
      <w:pPr>
        <w:spacing w:after="0" w:line="187" w:lineRule="exact"/>
        <w:rPr>
          <w:sz w:val="20"/>
          <w:szCs w:val="20"/>
          <w:color w:val="auto"/>
        </w:rPr>
      </w:pPr>
    </w:p>
    <w:p>
      <w:pPr>
        <w:ind w:right="680"/>
        <w:spacing w:after="0" w:line="282" w:lineRule="auto"/>
        <w:rPr>
          <w:sz w:val="20"/>
          <w:szCs w:val="20"/>
          <w:color w:val="auto"/>
        </w:rPr>
      </w:pPr>
      <w:r>
        <w:rPr>
          <w:rFonts w:ascii="Arial" w:cs="Arial" w:eastAsia="Arial" w:hAnsi="Arial"/>
          <w:sz w:val="16"/>
          <w:szCs w:val="16"/>
          <w:color w:val="auto"/>
        </w:rPr>
        <w:t>On January 30, 2007, we announced that we have entered into an agreement to sell 70 West 36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Street for $61.5 million. The sale, which is subject to customary closing conditions, is expected to close in the first quarter of 2007. The proceeds may be utilized in a tax efficient 1031-exchange.</w:t>
      </w:r>
    </w:p>
    <w:p>
      <w:pPr>
        <w:spacing w:after="0" w:line="16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January 2007, we acquired 300 Main Street in Stamford, Connecticut and 399 Knollwood Road in White Plains, New York for approximately $46.6 million, inclusive of 50,000 square feet of garage parking at 300 Main Street, from affiliates of RPW Group. These properties are being managed and leased by our management team and by the former Reckson management team located in White Plains, 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gridSpan w:val="3"/>
          </w:tcPr>
          <w:p>
            <w:pPr>
              <w:jc w:val="center"/>
              <w:ind w:right="63"/>
              <w:spacing w:after="0"/>
              <w:rPr>
                <w:sz w:val="20"/>
                <w:szCs w:val="20"/>
                <w:color w:val="auto"/>
              </w:rPr>
            </w:pPr>
            <w:r>
              <w:rPr>
                <w:rFonts w:ascii="Arial" w:cs="Arial" w:eastAsia="Arial" w:hAnsi="Arial"/>
                <w:sz w:val="11"/>
                <w:szCs w:val="11"/>
                <w:b w:val="1"/>
                <w:bCs w:val="1"/>
                <w:color w:val="auto"/>
                <w:w w:val="92"/>
              </w:rPr>
              <w:t>Column D</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8"/>
              <w:spacing w:after="0"/>
              <w:rPr>
                <w:sz w:val="20"/>
                <w:szCs w:val="20"/>
                <w:color w:val="auto"/>
              </w:rPr>
            </w:pPr>
            <w:r>
              <w:rPr>
                <w:rFonts w:ascii="Arial" w:cs="Arial" w:eastAsia="Arial" w:hAnsi="Arial"/>
                <w:sz w:val="11"/>
                <w:szCs w:val="11"/>
                <w:b w:val="1"/>
                <w:bCs w:val="1"/>
                <w:color w:val="auto"/>
                <w:w w:val="89"/>
              </w:rPr>
              <w:t>Column 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left="219"/>
              <w:spacing w:after="0" w:line="122" w:lineRule="exact"/>
              <w:rPr>
                <w:sz w:val="20"/>
                <w:szCs w:val="20"/>
                <w:color w:val="auto"/>
              </w:rPr>
            </w:pPr>
            <w:r>
              <w:rPr>
                <w:rFonts w:ascii="Arial" w:cs="Arial" w:eastAsia="Arial" w:hAnsi="Arial"/>
                <w:sz w:val="11"/>
                <w:szCs w:val="11"/>
                <w:b w:val="1"/>
                <w:bCs w:val="1"/>
                <w:color w:val="auto"/>
                <w:w w:val="92"/>
              </w:rPr>
              <w:t>Column C</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gridSpan w:val="6"/>
          </w:tcPr>
          <w:p>
            <w:pPr>
              <w:jc w:val="center"/>
              <w:ind w:right="40"/>
              <w:spacing w:after="0" w:line="122" w:lineRule="exact"/>
              <w:rPr>
                <w:sz w:val="20"/>
                <w:szCs w:val="20"/>
                <w:color w:val="auto"/>
              </w:rPr>
            </w:pPr>
            <w:r>
              <w:rPr>
                <w:rFonts w:ascii="Arial" w:cs="Arial" w:eastAsia="Arial" w:hAnsi="Arial"/>
                <w:sz w:val="11"/>
                <w:szCs w:val="11"/>
                <w:b w:val="1"/>
                <w:bCs w:val="1"/>
                <w:color w:val="auto"/>
                <w:w w:val="88"/>
              </w:rPr>
              <w:t>Cost Capitalized Subsequent</w:t>
            </w:r>
          </w:p>
        </w:tc>
        <w:tc>
          <w:tcPr>
            <w:tcW w:w="140" w:type="dxa"/>
            <w:vAlign w:val="bottom"/>
          </w:tcPr>
          <w:p>
            <w:pPr>
              <w:spacing w:after="0"/>
              <w:rPr>
                <w:sz w:val="10"/>
                <w:szCs w:val="10"/>
                <w:color w:val="auto"/>
              </w:rPr>
            </w:pPr>
          </w:p>
        </w:tc>
        <w:tc>
          <w:tcPr>
            <w:tcW w:w="2000" w:type="dxa"/>
            <w:vAlign w:val="bottom"/>
            <w:gridSpan w:val="7"/>
          </w:tcPr>
          <w:p>
            <w:pPr>
              <w:jc w:val="center"/>
              <w:ind w:right="78"/>
              <w:spacing w:after="0" w:line="122" w:lineRule="exact"/>
              <w:rPr>
                <w:sz w:val="20"/>
                <w:szCs w:val="20"/>
                <w:color w:val="auto"/>
              </w:rPr>
            </w:pPr>
            <w:r>
              <w:rPr>
                <w:rFonts w:ascii="Arial" w:cs="Arial" w:eastAsia="Arial" w:hAnsi="Arial"/>
                <w:sz w:val="11"/>
                <w:szCs w:val="11"/>
                <w:b w:val="1"/>
                <w:bCs w:val="1"/>
                <w:color w:val="auto"/>
                <w:w w:val="90"/>
              </w:rPr>
              <w:t>Gross Amount at Which Carried at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b w:val="1"/>
                <w:bCs w:val="1"/>
                <w:color w:val="auto"/>
              </w:rPr>
              <w:t>Column 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11"/>
                <w:szCs w:val="11"/>
                <w:b w:val="1"/>
                <w:bCs w:val="1"/>
                <w:color w:val="auto"/>
                <w:w w:val="92"/>
              </w:rPr>
              <w:t>Column B</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ind w:left="219"/>
              <w:spacing w:after="0"/>
              <w:rPr>
                <w:sz w:val="20"/>
                <w:szCs w:val="20"/>
                <w:color w:val="auto"/>
              </w:rPr>
            </w:pPr>
            <w:r>
              <w:rPr>
                <w:rFonts w:ascii="Arial" w:cs="Arial" w:eastAsia="Arial" w:hAnsi="Arial"/>
                <w:sz w:val="11"/>
                <w:szCs w:val="11"/>
                <w:b w:val="1"/>
                <w:bCs w:val="1"/>
                <w:color w:val="auto"/>
                <w:w w:val="92"/>
              </w:rPr>
              <w:t>Initial Cost</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4"/>
          </w:tcPr>
          <w:p>
            <w:pPr>
              <w:jc w:val="center"/>
              <w:ind w:left="308"/>
              <w:spacing w:after="0"/>
              <w:rPr>
                <w:sz w:val="20"/>
                <w:szCs w:val="20"/>
                <w:color w:val="auto"/>
              </w:rPr>
            </w:pPr>
            <w:r>
              <w:rPr>
                <w:rFonts w:ascii="Arial" w:cs="Arial" w:eastAsia="Arial" w:hAnsi="Arial"/>
                <w:sz w:val="11"/>
                <w:szCs w:val="11"/>
                <w:b w:val="1"/>
                <w:bCs w:val="1"/>
                <w:color w:val="auto"/>
                <w:w w:val="86"/>
              </w:rPr>
              <w:t>To Acquisition</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6"/>
              </w:rPr>
              <w:t>Close of Period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Column F</w:t>
            </w:r>
          </w:p>
        </w:tc>
        <w:tc>
          <w:tcPr>
            <w:tcW w:w="6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1"/>
              </w:rPr>
              <w:t>Column G</w:t>
            </w:r>
          </w:p>
        </w:tc>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Column H</w:t>
            </w:r>
          </w:p>
        </w:tc>
        <w:tc>
          <w:tcPr>
            <w:tcW w:w="7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3"/>
              </w:rPr>
              <w:t>Column I</w:t>
            </w:r>
          </w:p>
        </w:tc>
      </w:tr>
      <w:tr>
        <w:trPr>
          <w:trHeight w:val="101"/>
        </w:trPr>
        <w:tc>
          <w:tcPr>
            <w:tcW w:w="220" w:type="dxa"/>
            <w:vAlign w:val="bottom"/>
            <w:tcBorders>
              <w:top w:val="single" w:sz="8" w:color="auto"/>
            </w:tcBorders>
          </w:tcPr>
          <w:p>
            <w:pPr>
              <w:spacing w:after="0"/>
              <w:rPr>
                <w:sz w:val="8"/>
                <w:szCs w:val="8"/>
                <w:color w:val="auto"/>
              </w:rPr>
            </w:pPr>
          </w:p>
        </w:tc>
        <w:tc>
          <w:tcPr>
            <w:tcW w:w="2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1"/>
              </w:rPr>
              <w:t>Life on Which</w:t>
            </w:r>
          </w:p>
        </w:tc>
        <w:tc>
          <w:tcPr>
            <w:tcW w:w="20" w:type="dxa"/>
            <w:vAlign w:val="bottom"/>
          </w:tcPr>
          <w:p>
            <w:pPr>
              <w:spacing w:after="0"/>
              <w:rPr>
                <w:sz w:val="8"/>
                <w:szCs w:val="8"/>
                <w:color w:val="auto"/>
              </w:rPr>
            </w:pPr>
          </w:p>
        </w:tc>
      </w:tr>
      <w:tr>
        <w:trPr>
          <w:trHeight w:val="122"/>
        </w:trPr>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right"/>
              <w:ind w:right="57"/>
              <w:spacing w:after="0" w:line="122" w:lineRule="exact"/>
              <w:rPr>
                <w:sz w:val="20"/>
                <w:szCs w:val="20"/>
                <w:color w:val="auto"/>
              </w:rPr>
            </w:pPr>
            <w:r>
              <w:rPr>
                <w:rFonts w:ascii="Arial" w:cs="Arial" w:eastAsia="Arial" w:hAnsi="Arial"/>
                <w:sz w:val="11"/>
                <w:szCs w:val="11"/>
                <w:b w:val="1"/>
                <w:bCs w:val="1"/>
                <w:color w:val="auto"/>
              </w:rPr>
              <w:t>Building &amp;</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Building &amp;</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38"/>
              <w:spacing w:after="0" w:line="122" w:lineRule="exact"/>
              <w:rPr>
                <w:sz w:val="20"/>
                <w:szCs w:val="20"/>
                <w:color w:val="auto"/>
              </w:rPr>
            </w:pPr>
            <w:r>
              <w:rPr>
                <w:rFonts w:ascii="Arial" w:cs="Arial" w:eastAsia="Arial" w:hAnsi="Arial"/>
                <w:sz w:val="11"/>
                <w:szCs w:val="11"/>
                <w:b w:val="1"/>
                <w:bCs w:val="1"/>
                <w:color w:val="auto"/>
                <w:w w:val="94"/>
              </w:rPr>
              <w:t>Building &amp;</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6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85"/>
              </w:rPr>
              <w:t>Date of</w:t>
            </w:r>
          </w:p>
        </w:tc>
        <w:tc>
          <w:tcPr>
            <w:tcW w:w="70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2"/>
              </w:rPr>
              <w:t>Date</w:t>
            </w:r>
          </w:p>
        </w:tc>
        <w:tc>
          <w:tcPr>
            <w:tcW w:w="74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w w:val="86"/>
              </w:rPr>
              <w:t>Depreciation is</w:t>
            </w: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b w:val="1"/>
                <w:bCs w:val="1"/>
                <w:color w:val="auto"/>
              </w:rPr>
              <w:t>Description (1)</w:t>
            </w:r>
          </w:p>
        </w:tc>
        <w:tc>
          <w:tcPr>
            <w:tcW w:w="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w w:val="88"/>
              </w:rPr>
              <w:t>Encumbrances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Land</w:t>
            </w:r>
          </w:p>
        </w:tc>
        <w:tc>
          <w:tcPr>
            <w:tcW w:w="720" w:type="dxa"/>
            <w:vAlign w:val="bottom"/>
            <w:gridSpan w:val="2"/>
          </w:tcPr>
          <w:p>
            <w:pPr>
              <w:jc w:val="right"/>
              <w:spacing w:after="0"/>
              <w:rPr>
                <w:sz w:val="20"/>
                <w:szCs w:val="20"/>
                <w:color w:val="auto"/>
              </w:rPr>
            </w:pPr>
            <w:r>
              <w:rPr>
                <w:rFonts w:ascii="Arial" w:cs="Arial" w:eastAsia="Arial" w:hAnsi="Arial"/>
                <w:sz w:val="11"/>
                <w:szCs w:val="11"/>
                <w:b w:val="1"/>
                <w:bCs w:val="1"/>
                <w:color w:val="auto"/>
                <w:w w:val="87"/>
              </w:rPr>
              <w:t>Improvements</w:t>
            </w:r>
          </w:p>
        </w:tc>
        <w:tc>
          <w:tcPr>
            <w:tcW w:w="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Land</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w w:val="95"/>
              </w:rPr>
              <w:t>Improvements</w:t>
            </w:r>
          </w:p>
        </w:tc>
        <w:tc>
          <w:tcPr>
            <w:tcW w:w="140" w:type="dxa"/>
            <w:vAlign w:val="bottom"/>
          </w:tcPr>
          <w:p>
            <w:pPr>
              <w:spacing w:after="0"/>
              <w:rPr>
                <w:sz w:val="11"/>
                <w:szCs w:val="11"/>
                <w:color w:val="auto"/>
              </w:rPr>
            </w:pP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Land</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Improvements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58"/>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1"/>
                <w:szCs w:val="11"/>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9"/>
              </w:rPr>
              <w:t>Depreciation</w:t>
            </w:r>
          </w:p>
        </w:tc>
        <w:tc>
          <w:tcPr>
            <w:tcW w:w="6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7"/>
              </w:rPr>
              <w:t>Construction</w:t>
            </w:r>
          </w:p>
        </w:tc>
        <w:tc>
          <w:tcPr>
            <w:tcW w:w="7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7"/>
              </w:rPr>
              <w:t>Acquired</w:t>
            </w:r>
          </w:p>
        </w:tc>
        <w:tc>
          <w:tcPr>
            <w:tcW w:w="7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1"/>
              </w:rPr>
              <w:t>Computed</w:t>
            </w:r>
          </w:p>
        </w:tc>
      </w:tr>
      <w:tr>
        <w:trPr>
          <w:trHeight w:val="129"/>
        </w:trPr>
        <w:tc>
          <w:tcPr>
            <w:tcW w:w="2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92"/>
              </w:rPr>
              <w:t>673</w:t>
            </w:r>
          </w:p>
        </w:tc>
        <w:tc>
          <w:tcPr>
            <w:tcW w:w="24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First Ave.</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33,816</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35,727</w:t>
            </w:r>
          </w:p>
        </w:tc>
        <w:tc>
          <w:tcPr>
            <w:tcW w:w="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9"/>
                <w:szCs w:val="9"/>
                <w:color w:val="auto"/>
                <w:w w:val="78"/>
              </w:rPr>
              <w:t>$</w:t>
            </w:r>
          </w:p>
        </w:tc>
        <w:tc>
          <w:tcPr>
            <w:tcW w:w="2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5,437</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41,164</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41,164</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14,242</w:t>
            </w:r>
          </w:p>
        </w:tc>
        <w:tc>
          <w:tcPr>
            <w:tcW w:w="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1928</w:t>
            </w:r>
          </w:p>
        </w:tc>
        <w:tc>
          <w:tcPr>
            <w:tcW w:w="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8/1997</w:t>
            </w: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Various</w:t>
            </w: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2660" w:type="dxa"/>
            <w:vAlign w:val="bottom"/>
            <w:gridSpan w:val="2"/>
          </w:tcPr>
          <w:p>
            <w:pPr>
              <w:spacing w:after="0" w:line="135" w:lineRule="exact"/>
              <w:rPr>
                <w:sz w:val="20"/>
                <w:szCs w:val="20"/>
                <w:color w:val="auto"/>
              </w:rPr>
            </w:pPr>
            <w:r>
              <w:rPr>
                <w:rFonts w:ascii="Arial" w:cs="Arial" w:eastAsia="Arial" w:hAnsi="Arial"/>
                <w:sz w:val="12"/>
                <w:szCs w:val="12"/>
                <w:color w:val="auto"/>
              </w:rPr>
              <w:t>70 West 36</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Street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11,199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1,517</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7,830</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7,453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1,530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15,283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16,813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7,835</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Various</w:t>
            </w:r>
          </w:p>
        </w:tc>
      </w:tr>
      <w:tr>
        <w:trPr>
          <w:trHeight w:val="135"/>
        </w:trPr>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470</w:t>
            </w: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Park Ave. So.</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3,750</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22,040</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20,975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3,751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43,015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46,766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19,876</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1912</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8/1997</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Various</w:t>
            </w:r>
          </w:p>
        </w:tc>
      </w:tr>
      <w:tr>
        <w:trPr>
          <w:trHeight w:val="135"/>
        </w:trPr>
        <w:tc>
          <w:tcPr>
            <w:tcW w:w="2660" w:type="dxa"/>
            <w:vAlign w:val="bottom"/>
            <w:gridSpan w:val="2"/>
          </w:tcPr>
          <w:p>
            <w:pPr>
              <w:spacing w:after="0" w:line="135" w:lineRule="exact"/>
              <w:rPr>
                <w:sz w:val="20"/>
                <w:szCs w:val="20"/>
                <w:color w:val="auto"/>
              </w:rPr>
            </w:pPr>
            <w:r>
              <w:rPr>
                <w:rFonts w:ascii="Arial" w:cs="Arial" w:eastAsia="Arial" w:hAnsi="Arial"/>
                <w:sz w:val="13"/>
                <w:szCs w:val="13"/>
                <w:color w:val="auto"/>
              </w:rPr>
              <w:t>1372 Broadway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10,478</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42,187</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67</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13,389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10,545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55,576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66,121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15,590</w:t>
            </w:r>
          </w:p>
        </w:tc>
        <w:tc>
          <w:tcPr>
            <w:tcW w:w="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1926</w:t>
            </w:r>
          </w:p>
        </w:tc>
        <w:tc>
          <w:tcPr>
            <w:tcW w:w="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8/1997</w:t>
            </w:r>
          </w:p>
        </w:tc>
        <w:tc>
          <w:tcPr>
            <w:tcW w:w="4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Various</w:t>
            </w:r>
          </w:p>
        </w:tc>
      </w:tr>
      <w:tr>
        <w:trPr>
          <w:trHeight w:val="135"/>
        </w:trPr>
        <w:tc>
          <w:tcPr>
            <w:tcW w:w="26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110 E. 42</w:t>
            </w:r>
            <w:r>
              <w:rPr>
                <w:rFonts w:ascii="Arial" w:cs="Arial" w:eastAsia="Arial" w:hAnsi="Arial"/>
                <w:sz w:val="15"/>
                <w:szCs w:val="15"/>
                <w:color w:val="auto"/>
                <w:vertAlign w:val="superscript"/>
              </w:rPr>
              <w:t>nd</w:t>
            </w:r>
            <w:r>
              <w:rPr>
                <w:rFonts w:ascii="Arial" w:cs="Arial" w:eastAsia="Arial" w:hAnsi="Arial"/>
                <w:sz w:val="12"/>
                <w:szCs w:val="12"/>
                <w:color w:val="auto"/>
              </w:rPr>
              <w:t xml:space="preserve"> Street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3,680</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14,842</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7,831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22,673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26,379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6,947</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1921</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9/1997</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Various</w:t>
            </w:r>
          </w:p>
        </w:tc>
      </w:tr>
      <w:tr>
        <w:trPr>
          <w:trHeight w:val="135"/>
        </w:trPr>
        <w:tc>
          <w:tcPr>
            <w:tcW w:w="220" w:type="dxa"/>
            <w:vAlign w:val="bottom"/>
          </w:tcPr>
          <w:p>
            <w:pPr>
              <w:spacing w:after="0" w:line="135" w:lineRule="exact"/>
              <w:rPr>
                <w:sz w:val="20"/>
                <w:szCs w:val="20"/>
                <w:color w:val="auto"/>
              </w:rPr>
            </w:pPr>
            <w:r>
              <w:rPr>
                <w:rFonts w:ascii="Arial" w:cs="Arial" w:eastAsia="Arial" w:hAnsi="Arial"/>
                <w:sz w:val="13"/>
                <w:szCs w:val="13"/>
                <w:color w:val="auto"/>
                <w:w w:val="92"/>
              </w:rPr>
              <w:t>420</w:t>
            </w: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Lexington Ave.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115,182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w w:val="85"/>
              </w:rPr>
              <w:t>107,824</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jc w:val="right"/>
              <w:ind w:right="343"/>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69,180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177,004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177,004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44,779</w:t>
            </w:r>
          </w:p>
        </w:tc>
        <w:tc>
          <w:tcPr>
            <w:tcW w:w="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1927</w:t>
            </w:r>
          </w:p>
        </w:tc>
        <w:tc>
          <w:tcPr>
            <w:tcW w:w="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3/1998</w:t>
            </w:r>
          </w:p>
        </w:tc>
        <w:tc>
          <w:tcPr>
            <w:tcW w:w="4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Various</w:t>
            </w:r>
          </w:p>
        </w:tc>
      </w:tr>
      <w:tr>
        <w:trPr>
          <w:trHeight w:val="135"/>
        </w:trPr>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440</w:t>
            </w: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Ninth Ave.</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6,326</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25,402</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343"/>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26,338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6,326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51,740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58,066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18,671</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1927</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6/1998</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Various</w:t>
            </w:r>
          </w:p>
        </w:tc>
      </w:tr>
      <w:tr>
        <w:trPr>
          <w:trHeight w:val="135"/>
        </w:trPr>
        <w:tc>
          <w:tcPr>
            <w:tcW w:w="2660" w:type="dxa"/>
            <w:vAlign w:val="bottom"/>
            <w:gridSpan w:val="2"/>
          </w:tcPr>
          <w:p>
            <w:pPr>
              <w:spacing w:after="0" w:line="135" w:lineRule="exact"/>
              <w:rPr>
                <w:sz w:val="20"/>
                <w:szCs w:val="20"/>
                <w:color w:val="auto"/>
              </w:rPr>
            </w:pPr>
            <w:r>
              <w:rPr>
                <w:rFonts w:ascii="Arial" w:cs="Arial" w:eastAsia="Arial" w:hAnsi="Arial"/>
                <w:sz w:val="13"/>
                <w:szCs w:val="13"/>
                <w:color w:val="auto"/>
              </w:rPr>
              <w:t>711 Third Avenue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120,000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19,843</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42,486</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jc w:val="right"/>
              <w:ind w:right="343"/>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16,469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19,843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58,955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78,798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16,441</w:t>
            </w:r>
          </w:p>
        </w:tc>
        <w:tc>
          <w:tcPr>
            <w:tcW w:w="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1955</w:t>
            </w:r>
          </w:p>
        </w:tc>
        <w:tc>
          <w:tcPr>
            <w:tcW w:w="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5/1998</w:t>
            </w:r>
          </w:p>
        </w:tc>
        <w:tc>
          <w:tcPr>
            <w:tcW w:w="4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Various</w:t>
            </w:r>
          </w:p>
        </w:tc>
      </w:tr>
      <w:tr>
        <w:trPr>
          <w:trHeight w:val="135"/>
        </w:trPr>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555</w:t>
            </w: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 57</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Street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18,845</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78,698</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343"/>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17,165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18,845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95,863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114,708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20,608</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1971</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1/1999</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Various</w:t>
            </w:r>
          </w:p>
        </w:tc>
      </w:tr>
      <w:tr>
        <w:trPr>
          <w:trHeight w:val="135"/>
        </w:trPr>
        <w:tc>
          <w:tcPr>
            <w:tcW w:w="220" w:type="dxa"/>
            <w:vAlign w:val="bottom"/>
          </w:tcPr>
          <w:p>
            <w:pPr>
              <w:spacing w:after="0" w:line="135" w:lineRule="exact"/>
              <w:rPr>
                <w:sz w:val="20"/>
                <w:szCs w:val="20"/>
                <w:color w:val="auto"/>
              </w:rPr>
            </w:pPr>
            <w:r>
              <w:rPr>
                <w:rFonts w:ascii="Arial" w:cs="Arial" w:eastAsia="Arial" w:hAnsi="Arial"/>
                <w:sz w:val="13"/>
                <w:szCs w:val="13"/>
                <w:color w:val="auto"/>
                <w:w w:val="92"/>
              </w:rPr>
              <w:t>292</w:t>
            </w: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Madison Ave.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5,949</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24,141</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jc w:val="right"/>
              <w:ind w:right="343"/>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6,722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5,949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30,863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36,812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6,118</w:t>
            </w:r>
          </w:p>
        </w:tc>
        <w:tc>
          <w:tcPr>
            <w:tcW w:w="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1923</w:t>
            </w:r>
          </w:p>
        </w:tc>
        <w:tc>
          <w:tcPr>
            <w:tcW w:w="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5/1999</w:t>
            </w:r>
          </w:p>
        </w:tc>
        <w:tc>
          <w:tcPr>
            <w:tcW w:w="4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Various</w:t>
            </w:r>
          </w:p>
        </w:tc>
      </w:tr>
      <w:tr>
        <w:trPr>
          <w:trHeight w:val="135"/>
        </w:trPr>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317</w:t>
            </w: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Madison Ave.</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21,205</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85,551</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343"/>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24,071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21,205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109,622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130,827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17,842</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1920</w:t>
            </w: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6/2001</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Various</w:t>
            </w:r>
          </w:p>
        </w:tc>
      </w:tr>
    </w:tbl>
    <w:p>
      <w:pPr>
        <w:sectPr>
          <w:pgSz w:w="11900" w:h="16870" w:orient="portrait"/>
          <w:cols w:equalWidth="0" w:num="1">
            <w:col w:w="11460"/>
          </w:cols>
          <w:pgMar w:left="240" w:top="125" w:right="199" w:bottom="0" w:gutter="0" w:footer="0" w:header="0"/>
        </w:sectPr>
      </w:pPr>
    </w:p>
    <w:bookmarkStart w:id="63" w:name="page64"/>
    <w:bookmarkEnd w:id="63"/>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20"/>
                <w:szCs w:val="20"/>
                <w:color w:val="auto"/>
              </w:rPr>
            </w:pPr>
            <w:r>
              <w:rPr>
                <w:rFonts w:ascii="Arial" w:cs="Arial" w:eastAsia="Arial" w:hAnsi="Arial"/>
                <w:sz w:val="13"/>
                <w:szCs w:val="13"/>
                <w:color w:val="auto"/>
                <w:w w:val="92"/>
              </w:rPr>
              <w:t>220</w:t>
            </w:r>
          </w:p>
        </w:tc>
        <w:tc>
          <w:tcPr>
            <w:tcW w:w="2620" w:type="dxa"/>
            <w:vAlign w:val="bottom"/>
            <w:gridSpan w:val="3"/>
          </w:tcPr>
          <w:p>
            <w:pPr>
              <w:spacing w:after="0"/>
              <w:rPr>
                <w:sz w:val="20"/>
                <w:szCs w:val="20"/>
                <w:color w:val="auto"/>
              </w:rPr>
            </w:pPr>
            <w:r>
              <w:rPr>
                <w:rFonts w:ascii="Arial" w:cs="Arial" w:eastAsia="Arial" w:hAnsi="Arial"/>
                <w:sz w:val="13"/>
                <w:szCs w:val="13"/>
                <w:color w:val="auto"/>
              </w:rPr>
              <w:t>East 42</w:t>
            </w:r>
            <w:r>
              <w:rPr>
                <w:rFonts w:ascii="Arial" w:cs="Arial" w:eastAsia="Arial" w:hAnsi="Arial"/>
                <w:sz w:val="16"/>
                <w:szCs w:val="16"/>
                <w:color w:val="auto"/>
                <w:vertAlign w:val="superscript"/>
              </w:rPr>
              <w:t>nd</w:t>
            </w:r>
            <w:r>
              <w:rPr>
                <w:rFonts w:ascii="Arial" w:cs="Arial" w:eastAsia="Arial" w:hAnsi="Arial"/>
                <w:sz w:val="13"/>
                <w:szCs w:val="13"/>
                <w:color w:val="auto"/>
              </w:rPr>
              <w:t xml:space="preserve"> Street</w:t>
            </w:r>
          </w:p>
        </w:tc>
        <w:tc>
          <w:tcPr>
            <w:tcW w:w="600" w:type="dxa"/>
            <w:vAlign w:val="bottom"/>
          </w:tcPr>
          <w:p>
            <w:pPr>
              <w:jc w:val="right"/>
              <w:spacing w:after="0"/>
              <w:rPr>
                <w:sz w:val="20"/>
                <w:szCs w:val="20"/>
                <w:color w:val="auto"/>
              </w:rPr>
            </w:pPr>
            <w:r>
              <w:rPr>
                <w:rFonts w:ascii="Arial" w:cs="Arial" w:eastAsia="Arial" w:hAnsi="Arial"/>
                <w:sz w:val="13"/>
                <w:szCs w:val="13"/>
                <w:color w:val="auto"/>
              </w:rPr>
              <w:t>210,000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50,373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201,184</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635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18,843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51,008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220,027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271,035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22,304</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1929</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2/2003</w:t>
            </w:r>
          </w:p>
        </w:tc>
        <w:tc>
          <w:tcPr>
            <w:tcW w:w="600" w:type="dxa"/>
            <w:vAlign w:val="bottom"/>
          </w:tcPr>
          <w:p>
            <w:pPr>
              <w:ind w:left="180"/>
              <w:spacing w:after="0"/>
              <w:rPr>
                <w:sz w:val="20"/>
                <w:szCs w:val="20"/>
                <w:color w:val="auto"/>
              </w:rPr>
            </w:pPr>
            <w:r>
              <w:rPr>
                <w:rFonts w:ascii="Arial" w:cs="Arial" w:eastAsia="Arial" w:hAnsi="Arial"/>
                <w:sz w:val="13"/>
                <w:szCs w:val="13"/>
                <w:color w:val="auto"/>
                <w:w w:val="90"/>
              </w:rPr>
              <w:t>Various</w:t>
            </w:r>
          </w:p>
        </w:tc>
      </w:tr>
      <w:tr>
        <w:trPr>
          <w:trHeight w:val="135"/>
        </w:trPr>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125</w:t>
            </w:r>
          </w:p>
        </w:tc>
        <w:tc>
          <w:tcPr>
            <w:tcW w:w="26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Broad Street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73,985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5,965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96,611</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5,990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97,606</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103,596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9,201</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1968</w:t>
            </w:r>
          </w:p>
        </w:tc>
        <w:tc>
          <w:tcPr>
            <w:tcW w:w="7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3/2003</w:t>
            </w:r>
          </w:p>
        </w:tc>
        <w:tc>
          <w:tcPr>
            <w:tcW w:w="6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20" w:type="dxa"/>
            <w:vAlign w:val="bottom"/>
          </w:tcPr>
          <w:p>
            <w:pPr>
              <w:spacing w:after="0" w:line="135" w:lineRule="exact"/>
              <w:rPr>
                <w:sz w:val="20"/>
                <w:szCs w:val="20"/>
                <w:color w:val="auto"/>
              </w:rPr>
            </w:pPr>
            <w:r>
              <w:rPr>
                <w:rFonts w:ascii="Arial" w:cs="Arial" w:eastAsia="Arial" w:hAnsi="Arial"/>
                <w:sz w:val="13"/>
                <w:szCs w:val="13"/>
                <w:color w:val="auto"/>
                <w:w w:val="92"/>
              </w:rPr>
              <w:t>461</w:t>
            </w:r>
          </w:p>
        </w:tc>
        <w:tc>
          <w:tcPr>
            <w:tcW w:w="2620" w:type="dxa"/>
            <w:vAlign w:val="bottom"/>
            <w:gridSpan w:val="3"/>
          </w:tcPr>
          <w:p>
            <w:pPr>
              <w:spacing w:after="0" w:line="135" w:lineRule="exact"/>
              <w:rPr>
                <w:sz w:val="20"/>
                <w:szCs w:val="20"/>
                <w:color w:val="auto"/>
              </w:rPr>
            </w:pPr>
            <w:r>
              <w:rPr>
                <w:rFonts w:ascii="Arial" w:cs="Arial" w:eastAsia="Arial" w:hAnsi="Arial"/>
                <w:sz w:val="13"/>
                <w:szCs w:val="13"/>
                <w:color w:val="auto"/>
              </w:rPr>
              <w:t>Fifth Avenue</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62,652</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2,423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65,075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65,075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5,441</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1988</w:t>
            </w: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10/2003</w:t>
            </w:r>
          </w:p>
        </w:tc>
        <w:tc>
          <w:tcPr>
            <w:tcW w:w="600" w:type="dxa"/>
            <w:vAlign w:val="bottom"/>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750</w:t>
            </w:r>
          </w:p>
        </w:tc>
        <w:tc>
          <w:tcPr>
            <w:tcW w:w="26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Third Avenue</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51,093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205,307</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9,303</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51,093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214,610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265,703</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12,978</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1958</w:t>
            </w:r>
          </w:p>
        </w:tc>
        <w:tc>
          <w:tcPr>
            <w:tcW w:w="7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7/2004</w:t>
            </w:r>
          </w:p>
        </w:tc>
        <w:tc>
          <w:tcPr>
            <w:tcW w:w="6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20" w:type="dxa"/>
            <w:vAlign w:val="bottom"/>
          </w:tcPr>
          <w:p>
            <w:pPr>
              <w:spacing w:after="0" w:line="135" w:lineRule="exact"/>
              <w:rPr>
                <w:sz w:val="20"/>
                <w:szCs w:val="20"/>
                <w:color w:val="auto"/>
              </w:rPr>
            </w:pPr>
            <w:r>
              <w:rPr>
                <w:rFonts w:ascii="Arial" w:cs="Arial" w:eastAsia="Arial" w:hAnsi="Arial"/>
                <w:sz w:val="13"/>
                <w:szCs w:val="13"/>
                <w:color w:val="auto"/>
                <w:w w:val="92"/>
              </w:rPr>
              <w:t>625</w:t>
            </w:r>
          </w:p>
        </w:tc>
        <w:tc>
          <w:tcPr>
            <w:tcW w:w="2620" w:type="dxa"/>
            <w:vAlign w:val="bottom"/>
            <w:gridSpan w:val="3"/>
          </w:tcPr>
          <w:p>
            <w:pPr>
              <w:spacing w:after="0" w:line="135" w:lineRule="exact"/>
              <w:rPr>
                <w:sz w:val="20"/>
                <w:szCs w:val="20"/>
                <w:color w:val="auto"/>
              </w:rPr>
            </w:pPr>
            <w:r>
              <w:rPr>
                <w:rFonts w:ascii="Arial" w:cs="Arial" w:eastAsia="Arial" w:hAnsi="Arial"/>
                <w:sz w:val="13"/>
                <w:szCs w:val="13"/>
                <w:color w:val="auto"/>
              </w:rPr>
              <w:t>Madison Ave.</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101,834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244,097</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10,734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254,831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254,831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14,103</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1956</w:t>
            </w: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10/2004</w:t>
            </w:r>
          </w:p>
        </w:tc>
        <w:tc>
          <w:tcPr>
            <w:tcW w:w="600" w:type="dxa"/>
            <w:vAlign w:val="bottom"/>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84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19 West 44</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Street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15,975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61,680</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5,050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15,975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66,730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82,705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4,624</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1916</w:t>
            </w:r>
          </w:p>
        </w:tc>
        <w:tc>
          <w:tcPr>
            <w:tcW w:w="7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6/2005</w:t>
            </w:r>
          </w:p>
        </w:tc>
        <w:tc>
          <w:tcPr>
            <w:tcW w:w="6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840" w:type="dxa"/>
            <w:vAlign w:val="bottom"/>
            <w:gridSpan w:val="4"/>
          </w:tcPr>
          <w:p>
            <w:pPr>
              <w:spacing w:after="0" w:line="135" w:lineRule="exact"/>
              <w:rPr>
                <w:sz w:val="20"/>
                <w:szCs w:val="20"/>
                <w:color w:val="auto"/>
              </w:rPr>
            </w:pPr>
            <w:r>
              <w:rPr>
                <w:rFonts w:ascii="Arial" w:cs="Arial" w:eastAsia="Arial" w:hAnsi="Arial"/>
                <w:sz w:val="12"/>
                <w:szCs w:val="12"/>
                <w:color w:val="auto"/>
              </w:rPr>
              <w:t>28 West 44</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Street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21,102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84,428</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5,495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21,102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89,923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111,025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4,448</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1919</w:t>
            </w: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2/2005</w:t>
            </w:r>
          </w:p>
        </w:tc>
        <w:tc>
          <w:tcPr>
            <w:tcW w:w="600" w:type="dxa"/>
            <w:vAlign w:val="bottom"/>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8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1551/1555 Broadway</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78,208</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17,000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68,434</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11,151</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79,585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96,585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1890/1857</w:t>
            </w:r>
          </w:p>
        </w:tc>
        <w:tc>
          <w:tcPr>
            <w:tcW w:w="7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7/2005</w:t>
            </w:r>
          </w:p>
        </w:tc>
        <w:tc>
          <w:tcPr>
            <w:tcW w:w="6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20" w:type="dxa"/>
            <w:vAlign w:val="bottom"/>
          </w:tcPr>
          <w:p>
            <w:pPr>
              <w:spacing w:after="0" w:line="135" w:lineRule="exact"/>
              <w:rPr>
                <w:sz w:val="20"/>
                <w:szCs w:val="20"/>
                <w:color w:val="auto"/>
              </w:rPr>
            </w:pPr>
            <w:r>
              <w:rPr>
                <w:rFonts w:ascii="Arial" w:cs="Arial" w:eastAsia="Arial" w:hAnsi="Arial"/>
                <w:sz w:val="13"/>
                <w:szCs w:val="13"/>
                <w:color w:val="auto"/>
                <w:w w:val="92"/>
              </w:rPr>
              <w:t>141</w:t>
            </w:r>
          </w:p>
        </w:tc>
        <w:tc>
          <w:tcPr>
            <w:tcW w:w="2620" w:type="dxa"/>
            <w:vAlign w:val="bottom"/>
            <w:gridSpan w:val="3"/>
          </w:tcPr>
          <w:p>
            <w:pPr>
              <w:spacing w:after="0" w:line="135" w:lineRule="exact"/>
              <w:rPr>
                <w:sz w:val="20"/>
                <w:szCs w:val="20"/>
                <w:color w:val="auto"/>
              </w:rPr>
            </w:pPr>
            <w:r>
              <w:rPr>
                <w:rFonts w:ascii="Arial" w:cs="Arial" w:eastAsia="Arial" w:hAnsi="Arial"/>
                <w:sz w:val="13"/>
                <w:szCs w:val="13"/>
                <w:color w:val="auto"/>
              </w:rPr>
              <w:t>Fifth Avenue (2)</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10,457</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2,884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14,501</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2,884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14,501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17,385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769</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1879</w:t>
            </w: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8/2005</w:t>
            </w:r>
          </w:p>
        </w:tc>
        <w:tc>
          <w:tcPr>
            <w:tcW w:w="600" w:type="dxa"/>
            <w:vAlign w:val="bottom"/>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8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1604 Broadway (3)</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4,615</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2,777</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7,392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7,392</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1912</w:t>
            </w:r>
          </w:p>
        </w:tc>
        <w:tc>
          <w:tcPr>
            <w:tcW w:w="7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11/2005</w:t>
            </w:r>
          </w:p>
        </w:tc>
        <w:tc>
          <w:tcPr>
            <w:tcW w:w="6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840" w:type="dxa"/>
            <w:vAlign w:val="bottom"/>
            <w:gridSpan w:val="4"/>
          </w:tcPr>
          <w:p>
            <w:pPr>
              <w:spacing w:after="0" w:line="135" w:lineRule="exact"/>
              <w:rPr>
                <w:sz w:val="20"/>
                <w:szCs w:val="20"/>
                <w:color w:val="auto"/>
              </w:rPr>
            </w:pPr>
            <w:r>
              <w:rPr>
                <w:rFonts w:ascii="Arial" w:cs="Arial" w:eastAsia="Arial" w:hAnsi="Arial"/>
                <w:sz w:val="12"/>
                <w:szCs w:val="12"/>
                <w:color w:val="auto"/>
              </w:rPr>
              <w:t>27/29 West 34</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Street (2)</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6,052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24,210</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2,117</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6,052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26,327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32,379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562</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1857/1904</w:t>
            </w: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1/2006</w:t>
            </w:r>
          </w:p>
        </w:tc>
        <w:tc>
          <w:tcPr>
            <w:tcW w:w="600" w:type="dxa"/>
            <w:vAlign w:val="bottom"/>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485</w:t>
            </w:r>
          </w:p>
        </w:tc>
        <w:tc>
          <w:tcPr>
            <w:tcW w:w="26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Lexington Avenue</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77,517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374,519</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77,517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374,519</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452,036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12,398</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1956</w:t>
            </w:r>
          </w:p>
        </w:tc>
        <w:tc>
          <w:tcPr>
            <w:tcW w:w="7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12/2004</w:t>
            </w:r>
          </w:p>
        </w:tc>
        <w:tc>
          <w:tcPr>
            <w:tcW w:w="6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20" w:type="dxa"/>
            <w:vAlign w:val="bottom"/>
          </w:tcPr>
          <w:p>
            <w:pPr>
              <w:spacing w:after="0" w:line="135" w:lineRule="exact"/>
              <w:rPr>
                <w:sz w:val="20"/>
                <w:szCs w:val="20"/>
                <w:color w:val="auto"/>
              </w:rPr>
            </w:pPr>
            <w:r>
              <w:rPr>
                <w:rFonts w:ascii="Arial" w:cs="Arial" w:eastAsia="Arial" w:hAnsi="Arial"/>
                <w:sz w:val="13"/>
                <w:szCs w:val="13"/>
                <w:color w:val="auto"/>
                <w:w w:val="92"/>
              </w:rPr>
              <w:t>717</w:t>
            </w:r>
          </w:p>
        </w:tc>
        <w:tc>
          <w:tcPr>
            <w:tcW w:w="2620" w:type="dxa"/>
            <w:vAlign w:val="bottom"/>
            <w:gridSpan w:val="3"/>
          </w:tcPr>
          <w:p>
            <w:pPr>
              <w:spacing w:after="0" w:line="135" w:lineRule="exact"/>
              <w:rPr>
                <w:sz w:val="20"/>
                <w:szCs w:val="20"/>
                <w:color w:val="auto"/>
              </w:rPr>
            </w:pPr>
            <w:r>
              <w:rPr>
                <w:rFonts w:ascii="Arial" w:cs="Arial" w:eastAsia="Arial" w:hAnsi="Arial"/>
                <w:sz w:val="13"/>
                <w:szCs w:val="13"/>
                <w:color w:val="auto"/>
              </w:rPr>
              <w:t>Fifth Avenue (4)</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175,000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46,095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184,383</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46,095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184,393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230,488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1,473</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1958</w:t>
            </w: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9/2006</w:t>
            </w:r>
          </w:p>
        </w:tc>
        <w:tc>
          <w:tcPr>
            <w:tcW w:w="600" w:type="dxa"/>
            <w:vAlign w:val="bottom"/>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8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55 Corporate Drive</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95,000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16,894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67,576</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4,285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16,894</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71,861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88,755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295</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1987</w:t>
            </w:r>
          </w:p>
        </w:tc>
        <w:tc>
          <w:tcPr>
            <w:tcW w:w="7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6/2006</w:t>
            </w:r>
          </w:p>
        </w:tc>
        <w:tc>
          <w:tcPr>
            <w:tcW w:w="6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35"/>
        </w:trPr>
        <w:tc>
          <w:tcPr>
            <w:tcW w:w="220" w:type="dxa"/>
            <w:vAlign w:val="bottom"/>
          </w:tcPr>
          <w:p>
            <w:pPr>
              <w:spacing w:after="0" w:line="135" w:lineRule="exact"/>
              <w:rPr>
                <w:sz w:val="20"/>
                <w:szCs w:val="20"/>
                <w:color w:val="auto"/>
              </w:rPr>
            </w:pPr>
            <w:r>
              <w:rPr>
                <w:rFonts w:ascii="Arial" w:cs="Arial" w:eastAsia="Arial" w:hAnsi="Arial"/>
                <w:sz w:val="13"/>
                <w:szCs w:val="13"/>
                <w:color w:val="auto"/>
                <w:w w:val="92"/>
              </w:rPr>
              <w:t>609</w:t>
            </w:r>
          </w:p>
        </w:tc>
        <w:tc>
          <w:tcPr>
            <w:tcW w:w="2620" w:type="dxa"/>
            <w:vAlign w:val="bottom"/>
            <w:gridSpan w:val="3"/>
          </w:tcPr>
          <w:p>
            <w:pPr>
              <w:spacing w:after="0" w:line="135" w:lineRule="exact"/>
              <w:rPr>
                <w:sz w:val="20"/>
                <w:szCs w:val="20"/>
                <w:color w:val="auto"/>
              </w:rPr>
            </w:pPr>
            <w:r>
              <w:rPr>
                <w:rFonts w:ascii="Arial" w:cs="Arial" w:eastAsia="Arial" w:hAnsi="Arial"/>
                <w:sz w:val="13"/>
                <w:szCs w:val="13"/>
                <w:color w:val="auto"/>
              </w:rPr>
              <w:t>Fifth Avenue</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165,698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36,676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145,954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36,676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146,035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182,711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1,826</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1925</w:t>
            </w: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6/2006</w:t>
            </w:r>
          </w:p>
        </w:tc>
        <w:tc>
          <w:tcPr>
            <w:tcW w:w="600" w:type="dxa"/>
            <w:vAlign w:val="bottom"/>
          </w:tcPr>
          <w:p>
            <w:pPr>
              <w:ind w:left="180"/>
              <w:spacing w:after="0" w:line="135" w:lineRule="exact"/>
              <w:rPr>
                <w:sz w:val="20"/>
                <w:szCs w:val="20"/>
                <w:color w:val="auto"/>
              </w:rPr>
            </w:pPr>
            <w:r>
              <w:rPr>
                <w:rFonts w:ascii="Arial" w:cs="Arial" w:eastAsia="Arial" w:hAnsi="Arial"/>
                <w:sz w:val="13"/>
                <w:szCs w:val="13"/>
                <w:color w:val="auto"/>
                <w:w w:val="90"/>
              </w:rPr>
              <w:t>Various</w:t>
            </w:r>
          </w:p>
        </w:tc>
      </w:tr>
      <w:tr>
        <w:trPr>
          <w:trHeight w:val="129"/>
        </w:trPr>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9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1,190,379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439,219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2,326,879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288,294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439,986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2,615,173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3,055,159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279,436</w:t>
            </w: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89"/>
        </w:trPr>
        <w:tc>
          <w:tcPr>
            <w:tcW w:w="22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94"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properties located in New York, New York</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own a 50% interest in this property.</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own a 45% interest in this property.</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control a 92% interest in this property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real estate for the three years ended December 31, 2006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4"/>
                <w:szCs w:val="14"/>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2,222,922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1,756,104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1,346,431</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Property acquisitions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820,740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435,740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509,102</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Improvements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Retirements/disposals</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(53,509)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(133,809)</w:t>
            </w:r>
          </w:p>
        </w:tc>
      </w:tr>
      <w:tr>
        <w:trPr>
          <w:trHeight w:val="210"/>
        </w:trPr>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3,055,159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2,222,922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aggregate cost of land, buildings and improvements, before depreciation, for Federal income tax purposes at December 31, 2006 was approximately $2.1 billion.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accumulated depreciation, exclusive of amounts relating to equipment, autos, and furniture and fixtures, for the three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4"/>
                <w:szCs w:val="14"/>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219,295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176,238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156,768</w:t>
            </w: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Depreciation for year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66,293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42,417</w:t>
            </w: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Retirements/disposals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(10,377)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(22,947)</w:t>
            </w:r>
          </w:p>
        </w:tc>
      </w:tr>
      <w:tr>
        <w:trPr>
          <w:trHeight w:val="210"/>
        </w:trPr>
        <w:tc>
          <w:tcPr>
            <w:tcW w:w="81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279,436</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219,295</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176,238</w:t>
            </w:r>
          </w:p>
        </w:tc>
        <w:tc>
          <w:tcPr>
            <w:tcW w:w="10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Rock-Green, Inc.</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Rock-Green, Inc. (the “Company”) as of December 31, 2006 and 2005, and the related consolidated statements of income, changes in stockholders’ equity, and cash flows for each of the three years in the period ended December 31, 2006.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Rock-Green, Inc. at December 31, 2006 and 2005 and the consolidated results of their operations and their cash flows for each of the three years in the period ended December</w:t>
      </w:r>
    </w:p>
    <w:p>
      <w:pPr>
        <w:sectPr>
          <w:pgSz w:w="11900" w:h="16854" w:orient="portrait"/>
          <w:cols w:equalWidth="0" w:num="1">
            <w:col w:w="11420"/>
          </w:cols>
          <w:pgMar w:left="240" w:top="91" w:right="239" w:bottom="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31, 2006 in conformity with U.S. generally accepted accounting principles.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/s/ ERNST &amp; YOUNG LLP</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7"/>
        </w:trPr>
        <w:tc>
          <w:tcPr>
            <w:tcW w:w="9240" w:type="dxa"/>
            <w:vAlign w:val="bottom"/>
            <w:gridSpan w:val="5"/>
          </w:tcPr>
          <w:p>
            <w:pPr>
              <w:spacing w:after="0"/>
              <w:rPr>
                <w:sz w:val="20"/>
                <w:szCs w:val="20"/>
                <w:color w:val="auto"/>
              </w:rPr>
            </w:pPr>
            <w:r>
              <w:rPr>
                <w:rFonts w:ascii="Arial" w:cs="Arial" w:eastAsia="Arial" w:hAnsi="Arial"/>
                <w:sz w:val="18"/>
                <w:szCs w:val="18"/>
                <w:color w:val="auto"/>
              </w:rPr>
              <w:t>New York, New York</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40" w:type="dxa"/>
            <w:vAlign w:val="bottom"/>
            <w:gridSpan w:val="5"/>
          </w:tcPr>
          <w:p>
            <w:pPr>
              <w:spacing w:after="0"/>
              <w:rPr>
                <w:sz w:val="20"/>
                <w:szCs w:val="20"/>
                <w:color w:val="auto"/>
              </w:rPr>
            </w:pPr>
            <w:r>
              <w:rPr>
                <w:rFonts w:ascii="Arial" w:cs="Arial" w:eastAsia="Arial" w:hAnsi="Arial"/>
                <w:sz w:val="18"/>
                <w:szCs w:val="18"/>
                <w:color w:val="auto"/>
              </w:rPr>
              <w:t>February 13, 2007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6580" w:type="dxa"/>
            <w:vAlign w:val="bottom"/>
            <w:gridSpan w:val="4"/>
          </w:tcPr>
          <w:p>
            <w:pPr>
              <w:jc w:val="center"/>
              <w:ind w:left="4750"/>
              <w:spacing w:after="0"/>
              <w:rPr>
                <w:sz w:val="20"/>
                <w:szCs w:val="20"/>
                <w:color w:val="auto"/>
              </w:rPr>
            </w:pPr>
            <w:r>
              <w:rPr>
                <w:rFonts w:ascii="Arial" w:cs="Arial" w:eastAsia="Arial" w:hAnsi="Arial"/>
                <w:sz w:val="18"/>
                <w:szCs w:val="18"/>
                <w:color w:val="auto"/>
                <w:w w:val="89"/>
              </w:rPr>
              <w:t>85</w:t>
            </w: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6460" w:type="dxa"/>
            <w:vAlign w:val="bottom"/>
            <w:tcBorders>
              <w:bottom w:val="single" w:sz="8" w:color="010101"/>
            </w:tcBorders>
            <w:gridSpan w:val="2"/>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6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rPr>
              <w:t>ROCK-GREEN, INC.</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60" w:type="dxa"/>
            <w:vAlign w:val="bottom"/>
            <w:gridSpan w:val="2"/>
          </w:tcPr>
          <w:p>
            <w:pPr>
              <w:jc w:val="center"/>
              <w:ind w:right="77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60" w:type="dxa"/>
            <w:vAlign w:val="bottom"/>
            <w:gridSpan w:val="2"/>
          </w:tcPr>
          <w:p>
            <w:pPr>
              <w:jc w:val="center"/>
              <w:ind w:right="770"/>
              <w:spacing w:after="0"/>
              <w:rPr>
                <w:sz w:val="20"/>
                <w:szCs w:val="20"/>
                <w:color w:val="auto"/>
              </w:rPr>
            </w:pPr>
            <w:r>
              <w:rPr>
                <w:rFonts w:ascii="Arial" w:cs="Arial" w:eastAsia="Arial" w:hAnsi="Arial"/>
                <w:sz w:val="18"/>
                <w:szCs w:val="18"/>
                <w:b w:val="1"/>
                <w:bCs w:val="1"/>
                <w:color w:val="auto"/>
                <w:w w:val="90"/>
              </w:rPr>
              <w:t>December 31, 2006 and 2005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6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88"/>
              </w:rPr>
              <w:t>(Thousands of dollars, except per share data)</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3800" w:type="dxa"/>
            <w:vAlign w:val="bottom"/>
            <w:tcBorders>
              <w:bottom w:val="single" w:sz="8" w:color="CCEEFF"/>
            </w:tcBorders>
          </w:tcPr>
          <w:p>
            <w:pPr>
              <w:spacing w:after="0"/>
              <w:rPr>
                <w:sz w:val="24"/>
                <w:szCs w:val="24"/>
                <w:color w:val="auto"/>
              </w:rPr>
            </w:pPr>
          </w:p>
        </w:tc>
        <w:tc>
          <w:tcPr>
            <w:tcW w:w="26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tcPr>
          <w:p>
            <w:pPr>
              <w:ind w:left="160"/>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tcPr>
          <w:p>
            <w:pPr>
              <w:ind w:left="340"/>
              <w:spacing w:after="0"/>
              <w:rPr>
                <w:sz w:val="20"/>
                <w:szCs w:val="20"/>
                <w:color w:val="auto"/>
              </w:rPr>
            </w:pPr>
            <w:r>
              <w:rPr>
                <w:rFonts w:ascii="Arial" w:cs="Arial" w:eastAsia="Arial" w:hAnsi="Arial"/>
                <w:sz w:val="18"/>
                <w:szCs w:val="18"/>
                <w:color w:val="auto"/>
              </w:rPr>
              <w:t>Accounts receivable, net of allowance of $122 in 2006 and 2005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Due from related parties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Prepaid real estate taxes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tcPr>
          <w:p>
            <w:pPr>
              <w:ind w:left="160"/>
              <w:spacing w:after="0"/>
              <w:rPr>
                <w:sz w:val="20"/>
                <w:szCs w:val="20"/>
                <w:color w:val="auto"/>
              </w:rPr>
            </w:pPr>
            <w:r>
              <w:rPr>
                <w:rFonts w:ascii="Arial" w:cs="Arial" w:eastAsia="Arial" w:hAnsi="Arial"/>
                <w:sz w:val="18"/>
                <w:szCs w:val="18"/>
                <w:color w:val="auto"/>
              </w:rPr>
              <w:t>Fixed Assets, at cost: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tcPr>
          <w:p>
            <w:pPr>
              <w:ind w:left="340"/>
              <w:spacing w:after="0"/>
              <w:rPr>
                <w:sz w:val="20"/>
                <w:szCs w:val="20"/>
                <w:color w:val="auto"/>
              </w:rPr>
            </w:pPr>
            <w:r>
              <w:rPr>
                <w:rFonts w:ascii="Arial" w:cs="Arial" w:eastAsia="Arial" w:hAnsi="Arial"/>
                <w:sz w:val="18"/>
                <w:szCs w:val="18"/>
                <w:color w:val="auto"/>
              </w:rPr>
              <w:t>Building and improvements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228,980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224,655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Other fixed assets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254,681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250,260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(130,717)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(125,563)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124,697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Deferred costs, net of accumulated amortization of $49,602 and $51,700, respectively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tcPr>
          <w:p>
            <w:pPr>
              <w:ind w:left="160"/>
              <w:spacing w:after="0"/>
              <w:rPr>
                <w:sz w:val="20"/>
                <w:szCs w:val="20"/>
                <w:color w:val="auto"/>
              </w:rPr>
            </w:pPr>
            <w:r>
              <w:rPr>
                <w:rFonts w:ascii="Arial" w:cs="Arial" w:eastAsia="Arial" w:hAnsi="Arial"/>
                <w:sz w:val="18"/>
                <w:szCs w:val="18"/>
                <w:color w:val="auto"/>
              </w:rPr>
              <w:t>Deferred rents receivable,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59,678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876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304,501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291,664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14,242</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Due to related parties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tcPr>
          <w:p>
            <w:pPr>
              <w:ind w:left="340"/>
              <w:spacing w:after="0"/>
              <w:rPr>
                <w:sz w:val="20"/>
                <w:szCs w:val="20"/>
                <w:color w:val="auto"/>
              </w:rPr>
            </w:pPr>
            <w:r>
              <w:rPr>
                <w:rFonts w:ascii="Arial" w:cs="Arial" w:eastAsia="Arial" w:hAnsi="Arial"/>
                <w:sz w:val="18"/>
                <w:szCs w:val="18"/>
                <w:color w:val="auto"/>
              </w:rPr>
              <w:t>Accrued federal, state and local taxes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tcPr>
          <w:p>
            <w:pPr>
              <w:ind w:left="160"/>
              <w:spacing w:after="0"/>
              <w:rPr>
                <w:sz w:val="20"/>
                <w:szCs w:val="20"/>
                <w:color w:val="auto"/>
              </w:rPr>
            </w:pPr>
            <w:r>
              <w:rPr>
                <w:rFonts w:ascii="Arial" w:cs="Arial" w:eastAsia="Arial" w:hAnsi="Arial"/>
                <w:sz w:val="18"/>
                <w:szCs w:val="18"/>
                <w:color w:val="auto"/>
              </w:rPr>
              <w:t>Loan payable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60" w:type="dxa"/>
            <w:vAlign w:val="bottom"/>
            <w:gridSpan w:val="3"/>
          </w:tcPr>
          <w:p>
            <w:pPr>
              <w:ind w:left="24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192,873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184,361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tcPr>
          <w:p>
            <w:pPr>
              <w:ind w:left="340"/>
              <w:spacing w:after="0"/>
              <w:rPr>
                <w:sz w:val="20"/>
                <w:szCs w:val="20"/>
                <w:color w:val="auto"/>
              </w:rPr>
            </w:pPr>
            <w:r>
              <w:rPr>
                <w:rFonts w:ascii="Arial" w:cs="Arial" w:eastAsia="Arial" w:hAnsi="Arial"/>
                <w:sz w:val="18"/>
                <w:szCs w:val="18"/>
                <w:color w:val="auto"/>
              </w:rPr>
              <w:t>Preferred stock, $1,000 par value; 125 shares, authorized, issued and outstanding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$2 par value; 2,000 shares, authorized</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7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issued and outstanding</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107,303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60" w:type="dxa"/>
            <w:vAlign w:val="bottom"/>
            <w:gridSpan w:val="3"/>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300" w:type="dxa"/>
            <w:vAlign w:val="bottom"/>
            <w:vMerge w:val="restart"/>
          </w:tcPr>
          <w:p>
            <w:pPr>
              <w:spacing w:after="0" w:line="20" w:lineRule="exact"/>
              <w:rPr>
                <w:sz w:val="1"/>
                <w:szCs w:val="1"/>
                <w:color w:val="auto"/>
              </w:rPr>
            </w:pPr>
          </w:p>
        </w:tc>
        <w:tc>
          <w:tcPr>
            <w:tcW w:w="6460" w:type="dxa"/>
            <w:vAlign w:val="bottom"/>
            <w:gridSpan w:val="2"/>
            <w:vMerge w:val="restart"/>
          </w:tcPr>
          <w:p>
            <w:pPr>
              <w:jc w:val="center"/>
              <w:ind w:right="510"/>
              <w:spacing w:after="0"/>
              <w:rPr>
                <w:sz w:val="20"/>
                <w:szCs w:val="20"/>
                <w:color w:val="auto"/>
              </w:rPr>
            </w:pPr>
            <w:r>
              <w:rPr>
                <w:rFonts w:ascii="Arial" w:cs="Arial" w:eastAsia="Arial" w:hAnsi="Arial"/>
                <w:sz w:val="18"/>
                <w:szCs w:val="18"/>
                <w:color w:val="auto"/>
                <w:w w:val="88"/>
              </w:rPr>
              <w:t>See accompanying notes</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64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6580" w:type="dxa"/>
            <w:vAlign w:val="bottom"/>
            <w:gridSpan w:val="4"/>
          </w:tcPr>
          <w:p>
            <w:pPr>
              <w:jc w:val="center"/>
              <w:ind w:left="4750"/>
              <w:spacing w:after="0"/>
              <w:rPr>
                <w:sz w:val="20"/>
                <w:szCs w:val="20"/>
                <w:color w:val="auto"/>
              </w:rPr>
            </w:pPr>
            <w:r>
              <w:rPr>
                <w:rFonts w:ascii="Arial" w:cs="Arial" w:eastAsia="Arial" w:hAnsi="Arial"/>
                <w:sz w:val="18"/>
                <w:szCs w:val="18"/>
                <w:color w:val="auto"/>
                <w:w w:val="89"/>
              </w:rPr>
              <w:t>86</w:t>
            </w: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380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-7567295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-7567295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ROCK-GREEN,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2006, 2005 and 2004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(Thousands of dollars)</w:t>
      </w:r>
    </w:p>
    <w:p>
      <w:pPr>
        <w:sectPr>
          <w:pgSz w:w="11900" w:h="16838" w:orient="portrait"/>
          <w:cols w:equalWidth="0" w:num="1">
            <w:col w:w="11460"/>
          </w:cols>
          <w:pgMar w:left="240" w:top="125" w:right="199" w:bottom="0" w:gutter="0" w:footer="0" w:header="0"/>
        </w:sectPr>
      </w:pPr>
    </w:p>
    <w:bookmarkStart w:id="65" w:name="page66"/>
    <w:bookmarkEnd w:id="65"/>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Fixed, percentage and sublease revenues</w:t>
            </w:r>
          </w:p>
        </w:tc>
        <w:tc>
          <w:tcPr>
            <w:tcW w:w="2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117,220</w:t>
            </w:r>
          </w:p>
        </w:tc>
        <w:tc>
          <w:tcPr>
            <w:tcW w:w="18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118,017</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112,748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and real estate tax escalations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Rental revenues — related parties</w:t>
            </w:r>
          </w:p>
        </w:tc>
        <w:tc>
          <w:tcPr>
            <w:tcW w:w="2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520"/>
              <w:spacing w:after="0"/>
              <w:rPr>
                <w:sz w:val="20"/>
                <w:szCs w:val="20"/>
                <w:color w:val="auto"/>
              </w:rPr>
            </w:pPr>
            <w:r>
              <w:rPr>
                <w:rFonts w:ascii="Arial" w:cs="Arial" w:eastAsia="Arial" w:hAnsi="Arial"/>
                <w:sz w:val="18"/>
                <w:szCs w:val="18"/>
                <w:color w:val="auto"/>
              </w:rPr>
              <w:t>Total Rental Revenues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139,572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135,332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126,532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Sales of services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Sales of services — related parties</w:t>
            </w:r>
          </w:p>
        </w:tc>
        <w:tc>
          <w:tcPr>
            <w:tcW w:w="2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143,812</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134,834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taxes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Building operating expenses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 operating expenses — related parties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Cost of service sales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4,872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 sales — related parties</w:t>
            </w:r>
          </w:p>
        </w:tc>
        <w:tc>
          <w:tcPr>
            <w:tcW w:w="2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56,920</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Gross Operating Profit</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 (Income):</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7,673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520"/>
              <w:spacing w:after="0"/>
              <w:rPr>
                <w:sz w:val="20"/>
                <w:szCs w:val="20"/>
                <w:color w:val="auto"/>
              </w:rPr>
            </w:pPr>
            <w:r>
              <w:rPr>
                <w:rFonts w:ascii="Arial" w:cs="Arial" w:eastAsia="Arial" w:hAnsi="Arial"/>
                <w:sz w:val="18"/>
                <w:szCs w:val="18"/>
                <w:color w:val="auto"/>
              </w:rPr>
              <w:t>Income before Provision (Benefit) for Taxes</w:t>
            </w:r>
          </w:p>
        </w:tc>
        <w:tc>
          <w:tcPr>
            <w:tcW w:w="2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67,597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Provision (Benefit) for taxes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w:t>
            </w: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107,089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ROCK-GREEN,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CHANGES IN STOCKHOLDERS’ EQUITY</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Years ended December 31, 2006, 2005 and 2004</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6"/>
              </w:rPr>
              <w:t>Preferred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1"/>
              </w:rPr>
              <w:t>other</w:t>
            </w: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Retained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1"/>
                <w:szCs w:val="11"/>
                <w:color w:val="auto"/>
              </w:rPr>
            </w:pPr>
          </w:p>
        </w:tc>
        <w:tc>
          <w:tcPr>
            <w:tcW w:w="138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income (loss)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for the year</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(67,137)</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preferred stock</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2004</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for the year</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comprehensive income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(72,448)</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104" w:right="23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for the year</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comprehensive income</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(62,624)</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ROCK-GREEN,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Years ended December 31, 2006, 2005 and 2004</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(Thousands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66,370</w:t>
            </w:r>
          </w:p>
        </w:tc>
        <w:tc>
          <w:tcPr>
            <w:tcW w:w="16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67,588</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107,089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12,680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interest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Amortization of premium on fixed income securities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Deferred rents receivable, net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short term investments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Changes in certain assets and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due to related parties, net</w:t>
            </w:r>
          </w:p>
        </w:tc>
        <w:tc>
          <w:tcPr>
            <w:tcW w:w="1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83,054</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Proceeds from investment portfolio</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Deferred expenses paid</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(5,186)</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by investing activities</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preferred stock</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Principal repayment of loan payable</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distributions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Deferred financing cost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(78,449)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(67,062)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Net increase (decrease) in cash and cash equivalents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beginning of year</w:t>
            </w:r>
          </w:p>
        </w:tc>
        <w:tc>
          <w:tcPr>
            <w:tcW w:w="1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33,327</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and cash equivalents, end of year</w:t>
            </w:r>
          </w:p>
        </w:tc>
        <w:tc>
          <w:tcPr>
            <w:tcW w:w="1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30,531</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33,327</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10,159</w:t>
            </w:r>
          </w:p>
        </w:tc>
        <w:tc>
          <w:tcPr>
            <w:tcW w:w="160" w:type="dxa"/>
            <w:vAlign w:val="bottom"/>
          </w:tcPr>
          <w:p>
            <w:pPr>
              <w:spacing w:after="0"/>
              <w:rPr>
                <w:sz w:val="22"/>
                <w:szCs w:val="22"/>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7,254</w:t>
            </w:r>
          </w:p>
        </w:tc>
        <w:tc>
          <w:tcPr>
            <w:tcW w:w="28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Income taxes</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operating, investing and financing activities:</w:t>
      </w:r>
    </w:p>
    <w:p>
      <w:pPr>
        <w:spacing w:after="0" w:line="2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In 2006, the Company had net noncash additions to building and improvements, deferred costs, and deferred rents receivable of approximately $10,205,000 and an increase in the derivative asset of approximately $579,000. In conjunction with these additions, accounts payable and accrued expenses and other non-current liabilities were increased for $10,205,000 and other comprehensive income was increased by $579,000.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56" w:right="239" w:bottom="0" w:gutter="0" w:footer="0" w:header="0"/>
        </w:sectPr>
      </w:pPr>
    </w:p>
    <w:bookmarkStart w:id="67" w:name="page68"/>
    <w:bookmarkEnd w:id="6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t>ROCK-GREEN, INC.</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2006, 2005 and 2004</w:t>
      </w:r>
    </w:p>
    <w:p>
      <w:pPr>
        <w:spacing w:after="0" w:line="200" w:lineRule="exact"/>
        <w:rPr>
          <w:sz w:val="20"/>
          <w:szCs w:val="20"/>
          <w:color w:val="auto"/>
        </w:rPr>
      </w:pPr>
    </w:p>
    <w:p>
      <w:pPr>
        <w:spacing w:after="0" w:line="223" w:lineRule="exact"/>
        <w:rPr>
          <w:sz w:val="20"/>
          <w:szCs w:val="20"/>
          <w:color w:val="auto"/>
        </w:rPr>
      </w:pPr>
    </w:p>
    <w:p>
      <w:pPr>
        <w:ind w:left="232" w:hanging="232"/>
        <w:spacing w:after="0"/>
        <w:tabs>
          <w:tab w:leader="none" w:pos="23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w:t>
      </w:r>
    </w:p>
    <w:p>
      <w:pPr>
        <w:spacing w:after="0" w:line="229" w:lineRule="exact"/>
        <w:rPr>
          <w:sz w:val="20"/>
          <w:szCs w:val="20"/>
          <w:color w:val="auto"/>
        </w:rPr>
      </w:pPr>
    </w:p>
    <w:p>
      <w:pPr>
        <w:ind w:left="332" w:right="200"/>
        <w:spacing w:after="0" w:line="259" w:lineRule="auto"/>
        <w:rPr>
          <w:sz w:val="20"/>
          <w:szCs w:val="20"/>
          <w:color w:val="auto"/>
        </w:rPr>
      </w:pPr>
      <w:r>
        <w:rPr>
          <w:rFonts w:ascii="Arial" w:cs="Arial" w:eastAsia="Arial" w:hAnsi="Arial"/>
          <w:sz w:val="18"/>
          <w:szCs w:val="18"/>
          <w:color w:val="auto"/>
        </w:rPr>
        <w:t>Rock-Green, Inc., (the Company) a New York State corporation, is 55% owned by Rockefeller Group International, Inc. (RGII) and 45% owned by Green Hill Acquisition, LLC (GHA). The Company owns and operates a 2.5 million square foot office building (the Property) known as the McGraw-Hill Building located at 1221 Avenue of the Americas, New York, New York. In addition, the Company owns two adjacent properties totaling approximately 17,000 s.f.</w:t>
      </w:r>
    </w:p>
    <w:p>
      <w:pPr>
        <w:spacing w:after="0" w:line="18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On December 29, 2003, the McGraw-Hill Companies (MHC) sold its 45% ownership interest in the Company to GHA.</w:t>
      </w:r>
    </w:p>
    <w:p>
      <w:pPr>
        <w:spacing w:after="0" w:line="225" w:lineRule="exact"/>
        <w:rPr>
          <w:sz w:val="20"/>
          <w:szCs w:val="20"/>
          <w:color w:val="auto"/>
        </w:rPr>
      </w:pPr>
    </w:p>
    <w:p>
      <w:pPr>
        <w:ind w:left="332" w:right="100"/>
        <w:spacing w:after="0" w:line="279" w:lineRule="auto"/>
        <w:rPr>
          <w:sz w:val="20"/>
          <w:szCs w:val="20"/>
          <w:color w:val="auto"/>
        </w:rPr>
      </w:pPr>
      <w:r>
        <w:rPr>
          <w:rFonts w:ascii="Arial" w:cs="Arial" w:eastAsia="Arial" w:hAnsi="Arial"/>
          <w:sz w:val="17"/>
          <w:szCs w:val="17"/>
          <w:color w:val="auto"/>
        </w:rPr>
        <w:t>To position the Company to operate as a real estate investment trust (REIT) in 2004, the following actions were taken. On December 22, 2003, the Company contributed its net assets, exclusive of the two adjacent properties, to a new wholly-owned subsidiary, 1221 Avenue Holdings LLC. On December 23, 2003, 1221 Avenue Holdings LLC repaid its $19.3 million mortgage, obtained a new loan of $175 million and distributed $230 million to the Company. Thereafter, the Company paid dividends totaling $230 million to RGII and MHC. (See Note 5).</w:t>
      </w:r>
    </w:p>
    <w:p>
      <w:pPr>
        <w:spacing w:after="0" w:line="167" w:lineRule="exact"/>
        <w:rPr>
          <w:sz w:val="20"/>
          <w:szCs w:val="20"/>
          <w:color w:val="auto"/>
        </w:rPr>
      </w:pPr>
    </w:p>
    <w:p>
      <w:pPr>
        <w:ind w:left="232" w:hanging="232"/>
        <w:spacing w:after="0"/>
        <w:tabs>
          <w:tab w:leader="none" w:pos="23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REIT Election</w:t>
      </w:r>
    </w:p>
    <w:p>
      <w:pPr>
        <w:spacing w:after="0" w:line="229" w:lineRule="exact"/>
        <w:rPr>
          <w:sz w:val="20"/>
          <w:szCs w:val="20"/>
          <w:color w:val="auto"/>
        </w:rPr>
      </w:pPr>
    </w:p>
    <w:p>
      <w:pPr>
        <w:ind w:left="332"/>
        <w:spacing w:after="0"/>
        <w:rPr>
          <w:sz w:val="20"/>
          <w:szCs w:val="20"/>
          <w:color w:val="auto"/>
        </w:rPr>
      </w:pPr>
      <w:r>
        <w:rPr>
          <w:rFonts w:ascii="Arial" w:cs="Arial" w:eastAsia="Arial" w:hAnsi="Arial"/>
          <w:sz w:val="16"/>
          <w:szCs w:val="16"/>
          <w:color w:val="auto"/>
        </w:rPr>
        <w:t>The Company made an election to qualify as a REIT under the Tax Code for the taxable year ending December 31, 2004 and during all subsequent years.</w:t>
      </w:r>
    </w:p>
    <w:p>
      <w:pPr>
        <w:spacing w:after="0" w:line="248" w:lineRule="exact"/>
        <w:rPr>
          <w:sz w:val="20"/>
          <w:szCs w:val="20"/>
          <w:color w:val="auto"/>
        </w:rPr>
      </w:pPr>
    </w:p>
    <w:p>
      <w:pPr>
        <w:ind w:left="332" w:right="20"/>
        <w:spacing w:after="0" w:line="255" w:lineRule="auto"/>
        <w:rPr>
          <w:sz w:val="20"/>
          <w:szCs w:val="20"/>
          <w:color w:val="auto"/>
        </w:rPr>
      </w:pPr>
      <w:r>
        <w:rPr>
          <w:rFonts w:ascii="Arial" w:cs="Arial" w:eastAsia="Arial" w:hAnsi="Arial"/>
          <w:sz w:val="18"/>
          <w:szCs w:val="18"/>
          <w:color w:val="auto"/>
        </w:rPr>
        <w:t>The Company had historically been subject to taxes as a C corporation. The Company elected to be taxed as a REIT, commencing with its taxable year ending December 31, 2004, upon the filing of its federal income tax return for that year. Qualification and taxation as a REIT depends upon the Company’s ability to satisfy various asset, income and distribution requirements on a continuing basis. The Company believes that its organizational and operational structure as well as its intended distributions will enable it to qualify as a REIT and maintain such status in the future. As a REIT, the Company will be entitled to a deduction for dividends that it pays and therefore will not be subject to federal income tax on its taxable income that is currently distributed to its shareholders.</w:t>
      </w:r>
    </w:p>
    <w:p>
      <w:pPr>
        <w:spacing w:after="0" w:line="193" w:lineRule="exact"/>
        <w:rPr>
          <w:sz w:val="20"/>
          <w:szCs w:val="20"/>
          <w:color w:val="auto"/>
        </w:rPr>
      </w:pPr>
    </w:p>
    <w:p>
      <w:pPr>
        <w:ind w:left="332" w:right="360"/>
        <w:spacing w:after="0" w:line="277" w:lineRule="auto"/>
        <w:rPr>
          <w:sz w:val="20"/>
          <w:szCs w:val="20"/>
          <w:color w:val="auto"/>
        </w:rPr>
      </w:pPr>
      <w:r>
        <w:rPr>
          <w:rFonts w:ascii="Arial" w:cs="Arial" w:eastAsia="Arial" w:hAnsi="Arial"/>
          <w:sz w:val="18"/>
          <w:szCs w:val="18"/>
          <w:color w:val="auto"/>
        </w:rPr>
        <w:t>The Company has formed a wholly owned subsidiary to provide certain services to tenants. Such subsidiary is subject to tax on income earned from these services.</w:t>
      </w:r>
    </w:p>
    <w:p>
      <w:pPr>
        <w:spacing w:after="0" w:line="170" w:lineRule="exact"/>
        <w:rPr>
          <w:sz w:val="20"/>
          <w:szCs w:val="20"/>
          <w:color w:val="auto"/>
        </w:rPr>
      </w:pPr>
    </w:p>
    <w:p>
      <w:pPr>
        <w:ind w:left="332" w:right="100"/>
        <w:spacing w:after="0" w:line="308" w:lineRule="auto"/>
        <w:rPr>
          <w:sz w:val="20"/>
          <w:szCs w:val="20"/>
          <w:color w:val="auto"/>
        </w:rPr>
      </w:pPr>
      <w:r>
        <w:rPr>
          <w:rFonts w:ascii="Arial" w:cs="Arial" w:eastAsia="Arial" w:hAnsi="Arial"/>
          <w:sz w:val="17"/>
          <w:szCs w:val="17"/>
          <w:color w:val="auto"/>
        </w:rPr>
        <w:t>In order to enable the Company to qualify as a REIT in 2004, the Company was required to pay a dividend of its accumulated Earnings &amp; Profits (E&amp;P) by the end of 2003. The Company, accordingly, paid a dividend of $230 million, which it believes to be sufficient to meet this requirement.</w:t>
      </w:r>
    </w:p>
    <w:p>
      <w:pPr>
        <w:spacing w:after="0" w:line="147" w:lineRule="exact"/>
        <w:rPr>
          <w:sz w:val="20"/>
          <w:szCs w:val="20"/>
          <w:color w:val="auto"/>
        </w:rPr>
      </w:pPr>
    </w:p>
    <w:p>
      <w:pPr>
        <w:ind w:left="332" w:right="140"/>
        <w:spacing w:after="0" w:line="264" w:lineRule="auto"/>
        <w:rPr>
          <w:sz w:val="20"/>
          <w:szCs w:val="20"/>
          <w:color w:val="auto"/>
        </w:rPr>
      </w:pPr>
      <w:r>
        <w:rPr>
          <w:rFonts w:ascii="Arial" w:cs="Arial" w:eastAsia="Arial" w:hAnsi="Arial"/>
          <w:sz w:val="18"/>
          <w:szCs w:val="18"/>
          <w:color w:val="auto"/>
        </w:rPr>
        <w:t>Also to satisfy ownership requirements for a REIT, the Company issued 125 shares of $1,000 par value non-voting preferred stock. These shareholders are entitled to receive dividends semiannually at a per annum rate equal to 12.5% of the liquidation value of $1,000 per share. This preferred stock is redeemable by the Company for $1,000 per share, plus accumulated</w:t>
      </w:r>
    </w:p>
    <w:p>
      <w:pPr>
        <w:spacing w:after="0" w:line="3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and unpaid dividends and includes a redemption premium if the stock is redeemed before the year 2009.</w:t>
      </w:r>
    </w:p>
    <w:p>
      <w:pPr>
        <w:spacing w:after="0" w:line="225" w:lineRule="exact"/>
        <w:rPr>
          <w:sz w:val="20"/>
          <w:szCs w:val="20"/>
          <w:color w:val="auto"/>
        </w:rPr>
      </w:pPr>
    </w:p>
    <w:p>
      <w:pPr>
        <w:ind w:left="332"/>
        <w:spacing w:after="0" w:line="276" w:lineRule="auto"/>
        <w:rPr>
          <w:sz w:val="20"/>
          <w:szCs w:val="20"/>
          <w:color w:val="auto"/>
        </w:rPr>
      </w:pPr>
      <w:r>
        <w:rPr>
          <w:rFonts w:ascii="Arial" w:cs="Arial" w:eastAsia="Arial" w:hAnsi="Arial"/>
          <w:sz w:val="17"/>
          <w:szCs w:val="17"/>
          <w:color w:val="auto"/>
        </w:rPr>
        <w:t>As a REIT, the Company will be subject to corporate level tax (built-in gains tax) on any appreciated property (i.e., property whose fair market value exceeds its adjusted tax basis as of the date of conversion) that it owned as of the date of conversion to a REIT if such property is disposed of in a taxable transaction at any time through 2013. The built-in gains tax applies to that portion of the gain equal to the excess of the fair market value of the property over its tax basis as of the date of conversion. The Company does not intend to enter into any taxable sale of its property during this period. Accordingly, the Company eliminated its deferred tax liabilities, which resulted in a benefit of approximately $41 million in 2004.</w:t>
      </w:r>
    </w:p>
    <w:p>
      <w:pPr>
        <w:spacing w:after="0" w:line="169" w:lineRule="exact"/>
        <w:rPr>
          <w:sz w:val="20"/>
          <w:szCs w:val="20"/>
          <w:color w:val="auto"/>
        </w:rPr>
      </w:pPr>
    </w:p>
    <w:p>
      <w:pPr>
        <w:ind w:left="232" w:hanging="232"/>
        <w:spacing w:after="0"/>
        <w:tabs>
          <w:tab w:leader="none" w:pos="23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Accounting Policies</w:t>
      </w:r>
    </w:p>
    <w:p>
      <w:pPr>
        <w:spacing w:after="0" w:line="229" w:lineRule="exact"/>
        <w:rPr>
          <w:sz w:val="20"/>
          <w:szCs w:val="20"/>
          <w:color w:val="auto"/>
        </w:rPr>
      </w:pPr>
    </w:p>
    <w:p>
      <w:pPr>
        <w:ind w:left="832" w:hanging="328"/>
        <w:spacing w:after="0"/>
        <w:tabs>
          <w:tab w:leader="none" w:pos="83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ind w:left="332" w:right="600"/>
        <w:spacing w:after="0" w:line="277" w:lineRule="auto"/>
        <w:rPr>
          <w:sz w:val="20"/>
          <w:szCs w:val="20"/>
          <w:color w:val="auto"/>
        </w:rPr>
      </w:pPr>
      <w:r>
        <w:rPr>
          <w:rFonts w:ascii="Arial" w:cs="Arial" w:eastAsia="Arial" w:hAnsi="Arial"/>
          <w:sz w:val="18"/>
          <w:szCs w:val="18"/>
          <w:color w:val="auto"/>
        </w:rPr>
        <w:t>The consolidated financial statements include accounts of the Company and its subsidiaries, all of which are wholly-owned by the Company. All significant intercompany balances and transactions have been eliminated.</w:t>
      </w:r>
    </w:p>
    <w:p>
      <w:pPr>
        <w:spacing w:after="0" w:line="170" w:lineRule="exact"/>
        <w:rPr>
          <w:sz w:val="20"/>
          <w:szCs w:val="20"/>
          <w:color w:val="auto"/>
        </w:rPr>
      </w:pPr>
    </w:p>
    <w:p>
      <w:pPr>
        <w:ind w:left="852" w:hanging="348"/>
        <w:spacing w:after="0"/>
        <w:tabs>
          <w:tab w:leader="none" w:pos="8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Company considers all highly liquid financial instruments purchased with maturity of three months or less to be cash equivalents.</w:t>
      </w:r>
    </w:p>
    <w:p>
      <w:pPr>
        <w:spacing w:after="0" w:line="225" w:lineRule="exact"/>
        <w:rPr>
          <w:sz w:val="20"/>
          <w:szCs w:val="20"/>
          <w:color w:val="auto"/>
        </w:rPr>
      </w:pPr>
    </w:p>
    <w:p>
      <w:pPr>
        <w:ind w:left="832" w:hanging="328"/>
        <w:spacing w:after="0"/>
        <w:tabs>
          <w:tab w:leader="none" w:pos="83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Fixed assets</w:t>
      </w:r>
    </w:p>
    <w:p>
      <w:pPr>
        <w:spacing w:after="0" w:line="225" w:lineRule="exact"/>
        <w:rPr>
          <w:sz w:val="20"/>
          <w:szCs w:val="20"/>
          <w:color w:val="auto"/>
        </w:rPr>
      </w:pPr>
    </w:p>
    <w:p>
      <w:pPr>
        <w:ind w:left="332" w:right="400"/>
        <w:spacing w:after="0" w:line="277" w:lineRule="auto"/>
        <w:rPr>
          <w:sz w:val="20"/>
          <w:szCs w:val="20"/>
          <w:color w:val="auto"/>
        </w:rPr>
      </w:pPr>
      <w:r>
        <w:rPr>
          <w:rFonts w:ascii="Arial" w:cs="Arial" w:eastAsia="Arial" w:hAnsi="Arial"/>
          <w:sz w:val="18"/>
          <w:szCs w:val="18"/>
          <w:color w:val="auto"/>
        </w:rPr>
        <w:t>Land, building and improvements, and other fixed assets are carried at cost. Expenditures for maintenance and repairs are expensed as incurred. All direct and indirect costs of acquisition of the building have been capitalized.</w:t>
      </w:r>
    </w:p>
    <w:p>
      <w:pPr>
        <w:spacing w:after="0" w:line="170" w:lineRule="exact"/>
        <w:rPr>
          <w:sz w:val="20"/>
          <w:szCs w:val="20"/>
          <w:color w:val="auto"/>
        </w:rPr>
      </w:pPr>
    </w:p>
    <w:p>
      <w:pPr>
        <w:ind w:left="332"/>
        <w:spacing w:after="0"/>
        <w:rPr>
          <w:sz w:val="20"/>
          <w:szCs w:val="20"/>
          <w:color w:val="auto"/>
        </w:rPr>
      </w:pPr>
      <w:r>
        <w:rPr>
          <w:rFonts w:ascii="Arial" w:cs="Arial" w:eastAsia="Arial" w:hAnsi="Arial"/>
          <w:sz w:val="16"/>
          <w:szCs w:val="16"/>
          <w:color w:val="auto"/>
        </w:rPr>
        <w:t>Depreciation is computed using the straight-line method over the estimated useful lives of the building (50 years) and other depreciable assets (5-35 yrs).</w:t>
      </w:r>
    </w:p>
    <w:p>
      <w:pPr>
        <w:sectPr>
          <w:pgSz w:w="11900" w:h="16838" w:orient="portrait"/>
          <w:cols w:equalWidth="0" w:num="1">
            <w:col w:w="11392"/>
          </w:cols>
          <w:pgMar w:left="248" w:top="864" w:right="259" w:bottom="217" w:gutter="0" w:footer="0" w:header="0"/>
        </w:sectPr>
      </w:pPr>
    </w:p>
    <w:bookmarkStart w:id="68" w:name="page69"/>
    <w:bookmarkEnd w:id="68"/>
    <w:p>
      <w:pPr>
        <w:ind w:right="140"/>
        <w:spacing w:after="0" w:line="293" w:lineRule="auto"/>
        <w:rPr>
          <w:sz w:val="20"/>
          <w:szCs w:val="20"/>
          <w:color w:val="auto"/>
        </w:rPr>
      </w:pPr>
      <w:r>
        <w:rPr>
          <w:rFonts w:ascii="Arial" w:cs="Arial" w:eastAsia="Arial" w:hAnsi="Arial"/>
          <w:sz w:val="16"/>
          <w:szCs w:val="16"/>
          <w:color w:val="auto"/>
        </w:rPr>
        <w:t>In accordance with Statement of Financial Accounting Standards (SFAS) No. 144, long-lived assets, such as building and improvements,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would be separately presented in the balance sheet and reported at the lower of the carrying amount or fair value less costs to sell, and are no longer depreciated.</w:t>
      </w:r>
    </w:p>
    <w:p>
      <w:pPr>
        <w:spacing w:after="0" w:line="3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235585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hanging="348"/>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accounts for all leases as operating leases. Deferred rents receivable, net, including free rental periods and lease arrangements allowing for increasing base rental payments, are accounted for in a manner that provides an even amount of fixed lease revenues over the respective lease terms in accordance with the provisions of SFAS No. 13, Accounting for Leases.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Differences between rental income recognized and amounts due per the respective lease agreements are credited or charged, as applicable, to deferred rents receivable. The Company recorded $2,687,000, $600,000 and $1,375,000 of excess rents over amounts contractually due pursuant to tenant lease terms for the years ended December 31, 2006, 2005, and 2004, respectively.</w:t>
      </w:r>
    </w:p>
    <w:p>
      <w:pPr>
        <w:spacing w:after="0" w:line="181" w:lineRule="exact"/>
        <w:rPr>
          <w:sz w:val="20"/>
          <w:szCs w:val="20"/>
          <w:color w:val="auto"/>
        </w:rPr>
      </w:pPr>
    </w:p>
    <w:p>
      <w:pPr>
        <w:ind w:left="500" w:hanging="328"/>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Deferred taxes result principally from differences in tax and financial statement reporting for deferred rents receivable and depreciation expense.</w:t>
      </w:r>
    </w:p>
    <w:p>
      <w:pPr>
        <w:spacing w:after="0" w:line="237" w:lineRule="exact"/>
        <w:rPr>
          <w:sz w:val="20"/>
          <w:szCs w:val="20"/>
          <w:color w:val="auto"/>
        </w:rPr>
      </w:pPr>
    </w:p>
    <w:p>
      <w:pPr>
        <w:ind w:left="480" w:hanging="308"/>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estimated fair value of financial instruments has been determined using available market information or other appropriate valuation methodologies. However, considerable judgment is required in interpreting market data to develop estimates of fair value. As a result, amounts ultimately realized may vary significantly from the estimates of fair values presented and the differences could be material.</w:t>
      </w:r>
    </w:p>
    <w:p>
      <w:pPr>
        <w:spacing w:after="0" w:line="181" w:lineRule="exact"/>
        <w:rPr>
          <w:sz w:val="20"/>
          <w:szCs w:val="20"/>
          <w:color w:val="auto"/>
        </w:rPr>
      </w:pPr>
    </w:p>
    <w:p>
      <w:pPr>
        <w:ind w:left="520" w:hanging="348"/>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makes estimates of the uncollectability of its accounts receivable related to base rents, tenant escalations and reimbursements, and other revenues. The Company analyzes accounts receivable and historical bad debt levels, customer credit worthiness and current economic trends when evaluating the adequacy of the allowance for doubtful accounts. The Company wrote off approximately $89,000 of accounts receivable in 2004. There were no write-offs in 2006 and 2005.</w:t>
      </w:r>
    </w:p>
    <w:p>
      <w:pPr>
        <w:spacing w:after="0" w:line="187" w:lineRule="exact"/>
        <w:rPr>
          <w:sz w:val="20"/>
          <w:szCs w:val="20"/>
          <w:color w:val="auto"/>
        </w:rPr>
      </w:pPr>
    </w:p>
    <w:p>
      <w:pPr>
        <w:ind w:left="520" w:hanging="348"/>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Deferred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Deferred expenses, which represent certain expenditures incurred in obtaining new tenants and preparing the premises for occupancy, are amortized using the straight-line method over the terms of the related tenants’ leases or its estimated useful life, whichever is shorter.</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Deferred costs incurred in connection with obtaining debt financing are being amortized over the term of the loan using the straight-line method, which approximates the effective interest rate method.</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235585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0" w:hanging="308"/>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management of the Company to make estimates and assumptions relating to the reported amount of assets and liabilities and the disclosures of contingent assets and liabilities at the date of the financial statements and the reported amounts of revenues and expenses during the reporting year. Significant items subject to such estimates and assumptions include the carrying amount and estimation of useful lives of property and improvements; and valuation allowances for receivables. Actual results could differ from those estimates.</w:t>
      </w:r>
    </w:p>
    <w:p>
      <w:pPr>
        <w:spacing w:after="0" w:line="188" w:lineRule="exact"/>
        <w:rPr>
          <w:sz w:val="20"/>
          <w:szCs w:val="20"/>
          <w:color w:val="auto"/>
        </w:rPr>
      </w:pPr>
    </w:p>
    <w:p>
      <w:pPr>
        <w:ind w:left="480" w:hanging="308"/>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Accounting for derivative instruments and hedging activities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applies Statement of Financial Accounting Standards No. 133, “Accounting for Derivative Instruments and Hedging Activities”, as amended (“FAS 133”).</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FAS 133 requires that all derivative instruments be recorded on the balance sheet at fair value. Changes in fair value of derivatives are recorded each period in current earnings or other comprehensive income, depending on whether the derivative is designated as part of a hedge transaction and, if it is, depending on the type of hedge transaction.</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cash-flow hedge transactions in which the Company is hedging the variability of cash flows related to a variable-rate asset, liability, or a forecasted transaction, changes in fair value of the derivative instrument are reported in other comprehensive income (loss). The gains and losses on the derivative instrument that are reported in other comprehensive income (loss) are reclassified to earnings in the periods in which earnings are impacted by the variability of the cash flows of the hedged item. The ineffective portion of the change in the fair value of the derivative is recognized directly in earnings.</w:t>
      </w:r>
    </w:p>
    <w:p>
      <w:pPr>
        <w:spacing w:after="0" w:line="154" w:lineRule="exact"/>
        <w:rPr>
          <w:sz w:val="20"/>
          <w:szCs w:val="20"/>
          <w:color w:val="auto"/>
        </w:rPr>
      </w:pPr>
    </w:p>
    <w:p>
      <w:pPr>
        <w:ind w:left="520" w:hanging="348"/>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Comprehensive income (loss)</w:t>
      </w:r>
    </w:p>
    <w:p>
      <w:pPr>
        <w:sectPr>
          <w:pgSz w:w="11900" w:h="16838" w:orient="portrait"/>
          <w:cols w:equalWidth="0" w:num="1">
            <w:col w:w="11080"/>
          </w:cols>
          <w:pgMar w:left="580" w:top="125" w:right="239" w:bottom="0" w:gutter="0" w:footer="0" w:header="0"/>
        </w:sectPr>
      </w:pPr>
    </w:p>
    <w:bookmarkStart w:id="69" w:name="page70"/>
    <w:bookmarkEnd w:id="69"/>
    <w:p>
      <w:pPr>
        <w:ind w:left="332" w:right="20"/>
        <w:spacing w:after="0" w:line="297" w:lineRule="auto"/>
        <w:rPr>
          <w:sz w:val="20"/>
          <w:szCs w:val="20"/>
          <w:color w:val="auto"/>
        </w:rPr>
      </w:pPr>
      <w:r>
        <w:rPr>
          <w:rFonts w:ascii="Arial" w:cs="Arial" w:eastAsia="Arial" w:hAnsi="Arial"/>
          <w:sz w:val="16"/>
          <w:szCs w:val="16"/>
          <w:color w:val="auto"/>
        </w:rPr>
        <w:t>Statement of Financial Accounting Standards No. 130, “Reporting Comprehensive Income”, (“FAS 130”) establishes standards for reporting and display of comprehensive income (loss) and its components in a full set of general-purpose financial statements. FAS 130 requires that all items that are required to be recognized under accounting standards as components of comprehensive income (loss) be displayed with the same prominence as other financial statements. For the years ended December 31, 2006 and 2005, the unrealized gain (loss) related to the Company’s derivative has been recorded as a component of other comprehensive income and is included in the accompanying Consolidated Statements of Changes in Stockholders’ Equity.</w:t>
      </w:r>
    </w:p>
    <w:p>
      <w:pPr>
        <w:spacing w:after="0" w:line="158" w:lineRule="exact"/>
        <w:rPr>
          <w:sz w:val="20"/>
          <w:szCs w:val="20"/>
          <w:color w:val="auto"/>
        </w:rPr>
      </w:pPr>
    </w:p>
    <w:p>
      <w:pPr>
        <w:ind w:left="812" w:hanging="308"/>
        <w:spacing w:after="0"/>
        <w:tabs>
          <w:tab w:leader="none" w:pos="81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Concentration of Company’s Revenue and Credit Risk</w:t>
      </w:r>
    </w:p>
    <w:p>
      <w:pPr>
        <w:spacing w:after="0" w:line="225" w:lineRule="exact"/>
        <w:rPr>
          <w:sz w:val="20"/>
          <w:szCs w:val="20"/>
          <w:color w:val="auto"/>
        </w:rPr>
      </w:pPr>
    </w:p>
    <w:p>
      <w:pPr>
        <w:ind w:left="332" w:right="2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investments in excess of insured amounts and tenant receivables. The Company places its cash investments with high quality financial institutions. Management of the Company performs ongoing credit evaluations of its tenants and requires certain tenants to provide security deposits. Although these security deposits are insufficient to meet the terminal</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2" w:right="200"/>
        <w:spacing w:after="0" w:line="277" w:lineRule="auto"/>
        <w:rPr>
          <w:sz w:val="20"/>
          <w:szCs w:val="20"/>
          <w:color w:val="auto"/>
        </w:rPr>
      </w:pPr>
      <w:r>
        <w:rPr>
          <w:rFonts w:ascii="Arial" w:cs="Arial" w:eastAsia="Arial" w:hAnsi="Arial"/>
          <w:sz w:val="18"/>
          <w:szCs w:val="18"/>
          <w:color w:val="auto"/>
        </w:rPr>
        <w:t>value of a tenant’s lease obligation, they are a measure of good faith and a source of funds to offset the economic costs associated with lost rent and the costs associated with releasing the space.</w:t>
      </w:r>
    </w:p>
    <w:p>
      <w:pPr>
        <w:spacing w:after="0" w:line="166" w:lineRule="exact"/>
        <w:rPr>
          <w:sz w:val="20"/>
          <w:szCs w:val="20"/>
          <w:color w:val="auto"/>
        </w:rPr>
      </w:pPr>
    </w:p>
    <w:p>
      <w:pPr>
        <w:ind w:left="232" w:hanging="232"/>
        <w:spacing w:after="0"/>
        <w:tabs>
          <w:tab w:leader="none" w:pos="2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 Retirement Obligation</w:t>
      </w:r>
    </w:p>
    <w:p>
      <w:pPr>
        <w:spacing w:after="0" w:line="229" w:lineRule="exact"/>
        <w:rPr>
          <w:sz w:val="20"/>
          <w:szCs w:val="20"/>
          <w:color w:val="auto"/>
        </w:rPr>
      </w:pPr>
    </w:p>
    <w:p>
      <w:pPr>
        <w:ind w:left="332" w:right="40"/>
        <w:spacing w:after="0" w:line="257" w:lineRule="auto"/>
        <w:rPr>
          <w:sz w:val="20"/>
          <w:szCs w:val="20"/>
          <w:color w:val="auto"/>
        </w:rPr>
      </w:pPr>
      <w:r>
        <w:rPr>
          <w:rFonts w:ascii="Arial" w:cs="Arial" w:eastAsia="Arial" w:hAnsi="Arial"/>
          <w:sz w:val="18"/>
          <w:szCs w:val="18"/>
          <w:color w:val="auto"/>
        </w:rPr>
        <w:t>The Company has implemented FIN 47, an interpretation of Statement of Financial Accounting Standards 143, Accounting for Asset Retirement Obligations, in 2005. Under FIN 47, a conditional asset retirement obligation (“CARO”) must be recorded if the liability can be reasonably estimated. A CARO is an obligation that is settled at the time an asset is retired or disposed of and for which the timing and/or method of settlement are conditional on future events. During 2006, Management was able to reasonably estimate the liability to remediate asbestos which exists in certain limited areas of the Property.</w:t>
      </w:r>
    </w:p>
    <w:p>
      <w:pPr>
        <w:spacing w:after="0" w:line="188" w:lineRule="exact"/>
        <w:rPr>
          <w:sz w:val="20"/>
          <w:szCs w:val="20"/>
          <w:color w:val="auto"/>
        </w:rPr>
      </w:pPr>
    </w:p>
    <w:p>
      <w:pPr>
        <w:ind w:left="332" w:right="820"/>
        <w:spacing w:after="0" w:line="308" w:lineRule="auto"/>
        <w:rPr>
          <w:sz w:val="20"/>
          <w:szCs w:val="20"/>
          <w:color w:val="auto"/>
        </w:rPr>
      </w:pPr>
      <w:r>
        <w:rPr>
          <w:rFonts w:ascii="Arial" w:cs="Arial" w:eastAsia="Arial" w:hAnsi="Arial"/>
          <w:sz w:val="17"/>
          <w:szCs w:val="17"/>
          <w:color w:val="auto"/>
        </w:rPr>
        <w:t>The Company recorded the estimated liability for remediation of the asbestos at January 1, 2006 for approximately $3,370,000 and recognized approximately $187,000 of accretion during 2006 resulting in a balance of approximately $3,557,000 at December 31, 2006.</w:t>
      </w:r>
    </w:p>
    <w:p>
      <w:pPr>
        <w:spacing w:after="0" w:line="147" w:lineRule="exact"/>
        <w:rPr>
          <w:sz w:val="20"/>
          <w:szCs w:val="20"/>
          <w:color w:val="auto"/>
        </w:rPr>
      </w:pPr>
    </w:p>
    <w:p>
      <w:pPr>
        <w:ind w:left="332" w:right="300"/>
        <w:spacing w:after="0" w:line="342" w:lineRule="auto"/>
        <w:rPr>
          <w:sz w:val="20"/>
          <w:szCs w:val="20"/>
          <w:color w:val="auto"/>
        </w:rPr>
      </w:pPr>
      <w:r>
        <w:rPr>
          <w:rFonts w:ascii="Arial" w:cs="Arial" w:eastAsia="Arial" w:hAnsi="Arial"/>
          <w:sz w:val="16"/>
          <w:szCs w:val="16"/>
          <w:color w:val="auto"/>
        </w:rPr>
        <w:t>The above CARO at December 31, 2006 is reflected in accounts payable and accrued expense and other non-current liabilities in the consolidated balance sheet. The accretion of interest for the year ended December 31, 2006 is reflected in interest expense in the consolidated statement of income.</w:t>
      </w:r>
    </w:p>
    <w:p>
      <w:pPr>
        <w:spacing w:after="0" w:line="120" w:lineRule="exact"/>
        <w:rPr>
          <w:sz w:val="20"/>
          <w:szCs w:val="20"/>
          <w:color w:val="auto"/>
        </w:rPr>
      </w:pPr>
    </w:p>
    <w:p>
      <w:pPr>
        <w:ind w:left="232" w:hanging="232"/>
        <w:spacing w:after="0"/>
        <w:tabs>
          <w:tab w:leader="none" w:pos="23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Payable</w:t>
      </w:r>
    </w:p>
    <w:p>
      <w:pPr>
        <w:spacing w:after="0" w:line="229" w:lineRule="exact"/>
        <w:rPr>
          <w:sz w:val="20"/>
          <w:szCs w:val="20"/>
          <w:color w:val="auto"/>
        </w:rPr>
      </w:pPr>
    </w:p>
    <w:p>
      <w:pPr>
        <w:ind w:left="332" w:right="60"/>
        <w:spacing w:after="0" w:line="259" w:lineRule="auto"/>
        <w:rPr>
          <w:sz w:val="20"/>
          <w:szCs w:val="20"/>
          <w:color w:val="auto"/>
        </w:rPr>
      </w:pPr>
      <w:r>
        <w:rPr>
          <w:rFonts w:ascii="Arial" w:cs="Arial" w:eastAsia="Arial" w:hAnsi="Arial"/>
          <w:sz w:val="18"/>
          <w:szCs w:val="18"/>
          <w:color w:val="auto"/>
        </w:rPr>
        <w:t>The Company has a $170 million loan with a financial institution. During 2005, the Company entered into two amendments with the lender. The amendments extended the loan’s maturity date to December 23, 2010, reduced the outstanding borrowings from $175 million to $170 million, reduced the margin amount to calculate the interest rate, secured the loan through a pledge of the Company’s interest in the Property and allowed the Company to enter into interest rate protection agreements for hedging purposes.</w:t>
      </w:r>
    </w:p>
    <w:p>
      <w:pPr>
        <w:spacing w:after="0" w:line="187" w:lineRule="exact"/>
        <w:rPr>
          <w:sz w:val="20"/>
          <w:szCs w:val="20"/>
          <w:color w:val="auto"/>
        </w:rPr>
      </w:pPr>
    </w:p>
    <w:p>
      <w:pPr>
        <w:ind w:left="332" w:right="80"/>
        <w:spacing w:after="0" w:line="279" w:lineRule="auto"/>
        <w:rPr>
          <w:sz w:val="20"/>
          <w:szCs w:val="20"/>
          <w:color w:val="auto"/>
        </w:rPr>
      </w:pPr>
      <w:r>
        <w:rPr>
          <w:rFonts w:ascii="Arial" w:cs="Arial" w:eastAsia="Arial" w:hAnsi="Arial"/>
          <w:sz w:val="17"/>
          <w:szCs w:val="17"/>
          <w:color w:val="auto"/>
        </w:rPr>
        <w:t>The Loan bears interest at the option of the Company at the Adjusted Eurodollar Rate (Eurodollar Rate plus a margin) or the Adjusted Base Rate (Base Rate plus a margin, with Base Rate defined as the greater of Federal Fund Rate plus a margin or the Prime Rate). Interest is due on the outstanding principal balance in arrears. The loan carried an average interest rate of 5.79%, 4.22% and 2.46% during 2006, 2005 and 2004 respectively, and requires periodic interest payments. The entire outstanding principal balance is payable on the maturity date.</w:t>
      </w:r>
    </w:p>
    <w:p>
      <w:pPr>
        <w:spacing w:after="0" w:line="171" w:lineRule="exact"/>
        <w:rPr>
          <w:sz w:val="20"/>
          <w:szCs w:val="20"/>
          <w:color w:val="auto"/>
        </w:rPr>
      </w:pPr>
    </w:p>
    <w:p>
      <w:pPr>
        <w:ind w:left="332" w:right="220"/>
        <w:spacing w:after="0" w:line="257" w:lineRule="auto"/>
        <w:rPr>
          <w:sz w:val="20"/>
          <w:szCs w:val="20"/>
          <w:color w:val="auto"/>
        </w:rPr>
      </w:pPr>
      <w:r>
        <w:rPr>
          <w:rFonts w:ascii="Arial" w:cs="Arial" w:eastAsia="Arial" w:hAnsi="Arial"/>
          <w:sz w:val="18"/>
          <w:szCs w:val="18"/>
          <w:color w:val="auto"/>
        </w:rPr>
        <w:t>In conjunction with the modification of the loan, the Company incurred approximately $1,001,000 of new loan fees during 2005. The Company evaluated the loan modification under EITF 96-19 “Debtor’s Accounting for a Modification or Exchange of Debt Instruments” and determined that the amended loan was not substantially different than the original loan and therefore the new deferred financing fees were combined with the unamortized amount of the original deferred financing fees of approximately $1,167,000 (at December 31, 2004). The original deferred financing fees are being amortized through the extended maturity date of the loan.</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2" w:right="220"/>
        <w:spacing w:after="0" w:line="277" w:lineRule="auto"/>
        <w:rPr>
          <w:sz w:val="20"/>
          <w:szCs w:val="20"/>
          <w:color w:val="auto"/>
        </w:rPr>
      </w:pPr>
      <w:r>
        <w:rPr>
          <w:rFonts w:ascii="Arial" w:cs="Arial" w:eastAsia="Arial" w:hAnsi="Arial"/>
          <w:sz w:val="18"/>
          <w:szCs w:val="18"/>
          <w:color w:val="auto"/>
        </w:rPr>
        <w:t>The loan may not be prepaid in whole, subject to costs incurred by the Lender, prior to the Lockout Period (July 21, 2007). The loan may be prepaid in part at any time during or after the lockout period up to $25 million.</w:t>
      </w:r>
    </w:p>
    <w:p>
      <w:pPr>
        <w:spacing w:after="0" w:line="170" w:lineRule="exact"/>
        <w:rPr>
          <w:sz w:val="20"/>
          <w:szCs w:val="20"/>
          <w:color w:val="auto"/>
        </w:rPr>
      </w:pPr>
    </w:p>
    <w:p>
      <w:pPr>
        <w:ind w:left="332" w:right="180"/>
        <w:spacing w:after="0" w:line="277" w:lineRule="auto"/>
        <w:rPr>
          <w:sz w:val="20"/>
          <w:szCs w:val="20"/>
          <w:color w:val="auto"/>
        </w:rPr>
      </w:pPr>
      <w:r>
        <w:rPr>
          <w:rFonts w:ascii="Arial" w:cs="Arial" w:eastAsia="Arial" w:hAnsi="Arial"/>
          <w:sz w:val="18"/>
          <w:szCs w:val="18"/>
          <w:color w:val="auto"/>
        </w:rPr>
        <w:t>At December 31, 2006, the carrying amount of the loan approximates fair value, which was estimated by calculating the present value of its cash flows, discounted at a fair market rate, which would currently be available.</w:t>
      </w:r>
    </w:p>
    <w:p>
      <w:pPr>
        <w:spacing w:after="0" w:line="170" w:lineRule="exact"/>
        <w:rPr>
          <w:sz w:val="20"/>
          <w:szCs w:val="20"/>
          <w:color w:val="auto"/>
        </w:rPr>
      </w:pPr>
    </w:p>
    <w:p>
      <w:pPr>
        <w:ind w:left="332" w:right="240"/>
        <w:spacing w:after="0" w:line="257" w:lineRule="auto"/>
        <w:rPr>
          <w:sz w:val="20"/>
          <w:szCs w:val="20"/>
          <w:color w:val="auto"/>
        </w:rPr>
      </w:pPr>
      <w:r>
        <w:rPr>
          <w:rFonts w:ascii="Arial" w:cs="Arial" w:eastAsia="Arial" w:hAnsi="Arial"/>
          <w:sz w:val="18"/>
          <w:szCs w:val="18"/>
          <w:color w:val="auto"/>
        </w:rPr>
        <w:t>During 2005, the Company entered into a $30 million interest rate swap agreement with a Bank to hedge $30 million of the $170 million loan. This transaction protects the Company from volatility in interest expense on the hedged portion by effectively fixing the interest rate at 5.56% for the remaining term of the loan. The fair market value of this interest rate swap agreement, which was an asset of $198,660 at December 31, 2006, and a liability of $38,168 at December 31, 2005, is recorded on the Consolidated Balance Sheet in other non-current assets/liabilities and accumulated other comprehensive income.</w:t>
      </w:r>
    </w:p>
    <w:p>
      <w:pPr>
        <w:spacing w:after="0" w:line="188" w:lineRule="exact"/>
        <w:rPr>
          <w:sz w:val="20"/>
          <w:szCs w:val="20"/>
          <w:color w:val="auto"/>
        </w:rPr>
      </w:pPr>
    </w:p>
    <w:p>
      <w:pPr>
        <w:ind w:left="332"/>
        <w:spacing w:after="0"/>
        <w:rPr>
          <w:sz w:val="20"/>
          <w:szCs w:val="20"/>
          <w:color w:val="auto"/>
        </w:rPr>
      </w:pPr>
      <w:r>
        <w:rPr>
          <w:rFonts w:ascii="Arial" w:cs="Arial" w:eastAsia="Arial" w:hAnsi="Arial"/>
          <w:sz w:val="17"/>
          <w:szCs w:val="17"/>
          <w:color w:val="auto"/>
        </w:rPr>
        <w:t>During 2006, the Company entered into an additional $35 million interest rate swap agreement with a Bank to hedge an additional $35 million of the</w:t>
      </w:r>
    </w:p>
    <w:p>
      <w:pPr>
        <w:spacing w:after="0" w:line="35" w:lineRule="exact"/>
        <w:rPr>
          <w:sz w:val="20"/>
          <w:szCs w:val="20"/>
          <w:color w:val="auto"/>
        </w:rPr>
      </w:pPr>
    </w:p>
    <w:p>
      <w:pPr>
        <w:ind w:left="332"/>
        <w:spacing w:after="0" w:line="277" w:lineRule="auto"/>
        <w:rPr>
          <w:sz w:val="20"/>
          <w:szCs w:val="20"/>
          <w:color w:val="auto"/>
        </w:rPr>
      </w:pPr>
      <w:r>
        <w:rPr>
          <w:rFonts w:ascii="Arial" w:cs="Arial" w:eastAsia="Arial" w:hAnsi="Arial"/>
          <w:sz w:val="17"/>
          <w:szCs w:val="17"/>
          <w:color w:val="auto"/>
        </w:rPr>
        <w:t>$170 million loan. This transaction protects the Company from volatility in interest expense on the hedged portion by effectively fixing the interest rate at 5.47% for the term of the loan. The fair market value of this interest rate swap agreement, which was an asset of $342,189 at December 31, 2006, is recorded on the Consolidated Balance Sheet in other non-current assets and accumulated other comprehensive income.</w:t>
      </w:r>
    </w:p>
    <w:p>
      <w:pPr>
        <w:sectPr>
          <w:pgSz w:w="11900" w:h="16838" w:orient="portrait"/>
          <w:cols w:equalWidth="0" w:num="1">
            <w:col w:w="11412"/>
          </w:cols>
          <w:pgMar w:left="248" w:top="125" w:right="239" w:bottom="0" w:gutter="0" w:footer="0" w:header="0"/>
        </w:sectPr>
      </w:pPr>
    </w:p>
    <w:bookmarkStart w:id="70" w:name="page71"/>
    <w:bookmarkEnd w:id="70"/>
    <w:p>
      <w:pPr>
        <w:ind w:left="240" w:hanging="232"/>
        <w:spacing w:after="0"/>
        <w:tabs>
          <w:tab w:leader="none" w:pos="2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 for Taxes</w:t>
      </w:r>
    </w:p>
    <w:p>
      <w:pPr>
        <w:spacing w:after="0" w:line="229" w:lineRule="exact"/>
        <w:rPr>
          <w:sz w:val="20"/>
          <w:szCs w:val="20"/>
          <w:color w:val="auto"/>
        </w:rPr>
      </w:pPr>
    </w:p>
    <w:p>
      <w:pPr>
        <w:ind w:left="340" w:right="160"/>
        <w:spacing w:after="0" w:line="279" w:lineRule="auto"/>
        <w:rPr>
          <w:sz w:val="20"/>
          <w:szCs w:val="20"/>
          <w:color w:val="auto"/>
        </w:rPr>
      </w:pPr>
      <w:r>
        <w:rPr>
          <w:rFonts w:ascii="Arial" w:cs="Arial" w:eastAsia="Arial" w:hAnsi="Arial"/>
          <w:sz w:val="17"/>
          <w:szCs w:val="17"/>
          <w:color w:val="auto"/>
        </w:rPr>
        <w:t>The Company made an election to be taxed as a REIT under the Tax Code commencing with its taxable year ending December 31, 2004 upon the filing of its federal tax return for that year. As a REIT, the Company generally is not subject to federal income tax provided the Company has no taxable income after its dividends paid deduction, except for taxes on income earned by its taxable REIT subsidiary. To maintain qualification as a REIT, the Company must distribute at least 90% of its REIT taxable income to its stockholders and meet certain other requirements.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(benefit) for income taxes is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($000s)</w:t>
            </w:r>
          </w:p>
        </w:tc>
        <w:tc>
          <w:tcPr>
            <w:tcW w:w="4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520"/>
              <w:spacing w:after="0"/>
              <w:rPr>
                <w:sz w:val="20"/>
                <w:szCs w:val="20"/>
                <w:color w:val="auto"/>
              </w:rPr>
            </w:pPr>
            <w:r>
              <w:rPr>
                <w:rFonts w:ascii="Arial" w:cs="Arial" w:eastAsia="Arial" w:hAnsi="Arial"/>
                <w:sz w:val="18"/>
                <w:szCs w:val="18"/>
                <w:color w:val="auto"/>
              </w:rPr>
              <w:t>Federal</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State and local taxes</w:t>
            </w:r>
          </w:p>
        </w:tc>
        <w:tc>
          <w:tcPr>
            <w:tcW w:w="4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w:t>
            </w:r>
          </w:p>
        </w:tc>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520"/>
              <w:spacing w:after="0"/>
              <w:rPr>
                <w:sz w:val="20"/>
                <w:szCs w:val="20"/>
                <w:color w:val="auto"/>
              </w:rPr>
            </w:pPr>
            <w:r>
              <w:rPr>
                <w:rFonts w:ascii="Arial" w:cs="Arial" w:eastAsia="Arial" w:hAnsi="Arial"/>
                <w:sz w:val="18"/>
                <w:szCs w:val="18"/>
                <w:color w:val="auto"/>
              </w:rPr>
              <w:t>Federal</w:t>
            </w: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State and local taxes</w:t>
            </w:r>
          </w:p>
        </w:tc>
        <w:tc>
          <w:tcPr>
            <w:tcW w:w="4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(41,176)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provision (benefit) for taxes</w:t>
            </w:r>
          </w:p>
        </w:tc>
        <w:tc>
          <w:tcPr>
            <w:tcW w:w="4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280" w:type="dxa"/>
            <w:vAlign w:val="bottom"/>
            <w:vMerge w:val="restart"/>
          </w:tcPr>
          <w:p>
            <w:pPr>
              <w:jc w:val="right"/>
              <w:ind w:right="2410"/>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As a result of the Company’s REIT election during 2004, the Company eliminated all its deferred tax liabilities. During 2006, the Company successfully closed certain tax audits which resulted in the reversal of prior year tax reserves. The reversal of prior year tax reserves resulted in a tax benefit of approximately $1.7 million during the year.</w:t>
      </w:r>
    </w:p>
    <w:p>
      <w:pPr>
        <w:spacing w:after="0" w:line="177" w:lineRule="exact"/>
        <w:rPr>
          <w:sz w:val="20"/>
          <w:szCs w:val="20"/>
          <w:color w:val="auto"/>
        </w:rPr>
      </w:pPr>
    </w:p>
    <w:p>
      <w:pPr>
        <w:ind w:left="240" w:hanging="232"/>
        <w:spacing w:after="0"/>
        <w:tabs>
          <w:tab w:leader="none" w:pos="2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 Leasing Arrangements</w:t>
      </w:r>
    </w:p>
    <w:p>
      <w:pPr>
        <w:spacing w:after="0" w:line="229" w:lineRule="exact"/>
        <w:rPr>
          <w:sz w:val="20"/>
          <w:szCs w:val="20"/>
          <w:color w:val="auto"/>
        </w:rPr>
      </w:pPr>
    </w:p>
    <w:p>
      <w:pPr>
        <w:ind w:left="340"/>
        <w:spacing w:after="0" w:line="312" w:lineRule="auto"/>
        <w:rPr>
          <w:sz w:val="20"/>
          <w:szCs w:val="20"/>
          <w:color w:val="auto"/>
        </w:rPr>
      </w:pPr>
      <w:r>
        <w:rPr>
          <w:rFonts w:ascii="Arial" w:cs="Arial" w:eastAsia="Arial" w:hAnsi="Arial"/>
          <w:sz w:val="16"/>
          <w:szCs w:val="16"/>
          <w:color w:val="auto"/>
        </w:rPr>
        <w:t>The Company leases office, shop, and storage space to tenants in the Property through non-cancelable operating leases expiring through 2023. The leases require fixed minimum monthly payments over their terms and also adjustments to rent for the tenants’ proportionate share of changes in certain costs and expenses of the building. Certain leases also provide for additional rent which is based upon a percentage of the sales of the lessee.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Minimum future rentals from tenants under noncancelable operating leases as of December 31, 2006 are approximately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RGII and</w:t>
            </w:r>
          </w:p>
        </w:tc>
        <w:tc>
          <w:tcPr>
            <w:tcW w:w="0" w:type="dxa"/>
            <w:vAlign w:val="bottom"/>
          </w:tcPr>
          <w:p>
            <w:pPr>
              <w:spacing w:after="0"/>
              <w:rPr>
                <w:sz w:val="1"/>
                <w:szCs w:val="1"/>
                <w:color w:val="auto"/>
              </w:rPr>
            </w:pPr>
          </w:p>
        </w:tc>
      </w:tr>
      <w:tr>
        <w:trPr>
          <w:trHeight w:val="135"/>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($000s)</w:t>
            </w:r>
          </w:p>
        </w:tc>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62"/>
        </w:trPr>
        <w:tc>
          <w:tcPr>
            <w:tcW w:w="5480" w:type="dxa"/>
            <w:vAlign w:val="bottom"/>
            <w:gridSpan w:val="2"/>
            <w:vMerge w:val="continue"/>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Subsidiaries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2007</w:t>
            </w:r>
          </w:p>
        </w:tc>
        <w:tc>
          <w:tcPr>
            <w:tcW w:w="37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116,235</w:t>
            </w:r>
          </w:p>
        </w:tc>
        <w:tc>
          <w:tcPr>
            <w:tcW w:w="2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2008</w:t>
            </w: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2009</w:t>
            </w: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121,960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2010</w:t>
            </w: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2011</w:t>
            </w: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123,447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3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690,523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106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1,294,655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Total minimum future rental income represents the base rent tenants are required to pay under the terms of their leases exclusive of charges for electric service, real estate taxes, and other escalations. Future rentals from three unrelated parties in the businesses of financial services and publishing amount to approximately 63% of total minimum future rentals listed above. Rental income from these tenants amounted to approximately 57%, 56% and 58% of total rental revenues for 2006, 2005 and 2004 respectively. These tenants’ leases expire in 2013, 2018 and 2020. RGII’s lease expires on December 31, 2011.</w:t>
      </w:r>
    </w:p>
    <w:p>
      <w:pPr>
        <w:spacing w:after="0" w:line="188"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During 2006 and 2005, the Company recorded $2.5 and $5.6 million of early termination revenue, which is included in fixed, percentage and sublease revenue on the accompanying Consolidated Statements of Income, due to the early termination of certain tenants.</w:t>
      </w:r>
    </w:p>
    <w:p>
      <w:pPr>
        <w:spacing w:after="0" w:line="170"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During 2006, the Company entered into a lease with a certain tenant and provided a lease incentive totaling approximately $5.3 million. This asset was included in deferred rents receivable on the accompanying consolidated balance sheet.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0" w:hanging="232"/>
        <w:spacing w:after="0"/>
        <w:tabs>
          <w:tab w:leader="none" w:pos="2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Rental revenues and sales of services included $3,331,000, $3,252,000 and $3,378,000 from RGII and related subsidiaries for the years ended December 31, 2006, 2005 and 2004, respectively. Accounts receivable included $3,000 and $57,000 due to/from RGII at December 31, 2006 and 2005, respectively, related primarily to operating and real estate tax escalation.</w:t>
      </w:r>
    </w:p>
    <w:p>
      <w:pPr>
        <w:sectPr>
          <w:pgSz w:w="11900" w:h="16838" w:orient="portrait"/>
          <w:cols w:equalWidth="0" w:num="1">
            <w:col w:w="11420"/>
          </w:cols>
          <w:pgMar w:left="240" w:top="121" w:right="239" w:bottom="83" w:gutter="0" w:footer="0" w:header="0"/>
        </w:sectPr>
      </w:pPr>
    </w:p>
    <w:bookmarkStart w:id="71" w:name="page72"/>
    <w:bookmarkEnd w:id="71"/>
    <w:p>
      <w:pPr>
        <w:ind w:left="340" w:right="80"/>
        <w:spacing w:after="0" w:line="286" w:lineRule="auto"/>
        <w:rPr>
          <w:sz w:val="20"/>
          <w:szCs w:val="20"/>
          <w:color w:val="auto"/>
        </w:rPr>
      </w:pPr>
      <w:r>
        <w:rPr>
          <w:rFonts w:ascii="Arial" w:cs="Arial" w:eastAsia="Arial" w:hAnsi="Arial"/>
          <w:sz w:val="17"/>
          <w:szCs w:val="17"/>
          <w:color w:val="auto"/>
        </w:rPr>
        <w:t>The Company receives a number of management and operating services from RGII and its affiliates. Amounts included in operating expenses for these services were $8,302,000, $8,084,000 and $7,123,000 for the years ended December 31, 2006, 2005 and 2004, respectively. The management agreement remains in effect until March 31, 2020 and shall automatically be renewed for five successive 20-year periods.</w:t>
      </w:r>
    </w:p>
    <w:p>
      <w:pPr>
        <w:spacing w:after="0" w:line="166" w:lineRule="exact"/>
        <w:rPr>
          <w:sz w:val="20"/>
          <w:szCs w:val="20"/>
          <w:color w:val="auto"/>
        </w:rPr>
      </w:pPr>
    </w:p>
    <w:p>
      <w:pPr>
        <w:ind w:left="340" w:right="620"/>
        <w:spacing w:after="0" w:line="277" w:lineRule="auto"/>
        <w:rPr>
          <w:sz w:val="20"/>
          <w:szCs w:val="20"/>
          <w:color w:val="auto"/>
        </w:rPr>
      </w:pPr>
      <w:r>
        <w:rPr>
          <w:rFonts w:ascii="Arial" w:cs="Arial" w:eastAsia="Arial" w:hAnsi="Arial"/>
          <w:sz w:val="18"/>
          <w:szCs w:val="18"/>
          <w:color w:val="auto"/>
        </w:rPr>
        <w:t>At December 31, 2006 and 2005, the balances due to RGII affiliates, amounted to $3,288,000 and $2,944,000, respectively, consisted primarily of amounts for services performed by RGII affiliates.</w:t>
      </w:r>
    </w:p>
    <w:p>
      <w:pPr>
        <w:spacing w:after="0" w:line="170" w:lineRule="exact"/>
        <w:rPr>
          <w:sz w:val="20"/>
          <w:szCs w:val="20"/>
          <w:color w:val="auto"/>
        </w:rPr>
      </w:pPr>
    </w:p>
    <w:p>
      <w:pPr>
        <w:jc w:val="both"/>
        <w:ind w:left="340" w:right="260"/>
        <w:spacing w:after="0" w:line="264" w:lineRule="auto"/>
        <w:rPr>
          <w:sz w:val="20"/>
          <w:szCs w:val="20"/>
          <w:color w:val="auto"/>
        </w:rPr>
      </w:pPr>
      <w:r>
        <w:rPr>
          <w:rFonts w:ascii="Arial" w:cs="Arial" w:eastAsia="Arial" w:hAnsi="Arial"/>
          <w:sz w:val="18"/>
          <w:szCs w:val="18"/>
          <w:color w:val="auto"/>
        </w:rPr>
        <w:t>At December 31, 2006 and 2005, the balance included in deferred rent receivable — net from RGII and related subsidiaries amounted to $612,000 and $554,000 respectively. In addition, the Company recorded $58,000, $171,000 and $151,000 of excess rents over amounts contractually due pursuant to tenant lease terms for the year ended December 31, 2006, 2005 and 2004 respectively.</w:t>
      </w:r>
    </w:p>
    <w:p>
      <w:pPr>
        <w:spacing w:after="0" w:line="177" w:lineRule="exact"/>
        <w:rPr>
          <w:sz w:val="20"/>
          <w:szCs w:val="20"/>
          <w:color w:val="auto"/>
        </w:rPr>
      </w:pPr>
    </w:p>
    <w:p>
      <w:pPr>
        <w:ind w:left="240" w:hanging="232"/>
        <w:spacing w:after="0"/>
        <w:tabs>
          <w:tab w:leader="none" w:pos="2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Flows from Changes in Certain Assets and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flows from changes in certain assets and liabilities of the Company as of December 31, 2006, 2005 and 2004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($000s)</w:t>
            </w:r>
          </w:p>
        </w:tc>
        <w:tc>
          <w:tcPr>
            <w:tcW w:w="4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4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real estate taxes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11,284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subsidiaries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Increase (decrease) in:</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federal, state and local taxes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changes in certain assets and liabilities</w:t>
            </w:r>
          </w:p>
        </w:tc>
        <w:tc>
          <w:tcPr>
            <w:tcW w:w="4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180" w:type="dxa"/>
            <w:vAlign w:val="bottom"/>
            <w:vMerge w:val="restart"/>
          </w:tcPr>
          <w:p>
            <w:pPr>
              <w:jc w:val="right"/>
              <w:ind w:right="2750"/>
              <w:spacing w:after="0"/>
              <w:rPr>
                <w:sz w:val="20"/>
                <w:szCs w:val="20"/>
                <w:color w:val="auto"/>
              </w:rPr>
            </w:pPr>
            <w:r>
              <w:rPr>
                <w:rFonts w:ascii="Arial" w:cs="Arial" w:eastAsia="Arial" w:hAnsi="Arial"/>
                <w:sz w:val="18"/>
                <w:szCs w:val="18"/>
                <w:color w:val="auto"/>
              </w:rPr>
              <w:t>97</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4440" w:type="dxa"/>
            <w:vAlign w:val="bottom"/>
            <w:tcBorders>
              <w:bottom w:val="single" w:sz="8" w:color="010101"/>
            </w:tcBorders>
          </w:tcPr>
          <w:p>
            <w:pPr>
              <w:spacing w:after="0"/>
              <w:rPr>
                <w:sz w:val="24"/>
                <w:szCs w:val="24"/>
                <w:color w:val="auto"/>
              </w:rPr>
            </w:pPr>
          </w:p>
        </w:tc>
        <w:tc>
          <w:tcPr>
            <w:tcW w:w="41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closely on the definition of “disclosure controls and procedures” in Rule 13a-15(e).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Also, we have investments in certain unconsolidated entities. As we do not control these entities, our disclosure controls and procedures with respect to such entities are necessarily substantially more limited than those we maintain with respect to our consolidated subsidiaries.</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Based upon that evaluation, our Chief Executive Officer and Chief Financial Officer concluded that our disclosure controls and procedures were effective as of the end of the period covered by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are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2006 based on the framework in Internal Control-Integrated Framework issued by the Committee of Sponsoring Organizations of the Treadway Commission (COSO). Based on that evaluation, we concluded that our internal control over financial reporting was effective as of December 31, 2006.</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Management’s assessment of the effectiveness of our internal control over financial reporting as of December 31, 2006 has been audited by Ernst &amp; Young LLP, an independent registered public accounting firm, as stated in their report which is included elsewhere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ectPr>
          <w:pgSz w:w="11900" w:h="16838" w:orient="portrait"/>
          <w:cols w:equalWidth="0" w:num="1">
            <w:col w:w="11460"/>
          </w:cols>
          <w:pgMar w:left="240" w:top="125" w:right="199" w:bottom="0" w:gutter="0" w:footer="0" w:header="0"/>
        </w:sectPr>
      </w:pPr>
    </w:p>
    <w:bookmarkStart w:id="72" w:name="page73"/>
    <w:bookmarkEnd w:id="72"/>
    <w:p>
      <w:pPr>
        <w:ind w:right="80"/>
        <w:spacing w:after="0" w:line="277" w:lineRule="auto"/>
        <w:rPr>
          <w:sz w:val="20"/>
          <w:szCs w:val="20"/>
          <w:color w:val="auto"/>
        </w:rPr>
      </w:pPr>
      <w:r>
        <w:rPr>
          <w:rFonts w:ascii="Arial" w:cs="Arial" w:eastAsia="Arial" w:hAnsi="Arial"/>
          <w:sz w:val="18"/>
          <w:szCs w:val="18"/>
          <w:color w:val="auto"/>
        </w:rPr>
        <w:t>There have been no significant changes in our internal control over financial reporting during the year ended December 31, 2006 that has materially affected, or is reasonably likely to materially affect, our internal control over financial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OF THE REGISTRANT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Item 10 will be set forth in our Definitive Proxy Statement for our 2007 Annual Meeting of Stockholders, to be filed pursuant to Regulation 14A under the Securities and Exchange Act of 1934, as amended, prior to April 30, 2007 (the “2007 Proxy Statement”), and is incorporated herein by reference.</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tab/>
        <w:t>EXECUTIVE AND 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11 will be set forth in the 2007 Proxy Statement and is incorporated herein by reference.</w:t>
      </w:r>
    </w:p>
    <w:p>
      <w:pPr>
        <w:spacing w:after="0" w:line="221" w:lineRule="exact"/>
        <w:rPr>
          <w:sz w:val="20"/>
          <w:szCs w:val="20"/>
          <w:color w:val="auto"/>
        </w:rPr>
      </w:pPr>
    </w:p>
    <w:p>
      <w:pPr>
        <w:ind w:left="1040" w:right="460" w:hanging="1036"/>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12 will be set forth in the 2007 Proxy Statement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13 will be set forth in the 2007 Proxy Statement and is incorporated herein by reference.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regarding principal accounting fees and services and the audit committee’s pre-approval policies and procedures required by this Item 14 is incorporated herein by reference to the 2007 Proxy Statement.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Report of Independent Registered Public Accounting Firm</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Consolidated Balance Sheets as of December 31, 2006 and 2005</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Consolidated Statements of Income for the years ended December 31, 2006, 2005, and 2004</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Consolidated Statements of Stockholders’ Equity for the years ended December 31, 2006, 2005 and 2004</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Consolidated Statements of Cash Flows for the years ended December 31, 2006, 2005 and 2004</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Notes to Consolidated Financial Statements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III-Real Estate and Accumulated Depreciation as of December 31, 2006</w:t>
      </w:r>
    </w:p>
    <w:p>
      <w:pPr>
        <w:spacing w:after="0" w:line="225" w:lineRule="exact"/>
        <w:rPr>
          <w:sz w:val="20"/>
          <w:szCs w:val="20"/>
          <w:color w:val="auto"/>
        </w:rPr>
      </w:pPr>
    </w:p>
    <w:p>
      <w:pPr>
        <w:ind w:left="360" w:right="2840" w:hanging="352"/>
        <w:spacing w:after="0" w:line="258" w:lineRule="auto"/>
        <w:rPr>
          <w:sz w:val="20"/>
          <w:szCs w:val="20"/>
          <w:color w:val="auto"/>
        </w:rPr>
      </w:pPr>
      <w:r>
        <w:rPr>
          <w:rFonts w:ascii="Arial" w:cs="Arial" w:eastAsia="Arial" w:hAnsi="Arial"/>
          <w:sz w:val="18"/>
          <w:szCs w:val="18"/>
          <w:color w:val="auto"/>
        </w:rPr>
        <w:t>Consolidated Financial Statements and Report of Ernst &amp; Young LLP Independent Registered Public Accounting Firm for Rock-Green,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2006 and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2006, 2005 and 2004</w:t>
      </w:r>
    </w:p>
    <w:p>
      <w:pPr>
        <w:spacing w:after="0" w:line="9" w:lineRule="exact"/>
        <w:rPr>
          <w:sz w:val="20"/>
          <w:szCs w:val="20"/>
          <w:color w:val="auto"/>
        </w:rPr>
      </w:pPr>
    </w:p>
    <w:p>
      <w:pPr>
        <w:ind w:right="2960"/>
        <w:spacing w:after="0" w:line="255" w:lineRule="auto"/>
        <w:rPr>
          <w:sz w:val="20"/>
          <w:szCs w:val="20"/>
          <w:color w:val="auto"/>
        </w:rPr>
      </w:pPr>
      <w:r>
        <w:rPr>
          <w:rFonts w:ascii="Arial" w:cs="Arial" w:eastAsia="Arial" w:hAnsi="Arial"/>
          <w:sz w:val="18"/>
          <w:szCs w:val="18"/>
          <w:color w:val="auto"/>
        </w:rPr>
        <w:t>Consolidated Statements of Changes in Stockholders’ Equity for the years ended December 31, 2006, 2005 and 2004 Consolidated Statements of Cash Flows for the years ended December 31, 2006, 2005 and 2004 Notes to the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of Rock-Green, Inc. are being provided to comply with applicable rules and</w:t>
      </w:r>
    </w:p>
    <w:p>
      <w:pPr>
        <w:sectPr>
          <w:pgSz w:w="11900" w:h="16838" w:orient="portrait"/>
          <w:cols w:equalWidth="0" w:num="1">
            <w:col w:w="11400"/>
          </w:cols>
          <w:pgMar w:left="240" w:top="125" w:right="259" w:bottom="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color w:val="auto"/>
        </w:rPr>
        <w:t>Regulations of the Securities and Exchange Commission.</w:t>
      </w:r>
    </w:p>
    <w:p>
      <w:pPr>
        <w:spacing w:after="0" w:line="200" w:lineRule="exact"/>
        <w:rPr>
          <w:sz w:val="20"/>
          <w:szCs w:val="20"/>
          <w:color w:val="auto"/>
        </w:rPr>
      </w:pPr>
    </w:p>
    <w:p>
      <w:pPr>
        <w:spacing w:after="0" w:line="241" w:lineRule="exact"/>
        <w:rPr>
          <w:sz w:val="20"/>
          <w:szCs w:val="20"/>
          <w:color w:val="auto"/>
        </w:rPr>
      </w:pPr>
    </w:p>
    <w:p>
      <w:pPr>
        <w:ind w:left="180" w:right="920" w:hanging="179"/>
        <w:spacing w:after="0" w:line="277" w:lineRule="auto"/>
        <w:rPr>
          <w:sz w:val="20"/>
          <w:szCs w:val="20"/>
          <w:color w:val="auto"/>
        </w:rPr>
      </w:pPr>
      <w:r>
        <w:rPr>
          <w:rFonts w:ascii="Arial" w:cs="Arial" w:eastAsia="Arial" w:hAnsi="Arial"/>
          <w:sz w:val="18"/>
          <w:szCs w:val="18"/>
          <w:color w:val="auto"/>
        </w:rPr>
        <w:t>Schedules other than those listed are omitted as they are not applicable or the required or equivalent information has been included in the financial statements or notes thereto.</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INDEX TO EXHIBITS</w:t>
            </w:r>
          </w:p>
        </w:tc>
        <w:tc>
          <w:tcPr>
            <w:tcW w:w="4840" w:type="dxa"/>
            <w:vAlign w:val="bottom"/>
          </w:tcPr>
          <w:p>
            <w:pPr>
              <w:spacing w:after="0"/>
              <w:rPr>
                <w:sz w:val="17"/>
                <w:szCs w:val="17"/>
                <w:color w:val="auto"/>
              </w:rPr>
            </w:pPr>
          </w:p>
        </w:tc>
      </w:tr>
      <w:tr>
        <w:trPr>
          <w:trHeight w:val="546"/>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2.1</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2"/>
              </w:rPr>
              <w:t>Agreement and Plan of Merger, dated August 3, 2006, by and among the Company, Wyoming Acquisition Corp., Wyoming Acquisition GP LLC,</w:t>
            </w:r>
          </w:p>
        </w:tc>
      </w:tr>
      <w:tr>
        <w:trPr>
          <w:trHeight w:val="216"/>
        </w:trPr>
        <w:tc>
          <w:tcPr>
            <w:tcW w:w="540" w:type="dxa"/>
            <w:vAlign w:val="bottom"/>
          </w:tcPr>
          <w:p>
            <w:pPr>
              <w:spacing w:after="0"/>
              <w:rPr>
                <w:sz w:val="18"/>
                <w:szCs w:val="18"/>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7"/>
              </w:rPr>
              <w:t>Wyoming Acquisition Partnership LP, SL Green Associates Realty Corp. and the Operating Partnership, incorporated by reference to the</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rPr>
              <w:t>Company’s Form 8-K dated August 3, 2006, filed with the Commission on August 9, 2006.</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2.2</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5"/>
              </w:rPr>
              <w:t>Letter Agreement, dated October 13, 2006, by and between SL Green Realty Corp., New Venture MRE LLC, Scott Rechler, Jason Barnett,</w:t>
            </w:r>
          </w:p>
        </w:tc>
      </w:tr>
      <w:tr>
        <w:trPr>
          <w:trHeight w:val="216"/>
        </w:trPr>
        <w:tc>
          <w:tcPr>
            <w:tcW w:w="540" w:type="dxa"/>
            <w:vAlign w:val="bottom"/>
          </w:tcPr>
          <w:p>
            <w:pPr>
              <w:spacing w:after="0"/>
              <w:rPr>
                <w:sz w:val="18"/>
                <w:szCs w:val="18"/>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rPr>
              <w:t>Michael Maturo and RA Core Plus LLC, incorporated by reference to the Company’s Form 8-K dated October 13, 2006, filed with the</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rPr>
              <w:t>Commission on October 19, 2006.</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2.3</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5"/>
              </w:rPr>
              <w:t>Asset Purchase Agreement, dated as of October 13, 2006, by and between SL Green Realty Corp. and RA Core Plus LLC, incorporated by</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5"/>
              </w:rPr>
              <w:t>reference to the Company’s Form 8-K dated October 13, 2006, filed with the Commission on October 19, 2006 (relating to Australian LPT).</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2.4</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2"/>
              </w:rPr>
              <w:t>Asset Purchase Agreement, dated as of October 13, 2006, by and between SL Green Realty Corp. and New Venture MRE LLC, incorporated by</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2"/>
              </w:rPr>
              <w:t>reference to the Company’s Form 8-K dated October 13, 2006, filed with the Commission on October 19, 2006 (relating to Long Island Portfolio).</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2.5</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2"/>
              </w:rPr>
              <w:t>Asset Purchase Agreement, dated as of October 13, 2006, by and between SL Green Realty Corp. and New Venture MRE LLC, incorporated by</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9"/>
              </w:rPr>
              <w:t>reference to the Company’s Form 8-K dated October 13, 2006, filed with the Commission on October 19, 2006 (relating to Eastridge).</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2.6</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2"/>
              </w:rPr>
              <w:t>Asset Purchase Agreement, dated as of October 13, 2006, by and between SL Green Realty Corp. and New Venture MRE LLC, incorporated by</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2"/>
              </w:rPr>
              <w:t>reference to the Company’s Form 8-K dated October 13, 2006, filed with the Commission on October 19, 2006 (relating to New Jersey Portfolio).</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2.7</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2"/>
              </w:rPr>
              <w:t>Asset Purchase Agreement, dated as of October 13, 2006, by and between SL Green Realty Corp. and New Venture MRE LLC, incorporated by</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rPr>
              <w:t>reference to the Company’s Form 8-K dated October 13, 2006, filed with the Commission on October 19, 2006 (relating to RSVP).</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3.1</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4"/>
              </w:rPr>
              <w:t>Articles of Incorporation of the Company incorporated by reference to the Company’s Registration Statement on Form S-11 (No. 333-29329),</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rPr>
              <w:t>declared effective by the Commission on August 14, 1997.</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3.2</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7"/>
              </w:rPr>
              <w:t>Amended and Restated Bylaws of the Company, incorporated by reference to the Company’s Form 8-K, dated July 9, 2004, filed with the</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rPr>
              <w:t>Commission on July 14, 2004.</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3.3</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3"/>
              </w:rPr>
              <w:t>Articles Supplementary Establishing and Fixing the Rights and Preferences of the Series B Junior Participating Preferred Stock included as an</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rPr>
              <w:t>exhibit to Exhibit 4.1.</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3.4</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1"/>
              </w:rPr>
              <w:t>Articles Supplementary designating the Company’s 7.625% Series C Cumulative Redeemable Preferred Stock, liquidation preference $25.00 per</w:t>
            </w:r>
          </w:p>
        </w:tc>
      </w:tr>
      <w:tr>
        <w:trPr>
          <w:trHeight w:val="216"/>
        </w:trPr>
        <w:tc>
          <w:tcPr>
            <w:tcW w:w="540" w:type="dxa"/>
            <w:vAlign w:val="bottom"/>
          </w:tcPr>
          <w:p>
            <w:pPr>
              <w:spacing w:after="0"/>
              <w:rPr>
                <w:sz w:val="18"/>
                <w:szCs w:val="18"/>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3"/>
              </w:rPr>
              <w:t>share, par value $.01 per share incorporated by reference to the Company’s Form 8-K, dated December 3, 2003, filed with the Commission on</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rPr>
              <w:t>December 10, 2003.</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3.5</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1"/>
              </w:rPr>
              <w:t>Articles Supplementary designating the Company’s 7.875% Series D Cumulative Redeemable Preferred Stock, liquidation preference $25.00 per</w:t>
            </w:r>
          </w:p>
        </w:tc>
      </w:tr>
      <w:tr>
        <w:trPr>
          <w:trHeight w:val="216"/>
        </w:trPr>
        <w:tc>
          <w:tcPr>
            <w:tcW w:w="540" w:type="dxa"/>
            <w:vAlign w:val="bottom"/>
          </w:tcPr>
          <w:p>
            <w:pPr>
              <w:spacing w:after="0"/>
              <w:rPr>
                <w:sz w:val="18"/>
                <w:szCs w:val="18"/>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2"/>
              </w:rPr>
              <w:t>share, par value $.01 per share, incorporated by reference to the Company’s Form 8-K dated July 9, 2004, filed with the Commission on July 14,</w:t>
            </w:r>
          </w:p>
        </w:tc>
      </w:tr>
      <w:tr>
        <w:trPr>
          <w:trHeight w:val="230"/>
        </w:trPr>
        <w:tc>
          <w:tcPr>
            <w:tcW w:w="540" w:type="dxa"/>
            <w:vAlign w:val="bottom"/>
          </w:tcPr>
          <w:p>
            <w:pPr>
              <w:spacing w:after="0"/>
              <w:rPr>
                <w:sz w:val="20"/>
                <w:szCs w:val="20"/>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2004.</w:t>
            </w:r>
          </w:p>
        </w:tc>
        <w:tc>
          <w:tcPr>
            <w:tcW w:w="180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4.1</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2"/>
              </w:rPr>
              <w:t>Rights Agreement, dated as of March 6, 2000, between the Company and American Stock Transfer &amp; Trust Company which includes as Exhibit</w:t>
            </w:r>
          </w:p>
        </w:tc>
      </w:tr>
      <w:tr>
        <w:trPr>
          <w:trHeight w:val="216"/>
        </w:trPr>
        <w:tc>
          <w:tcPr>
            <w:tcW w:w="540" w:type="dxa"/>
            <w:vAlign w:val="bottom"/>
          </w:tcPr>
          <w:p>
            <w:pPr>
              <w:spacing w:after="0"/>
              <w:rPr>
                <w:sz w:val="18"/>
                <w:szCs w:val="18"/>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1"/>
              </w:rPr>
              <w:t>A thereto the Articles Supplementary Establishing and Fixing the Rights and Preferences of the Series B Junior Participating Preferred Stock and</w:t>
            </w:r>
          </w:p>
        </w:tc>
      </w:tr>
      <w:tr>
        <w:trPr>
          <w:trHeight w:val="216"/>
        </w:trPr>
        <w:tc>
          <w:tcPr>
            <w:tcW w:w="540" w:type="dxa"/>
            <w:vAlign w:val="bottom"/>
          </w:tcPr>
          <w:p>
            <w:pPr>
              <w:spacing w:after="0"/>
              <w:rPr>
                <w:sz w:val="18"/>
                <w:szCs w:val="18"/>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2"/>
              </w:rPr>
              <w:t>as Exhibit B thereto, the Form of Rights Certificates incorporated by reference to the Company’s Form 8-K, dated March 16, 2000, filed with the</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rPr>
              <w:t>Commission on March 16, 2000.</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4.2</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6"/>
              </w:rPr>
              <w:t>Specimen Common Stock Certificate incorporated by reference to the Company’s Registration Statement on Form S-11 (No. 333-29329),</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rPr>
              <w:t>declared effective by the Commission on August 14, 1997.</w:t>
            </w:r>
          </w:p>
        </w:tc>
      </w:tr>
      <w:tr>
        <w:trPr>
          <w:trHeight w:val="31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4.3</w:t>
            </w: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1"/>
              </w:rPr>
              <w:t>Form of stock certificate evidencing the 7.625% Series C Cumulative Redeemable Preferred Stock of the Company, liquidation preference $25.00</w:t>
            </w:r>
          </w:p>
        </w:tc>
      </w:tr>
      <w:tr>
        <w:trPr>
          <w:trHeight w:val="216"/>
        </w:trPr>
        <w:tc>
          <w:tcPr>
            <w:tcW w:w="540" w:type="dxa"/>
            <w:vAlign w:val="bottom"/>
          </w:tcPr>
          <w:p>
            <w:pPr>
              <w:spacing w:after="0"/>
              <w:rPr>
                <w:sz w:val="18"/>
                <w:szCs w:val="18"/>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w w:val="90"/>
              </w:rPr>
              <w:t>per share, par value $.01 per share incorporated by reference to the Company’s Form 8-K, dated December 3, 2003, filed with the Commission on</w:t>
            </w:r>
          </w:p>
        </w:tc>
      </w:tr>
      <w:tr>
        <w:trPr>
          <w:trHeight w:val="230"/>
        </w:trPr>
        <w:tc>
          <w:tcPr>
            <w:tcW w:w="540" w:type="dxa"/>
            <w:vAlign w:val="bottom"/>
          </w:tcPr>
          <w:p>
            <w:pPr>
              <w:spacing w:after="0"/>
              <w:rPr>
                <w:sz w:val="20"/>
                <w:szCs w:val="20"/>
                <w:color w:val="auto"/>
              </w:rPr>
            </w:pPr>
          </w:p>
        </w:tc>
        <w:tc>
          <w:tcPr>
            <w:tcW w:w="10920" w:type="dxa"/>
            <w:vAlign w:val="bottom"/>
            <w:gridSpan w:val="3"/>
          </w:tcPr>
          <w:p>
            <w:pPr>
              <w:ind w:left="320"/>
              <w:spacing w:after="0"/>
              <w:rPr>
                <w:sz w:val="20"/>
                <w:szCs w:val="20"/>
                <w:color w:val="auto"/>
              </w:rPr>
            </w:pPr>
            <w:r>
              <w:rPr>
                <w:rFonts w:ascii="Arial" w:cs="Arial" w:eastAsia="Arial" w:hAnsi="Arial"/>
                <w:sz w:val="18"/>
                <w:szCs w:val="18"/>
                <w:color w:val="auto"/>
              </w:rPr>
              <w:t>December 10, 2003.</w:t>
            </w:r>
          </w:p>
        </w:tc>
      </w:tr>
      <w:tr>
        <w:trPr>
          <w:trHeight w:val="864"/>
        </w:trPr>
        <w:tc>
          <w:tcPr>
            <w:tcW w:w="540" w:type="dxa"/>
            <w:vAlign w:val="bottom"/>
          </w:tcPr>
          <w:p>
            <w:pPr>
              <w:spacing w:after="0"/>
              <w:rPr>
                <w:sz w:val="24"/>
                <w:szCs w:val="24"/>
                <w:color w:val="auto"/>
              </w:rPr>
            </w:pPr>
          </w:p>
        </w:tc>
        <w:tc>
          <w:tcPr>
            <w:tcW w:w="6080" w:type="dxa"/>
            <w:vAlign w:val="bottom"/>
            <w:gridSpan w:val="2"/>
          </w:tcPr>
          <w:p>
            <w:pPr>
              <w:ind w:left="5040"/>
              <w:spacing w:after="0"/>
              <w:rPr>
                <w:sz w:val="20"/>
                <w:szCs w:val="20"/>
                <w:color w:val="auto"/>
              </w:rPr>
            </w:pPr>
            <w:r>
              <w:rPr>
                <w:rFonts w:ascii="Arial" w:cs="Arial" w:eastAsia="Arial" w:hAnsi="Arial"/>
                <w:sz w:val="18"/>
                <w:szCs w:val="18"/>
                <w:color w:val="auto"/>
              </w:rPr>
              <w:t>101</w:t>
            </w:r>
          </w:p>
        </w:tc>
        <w:tc>
          <w:tcPr>
            <w:tcW w:w="4840" w:type="dxa"/>
            <w:vAlign w:val="bottom"/>
          </w:tcPr>
          <w:p>
            <w:pPr>
              <w:spacing w:after="0"/>
              <w:rPr>
                <w:sz w:val="24"/>
                <w:szCs w:val="24"/>
                <w:color w:val="auto"/>
              </w:rPr>
            </w:pPr>
          </w:p>
        </w:tc>
      </w:tr>
      <w:tr>
        <w:trPr>
          <w:trHeight w:val="375"/>
        </w:trPr>
        <w:tc>
          <w:tcPr>
            <w:tcW w:w="540" w:type="dxa"/>
            <w:vAlign w:val="bottom"/>
            <w:tcBorders>
              <w:bottom w:val="single" w:sz="8" w:color="010101"/>
            </w:tcBorders>
          </w:tcPr>
          <w:p>
            <w:pPr>
              <w:spacing w:after="0"/>
              <w:rPr>
                <w:sz w:val="24"/>
                <w:szCs w:val="24"/>
                <w:color w:val="auto"/>
              </w:rPr>
            </w:pPr>
          </w:p>
        </w:tc>
        <w:tc>
          <w:tcPr>
            <w:tcW w:w="428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c>
          <w:tcPr>
            <w:tcW w:w="48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627"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10740" w:type="dxa"/>
            <w:vAlign w:val="bottom"/>
          </w:tcPr>
          <w:p>
            <w:pPr>
              <w:ind w:left="220"/>
              <w:spacing w:after="0"/>
              <w:rPr>
                <w:sz w:val="20"/>
                <w:szCs w:val="20"/>
                <w:color w:val="auto"/>
              </w:rPr>
            </w:pPr>
            <w:r>
              <w:rPr>
                <w:rFonts w:ascii="Arial" w:cs="Arial" w:eastAsia="Arial" w:hAnsi="Arial"/>
                <w:sz w:val="18"/>
                <w:szCs w:val="18"/>
                <w:color w:val="auto"/>
                <w:w w:val="90"/>
              </w:rPr>
              <w:t>Form of stock certificate evidencing the 7.875% Series D Cumulative Redeemable Preferred Stock of the Company, liquidation preference $25.00</w:t>
            </w:r>
          </w:p>
        </w:tc>
      </w:tr>
      <w:tr>
        <w:trPr>
          <w:trHeight w:val="216"/>
        </w:trPr>
        <w:tc>
          <w:tcPr>
            <w:tcW w:w="640" w:type="dxa"/>
            <w:vAlign w:val="bottom"/>
          </w:tcPr>
          <w:p>
            <w:pPr>
              <w:spacing w:after="0"/>
              <w:rPr>
                <w:sz w:val="18"/>
                <w:szCs w:val="18"/>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w w:val="92"/>
              </w:rPr>
              <w:t>per share, par value $.01 per share, incorporated by reference to the Company’s Form 8-K, dated April 29, 2004, filed with the Commission on</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May 20, 2004.</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10740" w:type="dxa"/>
            <w:vAlign w:val="bottom"/>
          </w:tcPr>
          <w:p>
            <w:pPr>
              <w:ind w:left="220"/>
              <w:spacing w:after="0"/>
              <w:rPr>
                <w:sz w:val="20"/>
                <w:szCs w:val="20"/>
                <w:color w:val="auto"/>
              </w:rPr>
            </w:pPr>
            <w:r>
              <w:rPr>
                <w:rFonts w:ascii="Arial" w:cs="Arial" w:eastAsia="Arial" w:hAnsi="Arial"/>
                <w:sz w:val="18"/>
                <w:szCs w:val="18"/>
                <w:color w:val="auto"/>
                <w:w w:val="92"/>
              </w:rPr>
              <w:t>Form of Agreement of Limited Partnership of the Operating Partnership incorporated by reference to the Company’s Registration Statement on</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Form S-11 (No. 333-29329), declared effective by the Commission on August 14, 1997.</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10740" w:type="dxa"/>
            <w:vAlign w:val="bottom"/>
          </w:tcPr>
          <w:p>
            <w:pPr>
              <w:ind w:left="220"/>
              <w:spacing w:after="0"/>
              <w:rPr>
                <w:sz w:val="20"/>
                <w:szCs w:val="20"/>
                <w:color w:val="auto"/>
              </w:rPr>
            </w:pPr>
            <w:r>
              <w:rPr>
                <w:rFonts w:ascii="Arial" w:cs="Arial" w:eastAsia="Arial" w:hAnsi="Arial"/>
                <w:sz w:val="18"/>
                <w:szCs w:val="18"/>
                <w:color w:val="auto"/>
                <w:w w:val="90"/>
              </w:rPr>
              <w:t>First Amended and Restated Agreement of Limited Partnership of the Operating Partnership incorporated by reference to the Company’s Form 8-</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K, dated October 23, 2002, filed with the Commission on October 23, 2002.</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10740" w:type="dxa"/>
            <w:vAlign w:val="bottom"/>
          </w:tcPr>
          <w:p>
            <w:pPr>
              <w:ind w:left="220"/>
              <w:spacing w:after="0"/>
              <w:rPr>
                <w:sz w:val="20"/>
                <w:szCs w:val="20"/>
                <w:color w:val="auto"/>
              </w:rPr>
            </w:pPr>
            <w:r>
              <w:rPr>
                <w:rFonts w:ascii="Arial" w:cs="Arial" w:eastAsia="Arial" w:hAnsi="Arial"/>
                <w:sz w:val="18"/>
                <w:szCs w:val="18"/>
                <w:color w:val="auto"/>
                <w:w w:val="90"/>
              </w:rPr>
              <w:t>First Amendment to the First Amended and Restated Agreement of Limited Partnership of the Operating Partnership incorporated by reference to</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the Company’s Form 8-K, dated October 23, 2002, filed with the Commission on October 23, 2002.</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10740" w:type="dxa"/>
            <w:vAlign w:val="bottom"/>
          </w:tcPr>
          <w:p>
            <w:pPr>
              <w:ind w:left="220"/>
              <w:spacing w:after="0"/>
              <w:rPr>
                <w:sz w:val="20"/>
                <w:szCs w:val="20"/>
                <w:color w:val="auto"/>
              </w:rPr>
            </w:pPr>
            <w:r>
              <w:rPr>
                <w:rFonts w:ascii="Arial" w:cs="Arial" w:eastAsia="Arial" w:hAnsi="Arial"/>
                <w:sz w:val="18"/>
                <w:szCs w:val="18"/>
                <w:color w:val="auto"/>
                <w:w w:val="90"/>
              </w:rPr>
              <w:t>Second Amendment to the First Amended and Restated Agreement of Limited Partnership of the Operating Partnership incorporated by reference</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to the Company’s Form 10-Q for the quarter ended June 30, 2002, filed with the Commission on July 31, 2002.</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10740" w:type="dxa"/>
            <w:vAlign w:val="bottom"/>
          </w:tcPr>
          <w:p>
            <w:pPr>
              <w:ind w:left="220"/>
              <w:spacing w:after="0"/>
              <w:rPr>
                <w:sz w:val="20"/>
                <w:szCs w:val="20"/>
                <w:color w:val="auto"/>
              </w:rPr>
            </w:pPr>
            <w:r>
              <w:rPr>
                <w:rFonts w:ascii="Arial" w:cs="Arial" w:eastAsia="Arial" w:hAnsi="Arial"/>
                <w:sz w:val="18"/>
                <w:szCs w:val="18"/>
                <w:color w:val="auto"/>
                <w:w w:val="90"/>
              </w:rPr>
              <w:t>Third Amendment to the First Amended and Restated Agreement of Limited Partnership of the Operating Partnership, dated December 12, 2003,</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the Company’s Form 10-K for the year ended December 31, 2003, filed with the Commission on March 15, 2004.</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10740" w:type="dxa"/>
            <w:vAlign w:val="bottom"/>
          </w:tcPr>
          <w:p>
            <w:pPr>
              <w:ind w:left="220"/>
              <w:spacing w:after="0"/>
              <w:rPr>
                <w:sz w:val="20"/>
                <w:szCs w:val="20"/>
                <w:color w:val="auto"/>
              </w:rPr>
            </w:pPr>
            <w:r>
              <w:rPr>
                <w:rFonts w:ascii="Arial" w:cs="Arial" w:eastAsia="Arial" w:hAnsi="Arial"/>
                <w:sz w:val="18"/>
                <w:szCs w:val="18"/>
                <w:color w:val="auto"/>
                <w:w w:val="98"/>
              </w:rPr>
              <w:t>Form of Articles of Incorporation and Bylaws of the Management Corporation incorporated by reference to the Company’s Registration</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Statement on Form S-11 (No. 333-29329), declared effective by the Commission on August 14, 1997.</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10740" w:type="dxa"/>
            <w:vAlign w:val="bottom"/>
          </w:tcPr>
          <w:p>
            <w:pPr>
              <w:ind w:left="220"/>
              <w:spacing w:after="0"/>
              <w:rPr>
                <w:sz w:val="20"/>
                <w:szCs w:val="20"/>
                <w:color w:val="auto"/>
              </w:rPr>
            </w:pPr>
            <w:r>
              <w:rPr>
                <w:rFonts w:ascii="Arial" w:cs="Arial" w:eastAsia="Arial" w:hAnsi="Arial"/>
                <w:sz w:val="18"/>
                <w:szCs w:val="18"/>
                <w:color w:val="auto"/>
                <w:w w:val="94"/>
              </w:rPr>
              <w:t>Form of Registration Rights Agreement between the Company and the persons named therein incorporated by reference to the Company’s</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Registration Statement on Form S-11 (No. 333-29329), declared effective by the Commission on August 14, 1997.</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10740" w:type="dxa"/>
            <w:vAlign w:val="bottom"/>
          </w:tcPr>
          <w:p>
            <w:pPr>
              <w:ind w:left="220"/>
              <w:spacing w:after="0"/>
              <w:rPr>
                <w:sz w:val="20"/>
                <w:szCs w:val="20"/>
                <w:color w:val="auto"/>
              </w:rPr>
            </w:pPr>
            <w:r>
              <w:rPr>
                <w:rFonts w:ascii="Arial" w:cs="Arial" w:eastAsia="Arial" w:hAnsi="Arial"/>
                <w:sz w:val="18"/>
                <w:szCs w:val="18"/>
                <w:color w:val="auto"/>
                <w:w w:val="94"/>
              </w:rPr>
              <w:t>Amended 1997 Stock Option and Incentive Plan incorporated by reference to the Company’s Registration Statement on Form S-8 (No. 333-</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89964), filed with the Commission on June 6, 2002.</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10740" w:type="dxa"/>
            <w:vAlign w:val="bottom"/>
          </w:tcPr>
          <w:p>
            <w:pPr>
              <w:ind w:left="220"/>
              <w:spacing w:after="0"/>
              <w:rPr>
                <w:sz w:val="20"/>
                <w:szCs w:val="20"/>
                <w:color w:val="auto"/>
              </w:rPr>
            </w:pPr>
            <w:r>
              <w:rPr>
                <w:rFonts w:ascii="Arial" w:cs="Arial" w:eastAsia="Arial" w:hAnsi="Arial"/>
                <w:sz w:val="18"/>
                <w:szCs w:val="18"/>
                <w:color w:val="auto"/>
                <w:w w:val="91"/>
              </w:rPr>
              <w:t>Employment and Non-competition Agreement between Stephen L. Green and the Company, dated August 20, 2002 incorporated by reference to</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the Company’s Form 8-K, dated February 20, 2003, filed with the Commission on February 21, 2003.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10740" w:type="dxa"/>
            <w:vAlign w:val="bottom"/>
          </w:tcPr>
          <w:p>
            <w:pPr>
              <w:ind w:left="220"/>
              <w:spacing w:after="0"/>
              <w:rPr>
                <w:sz w:val="20"/>
                <w:szCs w:val="20"/>
                <w:color w:val="auto"/>
              </w:rPr>
            </w:pPr>
            <w:r>
              <w:rPr>
                <w:rFonts w:ascii="Arial" w:cs="Arial" w:eastAsia="Arial" w:hAnsi="Arial"/>
                <w:sz w:val="18"/>
                <w:szCs w:val="18"/>
                <w:color w:val="auto"/>
                <w:w w:val="96"/>
              </w:rPr>
              <w:t>Amended and Restated Employment and Non-competition Agreement between Marc Holliday and the Company, dated January 1, 2004,</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the Company’s Form 10-K for the year ended December 31, 2003, filed with the Commission on March 15, 2004.</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10740" w:type="dxa"/>
            <w:vAlign w:val="bottom"/>
          </w:tcPr>
          <w:p>
            <w:pPr>
              <w:ind w:left="220"/>
              <w:spacing w:after="0"/>
              <w:rPr>
                <w:sz w:val="20"/>
                <w:szCs w:val="20"/>
                <w:color w:val="auto"/>
              </w:rPr>
            </w:pPr>
            <w:r>
              <w:rPr>
                <w:rFonts w:ascii="Arial" w:cs="Arial" w:eastAsia="Arial" w:hAnsi="Arial"/>
                <w:sz w:val="18"/>
                <w:szCs w:val="18"/>
                <w:color w:val="auto"/>
                <w:w w:val="91"/>
              </w:rPr>
              <w:t>Employment and Non-competition Agreement between Andrew Mathias and the Company, dated January 1, 2004, incorporated by reference to</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the Company’s Form 10-K for the year ended December 31, 2003, filed with the Commission on March 15, 2004.</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10740" w:type="dxa"/>
            <w:vAlign w:val="bottom"/>
          </w:tcPr>
          <w:p>
            <w:pPr>
              <w:ind w:left="220"/>
              <w:spacing w:after="0"/>
              <w:rPr>
                <w:sz w:val="20"/>
                <w:szCs w:val="20"/>
                <w:color w:val="auto"/>
              </w:rPr>
            </w:pPr>
            <w:r>
              <w:rPr>
                <w:rFonts w:ascii="Arial" w:cs="Arial" w:eastAsia="Arial" w:hAnsi="Arial"/>
                <w:sz w:val="18"/>
                <w:szCs w:val="18"/>
                <w:color w:val="auto"/>
                <w:w w:val="91"/>
              </w:rPr>
              <w:t>Employment and Non-competition Agreement between Gregory Hughes and the Company, dated February 3, 2004, incorporated by reference to</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the Company’s Form 10-K for the year ended December 31, 2003, filed with the Commission on March 15, 2004.</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10740" w:type="dxa"/>
            <w:vAlign w:val="bottom"/>
          </w:tcPr>
          <w:p>
            <w:pPr>
              <w:ind w:left="220"/>
              <w:spacing w:after="0"/>
              <w:rPr>
                <w:sz w:val="20"/>
                <w:szCs w:val="20"/>
                <w:color w:val="auto"/>
              </w:rPr>
            </w:pPr>
            <w:r>
              <w:rPr>
                <w:rFonts w:ascii="Arial" w:cs="Arial" w:eastAsia="Arial" w:hAnsi="Arial"/>
                <w:sz w:val="18"/>
                <w:szCs w:val="18"/>
                <w:color w:val="auto"/>
                <w:w w:val="95"/>
              </w:rPr>
              <w:t>Form of Contribution Agreement by and among Astor Plaza Venture, L.P., 1515 Broadway Associates, L.P., The Equitable Life Assurance</w:t>
            </w:r>
          </w:p>
        </w:tc>
      </w:tr>
      <w:tr>
        <w:trPr>
          <w:trHeight w:val="216"/>
        </w:trPr>
        <w:tc>
          <w:tcPr>
            <w:tcW w:w="640" w:type="dxa"/>
            <w:vAlign w:val="bottom"/>
          </w:tcPr>
          <w:p>
            <w:pPr>
              <w:spacing w:after="0"/>
              <w:rPr>
                <w:sz w:val="18"/>
                <w:szCs w:val="18"/>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w w:val="91"/>
              </w:rPr>
              <w:t>Society of the United States and SL Green Realty Acquisition LLC incorporated by reference to the Company’s Form 10-Q for the quarter ended</w:t>
            </w:r>
          </w:p>
        </w:tc>
      </w:tr>
      <w:tr>
        <w:trPr>
          <w:trHeight w:val="230"/>
        </w:trPr>
        <w:tc>
          <w:tcPr>
            <w:tcW w:w="640" w:type="dxa"/>
            <w:vAlign w:val="bottom"/>
          </w:tcPr>
          <w:p>
            <w:pPr>
              <w:spacing w:after="0"/>
              <w:rPr>
                <w:sz w:val="20"/>
                <w:szCs w:val="20"/>
                <w:color w:val="auto"/>
              </w:rPr>
            </w:pPr>
          </w:p>
        </w:tc>
        <w:tc>
          <w:tcPr>
            <w:tcW w:w="10740" w:type="dxa"/>
            <w:vAlign w:val="bottom"/>
          </w:tcPr>
          <w:p>
            <w:pPr>
              <w:ind w:left="220"/>
              <w:spacing w:after="0"/>
              <w:rPr>
                <w:sz w:val="20"/>
                <w:szCs w:val="20"/>
                <w:color w:val="auto"/>
              </w:rPr>
            </w:pPr>
            <w:r>
              <w:rPr>
                <w:rFonts w:ascii="Arial" w:cs="Arial" w:eastAsia="Arial" w:hAnsi="Arial"/>
                <w:sz w:val="18"/>
                <w:szCs w:val="18"/>
                <w:color w:val="auto"/>
              </w:rPr>
              <w:t>March 30, 2002, filed with the Commission on April 30, 2002.</w:t>
            </w:r>
          </w:p>
        </w:tc>
      </w:tr>
    </w:tbl>
    <w:p>
      <w:pPr>
        <w:spacing w:after="0" w:line="94" w:lineRule="exact"/>
        <w:rPr>
          <w:sz w:val="20"/>
          <w:szCs w:val="20"/>
          <w:color w:val="auto"/>
        </w:rPr>
      </w:pPr>
    </w:p>
    <w:p>
      <w:pPr>
        <w:ind w:left="860" w:right="540" w:hanging="850"/>
        <w:spacing w:after="0" w:line="308" w:lineRule="auto"/>
        <w:tabs>
          <w:tab w:leader="none" w:pos="8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Form of Contribution and Purchase and Sale Agreement between 220 News Buildings LLC and the Operating Partnership incorporated by reference to the Company’s Form 8-K, dated December 12, 2002, filed with the Commission on December 13, 2002.</w:t>
      </w:r>
    </w:p>
    <w:p>
      <w:pPr>
        <w:spacing w:after="0" w:line="3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Modified Agreement of lease of Graybar Building dated December 30, 1957 between New York State Realty and Terminal Company with Webb</w:t>
      </w:r>
    </w:p>
    <w:p>
      <w:pPr>
        <w:spacing w:after="0" w:line="23" w:lineRule="exact"/>
        <w:rPr>
          <w:sz w:val="20"/>
          <w:szCs w:val="20"/>
          <w:color w:val="auto"/>
        </w:rPr>
      </w:pPr>
    </w:p>
    <w:p>
      <w:pPr>
        <w:ind w:left="860" w:right="740" w:hanging="1"/>
        <w:spacing w:after="0" w:line="261" w:lineRule="auto"/>
        <w:tabs>
          <w:tab w:leader="none" w:pos="10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Knapp, Inc. and Graysler Corporation incorporated by reference to the Company’s Form 8-K, dated February 20, 2003, filed with the Commission on February 21, 2003.</w:t>
      </w:r>
    </w:p>
    <w:p>
      <w:pPr>
        <w:spacing w:after="0" w:line="76" w:lineRule="exact"/>
        <w:rPr>
          <w:sz w:val="20"/>
          <w:szCs w:val="20"/>
          <w:color w:val="auto"/>
        </w:rPr>
      </w:pPr>
    </w:p>
    <w:p>
      <w:pPr>
        <w:ind w:left="860" w:right="220" w:hanging="850"/>
        <w:spacing w:after="0" w:line="277" w:lineRule="auto"/>
        <w:tabs>
          <w:tab w:leader="none" w:pos="8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Sublease between Webb &amp; Knapp, Inc. and Graysler Corporation and Mary F. Finnegan dated December 30, 1957 incorporated by reference to the Company’s Form 8-K, dated October 23, 2002, filed with the Commission on October 23, 2002.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60" w:right="40" w:hanging="850"/>
        <w:spacing w:after="0" w:line="277" w:lineRule="auto"/>
        <w:tabs>
          <w:tab w:leader="none" w:pos="8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Operating Lease between Mary F. Finnegan and Rose Iacovone dated December 30, 1957 incorporated by reference to the Company’s Form 8-K, dated October 23, 2002, filed with the Commission on October 23, 2002.</w:t>
      </w:r>
    </w:p>
    <w:p>
      <w:pPr>
        <w:spacing w:after="0" w:line="62" w:lineRule="exact"/>
        <w:rPr>
          <w:sz w:val="20"/>
          <w:szCs w:val="20"/>
          <w:color w:val="auto"/>
        </w:rPr>
      </w:pPr>
    </w:p>
    <w:p>
      <w:pPr>
        <w:ind w:left="860" w:right="40" w:hanging="850"/>
        <w:spacing w:after="0" w:line="277" w:lineRule="auto"/>
        <w:tabs>
          <w:tab w:leader="none" w:pos="8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Operating Sublease between Precision Dynamic Corporation and Graybar Building Company dated June 1, 1964 incorporated by reference to the Company’s Form 8-K, dated October 23, 2002, filed with the Commission on October 23, 2002.</w:t>
      </w:r>
    </w:p>
    <w:p>
      <w:pPr>
        <w:spacing w:after="0" w:line="62" w:lineRule="exact"/>
        <w:rPr>
          <w:sz w:val="20"/>
          <w:szCs w:val="20"/>
          <w:color w:val="auto"/>
        </w:rPr>
      </w:pPr>
    </w:p>
    <w:p>
      <w:pPr>
        <w:ind w:left="860" w:right="240" w:hanging="850"/>
        <w:spacing w:after="0" w:line="264" w:lineRule="auto"/>
        <w:tabs>
          <w:tab w:leader="none" w:pos="8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Agreement of Sale and Purchase dated as of January 30, 1998 between Graybar Building Company, as Seller and SL Green Operating Partnership, L.P., as Purchaser incorporated by reference to the Company’s Form 8-K, dated March 18, 1998, filed with the Commission on March 31, 1998.</w:t>
      </w:r>
    </w:p>
    <w:p>
      <w:pPr>
        <w:spacing w:after="0" w:line="73" w:lineRule="exact"/>
        <w:rPr>
          <w:sz w:val="20"/>
          <w:szCs w:val="20"/>
          <w:color w:val="auto"/>
        </w:rPr>
      </w:pPr>
    </w:p>
    <w:p>
      <w:pPr>
        <w:ind w:left="860" w:right="40" w:hanging="850"/>
        <w:spacing w:after="0" w:line="264" w:lineRule="auto"/>
        <w:tabs>
          <w:tab w:leader="none" w:pos="8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Share purchase agreement dated as of December 24, 2003, by and between The McGraw-Hill Companies, Inc., as seller and Green Hill Acquisition LLC as purchaser incorporated by reference to the Company’s Form 8-K/A, dated December 29, 2003, filed with the Commission on January 9, 2004.</w:t>
      </w:r>
    </w:p>
    <w:p>
      <w:pPr>
        <w:spacing w:after="0" w:line="73" w:lineRule="exact"/>
        <w:rPr>
          <w:sz w:val="20"/>
          <w:szCs w:val="20"/>
          <w:color w:val="auto"/>
        </w:rPr>
      </w:pPr>
    </w:p>
    <w:p>
      <w:pPr>
        <w:ind w:left="860" w:right="200" w:hanging="850"/>
        <w:spacing w:after="0" w:line="277" w:lineRule="auto"/>
        <w:tabs>
          <w:tab w:leader="none" w:pos="8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2003 Long-Term OutPerformance Compensation Program, dated April 1, 2003, incorporated by reference to the Company’s Form 10-Q for the quarter ended June 30, 2003, filed with the Commission on August 12, 2003.</w:t>
      </w:r>
    </w:p>
    <w:p>
      <w:pPr>
        <w:spacing w:after="0" w:line="62" w:lineRule="exact"/>
        <w:rPr>
          <w:sz w:val="20"/>
          <w:szCs w:val="20"/>
          <w:color w:val="auto"/>
        </w:rPr>
      </w:pPr>
    </w:p>
    <w:p>
      <w:pPr>
        <w:ind w:left="860" w:right="40" w:hanging="850"/>
        <w:spacing w:after="0" w:line="277" w:lineRule="auto"/>
        <w:tabs>
          <w:tab w:leader="none" w:pos="8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Separation agreement between Michael W. Reid and the Company dated February 3, 2004, incorporated by reference to the Company’s Form 10-K for the year ended December 31, 2003, filed with the Commission on March 15, 2004.</w:t>
      </w:r>
    </w:p>
    <w:p>
      <w:pPr>
        <w:spacing w:after="0" w:line="62" w:lineRule="exact"/>
        <w:rPr>
          <w:sz w:val="20"/>
          <w:szCs w:val="20"/>
          <w:color w:val="auto"/>
        </w:rPr>
      </w:pPr>
    </w:p>
    <w:p>
      <w:pPr>
        <w:ind w:left="860" w:right="40" w:hanging="850"/>
        <w:spacing w:after="0" w:line="277" w:lineRule="auto"/>
        <w:tabs>
          <w:tab w:leader="none" w:pos="8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Interim employment agreement between Thomas E. Wirth and the Company dated February 3, 2004, incorporated by reference to the Company’s Form 10-K for the year ended December 31, 2003, filed with the Commission on March 15, 2004.</w:t>
      </w:r>
    </w:p>
    <w:p>
      <w:pPr>
        <w:spacing w:after="0" w:line="62" w:lineRule="exact"/>
        <w:rPr>
          <w:sz w:val="20"/>
          <w:szCs w:val="20"/>
          <w:color w:val="auto"/>
        </w:rPr>
      </w:pPr>
    </w:p>
    <w:p>
      <w:pPr>
        <w:ind w:left="860" w:right="20" w:hanging="850"/>
        <w:spacing w:after="0" w:line="308" w:lineRule="auto"/>
        <w:tabs>
          <w:tab w:leader="none" w:pos="8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7"/>
          <w:szCs w:val="17"/>
          <w:color w:val="auto"/>
        </w:rPr>
        <w:t>Fourth Amendment to the First Amended and Restated Agreement of Limited Partnership of the Operating Partnership, incorporated by reference to the Company’s Form 10-K for the year ended December 31, 2004, filed with the Commission on March 15, 2005.</w:t>
      </w:r>
    </w:p>
    <w:p>
      <w:pPr>
        <w:sectPr>
          <w:pgSz w:w="11900" w:h="16838" w:orient="portrait"/>
          <w:cols w:equalWidth="0" w:num="1">
            <w:col w:w="11380"/>
          </w:cols>
          <w:pgMar w:left="240" w:top="125" w:right="279" w:bottom="0" w:gutter="0" w:footer="0" w:header="0"/>
        </w:sectPr>
      </w:pPr>
    </w:p>
    <w:bookmarkStart w:id="75" w:name="page76"/>
    <w:bookmarkEnd w:id="75"/>
    <w:p>
      <w:pPr>
        <w:jc w:val="right"/>
        <w:ind w:right="220"/>
        <w:spacing w:after="0" w:line="342" w:lineRule="auto"/>
        <w:rPr>
          <w:sz w:val="20"/>
          <w:szCs w:val="20"/>
          <w:color w:val="auto"/>
        </w:rPr>
      </w:pPr>
      <w:r>
        <w:rPr>
          <w:rFonts w:ascii="Arial" w:cs="Arial" w:eastAsia="Arial" w:hAnsi="Arial"/>
          <w:sz w:val="16"/>
          <w:szCs w:val="16"/>
          <w:color w:val="auto"/>
        </w:rPr>
        <w:t>10.25     Amended and Restated Fourth Amendment to the First Amended and Restated Agreement of Limited Partnership of the Operating Partnership, incorporated by reference to the Company’s Form 10-K for the year ended December 31, 2004, filed with the Commission on March 15, 2005.</w:t>
      </w:r>
    </w:p>
    <w:p>
      <w:pPr>
        <w:spacing w:after="0" w:line="16" w:lineRule="exact"/>
        <w:rPr>
          <w:sz w:val="20"/>
          <w:szCs w:val="20"/>
          <w:color w:val="auto"/>
        </w:rPr>
      </w:pPr>
    </w:p>
    <w:p>
      <w:pPr>
        <w:ind w:left="860" w:right="300" w:hanging="850"/>
        <w:spacing w:after="0" w:line="277" w:lineRule="auto"/>
        <w:tabs>
          <w:tab w:leader="none" w:pos="8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Employment and Non-competition Agreement between Gerard Nocera and the Company, dated May 1, 2004, incorporated by reference to the Company’s Form 10-Q for the quarter ended June 30, 2004, filed with the Commission on August 9, 2004.</w:t>
      </w:r>
    </w:p>
    <w:p>
      <w:pPr>
        <w:spacing w:after="0" w:line="62" w:lineRule="exact"/>
        <w:rPr>
          <w:sz w:val="20"/>
          <w:szCs w:val="20"/>
          <w:color w:val="auto"/>
        </w:rPr>
      </w:pPr>
    </w:p>
    <w:p>
      <w:pPr>
        <w:ind w:left="860" w:right="500" w:hanging="850"/>
        <w:spacing w:after="0" w:line="342" w:lineRule="auto"/>
        <w:tabs>
          <w:tab w:leader="none" w:pos="8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Contract of Sale between Teachers Insurance and Annuity Association of America and 750-485 Fee Owner LLC dated June 15, 2004, incorporated by reference to the Company’s Form 10-Q for the quarter ended June 30, 2004, filed with the Commission on August 9, 2004.</w:t>
      </w:r>
    </w:p>
    <w:p>
      <w:pPr>
        <w:spacing w:after="0" w:line="16" w:lineRule="exact"/>
        <w:rPr>
          <w:sz w:val="20"/>
          <w:szCs w:val="20"/>
          <w:color w:val="auto"/>
        </w:rPr>
      </w:pPr>
    </w:p>
    <w:p>
      <w:pPr>
        <w:ind w:left="860" w:right="40" w:hanging="850"/>
        <w:spacing w:after="0" w:line="264" w:lineRule="auto"/>
        <w:tabs>
          <w:tab w:leader="none" w:pos="8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Purchase, Sale and Contribution Agreement among 625 Madison Avenue Associates, L.P. and SL Green Operating Partnership, L.P. dated August 17, 2004, incorporated by reference to the Company’s Form 10-Q, for the quarter ended September 30, 2004, filed with the Commission on November 9, 2004.</w:t>
      </w:r>
    </w:p>
    <w:p>
      <w:pPr>
        <w:spacing w:after="0" w:line="73" w:lineRule="exact"/>
        <w:rPr>
          <w:sz w:val="20"/>
          <w:szCs w:val="20"/>
          <w:color w:val="auto"/>
        </w:rPr>
      </w:pPr>
    </w:p>
    <w:p>
      <w:pPr>
        <w:ind w:left="860" w:right="180" w:hanging="850"/>
        <w:spacing w:after="0" w:line="277" w:lineRule="auto"/>
        <w:tabs>
          <w:tab w:leader="none" w:pos="8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Independent Directors’ Deferral Plan, incorporated by reference to the Company’s Form 10-K for the year ended December 31, 2004, filed with the Commission on March 15, 2005.</w:t>
      </w:r>
    </w:p>
    <w:p>
      <w:pPr>
        <w:spacing w:after="0" w:line="62" w:lineRule="exact"/>
        <w:rPr>
          <w:sz w:val="20"/>
          <w:szCs w:val="20"/>
          <w:color w:val="auto"/>
        </w:rPr>
      </w:pPr>
    </w:p>
    <w:p>
      <w:pPr>
        <w:ind w:left="860" w:right="60" w:hanging="850"/>
        <w:spacing w:after="0" w:line="308" w:lineRule="auto"/>
        <w:tabs>
          <w:tab w:leader="none" w:pos="8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7"/>
          <w:szCs w:val="17"/>
          <w:color w:val="auto"/>
        </w:rPr>
        <w:t>Amended and Restated Origination Agreement dated April 19, 2006 by and among Gramercy Capital Corp., GKK Capital L.P. and the Company, incorporated by reference to the Company’s Form 8-K dated April 19, 2006, filed with the Commission on March 15, 2005.</w:t>
      </w:r>
    </w:p>
    <w:p>
      <w:pPr>
        <w:spacing w:after="0" w:line="38" w:lineRule="exact"/>
        <w:rPr>
          <w:sz w:val="20"/>
          <w:szCs w:val="20"/>
          <w:color w:val="auto"/>
        </w:rPr>
      </w:pPr>
    </w:p>
    <w:p>
      <w:pPr>
        <w:ind w:left="860" w:right="60" w:hanging="850"/>
        <w:spacing w:after="0" w:line="277" w:lineRule="auto"/>
        <w:tabs>
          <w:tab w:leader="none" w:pos="8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Management Agreement dated April 19, 2006 by and between Gramercy Capital Corp. and GKK Manager LLC, incorporated by reference to the Company’s Form 8-K dated April 19, 2006, filed with the Commission on April 25, 2006.</w:t>
      </w:r>
    </w:p>
    <w:p>
      <w:pPr>
        <w:spacing w:after="0" w:line="62" w:lineRule="exact"/>
        <w:rPr>
          <w:sz w:val="20"/>
          <w:szCs w:val="20"/>
          <w:color w:val="auto"/>
        </w:rPr>
      </w:pPr>
    </w:p>
    <w:p>
      <w:pPr>
        <w:ind w:left="860" w:right="100" w:hanging="850"/>
        <w:spacing w:after="0" w:line="308" w:lineRule="auto"/>
        <w:tabs>
          <w:tab w:leader="none" w:pos="8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7"/>
          <w:szCs w:val="17"/>
          <w:color w:val="auto"/>
        </w:rPr>
        <w:t>Amended and Restated Asset Servicing Agreement dated April 19, 2006 by and between GKK Manager LLC and SLG Gramercy Services LLC, incorporated by reference to the Company’s Form 8-K dated April 19, 2006, filed with the Commission on April 25, 2006.</w:t>
      </w:r>
    </w:p>
    <w:p>
      <w:pPr>
        <w:spacing w:after="0" w:line="38" w:lineRule="exact"/>
        <w:rPr>
          <w:sz w:val="20"/>
          <w:szCs w:val="20"/>
          <w:color w:val="auto"/>
        </w:rPr>
      </w:pPr>
    </w:p>
    <w:p>
      <w:pPr>
        <w:ind w:left="860" w:right="60" w:hanging="850"/>
        <w:spacing w:after="0" w:line="308" w:lineRule="auto"/>
        <w:tabs>
          <w:tab w:leader="none" w:pos="8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7"/>
          <w:szCs w:val="17"/>
          <w:color w:val="auto"/>
        </w:rPr>
        <w:t>Outsource Agreement dated August 2, 2004 by and between GKK Manager LLC and SLG Operating Partnership, L.P., incorporated by reference to the Company’s Form 10-K for the year ended December 31, 2004, filed with the Commission on April 25, 2006.</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60" w:right="100" w:hanging="850"/>
        <w:spacing w:after="0" w:line="312" w:lineRule="auto"/>
        <w:tabs>
          <w:tab w:leader="none" w:pos="8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One Madison Avenue Purchase and Sale Agreement between Metropolitan Life Insurance Company, a New York corporation, as seller, and 1 Madison Venture LLC, a Delaware limited liability company, and Column Financial, Inc. a Delaware corporation, collectively as Purchaser as of March 29, 2005, incorporated by reference to the Company’s Form 8-K, dated March 29, 2005, filed with the Commission on April 1, 2005.</w:t>
      </w:r>
    </w:p>
    <w:p>
      <w:pPr>
        <w:spacing w:after="0" w:line="39" w:lineRule="exact"/>
        <w:rPr>
          <w:sz w:val="20"/>
          <w:szCs w:val="20"/>
          <w:color w:val="auto"/>
        </w:rPr>
      </w:pPr>
    </w:p>
    <w:p>
      <w:pPr>
        <w:ind w:left="860" w:hanging="850"/>
        <w:spacing w:after="0" w:line="312" w:lineRule="auto"/>
        <w:tabs>
          <w:tab w:leader="none" w:pos="8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Amended and Restated Trust Agreement among SL Green Operating Partnership, L.P., as depositor, JPMorgan Chase Bank, National Association, as property trustee, Chase Bank USA, National Association, as Delaware trustee, and the administrative trustees named therein, dated June 30, 2005, incorporated by reference to the Company’s Form 10-Q for the quarter ended June 30, 2005, filed with the Commission on August 9, 2005.</w:t>
      </w:r>
    </w:p>
    <w:p>
      <w:pPr>
        <w:spacing w:after="0" w:line="39" w:lineRule="exact"/>
        <w:rPr>
          <w:sz w:val="20"/>
          <w:szCs w:val="20"/>
          <w:color w:val="auto"/>
        </w:rPr>
      </w:pPr>
    </w:p>
    <w:p>
      <w:pPr>
        <w:ind w:left="860" w:right="40" w:hanging="850"/>
        <w:spacing w:after="0" w:line="264" w:lineRule="auto"/>
        <w:tabs>
          <w:tab w:leader="none" w:pos="8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Junior Subordinated Indenture between SL Green Operating Partnership, L.P. and JPMorgan Chase Bank, National Association, as trustee dated June 30, 2005, incorporated by reference to the Company’s Form 10-Q for the quarter ended June 30, 2005, filed with the Commission on August 9, 2005.</w:t>
      </w:r>
    </w:p>
    <w:p>
      <w:pPr>
        <w:spacing w:after="0" w:line="73" w:lineRule="exact"/>
        <w:rPr>
          <w:sz w:val="20"/>
          <w:szCs w:val="20"/>
          <w:color w:val="auto"/>
        </w:rPr>
      </w:pPr>
    </w:p>
    <w:p>
      <w:pPr>
        <w:ind w:left="860" w:right="120" w:hanging="850"/>
        <w:spacing w:after="0" w:line="255" w:lineRule="auto"/>
        <w:tabs>
          <w:tab w:leader="none" w:pos="8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Credit Agreement dated as of September 29, 2005 by and among SL Green Operating Partnership, L.P., as Borrower SL Green Realty Corp., as Parent, WACHOVIA CAPITAL MARKETS, LLC and KEYBANK CAPITAL MARKETS, as Co-Lead Arrangers and Book Managers, WACHOVIA BANK, NATIONAL ASSOCIATION, as Administrative Agent, KEYBANK NATIONAL ASSOCIATION, as Syndication Agent, each of WELLS FARGO BANK, NATIONAL ASSOCIATION, EUROHYPO AG, NEW YORK BRANCH and COMMERZBANK, AG, NEW YORK BRANCH as Co-Documentation Agents, and the financial institutions initially signatory hereto and their assignees pursuant to SECTION 12.5., as Lenders, incorporated by reference to the Company’s Form 8-K, dated September 29, 2005, filed with the Commission on October 3, 2005.</w:t>
      </w:r>
    </w:p>
    <w:p>
      <w:pPr>
        <w:spacing w:after="0" w:line="81" w:lineRule="exact"/>
        <w:rPr>
          <w:sz w:val="20"/>
          <w:szCs w:val="20"/>
          <w:color w:val="auto"/>
        </w:rPr>
      </w:pPr>
    </w:p>
    <w:p>
      <w:pPr>
        <w:ind w:left="860" w:right="60" w:hanging="850"/>
        <w:spacing w:after="0" w:line="277" w:lineRule="auto"/>
        <w:tabs>
          <w:tab w:leader="none" w:pos="8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Form of SL Green Realty Corp. 2005 Long-Term Outperformance Plan Award Agreement, incorporated by reference to the Company’s Form 10-K for the year ended December 31, 2005, filed with the Commission on March 16, 2006.</w:t>
      </w:r>
    </w:p>
    <w:p>
      <w:pPr>
        <w:spacing w:after="0" w:line="62" w:lineRule="exact"/>
        <w:rPr>
          <w:sz w:val="20"/>
          <w:szCs w:val="20"/>
          <w:color w:val="auto"/>
        </w:rPr>
      </w:pPr>
    </w:p>
    <w:p>
      <w:pPr>
        <w:ind w:left="860" w:right="260" w:hanging="850"/>
        <w:spacing w:after="0" w:line="342" w:lineRule="auto"/>
        <w:tabs>
          <w:tab w:leader="none" w:pos="8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Fifth Amendment to the First Amended and Restated Agreement of Limited Partnership of the Operating Partnership, dated March 15, 2006, incorporated by reference to the Company’s Form 10-K for the year ended December 31, 2005, filed with the Commission on March 16, 2006.</w:t>
      </w:r>
    </w:p>
    <w:p>
      <w:pPr>
        <w:spacing w:after="0" w:line="16" w:lineRule="exact"/>
        <w:rPr>
          <w:sz w:val="20"/>
          <w:szCs w:val="20"/>
          <w:color w:val="auto"/>
        </w:rPr>
      </w:pPr>
    </w:p>
    <w:p>
      <w:pPr>
        <w:ind w:left="860" w:right="100" w:hanging="850"/>
        <w:spacing w:after="0" w:line="308" w:lineRule="auto"/>
        <w:tabs>
          <w:tab w:leader="none" w:pos="8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Underwriting Agreement, dated July 14, 2006, by and among the Company, the Operating Partnership and Lehman Brothers Inc., as underwriter, incorporated by reference to the Company’s Form 8-K dated July 14, 2006, filed with the Commission on July 18, 2006.</w:t>
      </w:r>
    </w:p>
    <w:p>
      <w:pPr>
        <w:spacing w:after="0" w:line="38" w:lineRule="exact"/>
        <w:rPr>
          <w:sz w:val="20"/>
          <w:szCs w:val="20"/>
          <w:color w:val="auto"/>
        </w:rPr>
      </w:pPr>
    </w:p>
    <w:p>
      <w:pPr>
        <w:ind w:left="860" w:right="420" w:hanging="850"/>
        <w:spacing w:after="0" w:line="342" w:lineRule="auto"/>
        <w:tabs>
          <w:tab w:leader="none" w:pos="8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Sixth Amendment to the First Amended and Restated Agreement of Limited Partnership of the Operating Partnership, dated June 30, 2006, incorporated by reference to the Company’s Form 10-Q for the quarter ended June 30, 2006, filed with the Commission on August 10, 2006.</w:t>
      </w:r>
    </w:p>
    <w:p>
      <w:pPr>
        <w:spacing w:after="0" w:line="16" w:lineRule="exact"/>
        <w:rPr>
          <w:sz w:val="20"/>
          <w:szCs w:val="20"/>
          <w:color w:val="auto"/>
        </w:rPr>
      </w:pPr>
    </w:p>
    <w:p>
      <w:pPr>
        <w:ind w:left="860" w:right="140" w:hanging="850"/>
        <w:spacing w:after="0" w:line="342" w:lineRule="auto"/>
        <w:tabs>
          <w:tab w:leader="none" w:pos="8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Underwriting Agreement, dated November 30, 2006, by and among the Company, the Operating Partnership and Lehman Brothers Inc., as underwriter, incorporated by reference to the Company’s Form 8-K dated November 30, 2006, filed with the Commission on December 5, 2006.</w:t>
      </w:r>
    </w:p>
    <w:p>
      <w:pPr>
        <w:spacing w:after="0" w:line="16" w:lineRule="exact"/>
        <w:rPr>
          <w:sz w:val="20"/>
          <w:szCs w:val="20"/>
          <w:color w:val="auto"/>
        </w:rPr>
      </w:pPr>
    </w:p>
    <w:p>
      <w:pPr>
        <w:ind w:left="860" w:right="20" w:hanging="850"/>
        <w:spacing w:after="0" w:line="277" w:lineRule="auto"/>
        <w:tabs>
          <w:tab w:leader="none" w:pos="8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Form of SL Green Realty Corp. 2006 Long-Term Outperformance Plan Award Agreement, incorporated by reference to the Company’s 8-K dated October 23, 2006, filed with the Commission on October 27, 2006.</w:t>
      </w:r>
    </w:p>
    <w:p>
      <w:pPr>
        <w:spacing w:after="0" w:line="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Employment and Non-competition Agreement between Andrew S. Levine and the Company dated October 13, 2000 filed herewith.</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Ratio of Earnings to Combined Fixed Charges and Preferred Stock Dividends, filed herewith.</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Company’s Code of Business Conduct and Ethics, incorporated by reference to the Company’s Form 10-K for the year ended December 31,</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2004, filed with the Commission on March 15, 2005.</w:t>
      </w:r>
    </w:p>
    <w:p>
      <w:pPr>
        <w:spacing w:after="0" w:line="1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Company, filed herewith.</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filed herewith.</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filed herewith.</w:t>
      </w:r>
    </w:p>
    <w:p>
      <w:pPr>
        <w:sectPr>
          <w:pgSz w:w="11900" w:h="16838" w:orient="portrait"/>
          <w:cols w:equalWidth="0" w:num="1">
            <w:col w:w="11400"/>
          </w:cols>
          <w:pgMar w:left="240" w:top="125" w:right="259" w:bottom="0" w:gutter="0" w:footer="0" w:header="0"/>
        </w:sectPr>
      </w:pPr>
    </w:p>
    <w:bookmarkStart w:id="76" w:name="page77"/>
    <w:bookmarkEnd w:id="76"/>
    <w:p>
      <w:pPr>
        <w:spacing w:after="0"/>
        <w:tabs>
          <w:tab w:leader="none" w:pos="8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filed herewith.</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 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5240" w:type="dxa"/>
            <w:vAlign w:val="bottom"/>
            <w:gridSpan w:val="2"/>
          </w:tcPr>
          <w:p>
            <w:pPr>
              <w:ind w:left="2080"/>
              <w:spacing w:after="0"/>
              <w:rPr>
                <w:sz w:val="20"/>
                <w:szCs w:val="20"/>
                <w:color w:val="auto"/>
              </w:rPr>
            </w:pPr>
            <w:r>
              <w:rPr>
                <w:rFonts w:ascii="Arial" w:cs="Arial" w:eastAsia="Arial" w:hAnsi="Arial"/>
                <w:sz w:val="18"/>
                <w:szCs w:val="18"/>
                <w:color w:val="auto"/>
              </w:rPr>
              <w:t>SL GREEN REALTY CORP.</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Dated: February 28, 2007</w:t>
            </w:r>
          </w:p>
        </w:tc>
        <w:tc>
          <w:tcPr>
            <w:tcW w:w="5240" w:type="dxa"/>
            <w:vAlign w:val="bottom"/>
            <w:gridSpan w:val="2"/>
          </w:tcPr>
          <w:p>
            <w:pPr>
              <w:ind w:left="2080"/>
              <w:spacing w:after="0"/>
              <w:rPr>
                <w:sz w:val="20"/>
                <w:szCs w:val="20"/>
                <w:color w:val="auto"/>
              </w:rPr>
            </w:pPr>
            <w:r>
              <w:rPr>
                <w:rFonts w:ascii="Arial" w:cs="Arial" w:eastAsia="Arial" w:hAnsi="Arial"/>
                <w:sz w:val="18"/>
                <w:szCs w:val="18"/>
                <w:color w:val="auto"/>
              </w:rPr>
              <w:t>By:  /s/ GREGORY F. HUGHES</w:t>
            </w:r>
          </w:p>
        </w:tc>
      </w:tr>
      <w:tr>
        <w:trPr>
          <w:trHeight w:val="182"/>
        </w:trPr>
        <w:tc>
          <w:tcPr>
            <w:tcW w:w="39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700" w:type="dxa"/>
            <w:vAlign w:val="bottom"/>
            <w:tcBorders>
              <w:top w:val="single" w:sz="8" w:color="auto"/>
            </w:tcBorders>
          </w:tcPr>
          <w:p>
            <w:pPr>
              <w:ind w:left="260"/>
              <w:spacing w:after="0" w:line="182" w:lineRule="exact"/>
              <w:rPr>
                <w:sz w:val="20"/>
                <w:szCs w:val="20"/>
                <w:color w:val="auto"/>
              </w:rPr>
            </w:pPr>
            <w:r>
              <w:rPr>
                <w:rFonts w:ascii="Arial" w:cs="Arial" w:eastAsia="Arial" w:hAnsi="Arial"/>
                <w:sz w:val="18"/>
                <w:szCs w:val="18"/>
                <w:color w:val="auto"/>
              </w:rPr>
              <w:t>Gregory F. Hughes</w:t>
            </w:r>
          </w:p>
        </w:tc>
      </w:tr>
      <w:tr>
        <w:trPr>
          <w:trHeight w:val="230"/>
        </w:trPr>
        <w:tc>
          <w:tcPr>
            <w:tcW w:w="3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00" w:type="dxa"/>
            <w:vAlign w:val="bottom"/>
          </w:tcPr>
          <w:p>
            <w:pPr>
              <w:ind w:left="2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KNOW ALL MEN BY THESE PRESENTS, that we, the undersigned officers and directors of SL Green Realty Corp. hereby severally constitute Marc Holliday and Gregory F. Hughes, and each of them singly, our true and lawful attorneys and with full power to them, and each of them singly, to sign for us and in our names in the capacities indicated below, the Annual Report on Form 10-K filed herewith and any and all amendments to said Annual Report on Form 10-K, and generally to do all such things in our names and in our capacities as officers and directors to enable SL Green Realty Corp. to comply with the provisions of the Securities Exchange Act of 1934, and all requirements of the Securities and Exchange Commission, hereby ratifying and confirming our signatures as they may be signed by our said attorneys, or any of them, to said Annual Report on Form 10-K and any and all amendments thereto.</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Signatures</w:t>
            </w:r>
          </w:p>
        </w:tc>
        <w:tc>
          <w:tcPr>
            <w:tcW w:w="200" w:type="dxa"/>
            <w:vAlign w:val="bottom"/>
          </w:tcPr>
          <w:p>
            <w:pPr>
              <w:spacing w:after="0"/>
              <w:rPr>
                <w:sz w:val="14"/>
                <w:szCs w:val="14"/>
                <w:color w:val="auto"/>
              </w:rPr>
            </w:pPr>
          </w:p>
        </w:tc>
        <w:tc>
          <w:tcPr>
            <w:tcW w:w="40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21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Date</w:t>
            </w:r>
          </w:p>
        </w:tc>
      </w:tr>
      <w:tr>
        <w:trPr>
          <w:trHeight w:val="42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GREEN</w:t>
            </w:r>
          </w:p>
        </w:tc>
        <w:tc>
          <w:tcPr>
            <w:tcW w:w="20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Chairman of the Board of Directors</w:t>
            </w:r>
          </w:p>
        </w:tc>
        <w:tc>
          <w:tcPr>
            <w:tcW w:w="2140" w:type="dxa"/>
            <w:vAlign w:val="bottom"/>
          </w:tcPr>
          <w:p>
            <w:pPr>
              <w:spacing w:after="0"/>
              <w:rPr>
                <w:sz w:val="20"/>
                <w:szCs w:val="20"/>
                <w:color w:val="auto"/>
              </w:rPr>
            </w:pPr>
            <w:r>
              <w:rPr>
                <w:rFonts w:ascii="Arial" w:cs="Arial" w:eastAsia="Arial" w:hAnsi="Arial"/>
                <w:sz w:val="18"/>
                <w:szCs w:val="18"/>
                <w:color w:val="auto"/>
              </w:rPr>
              <w:t>February 28, 2007</w:t>
            </w: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Stephen L. Green</w:t>
            </w:r>
          </w:p>
        </w:tc>
        <w:tc>
          <w:tcPr>
            <w:tcW w:w="2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HOLLIDAY</w:t>
            </w:r>
          </w:p>
        </w:tc>
        <w:tc>
          <w:tcPr>
            <w:tcW w:w="20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w:t>
            </w:r>
          </w:p>
        </w:tc>
        <w:tc>
          <w:tcPr>
            <w:tcW w:w="2140" w:type="dxa"/>
            <w:vAlign w:val="bottom"/>
          </w:tcPr>
          <w:p>
            <w:pPr>
              <w:spacing w:after="0"/>
              <w:rPr>
                <w:sz w:val="20"/>
                <w:szCs w:val="20"/>
                <w:color w:val="auto"/>
              </w:rPr>
            </w:pPr>
            <w:r>
              <w:rPr>
                <w:rFonts w:ascii="Arial" w:cs="Arial" w:eastAsia="Arial" w:hAnsi="Arial"/>
                <w:sz w:val="18"/>
                <w:szCs w:val="18"/>
                <w:color w:val="auto"/>
              </w:rPr>
              <w:t>February 28, 2007</w:t>
            </w: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Marc Holliday</w:t>
            </w:r>
          </w:p>
        </w:tc>
        <w:tc>
          <w:tcPr>
            <w:tcW w:w="200" w:type="dxa"/>
            <w:vAlign w:val="bottom"/>
          </w:tcPr>
          <w:p>
            <w:pPr>
              <w:spacing w:after="0"/>
              <w:rPr>
                <w:sz w:val="19"/>
                <w:szCs w:val="19"/>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and Director</w:t>
            </w:r>
          </w:p>
        </w:tc>
        <w:tc>
          <w:tcPr>
            <w:tcW w:w="21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F. HUGHES</w:t>
            </w:r>
          </w:p>
        </w:tc>
        <w:tc>
          <w:tcPr>
            <w:tcW w:w="20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140" w:type="dxa"/>
            <w:vAlign w:val="bottom"/>
          </w:tcPr>
          <w:p>
            <w:pPr>
              <w:spacing w:after="0"/>
              <w:rPr>
                <w:sz w:val="20"/>
                <w:szCs w:val="20"/>
                <w:color w:val="auto"/>
              </w:rPr>
            </w:pPr>
            <w:r>
              <w:rPr>
                <w:rFonts w:ascii="Arial" w:cs="Arial" w:eastAsia="Arial" w:hAnsi="Arial"/>
                <w:sz w:val="18"/>
                <w:szCs w:val="18"/>
                <w:color w:val="auto"/>
              </w:rPr>
              <w:t>February 28, 2007</w:t>
            </w: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Gregory F. Hughes</w:t>
            </w:r>
          </w:p>
        </w:tc>
        <w:tc>
          <w:tcPr>
            <w:tcW w:w="2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H. ALSCHULER, JR.</w:t>
            </w:r>
          </w:p>
        </w:tc>
        <w:tc>
          <w:tcPr>
            <w:tcW w:w="20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spacing w:after="0"/>
              <w:rPr>
                <w:sz w:val="20"/>
                <w:szCs w:val="20"/>
                <w:color w:val="auto"/>
              </w:rPr>
            </w:pPr>
            <w:r>
              <w:rPr>
                <w:rFonts w:ascii="Arial" w:cs="Arial" w:eastAsia="Arial" w:hAnsi="Arial"/>
                <w:sz w:val="18"/>
                <w:szCs w:val="18"/>
                <w:color w:val="auto"/>
              </w:rPr>
              <w:t>February 28, 2007</w:t>
            </w: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John H. Alschuler, Jr.</w:t>
            </w:r>
          </w:p>
        </w:tc>
        <w:tc>
          <w:tcPr>
            <w:tcW w:w="2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EDWIN THOMAS BURTON, III</w:t>
            </w:r>
          </w:p>
        </w:tc>
        <w:tc>
          <w:tcPr>
            <w:tcW w:w="20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spacing w:after="0"/>
              <w:rPr>
                <w:sz w:val="20"/>
                <w:szCs w:val="20"/>
                <w:color w:val="auto"/>
              </w:rPr>
            </w:pPr>
            <w:r>
              <w:rPr>
                <w:rFonts w:ascii="Arial" w:cs="Arial" w:eastAsia="Arial" w:hAnsi="Arial"/>
                <w:sz w:val="18"/>
                <w:szCs w:val="18"/>
                <w:color w:val="auto"/>
              </w:rPr>
              <w:t>February 28, 2007</w:t>
            </w: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Edwin Thomas Burton, III</w:t>
            </w:r>
          </w:p>
        </w:tc>
        <w:tc>
          <w:tcPr>
            <w:tcW w:w="2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LEVY</w:t>
            </w:r>
          </w:p>
        </w:tc>
        <w:tc>
          <w:tcPr>
            <w:tcW w:w="20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spacing w:after="0"/>
              <w:rPr>
                <w:sz w:val="20"/>
                <w:szCs w:val="20"/>
                <w:color w:val="auto"/>
              </w:rPr>
            </w:pPr>
            <w:r>
              <w:rPr>
                <w:rFonts w:ascii="Arial" w:cs="Arial" w:eastAsia="Arial" w:hAnsi="Arial"/>
                <w:sz w:val="18"/>
                <w:szCs w:val="18"/>
                <w:color w:val="auto"/>
              </w:rPr>
              <w:t>February 28, 2007</w:t>
            </w: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John S. Levy</w:t>
            </w:r>
          </w:p>
        </w:tc>
        <w:tc>
          <w:tcPr>
            <w:tcW w:w="2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10.44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420 Lexington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10170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13, 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Andrew S. Levine,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Marbourne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Mamaroneck, New York 10543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Andy:</w:t>
      </w:r>
    </w:p>
    <w:p>
      <w:pPr>
        <w:spacing w:after="0" w:line="225"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This letter sets forth the term and conditions of your employment with SL Green Realty Corp. (together with its successors and assigns permitted hereunder, the “Company”):</w:t>
      </w:r>
    </w:p>
    <w:p>
      <w:pPr>
        <w:spacing w:after="0" w:line="166" w:lineRule="exact"/>
        <w:rPr>
          <w:sz w:val="20"/>
          <w:szCs w:val="20"/>
          <w:color w:val="auto"/>
        </w:rPr>
      </w:pPr>
    </w:p>
    <w:p>
      <w:pPr>
        <w:ind w:right="120" w:firstLine="1297"/>
        <w:spacing w:after="0" w:line="254" w:lineRule="auto"/>
        <w:rPr>
          <w:sz w:val="20"/>
          <w:szCs w:val="20"/>
          <w:color w:val="auto"/>
        </w:rPr>
      </w:pPr>
      <w:r>
        <w:rPr>
          <w:rFonts w:ascii="Arial" w:cs="Arial" w:eastAsia="Arial" w:hAnsi="Arial"/>
          <w:sz w:val="18"/>
          <w:szCs w:val="18"/>
          <w:b w:val="1"/>
          <w:bCs w:val="1"/>
          <w:color w:val="auto"/>
        </w:rPr>
        <w:t>Duties and Responsibilities</w:t>
      </w:r>
      <w:r>
        <w:rPr>
          <w:rFonts w:ascii="Arial" w:cs="Arial" w:eastAsia="Arial" w:hAnsi="Arial"/>
          <w:sz w:val="18"/>
          <w:szCs w:val="18"/>
          <w:color w:val="auto"/>
        </w:rPr>
        <w:t>. You will have the title of Executive Vice President and General Counsel. You will have such duties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as may be assigned to you by the Company commensurate with your title and position; provided, however that nothing herein shall be interpreted to preclude you from (1) participating as an officer or director of, or advisor to, any charitable or other tax exempt organization or otherwise engaging in charitable, fraternal or trade group activities, (ii) acting as an officer of any subsidiary of the Company, or (iii) investing your assets as a passive investor in other entities or business ventures, provided that you perform no management or similar role with respect to such entities or ventures and such investment does not violate the restrictions of the paragraph entitled “Prohibited Activities.” During your employment in this position, you will devote all of your business time and efforts to the performance of such duties and will perform such duties in accordance with the material rules and procedures of the Company. In addition, upon your receipt of a copy of the Company’s employment manual, you will, upon the Company’s written request, promptly acknowledge such receipt in writing.</w:t>
      </w:r>
    </w:p>
    <w:p>
      <w:pPr>
        <w:spacing w:after="0" w:line="189" w:lineRule="exact"/>
        <w:rPr>
          <w:sz w:val="20"/>
          <w:szCs w:val="20"/>
          <w:color w:val="auto"/>
        </w:rPr>
      </w:pPr>
    </w:p>
    <w:p>
      <w:pPr>
        <w:ind w:right="20" w:firstLine="1297"/>
        <w:spacing w:after="0" w:line="256" w:lineRule="auto"/>
        <w:rPr>
          <w:sz w:val="20"/>
          <w:szCs w:val="20"/>
          <w:color w:val="auto"/>
        </w:rPr>
      </w:pPr>
      <w:r>
        <w:rPr>
          <w:rFonts w:ascii="Arial" w:cs="Arial" w:eastAsia="Arial" w:hAnsi="Arial"/>
          <w:sz w:val="18"/>
          <w:szCs w:val="18"/>
          <w:b w:val="1"/>
          <w:bCs w:val="1"/>
          <w:color w:val="auto"/>
        </w:rPr>
        <w:t xml:space="preserve">Start Date; Term; Location. </w:t>
      </w:r>
      <w:r>
        <w:rPr>
          <w:rFonts w:ascii="Arial" w:cs="Arial" w:eastAsia="Arial" w:hAnsi="Arial"/>
          <w:sz w:val="18"/>
          <w:szCs w:val="18"/>
          <w:color w:val="auto"/>
        </w:rPr>
        <w:t>You will commence employment on November 13, 2000 (the “Commencement Date”).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will have a three-year term beginning on the Commencement Date and, unless earlier terminated as provided herein, will terminate on the third anniversary of such date; provided, however, that the Provisions of the paragraphs entitled “Confidentiality” and “ Prohibited Activities” will survive the termination of this letter agreement. The term of this letter agreement will automatically be extended for successive one-year renewal terms, unless either party notifies the other in writing at least six months prior to the expiration of the then current term of its intention not to renew such term. During the term of this letter agreement, you will be based in the Metropolitan New York area.</w:t>
      </w:r>
    </w:p>
    <w:p>
      <w:pPr>
        <w:spacing w:after="0" w:line="188" w:lineRule="exact"/>
        <w:rPr>
          <w:sz w:val="20"/>
          <w:szCs w:val="20"/>
          <w:color w:val="auto"/>
        </w:rPr>
      </w:pPr>
    </w:p>
    <w:p>
      <w:pPr>
        <w:ind w:right="180" w:firstLine="1297"/>
        <w:spacing w:after="0" w:line="347"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Your annualized base salary during the term will be $250,000. This salary will be payable bi-weekly beginning on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that you commence employment, in accordance with the Company’s regular payroll practices. Your base salary may not be reduced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firstLine="1297"/>
        <w:spacing w:after="0" w:line="261" w:lineRule="auto"/>
        <w:rPr>
          <w:sz w:val="20"/>
          <w:szCs w:val="20"/>
          <w:color w:val="auto"/>
        </w:rPr>
      </w:pPr>
      <w:r>
        <w:rPr>
          <w:rFonts w:ascii="Arial" w:cs="Arial" w:eastAsia="Arial" w:hAnsi="Arial"/>
          <w:sz w:val="18"/>
          <w:szCs w:val="18"/>
          <w:b w:val="1"/>
          <w:bCs w:val="1"/>
          <w:color w:val="auto"/>
        </w:rPr>
        <w:t xml:space="preserve">Discretionary Annual Bonus. </w:t>
      </w:r>
      <w:r>
        <w:rPr>
          <w:rFonts w:ascii="Arial" w:cs="Arial" w:eastAsia="Arial" w:hAnsi="Arial"/>
          <w:sz w:val="18"/>
          <w:szCs w:val="18"/>
          <w:color w:val="auto"/>
        </w:rPr>
        <w:t>You will be eligible for an annual bonus of the $100,000 payable in the sole discretion of the Company 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completion of each calendar year that you are employed by the Company in accordance with Company’s regular bonus practices for senior executive officers. Notwithstanding the foregoing, the amount of such bonus payable upon your completion of calendar year 2000 with the Company will be pro rated based upon the length of your service in 2000 and then increased by $25,000.</w:t>
      </w:r>
    </w:p>
    <w:p>
      <w:pPr>
        <w:spacing w:after="0" w:line="180"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b w:val="1"/>
          <w:bCs w:val="1"/>
          <w:color w:val="auto"/>
        </w:rPr>
        <w:t xml:space="preserve">Stock Option Awards. </w:t>
      </w:r>
      <w:r>
        <w:rPr>
          <w:rFonts w:ascii="Arial" w:cs="Arial" w:eastAsia="Arial" w:hAnsi="Arial"/>
          <w:sz w:val="17"/>
          <w:szCs w:val="17"/>
          <w:color w:val="auto"/>
        </w:rPr>
        <w:t>Subject to the terms and conditions of the Company’s stock plan and standard form of stock option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(copies of which will be provided to you), you will be granted options to purchase 65,000 shares of the Company’s common stock effective as of the Commencement Date. The exercise price per share of the options will be the lowest closing market price during the calendar quarter ending on December 31, 2000. Subject to the terms and conditions of the Company’s stock plan and standard form of stock option agreement, you also will be granted options to purchase 25,000 shares of the common stock of eEmerge, Inc. effective as of the Commencement Date. The exercise price per share of the options will be $1.02. One-fifth of each such grant of options will become exercisable on each of the first five anniversaries of the date on which you commence employment with the Company, provided that you are still employed by the Company on such anniversary.</w:t>
      </w:r>
    </w:p>
    <w:p>
      <w:pPr>
        <w:spacing w:after="0" w:line="172" w:lineRule="exact"/>
        <w:rPr>
          <w:sz w:val="20"/>
          <w:szCs w:val="20"/>
          <w:color w:val="auto"/>
        </w:rPr>
      </w:pPr>
    </w:p>
    <w:p>
      <w:pPr>
        <w:ind w:right="60" w:firstLine="1297"/>
        <w:spacing w:after="0" w:line="292" w:lineRule="auto"/>
        <w:rPr>
          <w:sz w:val="20"/>
          <w:szCs w:val="20"/>
          <w:color w:val="auto"/>
        </w:rPr>
      </w:pPr>
      <w:r>
        <w:rPr>
          <w:rFonts w:ascii="Arial" w:cs="Arial" w:eastAsia="Arial" w:hAnsi="Arial"/>
          <w:sz w:val="16"/>
          <w:szCs w:val="16"/>
          <w:b w:val="1"/>
          <w:bCs w:val="1"/>
          <w:color w:val="auto"/>
        </w:rPr>
        <w:t xml:space="preserve">Restricted Stock Award. </w:t>
      </w:r>
      <w:r>
        <w:rPr>
          <w:rFonts w:ascii="Arial" w:cs="Arial" w:eastAsia="Arial" w:hAnsi="Arial"/>
          <w:sz w:val="16"/>
          <w:szCs w:val="16"/>
          <w:color w:val="auto"/>
        </w:rPr>
        <w:t>Subject to the terms and conditions of the Company’s stock plan and standard form of restricted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you also will be granted 15,000 restricted shares of the Company’s common stock effective as of the Commencement Date. The restricted shares will become vested on the following vesting dates in the following percentages, provided that you are still employed by the Company on the relevant vesting dates and subject to the terms and conditions of the Company’s stock plan and standard form of restricted stock certificate (copies of which will be provided to you): 01/01/2002 — 15%; 01/01/2003 — 15%; 01/01/2004 — 20%; 01/01/2005 — 25%; and 01/01/2006 — 25%. You will receive all dividends paid with respect to your shares of restricted stock, at the same time that dividends are paid to the Company’s other shareholders. On each vesting date, you also will receive an income tax gross-up payment equal to 40% of the value of the shares that become vested on such date, less applicable withholding.</w:t>
      </w:r>
    </w:p>
    <w:p>
      <w:pPr>
        <w:spacing w:after="0" w:line="162"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b w:val="1"/>
          <w:bCs w:val="1"/>
          <w:color w:val="auto"/>
        </w:rPr>
        <w:t xml:space="preserve">Contingent Loan. </w:t>
      </w:r>
      <w:r>
        <w:rPr>
          <w:rFonts w:ascii="Arial" w:cs="Arial" w:eastAsia="Arial" w:hAnsi="Arial"/>
          <w:sz w:val="18"/>
          <w:szCs w:val="18"/>
          <w:color w:val="auto"/>
        </w:rPr>
        <w:t>You will receive a $100,000 personal loan from the Company effective as of the Commencement Date. One-half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will be funded as of the Commencement Date, and the balance of the loan will be funded as of the first anniversary of such date, provided that you are still employed by the Company on such anniversary. Interest will accrue on the unpaid principal balance of such loan at the applicable federal rate, and principal and accrued but unpaid interest will be due and payable on the second anniversary of the date that you commence employment with the Company, provided, however, that payment of all such principal and interest will be forgiven by the Company if you are still employed by the Company on such second anniversary, if the Company terminates your employment without Cause on or before such second anniversary or if you terminate your employment for Good Reason on or before such second anniversary.</w:t>
      </w:r>
    </w:p>
    <w:p>
      <w:pPr>
        <w:spacing w:after="0" w:line="189" w:lineRule="exact"/>
        <w:rPr>
          <w:sz w:val="20"/>
          <w:szCs w:val="20"/>
          <w:color w:val="auto"/>
        </w:rPr>
      </w:pPr>
    </w:p>
    <w:p>
      <w:pPr>
        <w:ind w:right="220" w:firstLine="1297"/>
        <w:spacing w:after="0" w:line="313" w:lineRule="auto"/>
        <w:rPr>
          <w:sz w:val="20"/>
          <w:szCs w:val="20"/>
          <w:color w:val="auto"/>
        </w:rPr>
      </w:pPr>
      <w:r>
        <w:rPr>
          <w:rFonts w:ascii="Arial" w:cs="Arial" w:eastAsia="Arial" w:hAnsi="Arial"/>
          <w:sz w:val="17"/>
          <w:szCs w:val="17"/>
          <w:b w:val="1"/>
          <w:bCs w:val="1"/>
          <w:color w:val="auto"/>
        </w:rPr>
        <w:t>Change in Control</w:t>
      </w:r>
      <w:r>
        <w:rPr>
          <w:rFonts w:ascii="Arial" w:cs="Arial" w:eastAsia="Arial" w:hAnsi="Arial"/>
          <w:sz w:val="17"/>
          <w:szCs w:val="17"/>
          <w:color w:val="auto"/>
        </w:rPr>
        <w:t>. If at any time while you are still employed the Company incurs a Change in Control (as defined for purposes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stock plan) and either you are not offered a position in the Metropolitan New York area by the surviving entity with</w:t>
      </w:r>
    </w:p>
    <w:p>
      <w:pPr>
        <w:sectPr>
          <w:pgSz w:w="11900" w:h="16838" w:orient="portrait"/>
          <w:cols w:equalWidth="0" w:num="1">
            <w:col w:w="11420"/>
          </w:cols>
          <w:pgMar w:left="240" w:top="121" w:right="239" w:bottom="30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00" w:gutter="0" w:footer="0" w:header="0"/>
          <w:type w:val="continuous"/>
        </w:sectPr>
      </w:pPr>
    </w:p>
    <w:bookmarkStart w:id="78" w:name="page79"/>
    <w:bookmarkEnd w:id="78"/>
    <w:p>
      <w:pPr>
        <w:spacing w:after="0" w:line="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substantially the same or greater responsibility and financial terms or, as part of a Change in Control or within 12 months after the Change in Control, the Company terminates your employment without Cause or you terminate your employment for Good Reason, then the stock options described above will become fully exercisable and the restricted stock described above will become fully vested.</w:t>
      </w:r>
    </w:p>
    <w:p>
      <w:pPr>
        <w:spacing w:after="0" w:line="177"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During the term, you will be eligible to participate in the standard employee benefit plans and programs offered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senior executive officers, subject to and in accordance with the terms and conditions of such plans and programs.</w:t>
      </w:r>
    </w:p>
    <w:p>
      <w:pPr>
        <w:spacing w:after="0" w:line="162" w:lineRule="exact"/>
        <w:rPr>
          <w:sz w:val="20"/>
          <w:szCs w:val="20"/>
          <w:color w:val="auto"/>
        </w:rPr>
      </w:pPr>
    </w:p>
    <w:p>
      <w:pPr>
        <w:ind w:right="580" w:firstLine="1297"/>
        <w:spacing w:after="0" w:line="282" w:lineRule="auto"/>
        <w:rPr>
          <w:sz w:val="20"/>
          <w:szCs w:val="20"/>
          <w:color w:val="auto"/>
        </w:rPr>
      </w:pPr>
      <w:r>
        <w:rPr>
          <w:rFonts w:ascii="Arial" w:cs="Arial" w:eastAsia="Arial" w:hAnsi="Arial"/>
          <w:sz w:val="18"/>
          <w:szCs w:val="18"/>
          <w:b w:val="1"/>
          <w:bCs w:val="1"/>
          <w:color w:val="auto"/>
        </w:rPr>
        <w:t xml:space="preserve">Vacations. </w:t>
      </w:r>
      <w:r>
        <w:rPr>
          <w:rFonts w:ascii="Arial" w:cs="Arial" w:eastAsia="Arial" w:hAnsi="Arial"/>
          <w:sz w:val="18"/>
          <w:szCs w:val="18"/>
          <w:color w:val="auto"/>
        </w:rPr>
        <w:t>During the term, you will be entitled to reasonable paid vacations in accordance with the then regular procedures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governing senior executive officers.</w:t>
      </w:r>
    </w:p>
    <w:p>
      <w:pPr>
        <w:spacing w:after="0" w:line="162" w:lineRule="exact"/>
        <w:rPr>
          <w:sz w:val="20"/>
          <w:szCs w:val="20"/>
          <w:color w:val="auto"/>
        </w:rPr>
      </w:pPr>
    </w:p>
    <w:p>
      <w:pPr>
        <w:ind w:right="320" w:firstLine="1297"/>
        <w:spacing w:after="0" w:line="266" w:lineRule="auto"/>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During the term, you will be reimbursed for all reasonable business related expenses incurred by you at the request of or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the Company, provided that such expenses are incurred and accounted for in accordance with the policies and procedures established by the Company.</w:t>
      </w:r>
    </w:p>
    <w:p>
      <w:pPr>
        <w:spacing w:after="0" w:line="176"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During your employment with the Company, and at all times thereafter, you will maintain the confidentiality of all</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or proprietary information of the Company (“Confidential Information”), and, except in furtherance of the business of the Company or as required by law or order of a court of competent jurisdiction, you will not directly or indirectly disclose any such information to any person or entity; nor will you use Confidential Information for any purpose except for the benefit of the Company. For purposes of this letter, “Confidential Information” includes, without limitation: client or customer lists, identities, contracts business and financial information; investment strategies; pricing information or policies, fees or commission arrangements of the Company; marketing plans, projections, presentations or strategies of the Company; financial and budget information of the Company; new personnel acquisition plans; and all other business related information which has not been publicly disclosed by the Company. This restriction will apply regardless of whether such Confidential Information is in written, graphic, recorded, photographic, data or any machine readable form or is orally conveyed to, or memorized by, you. You further agree that, during your employment with the Company and at all times thereafter, you will keep confidential and will not release, use or disclose without the prior written permission of the Company, all Confidential Information developed by you on behalf of the Company provided to you by the Company, excepting only such information as was already known to you prior to the commencement of your employment with the Company or such information as is already known to the public.</w:t>
      </w:r>
    </w:p>
    <w:p>
      <w:pPr>
        <w:spacing w:after="0" w:line="180" w:lineRule="exact"/>
        <w:rPr>
          <w:sz w:val="20"/>
          <w:szCs w:val="20"/>
          <w:color w:val="auto"/>
        </w:rPr>
      </w:pPr>
    </w:p>
    <w:p>
      <w:pPr>
        <w:ind w:right="20" w:firstLine="1297"/>
        <w:spacing w:after="0" w:line="289" w:lineRule="auto"/>
        <w:rPr>
          <w:sz w:val="20"/>
          <w:szCs w:val="20"/>
          <w:color w:val="auto"/>
        </w:rPr>
      </w:pPr>
      <w:r>
        <w:rPr>
          <w:rFonts w:ascii="Arial" w:cs="Arial" w:eastAsia="Arial" w:hAnsi="Arial"/>
          <w:sz w:val="16"/>
          <w:szCs w:val="16"/>
          <w:b w:val="1"/>
          <w:bCs w:val="1"/>
          <w:color w:val="auto"/>
        </w:rPr>
        <w:t>Prohibited Activities</w:t>
      </w:r>
      <w:r>
        <w:rPr>
          <w:rFonts w:ascii="Arial" w:cs="Arial" w:eastAsia="Arial" w:hAnsi="Arial"/>
          <w:sz w:val="16"/>
          <w:szCs w:val="16"/>
          <w:color w:val="auto"/>
        </w:rPr>
        <w:t>. Because your services to the Company are essential and because you have access to the Company’s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you covenant and agree that (i) during your employment by the Company, (ii) in the event that your employment is terminated by the Company for Cause or by you without Good Reason, during the one-year period following the date of such termination, and (iii) solely for purposes of subparagraph</w:t>
      </w:r>
    </w:p>
    <w:p>
      <w:pPr>
        <w:spacing w:after="0" w:line="2" w:lineRule="exact"/>
        <w:rPr>
          <w:sz w:val="20"/>
          <w:szCs w:val="20"/>
          <w:color w:val="auto"/>
        </w:rPr>
      </w:pPr>
    </w:p>
    <w:p>
      <w:pPr>
        <w:ind w:right="480" w:firstLine="8"/>
        <w:spacing w:after="0" w:line="261" w:lineRule="auto"/>
        <w:tabs>
          <w:tab w:leader="none" w:pos="3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below, during the three-year period following the date on which your employment terminates for any reason, you will not, without the prior written consent of the Board of Directors of the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Company, which shall include the unanimous consent of the Directors who are not officers of the Company, directly or indirectly (individually, or through or on behalf of another entity as owner, partner, agent, employee, consultant, or in any other capacity):</w:t>
      </w:r>
    </w:p>
    <w:p>
      <w:pPr>
        <w:spacing w:after="0" w:line="170" w:lineRule="exact"/>
        <w:rPr>
          <w:sz w:val="20"/>
          <w:szCs w:val="20"/>
          <w:color w:val="auto"/>
        </w:rPr>
      </w:pPr>
    </w:p>
    <w:p>
      <w:pPr>
        <w:ind w:left="2120" w:hanging="653"/>
        <w:spacing w:after="0" w:line="269" w:lineRule="auto"/>
        <w:tabs>
          <w:tab w:leader="none" w:pos="2141" w:val="left"/>
        </w:tabs>
        <w:numPr>
          <w:ilvl w:val="0"/>
          <w:numId w:val="66"/>
        </w:numPr>
        <w:rPr>
          <w:rFonts w:ascii="Arial" w:cs="Arial" w:eastAsia="Arial" w:hAnsi="Arial"/>
          <w:sz w:val="17"/>
          <w:szCs w:val="17"/>
          <w:color w:val="auto"/>
        </w:rPr>
      </w:pPr>
      <w:r>
        <w:rPr>
          <w:rFonts w:ascii="Arial" w:cs="Arial" w:eastAsia="Arial" w:hAnsi="Arial"/>
          <w:sz w:val="17"/>
          <w:szCs w:val="17"/>
          <w:color w:val="auto"/>
        </w:rPr>
        <w:t>engage, participate or assist, as an owner, partner, employee, consultant, director, officer, trustee or agent, in any business that engages or attempts to engage, directly or indirectly, in any material acquisition, development, construction, operation, management or leasing of any commercial real estate property (A) anywhere in the five boroughs of New York City, regardless of whether such business is publicly or privately held, (B) anywhere in the New York City metropolitan area, if such business or any of its affiliates (within the meaning of the Securities Act of 1933) has issued any class of publicly-traded securities, and (C) anywhere in the New York City metropolitan area, regardless of whether such business is publicly or privately held, if such business engages in the commercial real estate business in any county in which the Company also engages in the commercial real estate business (for this purpose, New York City metropolitan area includes each borough of New York City; Nassau, Orange, Putnam, Rockland, Suffolk and Westchester Counties in the State of New York; Bergen, Essex, Hudson, Hunterdon, Mercer, Middlesex, Monmouth, Morris, Passaic, Somerset, Sussex, Union and Warren Counties in the State of New Jersey; and Fairfield County in the State of Connecticut);</w:t>
      </w:r>
    </w:p>
    <w:p>
      <w:pPr>
        <w:spacing w:after="0" w:line="182" w:lineRule="exact"/>
        <w:rPr>
          <w:rFonts w:ascii="Arial" w:cs="Arial" w:eastAsia="Arial" w:hAnsi="Arial"/>
          <w:sz w:val="17"/>
          <w:szCs w:val="17"/>
          <w:color w:val="auto"/>
        </w:rPr>
      </w:pPr>
    </w:p>
    <w:p>
      <w:pPr>
        <w:ind w:left="2120" w:right="120" w:hanging="653"/>
        <w:spacing w:after="0" w:line="277" w:lineRule="auto"/>
        <w:tabs>
          <w:tab w:leader="none" w:pos="2151"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engage in any activity to interfere with, disrupt or damage the business of the Company, or its relationships with any Company Client, employee, supplier or other business relationship; or</w:t>
      </w:r>
    </w:p>
    <w:p>
      <w:pPr>
        <w:spacing w:after="0" w:line="170" w:lineRule="exact"/>
        <w:rPr>
          <w:rFonts w:ascii="Arial" w:cs="Arial" w:eastAsia="Arial" w:hAnsi="Arial"/>
          <w:sz w:val="18"/>
          <w:szCs w:val="18"/>
          <w:color w:val="auto"/>
        </w:rPr>
      </w:pPr>
    </w:p>
    <w:p>
      <w:pPr>
        <w:ind w:left="2120" w:right="20" w:hanging="653"/>
        <w:spacing w:after="0" w:line="259" w:lineRule="auto"/>
        <w:tabs>
          <w:tab w:leader="none" w:pos="2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solicit, encourage, or engage in any activity to induce any Employee to terminate employment with the Company, or to become employed by, or to enter into a business relationship with, any other person or entity (for this purpose, the term Employee means any individual who is an employee of or consultant to the Company (or any affiliate) during the six-month period prior to your last day of employment).</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Notwithstanding any of the foregoing, you will not be prohibited from engaging in the practice of law with, for or on behalf of any person or entity as a partner, agent, employee, consultant, or in any other capacity. In addition, the restrictions imposed by subparagraph (i) will not apply after your voluntary termination of employment if such termination occurs at east one year after your commencement of employment and you give at least 90 days’ advance written notice of termination.</w:t>
      </w:r>
    </w:p>
    <w:p>
      <w:pPr>
        <w:spacing w:after="0" w:line="183" w:lineRule="exact"/>
        <w:rPr>
          <w:sz w:val="20"/>
          <w:szCs w:val="20"/>
          <w:color w:val="auto"/>
        </w:rPr>
      </w:pPr>
    </w:p>
    <w:p>
      <w:pPr>
        <w:ind w:right="20" w:firstLine="1297"/>
        <w:spacing w:after="0" w:line="314" w:lineRule="auto"/>
        <w:rPr>
          <w:sz w:val="20"/>
          <w:szCs w:val="20"/>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The Company will indemnify you to the fullest extent permitted by applicable law with respect to any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commenced against you in your capacity as an officer or director, or former office or director, of the Company or any affiliate thereof for which you may serve in such capacity. The Company also will use its best efforts to secure and maintain officers and directors liability insurance providing coverage for you.</w:t>
      </w:r>
    </w:p>
    <w:p>
      <w:pPr>
        <w:spacing w:after="0" w:line="142"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Termination and Severance. </w:t>
      </w:r>
      <w:r>
        <w:rPr>
          <w:rFonts w:ascii="Arial" w:cs="Arial" w:eastAsia="Arial" w:hAnsi="Arial"/>
          <w:sz w:val="18"/>
          <w:szCs w:val="18"/>
          <w:color w:val="auto"/>
        </w:rPr>
        <w:t>You will be an employee at will, and you or the Company may terminate your employment at any time with</w:t>
      </w:r>
      <w:r>
        <w:rPr>
          <w:rFonts w:ascii="Arial" w:cs="Arial" w:eastAsia="Arial" w:hAnsi="Arial"/>
          <w:sz w:val="18"/>
          <w:szCs w:val="18"/>
          <w:b w:val="1"/>
          <w:bCs w:val="1"/>
          <w:color w:val="auto"/>
        </w:rPr>
        <w:t xml:space="preserve"> </w:t>
      </w:r>
      <w:r>
        <w:rPr>
          <w:rFonts w:ascii="Arial" w:cs="Arial" w:eastAsia="Arial" w:hAnsi="Arial"/>
          <w:sz w:val="18"/>
          <w:szCs w:val="18"/>
          <w:color w:val="auto"/>
        </w:rPr>
        <w:t>or without Cause. Notwithstanding</w:t>
      </w:r>
    </w:p>
    <w:p>
      <w:pPr>
        <w:sectPr>
          <w:pgSz w:w="11900" w:h="16849" w:orient="portrait"/>
          <w:cols w:equalWidth="0" w:num="1">
            <w:col w:w="11400"/>
          </w:cols>
          <w:pgMar w:left="240" w:top="368" w:right="259" w:bottom="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49" w:orient="portrait"/>
          <w:cols w:equalWidth="0" w:num="1">
            <w:col w:w="11400"/>
          </w:cols>
          <w:pgMar w:left="240" w:top="368" w:right="259" w:bottom="0" w:gutter="0" w:footer="0" w:header="0"/>
          <w:type w:val="continuous"/>
        </w:sectPr>
      </w:pPr>
    </w:p>
    <w:bookmarkStart w:id="79" w:name="page80"/>
    <w:bookmarkEnd w:id="7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the foregoing, if the Company terminates your employment during the term for any reason other than Disability or Cause, or you terminate your employment during the term with Good Reason, your base salary, annual bonus (in an amount equal to the greater of $100,000 or the average of the bonuses paid to you by the Company for the two years preceding termination) and all benefits (other than awards of stock options, restricted stock and other equity-based benefits) will be continued by the Company for 24 months following your termination, provided that you continue to pay any employee premiums applicable to such benefits. In addition, the amount of base salary and bonus payable to you during such 24-month severance period will be reduced (but not below one year’s base salary and bonus) by the amount of any salary and bonuses and the value of any other forms of compensation earned or received by you from other entities for service rendered during the 24-month period (including any deferred compensation earned or accrued during such 24-period); provided, however, that there shall be no reduction if your termination of employment occurs as part of a Change in Control or within 12 months after a Change in Control. Upon the expiration of such 24-month period, you will be eligible for COBRA continuation coverage in accordance with the terms of the Company’s group medical plan.</w:t>
      </w:r>
    </w:p>
    <w:p>
      <w:pPr>
        <w:spacing w:after="0" w:line="178" w:lineRule="exact"/>
        <w:rPr>
          <w:sz w:val="20"/>
          <w:szCs w:val="20"/>
          <w:color w:val="auto"/>
        </w:rPr>
      </w:pPr>
    </w:p>
    <w:p>
      <w:pPr>
        <w:jc w:val="both"/>
        <w:ind w:right="140" w:firstLine="1297"/>
        <w:spacing w:after="0" w:line="286" w:lineRule="auto"/>
        <w:rPr>
          <w:sz w:val="20"/>
          <w:szCs w:val="20"/>
          <w:color w:val="auto"/>
        </w:rPr>
      </w:pPr>
      <w:r>
        <w:rPr>
          <w:rFonts w:ascii="Arial" w:cs="Arial" w:eastAsia="Arial" w:hAnsi="Arial"/>
          <w:sz w:val="17"/>
          <w:szCs w:val="17"/>
          <w:color w:val="auto"/>
        </w:rPr>
        <w:t>If your employment terminates during the term as a result of your death, the Company will pay your base salary for a period of six months fro the date of your death (or such longer period as the Company’s Board of Directors may determine) and an amount equal to one-half of the annual bonus payable under the preceding paragraph to your estate or to a beneficiary designated by you in writing prior to your death.</w:t>
      </w:r>
    </w:p>
    <w:p>
      <w:pPr>
        <w:spacing w:after="0" w:line="166"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If your employment terminates during the term as a result of your Disability, the Company will pay you your base salary for a period of six months from the date of your termination and an amount equal to one-half of the annual bonus payable under the second preceding paragraph.</w:t>
      </w:r>
    </w:p>
    <w:p>
      <w:pPr>
        <w:spacing w:after="0" w:line="143" w:lineRule="exact"/>
        <w:rPr>
          <w:sz w:val="20"/>
          <w:szCs w:val="20"/>
          <w:color w:val="auto"/>
        </w:rPr>
      </w:pPr>
    </w:p>
    <w:p>
      <w:pPr>
        <w:ind w:right="100" w:firstLine="1297"/>
        <w:spacing w:after="0" w:line="258" w:lineRule="auto"/>
        <w:rPr>
          <w:sz w:val="20"/>
          <w:szCs w:val="20"/>
          <w:color w:val="auto"/>
        </w:rPr>
      </w:pPr>
      <w:r>
        <w:rPr>
          <w:rFonts w:ascii="Arial" w:cs="Arial" w:eastAsia="Arial" w:hAnsi="Arial"/>
          <w:sz w:val="18"/>
          <w:szCs w:val="18"/>
          <w:b w:val="1"/>
          <w:bCs w:val="1"/>
          <w:color w:val="auto"/>
        </w:rPr>
        <w:t xml:space="preserve">Cause Procedures. </w:t>
      </w:r>
      <w:r>
        <w:rPr>
          <w:rFonts w:ascii="Arial" w:cs="Arial" w:eastAsia="Arial" w:hAnsi="Arial"/>
          <w:sz w:val="18"/>
          <w:szCs w:val="18"/>
          <w:color w:val="auto"/>
        </w:rPr>
        <w:t>In the event that your employment is terminated by the Company for Cause and you contend that Cause did not exist,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you hereby agree to submit such claim to arbitration before the American Arbitration Association (“AAA”). In such a proceeding, the only issue before the arbitrator will be whether your employment was in fact terminated for Cause. If you dispute a termination of our employment pursuant to clause (iv) of the definition of Cause and such dispute is submitted to arbitration, the Company will continue to pay you your base salary until the date on which the arbitrator reaches a decision regarding the dispute.</w:t>
      </w:r>
    </w:p>
    <w:p>
      <w:pPr>
        <w:spacing w:after="0" w:line="188"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If the arbitrator determines that your employment was terminated by the Company without Cause, the arbitrator shall award to you only an amount equal to the severance benefits described above, the costs of arbitration, and your attorneys’ fees. If the Company continued to pay you your base salary during the arbitration, such arbitration award will be reduced by the amount of the base salary already paid to your for periods after your termination date.</w:t>
      </w:r>
    </w:p>
    <w:p>
      <w:pPr>
        <w:spacing w:after="0" w:line="187"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If the arbitrator determines that your employment was terminated by the Company for Cause, the arbitrator will be without authority to award you anything, the parties will each be responsible for their own attorneys’ fees, and the costs of arbitration will be paid 50% by you and 50% by the Company. In addition, if the Company continued to pay you your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base salary during the arbitration, you must promptly reimburse the Company for the full amount of any base salary paid to you for periods after your termination date.</w:t>
      </w:r>
    </w:p>
    <w:p>
      <w:pPr>
        <w:spacing w:after="0" w:line="166" w:lineRule="exact"/>
        <w:rPr>
          <w:sz w:val="20"/>
          <w:szCs w:val="20"/>
          <w:color w:val="auto"/>
        </w:rPr>
      </w:pPr>
    </w:p>
    <w:p>
      <w:pPr>
        <w:ind w:right="80" w:firstLine="1297"/>
        <w:spacing w:after="0" w:line="291" w:lineRule="auto"/>
        <w:rPr>
          <w:sz w:val="20"/>
          <w:szCs w:val="20"/>
          <w:color w:val="auto"/>
        </w:rPr>
      </w:pPr>
      <w:r>
        <w:rPr>
          <w:rFonts w:ascii="Arial" w:cs="Arial" w:eastAsia="Arial" w:hAnsi="Arial"/>
          <w:sz w:val="16"/>
          <w:szCs w:val="16"/>
          <w:b w:val="1"/>
          <w:bCs w:val="1"/>
          <w:color w:val="auto"/>
        </w:rPr>
        <w:t xml:space="preserve">Additional Amounts. </w:t>
      </w:r>
      <w:r>
        <w:rPr>
          <w:rFonts w:ascii="Arial" w:cs="Arial" w:eastAsia="Arial" w:hAnsi="Arial"/>
          <w:sz w:val="16"/>
          <w:szCs w:val="16"/>
          <w:color w:val="auto"/>
        </w:rPr>
        <w:t>If in the opinion of tax counsel selected by you and reasonably acceptable tot the Company, you have or will</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any compensation or benefits (including without limitation as a result of the accelerated vesting of equity awards) or recognize any income (whether or not pursuant to this letter agreement or any plan or other arrangement of the Company and whether or not the term or your employment with the Company has terminated) which will constitute an “excess parachute payment” within the meaning of Section 280G(b)(1) of the Internal Revenue Code (the “Code”) (or for which a tax is otherwise payable under Section 4999 of the Code or any successor provision thereto), then the Company will pay you an additional amount (the “Additional Amount”) equal to the sum of (i) all taxes payable by you under Section 4999 of the Code with respect to all such excess parachute payments and any such Additional Amount, plus (ii) all federal, state and local taxes payable by you with respect to any such Additional Amount. Any amounts payable pursuant to this paragraph will be paid by the Company to you within 30 days of each written request therefor made by you.</w:t>
      </w:r>
    </w:p>
    <w:p>
      <w:pPr>
        <w:spacing w:after="0" w:line="160" w:lineRule="exact"/>
        <w:rPr>
          <w:sz w:val="20"/>
          <w:szCs w:val="20"/>
          <w:color w:val="auto"/>
        </w:rPr>
      </w:pPr>
    </w:p>
    <w:p>
      <w:pPr>
        <w:jc w:val="both"/>
        <w:ind w:right="280" w:firstLine="1297"/>
        <w:spacing w:after="0" w:line="261" w:lineRule="auto"/>
        <w:rPr>
          <w:sz w:val="20"/>
          <w:szCs w:val="20"/>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or other communications required or permitted to be given hereunder shall be in writing and shall be delivered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hand and or sent by prepaid telex, cable or other electronic devices or sent, postage prepaid, by registered or certified mail or telecopy or overnight courier service and shall be deemed given when so delivered by hand, telexed, cabled or telecopied, or if mailed, three days after mailing (one business day in the case of express mail or overnight courier service), as follows:</w:t>
      </w:r>
    </w:p>
    <w:p>
      <w:pPr>
        <w:spacing w:after="0" w:line="18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if to you:</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Andrew S. Levine, Esq.</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1 Marbourne Drive</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Mamaroneck, New York 10543</w:t>
      </w:r>
    </w:p>
    <w:p>
      <w:pPr>
        <w:spacing w:after="0" w:line="21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SL Green Realty Corp.</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New York, New York 10170</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such other address as either party may from time to time specify by written notice to the other party hereto.</w:t>
      </w:r>
    </w:p>
    <w:p>
      <w:pPr>
        <w:spacing w:after="0" w:line="22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No amendment, modification or waiver in respect of this letter agreement will be effective unless it is in writing and signed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party against whom such amendment, modification or waiver is sought.</w:t>
      </w:r>
    </w:p>
    <w:p>
      <w:pPr>
        <w:sectPr>
          <w:pgSz w:w="11900" w:h="16838" w:orient="portrait"/>
          <w:cols w:equalWidth="0" w:num="1">
            <w:col w:w="11420"/>
          </w:cols>
          <w:pgMar w:left="240" w:top="868" w:right="239" w:bottom="0" w:gutter="0" w:footer="0" w:header="0"/>
        </w:sectPr>
      </w:pPr>
    </w:p>
    <w:bookmarkStart w:id="80" w:name="page81"/>
    <w:bookmarkEnd w:id="80"/>
    <w:p>
      <w:pPr>
        <w:ind w:right="320" w:firstLine="648"/>
        <w:spacing w:after="0" w:line="266" w:lineRule="auto"/>
        <w:rPr>
          <w:sz w:val="20"/>
          <w:szCs w:val="20"/>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(or any portion thereof) or the application of any such provision (or any portion thereof)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circumstance shall be held invalid, illegal or unenforceable in any respect by a court of competent jurisdiction, such invalidity, illegality or unenforceability shall not affect any other provision hereof (or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remaining portion thereof) or the application of such provision to any other persons or circumstances.</w:t>
      </w:r>
    </w:p>
    <w:p>
      <w:pPr>
        <w:spacing w:after="0" w:line="221" w:lineRule="exact"/>
        <w:rPr>
          <w:sz w:val="20"/>
          <w:szCs w:val="20"/>
          <w:color w:val="auto"/>
        </w:rPr>
      </w:pPr>
    </w:p>
    <w:p>
      <w:pPr>
        <w:ind w:right="420" w:firstLine="648"/>
        <w:spacing w:after="0" w:line="313" w:lineRule="auto"/>
        <w:rPr>
          <w:sz w:val="20"/>
          <w:szCs w:val="20"/>
          <w:color w:val="auto"/>
        </w:rPr>
      </w:pPr>
      <w:r>
        <w:rPr>
          <w:rFonts w:ascii="Arial" w:cs="Arial" w:eastAsia="Arial" w:hAnsi="Arial"/>
          <w:sz w:val="17"/>
          <w:szCs w:val="17"/>
          <w:b w:val="1"/>
          <w:bCs w:val="1"/>
          <w:color w:val="auto"/>
        </w:rPr>
        <w:t xml:space="preserve">Successors. </w:t>
      </w:r>
      <w:r>
        <w:rPr>
          <w:rFonts w:ascii="Arial" w:cs="Arial" w:eastAsia="Arial" w:hAnsi="Arial"/>
          <w:sz w:val="17"/>
          <w:szCs w:val="17"/>
          <w:color w:val="auto"/>
        </w:rPr>
        <w:t>Neither this letter agreement nor any rights hereunder may be assigned or hypothecated by you. This letter agreement may not be</w:t>
      </w:r>
      <w:r>
        <w:rPr>
          <w:rFonts w:ascii="Arial" w:cs="Arial" w:eastAsia="Arial" w:hAnsi="Arial"/>
          <w:sz w:val="17"/>
          <w:szCs w:val="17"/>
          <w:b w:val="1"/>
          <w:bCs w:val="1"/>
          <w:color w:val="auto"/>
        </w:rPr>
        <w:t xml:space="preserve"> </w:t>
      </w:r>
      <w:r>
        <w:rPr>
          <w:rFonts w:ascii="Arial" w:cs="Arial" w:eastAsia="Arial" w:hAnsi="Arial"/>
          <w:sz w:val="17"/>
          <w:szCs w:val="17"/>
          <w:color w:val="auto"/>
        </w:rPr>
        <w:t>assigned by the Company except to any successor to the Company’s business or to all or substantially all of its assets.</w:t>
      </w:r>
    </w:p>
    <w:p>
      <w:pPr>
        <w:spacing w:after="0" w:line="138"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letter agreement shall be governed by and construed in accordance with the laws of the State of New York applicable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made and to be performed entirely within such State, without regard to the conflicts of law principles of such State.</w:t>
      </w:r>
    </w:p>
    <w:p>
      <w:pPr>
        <w:spacing w:after="0" w:line="138" w:lineRule="exact"/>
        <w:rPr>
          <w:sz w:val="20"/>
          <w:szCs w:val="20"/>
          <w:color w:val="auto"/>
        </w:rPr>
      </w:pPr>
    </w:p>
    <w:p>
      <w:pPr>
        <w:jc w:val="both"/>
        <w:ind w:right="260" w:firstLine="648"/>
        <w:spacing w:after="0" w:line="314" w:lineRule="auto"/>
        <w:rPr>
          <w:sz w:val="20"/>
          <w:szCs w:val="20"/>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This letter agreement contains the entire agreement and understanding between the parties hereto with respect to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hereof and supersedes all prior agreements and understandings relating to such subject matter. The parties hereto shall not be liable or bound to any other party in any manner by any representations, warranties or covenants relating to such subject matter except as specifically set forth herein.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Company will reimburse you for legal fees and expenses actually incurred in connection with this letter agreement up to $2,500.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hereof:</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“Cause” means that a majority (or, with respect to clause (iv), two-thirds) of the Board of Directors of the Company concludes, in good faith and after reasonable investigation, that (i) you engaged in conduct which is a felony under the laws of the United States or any state or political subdivision thereof (other than relating to the operation of a motor vehicle), (ii) you engaged in conduct constituting material breach of fiduciary duty, gross negligence or willful misconduct relating to the Company, fraud or dishonesty or willful or material misrepresentation relating to the business of the Company, (iii) you breached any of your obligations or covenants under the paragraphs entitled Confidentiality and Prohibited Activities in any material respect, or (iv) you have demonstrably failed to perform your duties at a reasonably satisfactory level, as measured by the level or performance customarily and reasonably expected of persons acting in a capacity similar to general counsels of real estate operating companies substantially similar to the Company, for 15 days after receiving notice from the Company, which notice specifically identifies the manner in which you have failed so to perform of the Board. For this purpose, no conduct will be considered willful unless you acted in bad faith and with no reasonable bass for believing that you were acting in the best interest of the Company. Notwithstanding any provision of this letter agreement to the contrary, clause (iv) above will cease to apply upon the occurrence of a Change in Control.</w:t>
      </w:r>
    </w:p>
    <w:p>
      <w:pPr>
        <w:spacing w:after="0" w:line="16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“Disability” means a reasonable good faith determination of the Board of Directors of the Company that, as a result of your incapacity due to physical or mental illness or injury, you have been incapable of performing your duties hereunder even with a reasonable accommodation on a full-time basis for the entire period of three consecutive months or any 90 days in a 180-day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“Force Out” will be deemed to have occurred in the event of a Change in Control followed by:</w:t>
      </w:r>
    </w:p>
    <w:p>
      <w:pPr>
        <w:spacing w:after="0" w:line="225" w:lineRule="exact"/>
        <w:rPr>
          <w:sz w:val="20"/>
          <w:szCs w:val="20"/>
          <w:color w:val="auto"/>
        </w:rPr>
      </w:pPr>
    </w:p>
    <w:p>
      <w:pPr>
        <w:ind w:left="660" w:right="40" w:firstLine="645"/>
        <w:spacing w:after="0" w:line="273" w:lineRule="auto"/>
        <w:tabs>
          <w:tab w:leader="none" w:pos="2018"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change in duties, responsibilities, status or position with the Company, which, in your reasonable judgment, does not represent a promotion from or maintaining of your duties, responsibilities, status or positions as in effect immediately prior to the Change in Control, or any removal of you from or any failure to reappoint or reelect you to such positions, except in connection with the termination of your employment for Cause, disability, retirement or death. It will not, by itself, constitute a change in your duties, responsibilities, status or position for purposes of this paragraph if you are not the general counsel of the surviving or parent entity following a Change in Control, provided that you remain the general counsel of the business conducted by the Company immediately prior to such Change in Control;</w:t>
      </w:r>
    </w:p>
    <w:p>
      <w:pPr>
        <w:spacing w:after="0" w:line="178" w:lineRule="exact"/>
        <w:rPr>
          <w:rFonts w:ascii="Arial" w:cs="Arial" w:eastAsia="Arial" w:hAnsi="Arial"/>
          <w:sz w:val="17"/>
          <w:szCs w:val="17"/>
          <w:color w:val="auto"/>
        </w:rPr>
      </w:pPr>
    </w:p>
    <w:p>
      <w:pPr>
        <w:ind w:left="660" w:right="140" w:firstLine="645"/>
        <w:spacing w:after="0" w:line="264" w:lineRule="auto"/>
        <w:tabs>
          <w:tab w:leader="none" w:pos="20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reduction by the Company in your base salary as in effect immediately prior to the Change in Control or the failure of the Company to pay you a discretionary annual bonus for any year ending after the Change in Control in an amount equal to or greater than the amount of the discretionary annual bonus paid to you for the last year ending before the Change in Control;</w:t>
      </w:r>
    </w:p>
    <w:p>
      <w:pPr>
        <w:spacing w:after="0" w:line="181" w:lineRule="exact"/>
        <w:rPr>
          <w:rFonts w:ascii="Arial" w:cs="Arial" w:eastAsia="Arial" w:hAnsi="Arial"/>
          <w:sz w:val="18"/>
          <w:szCs w:val="18"/>
          <w:color w:val="auto"/>
        </w:rPr>
      </w:pPr>
    </w:p>
    <w:p>
      <w:pPr>
        <w:ind w:left="660" w:firstLine="645"/>
        <w:spacing w:after="0" w:line="288" w:lineRule="auto"/>
        <w:tabs>
          <w:tab w:leader="none" w:pos="20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failure by the Company to continue in effect any of the benefit plans in which you are participating at the time of the Change in Control of the Company (unless you are permitted to participate in any substitute benefit plan with substantially the same terms and to the same extent and with the same rights as you had with respect to the benefit plan that is discontinued) other than as a result of the normal expiration of any such benefit plan in accordance with this terms as in effect at the time of the Change in Control, or the taking of any action, or the failure to act, by the Company which would adversely affect your continued participation in any of such benefit plans on at least as favorable a basis to you as was the case on the date of the Change in Control or which would materially reduce your benefits in the future under any of such benefit plans of deprive you of any material benefits enjoyed by you at the time of the Change in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action or inaction on the part of the Company, including any modification, cancellation or termination of any benefits plan, undertaken in order to maintain such plan in compliance with any federal, state or local law or regulation governing benefits plans, including, but not limited to, the Employment Retirement Income Security Act of 1974, shall not constitute a Force Out for the purposes of this Agreement;</w:t>
      </w:r>
    </w:p>
    <w:p>
      <w:pPr>
        <w:spacing w:after="0" w:line="169" w:lineRule="exact"/>
        <w:rPr>
          <w:rFonts w:ascii="Arial" w:cs="Arial" w:eastAsia="Arial" w:hAnsi="Arial"/>
          <w:sz w:val="16"/>
          <w:szCs w:val="16"/>
          <w:color w:val="auto"/>
        </w:rPr>
      </w:pPr>
    </w:p>
    <w:p>
      <w:pPr>
        <w:ind w:left="660" w:right="300" w:firstLine="645"/>
        <w:spacing w:after="0" w:line="312" w:lineRule="auto"/>
        <w:tabs>
          <w:tab w:leader="none" w:pos="2018"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Company’s requiring you to be based in an office located beyond a reasonable commuting distance from your residence immediately prior to the Change in Control, except for the required travel relating to the Company’s business to an extent substantially consistent with the business travel obligations which you undertook on behalf of the Company prior to the Change in Control; or</w:t>
      </w:r>
    </w:p>
    <w:p>
      <w:pPr>
        <w:spacing w:after="0" w:line="146" w:lineRule="exact"/>
        <w:rPr>
          <w:rFonts w:ascii="Arial" w:cs="Arial" w:eastAsia="Arial" w:hAnsi="Arial"/>
          <w:sz w:val="16"/>
          <w:szCs w:val="16"/>
          <w:color w:val="auto"/>
        </w:rPr>
      </w:pPr>
    </w:p>
    <w:p>
      <w:pPr>
        <w:ind w:left="2000" w:hanging="695"/>
        <w:spacing w:after="0"/>
        <w:tabs>
          <w:tab w:leader="none" w:pos="2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failure by the Company to obtain from any successor to the Company an agreement to be bound by this letter agreement.</w:t>
      </w:r>
    </w:p>
    <w:p>
      <w:pPr>
        <w:sectPr>
          <w:pgSz w:w="11900" w:h="16838" w:orient="portrait"/>
          <w:cols w:equalWidth="0" w:num="1">
            <w:col w:w="11420"/>
          </w:cols>
          <w:pgMar w:left="240" w:top="121" w:right="239" w:bottom="0" w:gutter="0" w:footer="0" w:header="0"/>
        </w:sectPr>
      </w:pPr>
    </w:p>
    <w:bookmarkStart w:id="81" w:name="page82"/>
    <w:bookmarkEnd w:id="81"/>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“Good Reason” means (i) a failure of the Board of Directors of the Company to elect you to offices with the same or substantially the same duties and responsibilities as described in this letter agreement; (ii) a material failure by the Company to comply with the provisions of this letter agreement which has not been cured within thirty days after notice of noncompliance (specifying the nature of the noncompliance) has been given by you to the Company; or</w:t>
      </w:r>
    </w:p>
    <w:p>
      <w:pPr>
        <w:ind w:firstLine="8"/>
        <w:spacing w:after="0" w:line="254" w:lineRule="auto"/>
        <w:tabs>
          <w:tab w:leader="none" w:pos="3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Force Out (as defined above) has occurred. Notwithstanding any provision of this letter agreement to the contrary, with “Good Reason” will not include any assignment of you to a position or office that has new or different duties, provided that such position or office is principally related to the provision of legal services, has a substantially similar level or responsibility to your immediately preceding position or office and is commensurate with your education, skills and experience.</w:t>
      </w:r>
    </w:p>
    <w:p>
      <w:pPr>
        <w:spacing w:after="0" w:line="19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look forward to working with you in your new position. Please acknowledge your agreement with and intent to be bound by the terms of this letter by signing a copy of the letter and returning it to the undersigned as soon as possible.</w:t>
      </w:r>
    </w:p>
    <w:p>
      <w:pPr>
        <w:spacing w:after="0" w:line="17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MARC HOLLIDAY</w:t>
      </w:r>
    </w:p>
    <w:p>
      <w:pPr>
        <w:spacing w:after="0" w:line="23" w:lineRule="exact"/>
        <w:rPr>
          <w:sz w:val="20"/>
          <w:szCs w:val="20"/>
          <w:color w:val="auto"/>
        </w:rPr>
      </w:pPr>
    </w:p>
    <w:p>
      <w:pPr>
        <w:ind w:left="5920"/>
        <w:spacing w:after="0"/>
        <w:tabs>
          <w:tab w:leader="none" w:pos="6600" w:val="left"/>
        </w:tabs>
        <w:rPr>
          <w:sz w:val="20"/>
          <w:szCs w:val="20"/>
          <w:color w:val="auto"/>
        </w:rPr>
      </w:pPr>
      <w:r>
        <w:rPr>
          <w:rFonts w:ascii="Arial" w:cs="Arial" w:eastAsia="Arial" w:hAnsi="Arial"/>
          <w:sz w:val="18"/>
          <w:szCs w:val="18"/>
          <w:color w:val="auto"/>
        </w:rPr>
        <w:t>Name:</w:t>
        <w:tab/>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Chief Investment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13th day of October, 2000.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ANDREW S. LEVINE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7560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82" w:name="page83"/>
    <w:bookmarkEnd w:id="82"/>
    <w:p>
      <w:pPr>
        <w:ind w:left="10480"/>
        <w:spacing w:after="0"/>
        <w:rPr>
          <w:sz w:val="20"/>
          <w:szCs w:val="20"/>
          <w:color w:val="auto"/>
        </w:rPr>
      </w:pPr>
      <w:r>
        <w:rPr>
          <w:rFonts w:ascii="Arial" w:cs="Arial" w:eastAsia="Arial" w:hAnsi="Arial"/>
          <w:sz w:val="17"/>
          <w:szCs w:val="17"/>
          <w:b w:val="1"/>
          <w:bCs w:val="1"/>
          <w:color w:val="auto"/>
        </w:rPr>
        <w:t>Exhibit 12.1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 of Earnings to Combined Fixed Charge and Preferred Stock Dividends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2004</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Earnings</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Add: JV cash distributions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112,540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200,857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193,144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36,469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Amortization of loan costs expensed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Portion of rent expense representative of interest</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17,850</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earnings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319,025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360,812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316,457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Fixed Charges and Preferred Stock Dividends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Preferred stock dividends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Portion of rent expense representative of interest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12,546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loan costs expensed</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Fixed Charges and Preferred Stock Dividends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145,478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Ratio of earnings to combined fixed charge and preferred stock dividends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7"/>
        </w:trPr>
        <w:tc>
          <w:tcPr>
            <w:tcW w:w="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Entity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 of Incorporation</w:t>
      </w:r>
    </w:p>
    <w:p>
      <w:pPr>
        <w:spacing w:after="0" w:line="200" w:lineRule="exact"/>
        <w:rPr>
          <w:sz w:val="20"/>
          <w:szCs w:val="20"/>
          <w:color w:val="auto"/>
        </w:rPr>
      </w:pPr>
    </w:p>
    <w:p>
      <w:pPr>
        <w:sectPr>
          <w:pgSz w:w="11900" w:h="16838" w:orient="portrait"/>
          <w:cols w:equalWidth="0" w:num="2">
            <w:col w:w="5300" w:space="720"/>
            <w:col w:w="5400"/>
          </w:cols>
          <w:pgMar w:left="240" w:top="121" w:right="23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1 Madison Residential Holdings B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1250 Broadway SPE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1515 Promote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1515 SLG Optionee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1515 SLG Private REIT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Main Lessee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399 Knollwood Lessee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 Third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Belmont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eEmerge,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GKK Manager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GKK Manager Member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Greater New York Property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110 East 42nd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1221 Interest Owner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Green 1250 Broadway Acquisition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Green 1250 Broadway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1372 Broadway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141 Fifth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141 Fifth Participation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1604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19W44 JV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19W44 Member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28W44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292 Madison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317 Madison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379 Broadway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440 Ninth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461 Fifth Lessee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470 PAS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485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521 Fifth Mezz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625 Mezz Lessee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673 SPE Member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70W36 Manager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70W36 Property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711 Fee Manager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711 LM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711 Mortgage Manager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711 Sublease Manager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800 Third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Green Broadway/34 Investment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Green Hill Acquisition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W 57TH 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MSSG Realty Partners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MSSG Realty Partners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MSSG Realty Partners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Green 673 Realty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 Green Management Corp.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363855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40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SL Green 100 Park LLC</w:t>
            </w:r>
          </w:p>
        </w:tc>
        <w:tc>
          <w:tcPr>
            <w:tcW w:w="708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New York</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SL Green Capital Trust I</w:t>
            </w:r>
          </w:p>
        </w:tc>
        <w:tc>
          <w:tcPr>
            <w:tcW w:w="708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SL Green Funding LLC*</w:t>
            </w:r>
          </w:p>
        </w:tc>
        <w:tc>
          <w:tcPr>
            <w:tcW w:w="708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New York</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SL Green Management LLC</w:t>
            </w:r>
          </w:p>
        </w:tc>
        <w:tc>
          <w:tcPr>
            <w:tcW w:w="7080" w:type="dxa"/>
            <w:vAlign w:val="bottom"/>
          </w:tcPr>
          <w:p>
            <w:pPr>
              <w:ind w:left="1680"/>
              <w:spacing w:after="0"/>
              <w:rPr>
                <w:sz w:val="20"/>
                <w:szCs w:val="20"/>
                <w:color w:val="auto"/>
              </w:rPr>
            </w:pPr>
            <w:r>
              <w:rPr>
                <w:rFonts w:ascii="Arial" w:cs="Arial" w:eastAsia="Arial" w:hAnsi="Arial"/>
                <w:sz w:val="18"/>
                <w:szCs w:val="18"/>
                <w:color w:val="auto"/>
              </w:rPr>
              <w:t>Delaware, New York</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SL Green Operating Partnership L.P.</w:t>
            </w:r>
          </w:p>
        </w:tc>
        <w:tc>
          <w:tcPr>
            <w:tcW w:w="708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 New York</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SL Green Realty Acquisition LLC</w:t>
            </w:r>
          </w:p>
        </w:tc>
        <w:tc>
          <w:tcPr>
            <w:tcW w:w="7080" w:type="dxa"/>
            <w:vAlign w:val="bottom"/>
          </w:tcPr>
          <w:p>
            <w:pPr>
              <w:ind w:left="1680"/>
              <w:spacing w:after="0"/>
              <w:rPr>
                <w:sz w:val="20"/>
                <w:szCs w:val="20"/>
                <w:color w:val="auto"/>
              </w:rPr>
            </w:pPr>
            <w:r>
              <w:rPr>
                <w:rFonts w:ascii="Arial" w:cs="Arial" w:eastAsia="Arial" w:hAnsi="Arial"/>
                <w:sz w:val="18"/>
                <w:szCs w:val="18"/>
                <w:color w:val="auto"/>
              </w:rPr>
              <w:t>Delaware, New York</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SL Green Realty Corp.</w:t>
            </w:r>
          </w:p>
        </w:tc>
        <w:tc>
          <w:tcPr>
            <w:tcW w:w="708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Maryland, New York</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SL Green Servicing Corp.</w:t>
            </w:r>
          </w:p>
        </w:tc>
        <w:tc>
          <w:tcPr>
            <w:tcW w:w="708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SL Green Warrant LLC</w:t>
            </w:r>
          </w:p>
        </w:tc>
        <w:tc>
          <w:tcPr>
            <w:tcW w:w="708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 New York</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SLG 1250 Broadway Finance LLC</w:t>
            </w:r>
          </w:p>
        </w:tc>
        <w:tc>
          <w:tcPr>
            <w:tcW w:w="708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SLG 1515 Broadway Finance LLC</w:t>
            </w:r>
          </w:p>
        </w:tc>
        <w:tc>
          <w:tcPr>
            <w:tcW w:w="708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SLG 220 News MZ LLC</w:t>
            </w:r>
          </w:p>
        </w:tc>
        <w:tc>
          <w:tcPr>
            <w:tcW w:w="7080" w:type="dxa"/>
            <w:vAlign w:val="bottom"/>
          </w:tcPr>
          <w:p>
            <w:pPr>
              <w:ind w:left="1680"/>
              <w:spacing w:after="0"/>
              <w:rPr>
                <w:sz w:val="20"/>
                <w:szCs w:val="20"/>
                <w:color w:val="auto"/>
              </w:rPr>
            </w:pPr>
            <w:r>
              <w:rPr>
                <w:rFonts w:ascii="Arial" w:cs="Arial" w:eastAsia="Arial" w:hAnsi="Arial"/>
                <w:sz w:val="18"/>
                <w:szCs w:val="18"/>
                <w:color w:val="auto"/>
              </w:rPr>
              <w:t>Delaware, New York</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SLG 220 News Owner LLC</w:t>
            </w:r>
          </w:p>
        </w:tc>
        <w:tc>
          <w:tcPr>
            <w:tcW w:w="708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 New York</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SLG 609 Fifth LLC</w:t>
            </w:r>
          </w:p>
        </w:tc>
        <w:tc>
          <w:tcPr>
            <w:tcW w:w="7080" w:type="dxa"/>
            <w:vAlign w:val="bottom"/>
          </w:tcPr>
          <w:p>
            <w:pPr>
              <w:ind w:left="1680"/>
              <w:spacing w:after="0"/>
              <w:rPr>
                <w:sz w:val="20"/>
                <w:szCs w:val="20"/>
                <w:color w:val="auto"/>
              </w:rPr>
            </w:pPr>
            <w:r>
              <w:rPr>
                <w:rFonts w:ascii="Arial" w:cs="Arial" w:eastAsia="Arial" w:hAnsi="Arial"/>
                <w:sz w:val="18"/>
                <w:szCs w:val="18"/>
                <w:color w:val="auto"/>
              </w:rPr>
              <w:t>Delaware</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SLG 625 Lessee LLC</w:t>
            </w:r>
          </w:p>
        </w:tc>
        <w:tc>
          <w:tcPr>
            <w:tcW w:w="708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Delaware</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SLG 711 Fee LLC</w:t>
            </w:r>
          </w:p>
        </w:tc>
        <w:tc>
          <w:tcPr>
            <w:tcW w:w="7080" w:type="dxa"/>
            <w:vAlign w:val="bottom"/>
          </w:tcPr>
          <w:p>
            <w:pPr>
              <w:ind w:left="1680"/>
              <w:spacing w:after="0"/>
              <w:rPr>
                <w:sz w:val="20"/>
                <w:szCs w:val="20"/>
                <w:color w:val="auto"/>
              </w:rPr>
            </w:pPr>
            <w:r>
              <w:rPr>
                <w:rFonts w:ascii="Arial" w:cs="Arial" w:eastAsia="Arial" w:hAnsi="Arial"/>
                <w:sz w:val="18"/>
                <w:szCs w:val="18"/>
                <w:color w:val="auto"/>
              </w:rPr>
              <w:t>New York</w:t>
            </w:r>
          </w:p>
        </w:tc>
      </w:tr>
    </w:tbl>
    <w:p>
      <w:pPr>
        <w:sectPr>
          <w:pgSz w:w="11900" w:h="16838" w:orient="portrait"/>
          <w:cols w:equalWidth="0" w:num="1">
            <w:col w:w="11420"/>
          </w:cols>
          <w:pgMar w:left="240" w:top="121" w:right="239" w:bottom="0" w:gutter="0" w:footer="0" w:header="0"/>
          <w:type w:val="continuous"/>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SLG 711 Third LLC</w:t>
            </w:r>
          </w:p>
        </w:tc>
        <w:tc>
          <w:tcPr>
            <w:tcW w:w="71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New York</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SLG 717 Fifth Member LLC</w:t>
            </w:r>
          </w:p>
        </w:tc>
        <w:tc>
          <w:tcPr>
            <w:tcW w:w="7140" w:type="dxa"/>
            <w:vAlign w:val="bottom"/>
          </w:tcPr>
          <w:p>
            <w:pPr>
              <w:ind w:left="174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SLG Asset Management Fee LLC</w:t>
            </w:r>
          </w:p>
        </w:tc>
        <w:tc>
          <w:tcPr>
            <w:tcW w:w="71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Delaware, New York</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SLG Broad Street 125 A LLC</w:t>
            </w:r>
          </w:p>
        </w:tc>
        <w:tc>
          <w:tcPr>
            <w:tcW w:w="7140" w:type="dxa"/>
            <w:vAlign w:val="bottom"/>
          </w:tcPr>
          <w:p>
            <w:pPr>
              <w:ind w:left="1740"/>
              <w:spacing w:after="0"/>
              <w:rPr>
                <w:sz w:val="20"/>
                <w:szCs w:val="20"/>
                <w:color w:val="auto"/>
              </w:rPr>
            </w:pPr>
            <w:r>
              <w:rPr>
                <w:rFonts w:ascii="Arial" w:cs="Arial" w:eastAsia="Arial" w:hAnsi="Arial"/>
                <w:sz w:val="18"/>
                <w:szCs w:val="18"/>
                <w:color w:val="auto"/>
              </w:rPr>
              <w:t>Delaware, New York</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SLG Broad Street 125 C LLC</w:t>
            </w:r>
          </w:p>
        </w:tc>
        <w:tc>
          <w:tcPr>
            <w:tcW w:w="71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Delaware, New York</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SLG Elevator Holdings LLC</w:t>
            </w:r>
          </w:p>
        </w:tc>
        <w:tc>
          <w:tcPr>
            <w:tcW w:w="7140" w:type="dxa"/>
            <w:vAlign w:val="bottom"/>
          </w:tcPr>
          <w:p>
            <w:pPr>
              <w:ind w:left="1740"/>
              <w:spacing w:after="0"/>
              <w:rPr>
                <w:sz w:val="20"/>
                <w:szCs w:val="20"/>
                <w:color w:val="auto"/>
              </w:rPr>
            </w:pPr>
            <w:r>
              <w:rPr>
                <w:rFonts w:ascii="Arial" w:cs="Arial" w:eastAsia="Arial" w:hAnsi="Arial"/>
                <w:sz w:val="18"/>
                <w:szCs w:val="18"/>
                <w:color w:val="auto"/>
              </w:rPr>
              <w:t>New York</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SLG Gramercy Services LLC</w:t>
            </w:r>
          </w:p>
        </w:tc>
        <w:tc>
          <w:tcPr>
            <w:tcW w:w="71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SLG Graybar Mesne Lease Corp</w:t>
            </w:r>
          </w:p>
        </w:tc>
        <w:tc>
          <w:tcPr>
            <w:tcW w:w="7140" w:type="dxa"/>
            <w:vAlign w:val="bottom"/>
          </w:tcPr>
          <w:p>
            <w:pPr>
              <w:ind w:left="1740"/>
              <w:spacing w:after="0"/>
              <w:rPr>
                <w:sz w:val="20"/>
                <w:szCs w:val="20"/>
                <w:color w:val="auto"/>
              </w:rPr>
            </w:pPr>
            <w:r>
              <w:rPr>
                <w:rFonts w:ascii="Arial" w:cs="Arial" w:eastAsia="Arial" w:hAnsi="Arial"/>
                <w:sz w:val="18"/>
                <w:szCs w:val="18"/>
                <w:color w:val="auto"/>
              </w:rPr>
              <w:t>New York</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SLG Graybar Mesne Lease LLC</w:t>
            </w:r>
          </w:p>
        </w:tc>
        <w:tc>
          <w:tcPr>
            <w:tcW w:w="71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New York</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SLG Graybar Sublease Corp</w:t>
            </w:r>
          </w:p>
        </w:tc>
        <w:tc>
          <w:tcPr>
            <w:tcW w:w="7140" w:type="dxa"/>
            <w:vAlign w:val="bottom"/>
          </w:tcPr>
          <w:p>
            <w:pPr>
              <w:ind w:left="1740"/>
              <w:spacing w:after="0"/>
              <w:rPr>
                <w:sz w:val="20"/>
                <w:szCs w:val="20"/>
                <w:color w:val="auto"/>
              </w:rPr>
            </w:pPr>
            <w:r>
              <w:rPr>
                <w:rFonts w:ascii="Arial" w:cs="Arial" w:eastAsia="Arial" w:hAnsi="Arial"/>
                <w:sz w:val="18"/>
                <w:szCs w:val="18"/>
                <w:color w:val="auto"/>
              </w:rPr>
              <w:t>New York</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SLG Graybar Sublease LLC</w:t>
            </w:r>
          </w:p>
        </w:tc>
        <w:tc>
          <w:tcPr>
            <w:tcW w:w="71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New York</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SLG IRP Realty LLC</w:t>
            </w:r>
          </w:p>
        </w:tc>
        <w:tc>
          <w:tcPr>
            <w:tcW w:w="7140" w:type="dxa"/>
            <w:vAlign w:val="bottom"/>
          </w:tcPr>
          <w:p>
            <w:pPr>
              <w:ind w:left="1740"/>
              <w:spacing w:after="0"/>
              <w:rPr>
                <w:sz w:val="20"/>
                <w:szCs w:val="20"/>
                <w:color w:val="auto"/>
              </w:rPr>
            </w:pPr>
            <w:r>
              <w:rPr>
                <w:rFonts w:ascii="Arial" w:cs="Arial" w:eastAsia="Arial" w:hAnsi="Arial"/>
                <w:sz w:val="18"/>
                <w:szCs w:val="18"/>
                <w:color w:val="auto"/>
              </w:rPr>
              <w:t>New York</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SLG Madison Investment LLC</w:t>
            </w:r>
          </w:p>
        </w:tc>
        <w:tc>
          <w:tcPr>
            <w:tcW w:w="71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SLG One Park Shareholder II LLC</w:t>
            </w:r>
          </w:p>
        </w:tc>
        <w:tc>
          <w:tcPr>
            <w:tcW w:w="7140" w:type="dxa"/>
            <w:vAlign w:val="bottom"/>
          </w:tcPr>
          <w:p>
            <w:pPr>
              <w:ind w:left="174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SLG One Park Shareholder LLC</w:t>
            </w:r>
          </w:p>
        </w:tc>
        <w:tc>
          <w:tcPr>
            <w:tcW w:w="71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SLG Protective TRS Corp</w:t>
            </w:r>
          </w:p>
        </w:tc>
        <w:tc>
          <w:tcPr>
            <w:tcW w:w="7140" w:type="dxa"/>
            <w:vAlign w:val="bottom"/>
          </w:tcPr>
          <w:p>
            <w:pPr>
              <w:ind w:left="1740"/>
              <w:spacing w:after="0"/>
              <w:rPr>
                <w:sz w:val="20"/>
                <w:szCs w:val="20"/>
                <w:color w:val="auto"/>
              </w:rPr>
            </w:pPr>
            <w:r>
              <w:rPr>
                <w:rFonts w:ascii="Arial" w:cs="Arial" w:eastAsia="Arial" w:hAnsi="Arial"/>
                <w:sz w:val="18"/>
                <w:szCs w:val="18"/>
                <w:color w:val="auto"/>
              </w:rPr>
              <w:t>Delaware, New York</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Finance TRS Corp.</w:t>
            </w:r>
          </w:p>
        </w:tc>
        <w:tc>
          <w:tcPr>
            <w:tcW w:w="71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108"/>
        </w:trPr>
        <w:tc>
          <w:tcPr>
            <w:tcW w:w="220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7140" w:type="dxa"/>
            <w:vAlign w:val="bottom"/>
          </w:tcPr>
          <w:p>
            <w:pPr>
              <w:spacing w:after="0"/>
              <w:rPr>
                <w:sz w:val="9"/>
                <w:szCs w:val="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 The purpose of this entity is to engage in structured finance investments through various wholly owned subsidiaries which are not included on the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654685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Statements (i) on Form S-3 (Nos. 333-113076, 333-70111, 333-30394, 333-68828, 333-62434, 333-126058, 333-113076, 333-138976, and 333-140222) and in the related Prospectuses; (ii) on Form S-4 (No. 333-137391) and in the related Prospectus; and (iii) on Form S-8 (Nos. 333-61555, 333-87485, 333-89964 and 333-127014) pertaining to the Stock Option and Incentive Plans of SL Green Realty Corp., of our reports (a) dated February 28, 2007 with respect to the consolidated financial statements and schedule of SL Green Realty Corp., SL Green Realty Corp. management’s assessment of the effectiveness of internal control over financial reporting, and the effectiveness of internal control over financial reporting of SL Green Realty Corp. and (b) dated February 13, 2007 with respect to the consolidated financial statements of Rock-Green Inc., both included in this Annual Report (Form 10-K) for the year ended December 31,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Marc Holliday Chief Executive Officer, certify that:</w:t>
      </w:r>
    </w:p>
    <w:p>
      <w:pPr>
        <w:spacing w:after="0" w:line="229"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SL Green Realty Corp. (the “registrant”);</w:t>
      </w:r>
    </w:p>
    <w:p>
      <w:pPr>
        <w:spacing w:after="0" w:line="225" w:lineRule="exact"/>
        <w:rPr>
          <w:rFonts w:ascii="Arial" w:cs="Arial" w:eastAsia="Arial" w:hAnsi="Arial"/>
          <w:sz w:val="18"/>
          <w:szCs w:val="18"/>
          <w:color w:val="auto"/>
        </w:rPr>
      </w:pPr>
    </w:p>
    <w:p>
      <w:pPr>
        <w:jc w:val="both"/>
        <w:ind w:left="660" w:right="320" w:hanging="652"/>
        <w:spacing w:after="0" w:line="264" w:lineRule="auto"/>
        <w:tabs>
          <w:tab w:leader="none" w:pos="6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652"/>
        <w:spacing w:after="0" w:line="308" w:lineRule="auto"/>
        <w:tabs>
          <w:tab w:leader="none" w:pos="673"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20" w:hanging="652"/>
        <w:spacing w:after="0" w:line="264" w:lineRule="auto"/>
        <w:tabs>
          <w:tab w:leader="none" w:pos="6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1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1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673"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60" w:hanging="644"/>
        <w:spacing w:after="0" w:line="342" w:lineRule="auto"/>
        <w:tabs>
          <w:tab w:leader="none" w:pos="131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644"/>
        <w:spacing w:after="0" w:line="277" w:lineRule="auto"/>
        <w:tabs>
          <w:tab w:leader="none" w:pos="13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2007</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MARC HOLLIDAY</w:t>
            </w: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820" w:type="dxa"/>
            <w:vAlign w:val="bottom"/>
          </w:tcPr>
          <w:p>
            <w:pPr>
              <w:ind w:left="260"/>
              <w:spacing w:after="0" w:line="195" w:lineRule="exact"/>
              <w:rPr>
                <w:sz w:val="20"/>
                <w:szCs w:val="20"/>
                <w:color w:val="auto"/>
              </w:rPr>
            </w:pPr>
            <w:r>
              <w:rPr>
                <w:rFonts w:ascii="Arial" w:cs="Arial" w:eastAsia="Arial" w:hAnsi="Arial"/>
                <w:sz w:val="18"/>
                <w:szCs w:val="18"/>
                <w:color w:val="auto"/>
              </w:rPr>
              <w:t>Marc Holliday</w:t>
            </w:r>
          </w:p>
        </w:tc>
        <w:tc>
          <w:tcPr>
            <w:tcW w:w="40" w:type="dxa"/>
            <w:vAlign w:val="bottom"/>
          </w:tcPr>
          <w:p>
            <w:pPr>
              <w:spacing w:after="0"/>
              <w:rPr>
                <w:sz w:val="16"/>
                <w:szCs w:val="16"/>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820" w:type="dxa"/>
            <w:vAlign w:val="bottom"/>
          </w:tcPr>
          <w:p>
            <w:pPr>
              <w:ind w:left="26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807"/>
        </w:trPr>
        <w:tc>
          <w:tcPr>
            <w:tcW w:w="2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08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87" w:name="page88"/>
    <w:bookmarkEnd w:id="87"/>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Gregory F. Hughes, Chief Financial Officer, certify that:</w:t>
      </w:r>
    </w:p>
    <w:p>
      <w:pPr>
        <w:spacing w:after="0" w:line="229"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SL Green Realty Corp. (the “registrant”);</w:t>
      </w:r>
    </w:p>
    <w:p>
      <w:pPr>
        <w:spacing w:after="0" w:line="225" w:lineRule="exact"/>
        <w:rPr>
          <w:rFonts w:ascii="Arial" w:cs="Arial" w:eastAsia="Arial" w:hAnsi="Arial"/>
          <w:sz w:val="18"/>
          <w:szCs w:val="18"/>
          <w:color w:val="auto"/>
        </w:rPr>
      </w:pPr>
    </w:p>
    <w:p>
      <w:pPr>
        <w:jc w:val="both"/>
        <w:ind w:left="660" w:right="320" w:hanging="652"/>
        <w:spacing w:after="0" w:line="264" w:lineRule="auto"/>
        <w:tabs>
          <w:tab w:leader="none" w:pos="6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652"/>
        <w:spacing w:after="0" w:line="308" w:lineRule="auto"/>
        <w:tabs>
          <w:tab w:leader="none" w:pos="6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20" w:hanging="652"/>
        <w:spacing w:after="0" w:line="264" w:lineRule="auto"/>
        <w:tabs>
          <w:tab w:leader="none" w:pos="6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1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1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6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60" w:hanging="644"/>
        <w:spacing w:after="0" w:line="342" w:lineRule="auto"/>
        <w:tabs>
          <w:tab w:leader="none" w:pos="131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644"/>
        <w:spacing w:after="0" w:line="277" w:lineRule="auto"/>
        <w:tabs>
          <w:tab w:leader="none" w:pos="1307"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2007</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GREGORY F. HUGHES</w:t>
            </w: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820" w:type="dxa"/>
            <w:vAlign w:val="bottom"/>
          </w:tcPr>
          <w:p>
            <w:pPr>
              <w:ind w:left="260"/>
              <w:spacing w:after="0" w:line="195" w:lineRule="exact"/>
              <w:rPr>
                <w:sz w:val="20"/>
                <w:szCs w:val="20"/>
                <w:color w:val="auto"/>
              </w:rPr>
            </w:pPr>
            <w:r>
              <w:rPr>
                <w:rFonts w:ascii="Arial" w:cs="Arial" w:eastAsia="Arial" w:hAnsi="Arial"/>
                <w:sz w:val="18"/>
                <w:szCs w:val="18"/>
                <w:color w:val="auto"/>
              </w:rPr>
              <w:t>Gregory F. Hughes</w:t>
            </w:r>
          </w:p>
        </w:tc>
        <w:tc>
          <w:tcPr>
            <w:tcW w:w="40" w:type="dxa"/>
            <w:vAlign w:val="bottom"/>
          </w:tcPr>
          <w:p>
            <w:pPr>
              <w:spacing w:after="0"/>
              <w:rPr>
                <w:sz w:val="16"/>
                <w:szCs w:val="16"/>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820" w:type="dxa"/>
            <w:vAlign w:val="bottom"/>
          </w:tcPr>
          <w:p>
            <w:pPr>
              <w:ind w:left="26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1239"/>
        </w:trPr>
        <w:tc>
          <w:tcPr>
            <w:tcW w:w="2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08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Annual Report of SL Green Realty Corp. (the “Company”) on Form 10-K as filed with the Securities and Exchange Commission on the date hereof (the “Report”), I, Marc Holliday, Chief Executive Officer of the Company, hereby certify, pursuant to 18 U.S.C. Section 1350, as adopted pursuant to Section 906 of the Sarbanes-Oxley Act of 2002, that:</w:t>
      </w:r>
    </w:p>
    <w:p>
      <w:pPr>
        <w:spacing w:after="0" w:line="181"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MARC HOLLIDAY</w:t>
            </w:r>
          </w:p>
        </w:tc>
      </w:tr>
      <w:tr>
        <w:trPr>
          <w:trHeight w:val="195"/>
        </w:trPr>
        <w:tc>
          <w:tcPr>
            <w:tcW w:w="2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820" w:type="dxa"/>
            <w:vAlign w:val="bottom"/>
          </w:tcPr>
          <w:p>
            <w:pPr>
              <w:ind w:left="260"/>
              <w:spacing w:after="0" w:line="195" w:lineRule="exact"/>
              <w:rPr>
                <w:sz w:val="20"/>
                <w:szCs w:val="20"/>
                <w:color w:val="auto"/>
              </w:rPr>
            </w:pPr>
            <w:r>
              <w:rPr>
                <w:rFonts w:ascii="Arial" w:cs="Arial" w:eastAsia="Arial" w:hAnsi="Arial"/>
                <w:sz w:val="18"/>
                <w:szCs w:val="18"/>
                <w:color w:val="auto"/>
              </w:rPr>
              <w:t>Marc Holliday</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820" w:type="dxa"/>
            <w:vAlign w:val="bottom"/>
          </w:tcPr>
          <w:p>
            <w:pPr>
              <w:ind w:left="2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922020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Annual Report of SL Green Realty Corp. (the “Company”) on Form 10-K as filed with the Securities and Exchange Commission on the date hereof (the “Report”), I, Gregory F. Hughes, Chief Financial Officer of the Company, hereby certify, pursuant to 18 U.S.C. Section 1350, as adopted pursuant to Section 906 of the Sarbanes-Oxley Act of 2002, that:</w:t>
      </w:r>
    </w:p>
    <w:p>
      <w:pPr>
        <w:spacing w:after="0" w:line="181"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GREGORY F. HUGHES</w:t>
            </w:r>
          </w:p>
        </w:tc>
      </w:tr>
      <w:tr>
        <w:trPr>
          <w:trHeight w:val="195"/>
        </w:trPr>
        <w:tc>
          <w:tcPr>
            <w:tcW w:w="2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820" w:type="dxa"/>
            <w:vAlign w:val="bottom"/>
          </w:tcPr>
          <w:p>
            <w:pPr>
              <w:ind w:left="260"/>
              <w:spacing w:after="0" w:line="195" w:lineRule="exact"/>
              <w:rPr>
                <w:sz w:val="20"/>
                <w:szCs w:val="20"/>
                <w:color w:val="auto"/>
              </w:rPr>
            </w:pPr>
            <w:r>
              <w:rPr>
                <w:rFonts w:ascii="Arial" w:cs="Arial" w:eastAsia="Arial" w:hAnsi="Arial"/>
                <w:sz w:val="18"/>
                <w:szCs w:val="18"/>
                <w:color w:val="auto"/>
              </w:rPr>
              <w:t>Gregory F. Hughes</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820" w:type="dxa"/>
            <w:vAlign w:val="bottom"/>
          </w:tcPr>
          <w:p>
            <w:pPr>
              <w:ind w:left="2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922020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x"/>
      <w:numFmt w:val="bullet"/>
      <w:start w:val="1"/>
    </w:lvl>
  </w:abstractNum>
  <w:abstractNum w:abstractNumId="1">
    <w:nsid w:val="77465F01"/>
    <w:multiLevelType w:val="hybridMultilevel"/>
    <w:lvl w:ilvl="0">
      <w:lvlJc w:val="left"/>
      <w:lvlText w:val="o"/>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2"/>
    </w:lvl>
  </w:abstractNum>
  <w:abstractNum w:abstractNumId="4">
    <w:nsid w:val="2463B9EA"/>
    <w:multiLevelType w:val="hybridMultilevel"/>
    <w:lvl w:ilvl="0">
      <w:lvlJc w:val="left"/>
      <w:lvlText w:val="%1."/>
      <w:numFmt w:val="decimal"/>
      <w:start w:val="5"/>
    </w:lvl>
  </w:abstractNum>
  <w:abstractNum w:abstractNumId="5">
    <w:nsid w:val="5E884ADC"/>
    <w:multiLevelType w:val="hybridMultilevel"/>
    <w:lvl w:ilvl="0">
      <w:lvlJc w:val="left"/>
      <w:lvlText w:val="%1."/>
      <w:numFmt w:val="decimal"/>
      <w:start w:val="8"/>
    </w:lvl>
  </w:abstractNum>
  <w:abstractNum w:abstractNumId="6">
    <w:nsid w:val="51EAD36B"/>
    <w:multiLevelType w:val="hybridMultilevel"/>
    <w:lvl w:ilvl="0">
      <w:lvlJc w:val="left"/>
      <w:lvlText w:val="%1."/>
      <w:numFmt w:val="decimal"/>
      <w:start w:val="10"/>
    </w:lvl>
  </w:abstractNum>
  <w:abstractNum w:abstractNumId="7">
    <w:nsid w:val="2D517796"/>
    <w:multiLevelType w:val="hybridMultilevel"/>
    <w:lvl w:ilvl="0">
      <w:lvlJc w:val="left"/>
      <w:lvlText w:val="%1."/>
      <w:numFmt w:val="decimal"/>
      <w:start w:val="15"/>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decimal"/>
      <w:start w:val="5"/>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1)"/>
      <w:numFmt w:val="decimal"/>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lowerRoman"/>
      <w:start w:val="1"/>
    </w:lvl>
  </w:abstractNum>
  <w:abstractNum w:abstractNumId="28">
    <w:nsid w:val="3DC240FB"/>
    <w:multiLevelType w:val="hybridMultilevel"/>
    <w:lvl w:ilvl="0">
      <w:lvlJc w:val="left"/>
      <w:lvlText w:val="(%1)"/>
      <w:numFmt w:val="lowerRoman"/>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8"/>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1."/>
      <w:numFmt w:val="decimal"/>
      <w:start w:val="14"/>
    </w:lvl>
  </w:abstractNum>
  <w:abstractNum w:abstractNumId="40">
    <w:nsid w:val="39386575"/>
    <w:multiLevelType w:val="hybridMultilevel"/>
    <w:lvl w:ilvl="0">
      <w:lvlJc w:val="left"/>
      <w:lvlText w:val="%1."/>
      <w:numFmt w:val="decimal"/>
      <w:start w:val="18"/>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2"/>
    </w:lvl>
  </w:abstractNum>
  <w:abstractNum w:abstractNumId="44">
    <w:nsid w:val="47398C89"/>
    <w:multiLevelType w:val="hybridMultilevel"/>
    <w:lvl w:ilvl="0">
      <w:lvlJc w:val="left"/>
      <w:lvlText w:val="%1."/>
      <w:numFmt w:val="decimal"/>
      <w:start w:val="3"/>
    </w:lvl>
  </w:abstractNum>
  <w:abstractNum w:abstractNumId="45">
    <w:nsid w:val="354FE9F9"/>
    <w:multiLevelType w:val="hybridMultilevel"/>
    <w:lvl w:ilvl="0">
      <w:lvlJc w:val="left"/>
      <w:lvlText w:val="(%1)"/>
      <w:numFmt w:val="lowerLetter"/>
      <w:start w:val="1"/>
    </w:lvl>
  </w:abstractNum>
  <w:abstractNum w:abstractNumId="46">
    <w:nsid w:val="15B5AF5C"/>
    <w:multiLevelType w:val="hybridMultilevel"/>
    <w:lvl w:ilvl="0">
      <w:lvlJc w:val="left"/>
      <w:lvlText w:val="(%1)"/>
      <w:numFmt w:val="lowerLetter"/>
      <w:start w:val="2"/>
    </w:lvl>
  </w:abstractNum>
  <w:abstractNum w:abstractNumId="47">
    <w:nsid w:val="741226BB"/>
    <w:multiLevelType w:val="hybridMultilevel"/>
    <w:lvl w:ilvl="0">
      <w:lvlJc w:val="left"/>
      <w:lvlText w:val="(%1)"/>
      <w:numFmt w:val="lowerLetter"/>
      <w:start w:val="3"/>
    </w:lvl>
  </w:abstractNum>
  <w:abstractNum w:abstractNumId="48">
    <w:nsid w:val="D34B6A8"/>
    <w:multiLevelType w:val="hybridMultilevel"/>
    <w:lvl w:ilvl="0">
      <w:lvlJc w:val="left"/>
      <w:lvlText w:val="(%1)"/>
      <w:numFmt w:val="lowerLetter"/>
      <w:start w:val="4"/>
    </w:lvl>
  </w:abstractNum>
  <w:abstractNum w:abstractNumId="49">
    <w:nsid w:val="10233C99"/>
    <w:multiLevelType w:val="hybridMultilevel"/>
    <w:lvl w:ilvl="0">
      <w:lvlJc w:val="left"/>
      <w:lvlText w:val="(%1)"/>
      <w:numFmt w:val="lowerLetter"/>
      <w:start w:val="5"/>
    </w:lvl>
  </w:abstractNum>
  <w:abstractNum w:abstractNumId="50">
    <w:nsid w:val="3F6AB60F"/>
    <w:multiLevelType w:val="hybridMultilevel"/>
    <w:lvl w:ilvl="0">
      <w:lvlJc w:val="left"/>
      <w:lvlText w:val="(%1)"/>
      <w:numFmt w:val="lowerLetter"/>
      <w:start w:val="6"/>
    </w:lvl>
  </w:abstractNum>
  <w:abstractNum w:abstractNumId="51">
    <w:nsid w:val="61574095"/>
    <w:multiLevelType w:val="hybridMultilevel"/>
    <w:lvl w:ilvl="0">
      <w:lvlJc w:val="left"/>
      <w:lvlText w:val="(%1)"/>
      <w:numFmt w:val="lowerLetter"/>
      <w:start w:val="7"/>
    </w:lvl>
  </w:abstractNum>
  <w:abstractNum w:abstractNumId="52">
    <w:nsid w:val="7E0C57B1"/>
    <w:multiLevelType w:val="hybridMultilevel"/>
    <w:lvl w:ilvl="0">
      <w:lvlJc w:val="left"/>
      <w:lvlText w:val="(%1)"/>
      <w:numFmt w:val="lowerLetter"/>
      <w:start w:val="8"/>
    </w:lvl>
  </w:abstractNum>
  <w:abstractNum w:abstractNumId="53">
    <w:nsid w:val="77AE35EB"/>
    <w:multiLevelType w:val="hybridMultilevel"/>
    <w:lvl w:ilvl="0">
      <w:lvlJc w:val="left"/>
      <w:lvlText w:val="(%1)"/>
      <w:numFmt w:val="lowerRoman"/>
      <w:start w:val="1"/>
    </w:lvl>
  </w:abstractNum>
  <w:abstractNum w:abstractNumId="54">
    <w:nsid w:val="579BE4F1"/>
    <w:multiLevelType w:val="hybridMultilevel"/>
    <w:lvl w:ilvl="0">
      <w:lvlJc w:val="left"/>
      <w:lvlText w:val="(%1)"/>
      <w:numFmt w:val="lowerLetter"/>
      <w:start w:val="10"/>
    </w:lvl>
  </w:abstractNum>
  <w:abstractNum w:abstractNumId="55">
    <w:nsid w:val="310C50B3"/>
    <w:multiLevelType w:val="hybridMultilevel"/>
    <w:lvl w:ilvl="0">
      <w:lvlJc w:val="left"/>
      <w:lvlText w:val="(%1)"/>
      <w:numFmt w:val="lowerLetter"/>
      <w:start w:val="11"/>
    </w:lvl>
  </w:abstractNum>
  <w:abstractNum w:abstractNumId="56">
    <w:nsid w:val="5FF87E05"/>
    <w:multiLevelType w:val="hybridMultilevel"/>
    <w:lvl w:ilvl="0">
      <w:lvlJc w:val="left"/>
      <w:lvlText w:val="(%1)"/>
      <w:numFmt w:val="lowerLetter"/>
      <w:start w:val="12"/>
    </w:lvl>
  </w:abstractNum>
  <w:abstractNum w:abstractNumId="57">
    <w:nsid w:val="2F305DEF"/>
    <w:multiLevelType w:val="hybridMultilevel"/>
    <w:lvl w:ilvl="0">
      <w:lvlJc w:val="left"/>
      <w:lvlText w:val="%1."/>
      <w:numFmt w:val="decimal"/>
      <w:start w:val="4"/>
    </w:lvl>
  </w:abstractNum>
  <w:abstractNum w:abstractNumId="58">
    <w:nsid w:val="25A70BF7"/>
    <w:multiLevelType w:val="hybridMultilevel"/>
    <w:lvl w:ilvl="0">
      <w:lvlJc w:val="left"/>
      <w:lvlText w:val="%1."/>
      <w:numFmt w:val="decimal"/>
      <w:start w:val="5"/>
    </w:lvl>
  </w:abstractNum>
  <w:abstractNum w:abstractNumId="59">
    <w:nsid w:val="1DBABF00"/>
    <w:multiLevelType w:val="hybridMultilevel"/>
    <w:lvl w:ilvl="0">
      <w:lvlJc w:val="left"/>
      <w:lvlText w:val="%1."/>
      <w:numFmt w:val="decimal"/>
      <w:start w:val="6"/>
    </w:lvl>
  </w:abstractNum>
  <w:abstractNum w:abstractNumId="60">
    <w:nsid w:val="4AD084E9"/>
    <w:multiLevelType w:val="hybridMultilevel"/>
    <w:lvl w:ilvl="0">
      <w:lvlJc w:val="left"/>
      <w:lvlText w:val="%1."/>
      <w:numFmt w:val="decimal"/>
      <w:start w:val="7"/>
    </w:lvl>
  </w:abstractNum>
  <w:abstractNum w:abstractNumId="61">
    <w:nsid w:val="1F48EAA1"/>
    <w:multiLevelType w:val="hybridMultilevel"/>
    <w:lvl w:ilvl="0">
      <w:lvlJc w:val="left"/>
      <w:lvlText w:val="%1."/>
      <w:numFmt w:val="decimal"/>
      <w:start w:val="8"/>
    </w:lvl>
  </w:abstractNum>
  <w:abstractNum w:abstractNumId="62">
    <w:nsid w:val="1381823A"/>
    <w:multiLevelType w:val="hybridMultilevel"/>
    <w:lvl w:ilvl="0">
      <w:lvlJc w:val="left"/>
      <w:lvlText w:val="%1."/>
      <w:numFmt w:val="decimal"/>
      <w:start w:val="9"/>
    </w:lvl>
  </w:abstractNum>
  <w:abstractNum w:abstractNumId="63">
    <w:nsid w:val="5DB70AE5"/>
    <w:multiLevelType w:val="hybridMultilevel"/>
    <w:lvl w:ilvl="0">
      <w:lvlJc w:val="left"/>
      <w:lvlText w:val="&amp;"/>
      <w:numFmt w:val="bullet"/>
      <w:start w:val="1"/>
    </w:lvl>
  </w:abstractNum>
  <w:abstractNum w:abstractNumId="64">
    <w:nsid w:val="100F8FCA"/>
    <w:multiLevelType w:val="hybridMultilevel"/>
    <w:lvl w:ilvl="0">
      <w:lvlJc w:val="left"/>
      <w:lvlText w:val="(%1)"/>
      <w:numFmt w:val="lowerRoman"/>
      <w:start w:val="3"/>
    </w:lvl>
  </w:abstractNum>
  <w:abstractNum w:abstractNumId="65">
    <w:nsid w:val="6590700B"/>
    <w:multiLevelType w:val="hybridMultilevel"/>
    <w:lvl w:ilvl="0">
      <w:lvlJc w:val="left"/>
      <w:lvlText w:val="(%1)"/>
      <w:numFmt w:val="lowerRoman"/>
      <w:start w:val="1"/>
    </w:lvl>
  </w:abstractNum>
  <w:abstractNum w:abstractNumId="66">
    <w:nsid w:val="15014ACB"/>
    <w:multiLevelType w:val="hybridMultilevel"/>
    <w:lvl w:ilvl="0">
      <w:lvlJc w:val="left"/>
      <w:lvlText w:val="(%1)"/>
      <w:numFmt w:val="lowerRoman"/>
      <w:start w:val="1"/>
    </w:lvl>
  </w:abstractNum>
  <w:abstractNum w:abstractNumId="67">
    <w:nsid w:val="5F5E7FD0"/>
    <w:multiLevelType w:val="hybridMultilevel"/>
    <w:lvl w:ilvl="0">
      <w:lvlJc w:val="left"/>
      <w:lvlText w:val="(%1)"/>
      <w:numFmt w:val="lowerRoman"/>
      <w:start w:val="3"/>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2019-12-14T15:55:24Z</dcterms:created>
  <dcterms:modified xsi:type="dcterms:W3CDTF">2019-12-14T15:55:24Z</dcterms:modified>
</cp:coreProperties>
</file>