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1"/>
        <w:spacing w:after="0"/>
        <w:rPr>
          <w:rFonts w:ascii="Arial" w:cs="Arial" w:eastAsia="Arial" w:hAnsi="Arial"/>
          <w:sz w:val="20"/>
          <w:szCs w:val="20"/>
          <w:color w:val="0000EE"/>
        </w:rPr>
      </w:pPr>
      <w:hyperlink w:anchor="page1">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624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726249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3149600</wp:posOffset>
            </wp:positionH>
            <wp:positionV relativeFrom="paragraph">
              <wp:posOffset>135255</wp:posOffset>
            </wp:positionV>
            <wp:extent cx="9664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October 23, 2002</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SL GREEN REALTY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5" w:lineRule="exact"/>
        <w:rPr>
          <w:sz w:val="24"/>
          <w:szCs w:val="24"/>
          <w:color w:val="auto"/>
        </w:rPr>
      </w:pPr>
    </w:p>
    <w:tbl>
      <w:tblPr>
        <w:tblLayout w:type="fixed"/>
        <w:tblInd w:w="1"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7880" w:type="dxa"/>
            <w:vAlign w:val="bottom"/>
          </w:tcPr>
          <w:p>
            <w:pPr>
              <w:jc w:val="center"/>
              <w:ind w:right="3199"/>
              <w:spacing w:after="0"/>
              <w:rPr>
                <w:sz w:val="20"/>
                <w:szCs w:val="20"/>
                <w:color w:val="auto"/>
              </w:rPr>
            </w:pPr>
            <w:r>
              <w:rPr>
                <w:rFonts w:ascii="Arial" w:cs="Arial" w:eastAsia="Arial" w:hAnsi="Arial"/>
                <w:sz w:val="16"/>
                <w:szCs w:val="16"/>
                <w:b w:val="1"/>
                <w:bCs w:val="1"/>
                <w:color w:val="auto"/>
                <w:w w:val="96"/>
              </w:rPr>
              <w:t>Maryland</w:t>
            </w:r>
          </w:p>
        </w:tc>
      </w:tr>
      <w:tr>
        <w:trPr>
          <w:trHeight w:val="206"/>
        </w:trPr>
        <w:tc>
          <w:tcPr>
            <w:tcW w:w="3540" w:type="dxa"/>
            <w:vAlign w:val="bottom"/>
          </w:tcPr>
          <w:p>
            <w:pPr>
              <w:spacing w:after="0"/>
              <w:rPr>
                <w:sz w:val="17"/>
                <w:szCs w:val="17"/>
                <w:color w:val="auto"/>
              </w:rPr>
            </w:pPr>
          </w:p>
        </w:tc>
        <w:tc>
          <w:tcPr>
            <w:tcW w:w="7880" w:type="dxa"/>
            <w:vAlign w:val="bottom"/>
          </w:tcPr>
          <w:p>
            <w:pPr>
              <w:jc w:val="center"/>
              <w:ind w:right="3219"/>
              <w:spacing w:after="0"/>
              <w:rPr>
                <w:sz w:val="20"/>
                <w:szCs w:val="20"/>
                <w:color w:val="auto"/>
              </w:rPr>
            </w:pPr>
            <w:r>
              <w:rPr>
                <w:rFonts w:ascii="Arial" w:cs="Arial" w:eastAsia="Arial" w:hAnsi="Arial"/>
                <w:sz w:val="16"/>
                <w:szCs w:val="16"/>
                <w:i w:val="1"/>
                <w:iCs w:val="1"/>
                <w:color w:val="auto"/>
                <w:w w:val="94"/>
              </w:rPr>
              <w:t>(State of Incorporation)</w:t>
            </w:r>
          </w:p>
        </w:tc>
      </w:tr>
      <w:tr>
        <w:trPr>
          <w:trHeight w:val="415"/>
        </w:trPr>
        <w:tc>
          <w:tcPr>
            <w:tcW w:w="354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1-13199</w:t>
            </w:r>
          </w:p>
        </w:tc>
        <w:tc>
          <w:tcPr>
            <w:tcW w:w="7880" w:type="dxa"/>
            <w:vAlign w:val="bottom"/>
          </w:tcPr>
          <w:p>
            <w:pPr>
              <w:jc w:val="right"/>
              <w:ind w:right="1239"/>
              <w:spacing w:after="0"/>
              <w:rPr>
                <w:sz w:val="20"/>
                <w:szCs w:val="20"/>
                <w:color w:val="auto"/>
              </w:rPr>
            </w:pPr>
            <w:r>
              <w:rPr>
                <w:rFonts w:ascii="Arial" w:cs="Arial" w:eastAsia="Arial" w:hAnsi="Arial"/>
                <w:sz w:val="16"/>
                <w:szCs w:val="16"/>
                <w:b w:val="1"/>
                <w:bCs w:val="1"/>
                <w:color w:val="auto"/>
              </w:rPr>
              <w:t>13-3956775</w:t>
            </w:r>
          </w:p>
        </w:tc>
      </w:tr>
      <w:tr>
        <w:trPr>
          <w:trHeight w:val="206"/>
        </w:trPr>
        <w:tc>
          <w:tcPr>
            <w:tcW w:w="3540" w:type="dxa"/>
            <w:vAlign w:val="bottom"/>
          </w:tcPr>
          <w:p>
            <w:pPr>
              <w:jc w:val="center"/>
              <w:ind w:left="39"/>
              <w:spacing w:after="0"/>
              <w:rPr>
                <w:sz w:val="20"/>
                <w:szCs w:val="20"/>
                <w:color w:val="auto"/>
              </w:rPr>
            </w:pPr>
            <w:r>
              <w:rPr>
                <w:rFonts w:ascii="Arial" w:cs="Arial" w:eastAsia="Arial" w:hAnsi="Arial"/>
                <w:sz w:val="16"/>
                <w:szCs w:val="16"/>
                <w:i w:val="1"/>
                <w:iCs w:val="1"/>
                <w:color w:val="auto"/>
                <w:w w:val="93"/>
              </w:rPr>
              <w:t>(Commission File Number)</w:t>
            </w:r>
          </w:p>
        </w:tc>
        <w:tc>
          <w:tcPr>
            <w:tcW w:w="7880" w:type="dxa"/>
            <w:vAlign w:val="bottom"/>
          </w:tcPr>
          <w:p>
            <w:pPr>
              <w:jc w:val="center"/>
              <w:ind w:left="4379"/>
              <w:spacing w:after="0"/>
              <w:rPr>
                <w:sz w:val="20"/>
                <w:szCs w:val="20"/>
                <w:color w:val="auto"/>
              </w:rPr>
            </w:pPr>
            <w:r>
              <w:rPr>
                <w:rFonts w:ascii="Arial" w:cs="Arial" w:eastAsia="Arial" w:hAnsi="Arial"/>
                <w:sz w:val="16"/>
                <w:szCs w:val="16"/>
                <w:i w:val="1"/>
                <w:iCs w:val="1"/>
                <w:color w:val="auto"/>
                <w:w w:val="92"/>
              </w:rPr>
              <w:t>(IRS Employer Id. Number)</w:t>
            </w:r>
          </w:p>
        </w:tc>
      </w:tr>
      <w:tr>
        <w:trPr>
          <w:trHeight w:val="411"/>
        </w:trPr>
        <w:tc>
          <w:tcPr>
            <w:tcW w:w="354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420 Lexington Avenue</w:t>
            </w:r>
          </w:p>
        </w:tc>
        <w:tc>
          <w:tcPr>
            <w:tcW w:w="7880" w:type="dxa"/>
            <w:vAlign w:val="bottom"/>
          </w:tcPr>
          <w:p>
            <w:pPr>
              <w:jc w:val="right"/>
              <w:ind w:right="1419"/>
              <w:spacing w:after="0"/>
              <w:rPr>
                <w:sz w:val="20"/>
                <w:szCs w:val="20"/>
                <w:color w:val="auto"/>
              </w:rPr>
            </w:pPr>
            <w:r>
              <w:rPr>
                <w:rFonts w:ascii="Arial" w:cs="Arial" w:eastAsia="Arial" w:hAnsi="Arial"/>
                <w:sz w:val="16"/>
                <w:szCs w:val="16"/>
                <w:b w:val="1"/>
                <w:bCs w:val="1"/>
                <w:color w:val="auto"/>
              </w:rPr>
              <w:t>10170</w:t>
            </w:r>
          </w:p>
        </w:tc>
      </w:tr>
      <w:tr>
        <w:trPr>
          <w:trHeight w:val="203"/>
        </w:trPr>
        <w:tc>
          <w:tcPr>
            <w:tcW w:w="3540" w:type="dxa"/>
            <w:vAlign w:val="bottom"/>
          </w:tcPr>
          <w:p>
            <w:pPr>
              <w:jc w:val="center"/>
              <w:ind w:left="39"/>
              <w:spacing w:after="0"/>
              <w:rPr>
                <w:sz w:val="20"/>
                <w:szCs w:val="20"/>
                <w:color w:val="auto"/>
              </w:rPr>
            </w:pPr>
            <w:r>
              <w:rPr>
                <w:rFonts w:ascii="Arial" w:cs="Arial" w:eastAsia="Arial" w:hAnsi="Arial"/>
                <w:sz w:val="16"/>
                <w:szCs w:val="16"/>
                <w:b w:val="1"/>
                <w:bCs w:val="1"/>
                <w:color w:val="auto"/>
                <w:w w:val="94"/>
              </w:rPr>
              <w:t>New York, New York</w:t>
            </w:r>
          </w:p>
        </w:tc>
        <w:tc>
          <w:tcPr>
            <w:tcW w:w="7880" w:type="dxa"/>
            <w:vAlign w:val="bottom"/>
          </w:tcPr>
          <w:p>
            <w:pPr>
              <w:jc w:val="center"/>
              <w:ind w:left="4379"/>
              <w:spacing w:after="0"/>
              <w:rPr>
                <w:sz w:val="20"/>
                <w:szCs w:val="20"/>
                <w:color w:val="auto"/>
              </w:rPr>
            </w:pPr>
            <w:r>
              <w:rPr>
                <w:rFonts w:ascii="Arial" w:cs="Arial" w:eastAsia="Arial" w:hAnsi="Arial"/>
                <w:sz w:val="16"/>
                <w:szCs w:val="16"/>
                <w:i w:val="1"/>
                <w:iCs w:val="1"/>
                <w:color w:val="auto"/>
                <w:w w:val="92"/>
              </w:rPr>
              <w:t>(Zip Code)</w:t>
            </w:r>
          </w:p>
        </w:tc>
      </w:tr>
      <w:tr>
        <w:trPr>
          <w:trHeight w:val="206"/>
        </w:trPr>
        <w:tc>
          <w:tcPr>
            <w:tcW w:w="3540" w:type="dxa"/>
            <w:vAlign w:val="bottom"/>
          </w:tcPr>
          <w:p>
            <w:pPr>
              <w:jc w:val="center"/>
              <w:ind w:left="3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7880" w:type="dxa"/>
            <w:vAlign w:val="bottom"/>
          </w:tcPr>
          <w:p>
            <w:pPr>
              <w:spacing w:after="0"/>
              <w:rPr>
                <w:sz w:val="17"/>
                <w:szCs w:val="17"/>
                <w:color w:val="auto"/>
              </w:rPr>
            </w:pPr>
          </w:p>
        </w:tc>
      </w:tr>
      <w:tr>
        <w:trPr>
          <w:trHeight w:val="390"/>
        </w:trPr>
        <w:tc>
          <w:tcPr>
            <w:tcW w:w="3540" w:type="dxa"/>
            <w:vAlign w:val="bottom"/>
          </w:tcPr>
          <w:p>
            <w:pPr>
              <w:spacing w:after="0"/>
              <w:rPr>
                <w:sz w:val="24"/>
                <w:szCs w:val="24"/>
                <w:color w:val="auto"/>
              </w:rPr>
            </w:pPr>
          </w:p>
        </w:tc>
        <w:tc>
          <w:tcPr>
            <w:tcW w:w="7880" w:type="dxa"/>
            <w:vAlign w:val="bottom"/>
          </w:tcPr>
          <w:p>
            <w:pPr>
              <w:jc w:val="right"/>
              <w:ind w:right="5119"/>
              <w:spacing w:after="0"/>
              <w:rPr>
                <w:sz w:val="20"/>
                <w:szCs w:val="20"/>
                <w:color w:val="auto"/>
              </w:rPr>
            </w:pPr>
            <w:r>
              <w:rPr>
                <w:rFonts w:ascii="Arial" w:cs="Arial" w:eastAsia="Arial" w:hAnsi="Arial"/>
                <w:sz w:val="16"/>
                <w:szCs w:val="16"/>
                <w:b w:val="1"/>
                <w:bCs w:val="1"/>
                <w:color w:val="auto"/>
              </w:rPr>
              <w:t>(212) 594-2700</w:t>
            </w:r>
          </w:p>
        </w:tc>
      </w:tr>
      <w:tr>
        <w:trPr>
          <w:trHeight w:val="206"/>
        </w:trPr>
        <w:tc>
          <w:tcPr>
            <w:tcW w:w="3540" w:type="dxa"/>
            <w:vAlign w:val="bottom"/>
          </w:tcPr>
          <w:p>
            <w:pPr>
              <w:spacing w:after="0"/>
              <w:rPr>
                <w:sz w:val="17"/>
                <w:szCs w:val="17"/>
                <w:color w:val="auto"/>
              </w:rPr>
            </w:pPr>
          </w:p>
        </w:tc>
        <w:tc>
          <w:tcPr>
            <w:tcW w:w="7880" w:type="dxa"/>
            <w:vAlign w:val="bottom"/>
          </w:tcPr>
          <w:p>
            <w:pPr>
              <w:jc w:val="center"/>
              <w:ind w:right="3459"/>
              <w:spacing w:after="0"/>
              <w:rPr>
                <w:sz w:val="20"/>
                <w:szCs w:val="20"/>
                <w:color w:val="auto"/>
              </w:rPr>
            </w:pPr>
            <w:r>
              <w:rPr>
                <w:rFonts w:ascii="Arial" w:cs="Arial" w:eastAsia="Arial" w:hAnsi="Arial"/>
                <w:sz w:val="16"/>
                <w:szCs w:val="16"/>
                <w:i w:val="1"/>
                <w:iCs w:val="1"/>
                <w:color w:val="auto"/>
                <w:w w:val="91"/>
              </w:rPr>
              <w:t>(Registrant's telephone number, including area code)</w:t>
            </w:r>
          </w:p>
        </w:tc>
      </w:tr>
      <w:tr>
        <w:trPr>
          <w:trHeight w:val="209"/>
        </w:trPr>
        <w:tc>
          <w:tcPr>
            <w:tcW w:w="3540" w:type="dxa"/>
            <w:vAlign w:val="bottom"/>
            <w:tcBorders>
              <w:bottom w:val="single" w:sz="8" w:color="808080"/>
            </w:tcBorders>
          </w:tcPr>
          <w:p>
            <w:pPr>
              <w:spacing w:after="0"/>
              <w:rPr>
                <w:sz w:val="18"/>
                <w:szCs w:val="18"/>
                <w:color w:val="auto"/>
              </w:rPr>
            </w:pPr>
          </w:p>
        </w:tc>
        <w:tc>
          <w:tcPr>
            <w:tcW w:w="7880" w:type="dxa"/>
            <w:vAlign w:val="bottom"/>
            <w:tcBorders>
              <w:bottom w:val="single" w:sz="8" w:color="808080"/>
            </w:tcBorders>
          </w:tcPr>
          <w:p>
            <w:pPr>
              <w:spacing w:after="0"/>
              <w:rPr>
                <w:sz w:val="18"/>
                <w:szCs w:val="18"/>
                <w:color w:val="auto"/>
              </w:rPr>
            </w:pPr>
          </w:p>
        </w:tc>
      </w:tr>
      <w:tr>
        <w:trPr>
          <w:trHeight w:val="104"/>
        </w:trPr>
        <w:tc>
          <w:tcPr>
            <w:tcW w:w="3540" w:type="dxa"/>
            <w:vAlign w:val="bottom"/>
            <w:tcBorders>
              <w:bottom w:val="single" w:sz="8" w:color="808080"/>
            </w:tcBorders>
          </w:tcPr>
          <w:p>
            <w:pPr>
              <w:spacing w:after="0"/>
              <w:rPr>
                <w:sz w:val="9"/>
                <w:szCs w:val="9"/>
                <w:color w:val="auto"/>
              </w:rPr>
            </w:pPr>
          </w:p>
        </w:tc>
        <w:tc>
          <w:tcPr>
            <w:tcW w:w="7880" w:type="dxa"/>
            <w:vAlign w:val="bottom"/>
            <w:tcBorders>
              <w:bottom w:val="single" w:sz="8" w:color="808080"/>
            </w:tcBorders>
          </w:tcPr>
          <w:p>
            <w:pPr>
              <w:spacing w:after="0"/>
              <w:rPr>
                <w:sz w:val="9"/>
                <w:szCs w:val="9"/>
                <w:color w:val="auto"/>
              </w:rPr>
            </w:pPr>
          </w:p>
        </w:tc>
      </w:tr>
      <w:tr>
        <w:trPr>
          <w:trHeight w:val="104"/>
        </w:trPr>
        <w:tc>
          <w:tcPr>
            <w:tcW w:w="3540" w:type="dxa"/>
            <w:vAlign w:val="bottom"/>
            <w:tcBorders>
              <w:bottom w:val="single" w:sz="8" w:color="808080"/>
            </w:tcBorders>
          </w:tcPr>
          <w:p>
            <w:pPr>
              <w:spacing w:after="0"/>
              <w:rPr>
                <w:sz w:val="9"/>
                <w:szCs w:val="9"/>
                <w:color w:val="auto"/>
              </w:rPr>
            </w:pPr>
          </w:p>
        </w:tc>
        <w:tc>
          <w:tcPr>
            <w:tcW w:w="788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-171450</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-92710</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-92710</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360" w:lineRule="exact"/>
        <w:rPr>
          <w:sz w:val="24"/>
          <w:szCs w:val="24"/>
          <w:color w:val="auto"/>
        </w:rPr>
      </w:pPr>
    </w:p>
    <w:p>
      <w:pPr>
        <w:ind w:left="1"/>
        <w:spacing w:after="0"/>
        <w:tabs>
          <w:tab w:leader="none" w:pos="6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i w:val="1"/>
          <w:iCs w:val="1"/>
          <w:color w:val="auto"/>
        </w:rPr>
        <w:t>Financial Statements and Exhibits</w:t>
      </w:r>
    </w:p>
    <w:p>
      <w:pPr>
        <w:spacing w:after="0" w:line="230" w:lineRule="exact"/>
        <w:rPr>
          <w:sz w:val="24"/>
          <w:szCs w:val="24"/>
          <w:color w:val="auto"/>
        </w:rPr>
      </w:pPr>
    </w:p>
    <w:p>
      <w:pPr>
        <w:ind w:left="501" w:hanging="501"/>
        <w:spacing w:after="0"/>
        <w:tabs>
          <w:tab w:leader="none" w:pos="501"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13" w:lineRule="exact"/>
        <w:rPr>
          <w:sz w:val="24"/>
          <w:szCs w:val="24"/>
          <w:color w:val="auto"/>
        </w:rPr>
      </w:pPr>
    </w:p>
    <w:p>
      <w:pPr>
        <w:ind w:left="321"/>
        <w:spacing w:after="0"/>
        <w:rPr>
          <w:sz w:val="20"/>
          <w:szCs w:val="20"/>
          <w:color w:val="auto"/>
        </w:rPr>
      </w:pPr>
      <w:r>
        <w:rPr>
          <w:rFonts w:ascii="Arial" w:cs="Arial" w:eastAsia="Arial" w:hAnsi="Arial"/>
          <w:sz w:val="16"/>
          <w:szCs w:val="16"/>
          <w:color w:val="auto"/>
        </w:rPr>
        <w:t>99.1 Supplemental Package</w:t>
      </w:r>
    </w:p>
    <w:p>
      <w:pPr>
        <w:spacing w:after="0" w:line="200" w:lineRule="exact"/>
        <w:rPr>
          <w:sz w:val="24"/>
          <w:szCs w:val="24"/>
          <w:color w:val="auto"/>
        </w:rPr>
      </w:pPr>
    </w:p>
    <w:p>
      <w:pPr>
        <w:spacing w:after="0" w:line="208" w:lineRule="exact"/>
        <w:rPr>
          <w:sz w:val="24"/>
          <w:szCs w:val="24"/>
          <w:color w:val="auto"/>
        </w:rPr>
      </w:pPr>
    </w:p>
    <w:p>
      <w:pPr>
        <w:ind w:left="1"/>
        <w:spacing w:after="0"/>
        <w:tabs>
          <w:tab w:leader="none" w:pos="6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i w:val="1"/>
          <w:iCs w:val="1"/>
          <w:color w:val="auto"/>
        </w:rPr>
        <w:t>Regulation FD Disclosure</w:t>
      </w:r>
    </w:p>
    <w:p>
      <w:pPr>
        <w:spacing w:after="0" w:line="217" w:lineRule="exact"/>
        <w:rPr>
          <w:sz w:val="24"/>
          <w:szCs w:val="24"/>
          <w:color w:val="auto"/>
        </w:rPr>
      </w:pPr>
    </w:p>
    <w:p>
      <w:pPr>
        <w:ind w:left="1" w:right="40" w:firstLine="323"/>
        <w:spacing w:after="0" w:line="329" w:lineRule="auto"/>
        <w:rPr>
          <w:sz w:val="20"/>
          <w:szCs w:val="20"/>
          <w:color w:val="auto"/>
        </w:rPr>
      </w:pPr>
      <w:r>
        <w:rPr>
          <w:rFonts w:ascii="Arial" w:cs="Arial" w:eastAsia="Arial" w:hAnsi="Arial"/>
          <w:sz w:val="14"/>
          <w:szCs w:val="14"/>
          <w:color w:val="auto"/>
        </w:rPr>
        <w:t>Following the issuance of a press release on October 21, 2002 announcing the Company's results for the third quarter ended September 30, 2002, the Company is also making available supplemental information regarding the Company's operations that is too voluminous for a press release. The Company is attaching this supplemental package as Exhibit 99.1 to this Current Report on Form 8-K. The press release for the third quarter was filed under a separate Form 8-K dated October 23, 2002.</w:t>
      </w:r>
    </w:p>
    <w:p>
      <w:pPr>
        <w:spacing w:after="0" w:line="132" w:lineRule="exact"/>
        <w:rPr>
          <w:sz w:val="24"/>
          <w:szCs w:val="24"/>
          <w:color w:val="auto"/>
        </w:rPr>
      </w:pPr>
    </w:p>
    <w:p>
      <w:pPr>
        <w:ind w:left="1"/>
        <w:spacing w:after="0" w:line="273" w:lineRule="auto"/>
        <w:rPr>
          <w:sz w:val="20"/>
          <w:szCs w:val="20"/>
          <w:color w:val="auto"/>
        </w:rPr>
      </w:pPr>
      <w:r>
        <w:rPr>
          <w:rFonts w:ascii="Arial" w:cs="Arial" w:eastAsia="Arial" w:hAnsi="Arial"/>
          <w:sz w:val="16"/>
          <w:szCs w:val="16"/>
          <w:color w:val="auto"/>
        </w:rPr>
        <w:t>Note: the information in this report (including the exhibits) is furnished pursuant to Item 9 and shall not be deemed to be "filed" for the purposes of Section 18 of the Securities Exchange Act of 1934 or otherwise subject to the liabilities of that section. This report will not be deemed an admission as to the materiality of any information in the report that is required to be disclosed solely by Regulation FD.</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217" w:lineRule="exact"/>
        <w:rPr>
          <w:sz w:val="24"/>
          <w:szCs w:val="24"/>
          <w:color w:val="auto"/>
        </w:rPr>
      </w:pPr>
    </w:p>
    <w:p>
      <w:pPr>
        <w:ind w:left="1" w:right="80" w:firstLine="323"/>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6" w:lineRule="exact"/>
        <w:rPr>
          <w:sz w:val="24"/>
          <w:szCs w:val="24"/>
          <w:color w:val="auto"/>
        </w:rPr>
      </w:pPr>
    </w:p>
    <w:p>
      <w:pPr>
        <w:ind w:left="4821"/>
        <w:spacing w:after="0"/>
        <w:rPr>
          <w:sz w:val="20"/>
          <w:szCs w:val="20"/>
          <w:color w:val="auto"/>
        </w:rPr>
      </w:pPr>
      <w:r>
        <w:rPr>
          <w:rFonts w:ascii="Arial" w:cs="Arial" w:eastAsia="Arial" w:hAnsi="Arial"/>
          <w:sz w:val="16"/>
          <w:szCs w:val="16"/>
          <w:color w:val="auto"/>
        </w:rPr>
        <w:t>SL GREEN REALTY CORP.</w:t>
      </w:r>
    </w:p>
    <w:p>
      <w:pPr>
        <w:spacing w:after="0" w:line="213" w:lineRule="exact"/>
        <w:rPr>
          <w:sz w:val="24"/>
          <w:szCs w:val="24"/>
          <w:color w:val="auto"/>
        </w:rPr>
      </w:pPr>
    </w:p>
    <w:p>
      <w:pPr>
        <w:jc w:val="center"/>
        <w:ind w:left="4820"/>
        <w:spacing w:after="0"/>
        <w:tabs>
          <w:tab w:leader="none" w:pos="200" w:val="left"/>
        </w:tabs>
        <w:rPr>
          <w:sz w:val="20"/>
          <w:szCs w:val="20"/>
          <w:color w:val="auto"/>
        </w:rPr>
      </w:pPr>
      <w:r>
        <w:rPr>
          <w:rFonts w:ascii="Arial" w:cs="Arial" w:eastAsia="Arial" w:hAnsi="Arial"/>
          <w:sz w:val="16"/>
          <w:szCs w:val="16"/>
          <w:color w:val="auto"/>
        </w:rPr>
        <w:t>By:</w:t>
        <w:tab/>
        <w:t>/s/ THOMAS E. WIRTH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3338830</wp:posOffset>
            </wp:positionH>
            <wp:positionV relativeFrom="paragraph">
              <wp:posOffset>75565</wp:posOffset>
            </wp:positionV>
            <wp:extent cx="392112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21125" cy="20320"/>
                    </a:xfrm>
                    <a:prstGeom prst="rect">
                      <a:avLst/>
                    </a:prstGeom>
                    <a:noFill/>
                  </pic:spPr>
                </pic:pic>
              </a:graphicData>
            </a:graphic>
          </wp:anchor>
        </w:drawing>
      </w:r>
    </w:p>
    <w:p>
      <w:pPr>
        <w:spacing w:after="0" w:line="218" w:lineRule="exact"/>
        <w:rPr>
          <w:sz w:val="24"/>
          <w:szCs w:val="24"/>
          <w:color w:val="auto"/>
        </w:rPr>
      </w:pPr>
    </w:p>
    <w:p>
      <w:pPr>
        <w:ind w:left="5261"/>
        <w:spacing w:after="0"/>
        <w:rPr>
          <w:sz w:val="20"/>
          <w:szCs w:val="20"/>
          <w:color w:val="auto"/>
        </w:rPr>
      </w:pPr>
      <w:r>
        <w:rPr>
          <w:rFonts w:ascii="Arial" w:cs="Arial" w:eastAsia="Arial" w:hAnsi="Arial"/>
          <w:sz w:val="16"/>
          <w:szCs w:val="16"/>
          <w:color w:val="auto"/>
        </w:rPr>
        <w:t>Thomas E. Wirth</w:t>
      </w:r>
    </w:p>
    <w:p>
      <w:pPr>
        <w:spacing w:after="0" w:line="22" w:lineRule="exact"/>
        <w:rPr>
          <w:sz w:val="24"/>
          <w:szCs w:val="24"/>
          <w:color w:val="auto"/>
        </w:rPr>
      </w:pPr>
    </w:p>
    <w:p>
      <w:pPr>
        <w:ind w:left="5261"/>
        <w:spacing w:after="0"/>
        <w:rPr>
          <w:sz w:val="20"/>
          <w:szCs w:val="20"/>
          <w:color w:val="auto"/>
        </w:rPr>
      </w:pPr>
      <w:r>
        <w:rPr>
          <w:rFonts w:ascii="Arial" w:cs="Arial" w:eastAsia="Arial" w:hAnsi="Arial"/>
          <w:sz w:val="16"/>
          <w:szCs w:val="16"/>
          <w:color w:val="auto"/>
        </w:rPr>
        <w:t>Executive Vice President, Chief Financial Officer</w:t>
      </w:r>
    </w:p>
    <w:p>
      <w:pPr>
        <w:spacing w:after="0" w:line="206" w:lineRule="exact"/>
        <w:rPr>
          <w:sz w:val="24"/>
          <w:szCs w:val="24"/>
          <w:color w:val="auto"/>
        </w:rPr>
      </w:pPr>
    </w:p>
    <w:p>
      <w:pPr>
        <w:ind w:left="1"/>
        <w:spacing w:after="0"/>
        <w:rPr>
          <w:sz w:val="20"/>
          <w:szCs w:val="20"/>
          <w:color w:val="auto"/>
        </w:rPr>
      </w:pPr>
      <w:r>
        <w:rPr>
          <w:rFonts w:ascii="Arial" w:cs="Arial" w:eastAsia="Arial" w:hAnsi="Arial"/>
          <w:sz w:val="16"/>
          <w:szCs w:val="16"/>
          <w:color w:val="auto"/>
        </w:rPr>
        <w:t>Date: October 23, 2002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71" w:orient="portrait"/>
          <w:cols w:equalWidth="0" w:num="1">
            <w:col w:w="11421"/>
          </w:cols>
          <w:pgMar w:left="239" w:top="44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1"/>
        <w:spacing w:after="0"/>
        <w:rPr>
          <w:sz w:val="20"/>
          <w:szCs w:val="20"/>
          <w:color w:val="auto"/>
        </w:rPr>
      </w:pPr>
      <w:r>
        <w:rPr>
          <w:rFonts w:ascii="Arial" w:cs="Arial" w:eastAsia="Arial" w:hAnsi="Arial"/>
          <w:sz w:val="19"/>
          <w:szCs w:val="19"/>
          <w:color w:val="auto"/>
        </w:rPr>
        <w:t>QuickLinks</w:t>
      </w:r>
    </w:p>
    <w:p>
      <w:pPr>
        <w:sectPr>
          <w:pgSz w:w="11900" w:h="16871" w:orient="portrait"/>
          <w:cols w:equalWidth="0" w:num="1">
            <w:col w:w="11421"/>
          </w:cols>
          <w:pgMar w:left="239" w:top="443" w:right="239" w:bottom="0" w:gutter="0" w:footer="0" w:header="0"/>
          <w:type w:val="continuous"/>
        </w:sectPr>
      </w:pPr>
    </w:p>
    <w:bookmarkStart w:id="1" w:name="page2"/>
    <w:bookmarkEnd w:id="1"/>
    <w:p>
      <w:pPr>
        <w:ind w:left="50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Item 7. Financial Statements and Exhibits</w:t>
        </w:r>
      </w:hyperlink>
    </w:p>
    <w:p>
      <w:pPr>
        <w:spacing w:after="0" w:line="45" w:lineRule="exact"/>
        <w:rPr>
          <w:sz w:val="20"/>
          <w:szCs w:val="20"/>
          <w:color w:val="auto"/>
        </w:rPr>
      </w:pPr>
    </w:p>
    <w:p>
      <w:pPr>
        <w:ind w:left="5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Item 9. Regulation FD Disclosure</w:t>
        </w:r>
      </w:hyperlink>
    </w:p>
    <w:p>
      <w:pPr>
        <w:spacing w:after="0" w:line="20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SIGNATURES</w:t>
        </w:r>
      </w:hyperlink>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20"/>
          <w:szCs w:val="20"/>
          <w:color w:val="0000EE"/>
        </w:rPr>
      </w:pPr>
      <w:hyperlink w:anchor="page25">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SL Green Realty Corp.</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2002</w:t>
      </w:r>
    </w:p>
    <w:p>
      <w:pPr>
        <w:spacing w:after="0" w:line="233" w:lineRule="auto"/>
        <w:rPr>
          <w:sz w:val="20"/>
          <w:szCs w:val="20"/>
          <w:color w:val="auto"/>
        </w:rPr>
      </w:pPr>
      <w:r>
        <w:rPr>
          <w:rFonts w:ascii="Arial" w:cs="Arial" w:eastAsia="Arial" w:hAnsi="Arial"/>
          <w:sz w:val="20"/>
          <w:szCs w:val="20"/>
          <w:b w:val="1"/>
          <w:bCs w:val="1"/>
          <w:color w:val="auto"/>
        </w:rPr>
        <w:t>Supplemental Data</w:t>
      </w:r>
    </w:p>
    <w:p>
      <w:pPr>
        <w:spacing w:after="0"/>
        <w:rPr>
          <w:sz w:val="20"/>
          <w:szCs w:val="20"/>
          <w:color w:val="auto"/>
        </w:rPr>
      </w:pPr>
      <w:r>
        <w:rPr>
          <w:rFonts w:ascii="Arial" w:cs="Arial" w:eastAsia="Arial" w:hAnsi="Arial"/>
          <w:sz w:val="20"/>
          <w:szCs w:val="20"/>
          <w:b w:val="1"/>
          <w:bCs w:val="1"/>
          <w:color w:val="auto"/>
        </w:rPr>
        <w:t>September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726249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263525</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1106805</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60"/>
        <w:spacing w:after="0" w:line="287" w:lineRule="auto"/>
        <w:rPr>
          <w:sz w:val="20"/>
          <w:szCs w:val="20"/>
          <w:color w:val="auto"/>
        </w:rPr>
      </w:pPr>
      <w:r>
        <w:rPr>
          <w:rFonts w:ascii="Arial" w:cs="Arial" w:eastAsia="Arial" w:hAnsi="Arial"/>
          <w:sz w:val="16"/>
          <w:szCs w:val="16"/>
          <w:color w:val="auto"/>
        </w:rPr>
        <w:t>SL Green Realty Corp. is a fully integrated, self-administered and self-managed Real Estate Investment Trust (REIT) that primarily owns, manages, leases, acquires and repositions office properties in emerging, high-growth submarkets of Manhattan.</w:t>
      </w:r>
    </w:p>
    <w:p>
      <w:pPr>
        <w:spacing w:after="0" w:line="169" w:lineRule="exact"/>
        <w:rPr>
          <w:sz w:val="20"/>
          <w:szCs w:val="20"/>
          <w:color w:val="auto"/>
        </w:rPr>
      </w:pPr>
    </w:p>
    <w:p>
      <w:pPr>
        <w:ind w:left="1000" w:right="380" w:hanging="504"/>
        <w:spacing w:after="0" w:line="191" w:lineRule="auto"/>
        <w:tabs>
          <w:tab w:leader="none" w:pos="1000" w:val="left"/>
        </w:tabs>
        <w:numPr>
          <w:ilvl w:val="0"/>
          <w:numId w:val="2"/>
        </w:numPr>
        <w:rPr>
          <w:rFonts w:ascii="Arial" w:cs="Arial" w:eastAsia="Arial" w:hAnsi="Arial"/>
          <w:sz w:val="32"/>
          <w:szCs w:val="32"/>
          <w:color w:val="auto"/>
          <w:vertAlign w:val="superscript"/>
        </w:rPr>
      </w:pPr>
      <w:r>
        <w:rPr>
          <w:rFonts w:ascii="Arial" w:cs="Arial" w:eastAsia="Arial" w:hAnsi="Arial"/>
          <w:sz w:val="16"/>
          <w:szCs w:val="16"/>
          <w:color w:val="auto"/>
        </w:rPr>
        <w:t>SL Green's common stock and Preferred Income Equity Redeemable Shares ("PIERS"</w:t>
      </w:r>
      <w:r>
        <w:rPr>
          <w:rFonts w:ascii="Arial" w:cs="Arial" w:eastAsia="Arial" w:hAnsi="Arial"/>
          <w:sz w:val="26"/>
          <w:szCs w:val="26"/>
          <w:color w:val="auto"/>
          <w:vertAlign w:val="superscript"/>
        </w:rPr>
        <w:t>SM</w:t>
      </w:r>
      <w:r>
        <w:rPr>
          <w:rFonts w:ascii="Arial" w:cs="Arial" w:eastAsia="Arial" w:hAnsi="Arial"/>
          <w:sz w:val="16"/>
          <w:szCs w:val="16"/>
          <w:color w:val="auto"/>
        </w:rPr>
        <w:t>), are listed on the New York Stock Exchange, and trade under the symbols: SLG and SLG PrA respectively.</w:t>
      </w:r>
    </w:p>
    <w:p>
      <w:pPr>
        <w:spacing w:after="0" w:line="213" w:lineRule="exact"/>
        <w:rPr>
          <w:rFonts w:ascii="Arial" w:cs="Arial" w:eastAsia="Arial" w:hAnsi="Arial"/>
          <w:sz w:val="32"/>
          <w:szCs w:val="32"/>
          <w:color w:val="auto"/>
          <w:vertAlign w:val="superscript"/>
        </w:rPr>
      </w:pPr>
    </w:p>
    <w:p>
      <w:pPr>
        <w:jc w:val="both"/>
        <w:ind w:left="1000" w:hanging="504"/>
        <w:spacing w:after="0" w:line="275"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SL Green maintains an internet site at </w:t>
      </w:r>
      <w:r>
        <w:rPr>
          <w:rFonts w:ascii="Arial" w:cs="Arial" w:eastAsia="Arial" w:hAnsi="Arial"/>
          <w:sz w:val="16"/>
          <w:szCs w:val="16"/>
          <w:b w:val="1"/>
          <w:bCs w:val="1"/>
          <w:color w:val="auto"/>
        </w:rPr>
        <w:t>www.slgreen.com</w:t>
      </w:r>
      <w:r>
        <w:rPr>
          <w:rFonts w:ascii="Arial" w:cs="Arial" w:eastAsia="Arial" w:hAnsi="Arial"/>
          <w:sz w:val="16"/>
          <w:szCs w:val="16"/>
          <w:color w:val="auto"/>
        </w:rPr>
        <w:t xml:space="preserve"> at which most key investor relations data pertaining to dividend declaration, payout, current and historic share price, etc. can be found. Such information is not reiterated in this supplemental financial package. This supplemental financial package is available through the Company's Internet site.</w:t>
      </w:r>
    </w:p>
    <w:p>
      <w:pPr>
        <w:spacing w:after="0" w:line="178" w:lineRule="exact"/>
        <w:rPr>
          <w:rFonts w:ascii="Arial" w:cs="Arial" w:eastAsia="Arial" w:hAnsi="Arial"/>
          <w:sz w:val="16"/>
          <w:szCs w:val="16"/>
          <w:color w:val="auto"/>
        </w:rPr>
      </w:pPr>
    </w:p>
    <w:p>
      <w:pPr>
        <w:ind w:left="1000" w:right="60" w:hanging="504"/>
        <w:spacing w:after="0" w:line="273"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data is presented to supplement audited and unaudited regulatory filings of the Company and should be read in conjunction with those filings. The financial data herein is unaudited and is provided from the prospective of timeliness to assist readers of quarterly and annual financial filings. As such, data otherwise contained in future regulatory filings coering the same period may be restated from the data presented herein.</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Questions pertaining to the information contained herein should be referred to Michael W. Reid or Thomas E. Wirth at michael.reid@slgreen.com or tom.wirth@slgreen.com or at 212-594-2700</w:t>
      </w:r>
    </w:p>
    <w:p>
      <w:pPr>
        <w:spacing w:after="0" w:line="156"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This report includes certain statements that may be deemed to be "forward-looking statements" within the meaning of Section 27A of the Securities Act of 1933, as amended, and Section 21E of the Securities Exchange Act of 1934, as amended. All statements, other than statements of historical facts, included in this report that address activities, events or developments that the Company expects, believes or anticipates will or may occur in the future, including such matters as future capital expenditures, dividends and acquisitions (including the amount and nature thereof), expansion and other development trends of the real estate industry, business strategies, expansion and growth of the Company's operations and other such matters are forward-looking statements. These statements are based on certain assumptions and analyses made by the Company in light of its experience and its perception of historical trends, current conditions, expected future developments and other factors it believes are appropriate. Such statements are subject to a number of assumptions, risks and uncertainties, general economic and business conditions, the business opportunities that may be presented to and pursued by the Company, changes in laws or regulations and other factors, many of which are beyond the control of the Company. Any such statements are not guarantees of future performance and actual results or developments may differ materially from those anticipated in the forward-looking statements.</w:t>
      </w:r>
    </w:p>
    <w:p>
      <w:pPr>
        <w:spacing w:after="0" w:line="150"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color w:val="auto"/>
        </w:rPr>
        <w:t>The following discussion related to the consolidated financial statements of the Company should be read in conjunction with the financial statements for the three and nine months ended September 30, 2002 that will subsequently be released on Form 10-Q to be filed on or before November 15, 2002.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Highlights of Current Period Financial Performance</w:t>
            </w:r>
          </w:p>
        </w:tc>
        <w:tc>
          <w:tcPr>
            <w:tcW w:w="4320" w:type="dxa"/>
            <w:vAlign w:val="bottom"/>
            <w:shd w:val="clear" w:color="auto" w:fill="CCEEFF"/>
          </w:tcPr>
          <w:p>
            <w:pPr>
              <w:spacing w:after="0"/>
              <w:rPr>
                <w:sz w:val="17"/>
                <w:szCs w:val="17"/>
                <w:color w:val="auto"/>
              </w:rPr>
            </w:pPr>
          </w:p>
        </w:tc>
      </w:tr>
      <w:tr>
        <w:trPr>
          <w:trHeight w:val="396"/>
        </w:trPr>
        <w:tc>
          <w:tcPr>
            <w:tcW w:w="7100" w:type="dxa"/>
            <w:vAlign w:val="bottom"/>
          </w:tcPr>
          <w:p>
            <w:pPr>
              <w:spacing w:after="0"/>
              <w:rPr>
                <w:sz w:val="20"/>
                <w:szCs w:val="20"/>
                <w:color w:val="auto"/>
              </w:rPr>
            </w:pPr>
            <w:r>
              <w:rPr>
                <w:rFonts w:ascii="Arial" w:cs="Arial" w:eastAsia="Arial" w:hAnsi="Arial"/>
                <w:sz w:val="16"/>
                <w:szCs w:val="16"/>
                <w:color w:val="auto"/>
              </w:rPr>
              <w:t>Unaudited Financial Statements</w:t>
            </w:r>
          </w:p>
        </w:tc>
        <w:tc>
          <w:tcPr>
            <w:tcW w:w="4320" w:type="dxa"/>
            <w:vAlign w:val="bottom"/>
          </w:tcPr>
          <w:p>
            <w:pPr>
              <w:spacing w:after="0"/>
              <w:rPr>
                <w:sz w:val="24"/>
                <w:szCs w:val="24"/>
                <w:color w:val="auto"/>
              </w:rPr>
            </w:pPr>
          </w:p>
        </w:tc>
      </w:tr>
      <w:tr>
        <w:trPr>
          <w:trHeight w:val="224"/>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Profile</w:t>
            </w:r>
          </w:p>
        </w:tc>
        <w:tc>
          <w:tcPr>
            <w:tcW w:w="4320" w:type="dxa"/>
            <w:vAlign w:val="bottom"/>
            <w:shd w:val="clear" w:color="auto" w:fill="CCEEFF"/>
          </w:tcPr>
          <w:p>
            <w:pPr>
              <w:jc w:val="center"/>
              <w:ind w:left="3479"/>
              <w:spacing w:after="0"/>
              <w:rPr>
                <w:sz w:val="20"/>
                <w:szCs w:val="20"/>
                <w:color w:val="auto"/>
              </w:rPr>
            </w:pPr>
            <w:r>
              <w:rPr>
                <w:rFonts w:ascii="Arial" w:cs="Arial" w:eastAsia="Arial" w:hAnsi="Arial"/>
                <w:sz w:val="16"/>
                <w:szCs w:val="16"/>
                <w:color w:val="auto"/>
                <w:w w:val="89"/>
              </w:rPr>
              <w:t>4</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Financial Highlights</w:t>
            </w:r>
          </w:p>
        </w:tc>
        <w:tc>
          <w:tcPr>
            <w:tcW w:w="4320" w:type="dxa"/>
            <w:vAlign w:val="bottom"/>
          </w:tcPr>
          <w:p>
            <w:pPr>
              <w:jc w:val="center"/>
              <w:ind w:left="3459"/>
              <w:spacing w:after="0"/>
              <w:rPr>
                <w:sz w:val="20"/>
                <w:szCs w:val="20"/>
                <w:color w:val="auto"/>
              </w:rPr>
            </w:pPr>
            <w:r>
              <w:rPr>
                <w:rFonts w:ascii="Arial" w:cs="Arial" w:eastAsia="Arial" w:hAnsi="Arial"/>
                <w:sz w:val="16"/>
                <w:szCs w:val="16"/>
                <w:color w:val="auto"/>
                <w:w w:val="94"/>
              </w:rPr>
              <w:t>5-9</w:t>
            </w:r>
          </w:p>
        </w:tc>
      </w:tr>
      <w:tr>
        <w:trPr>
          <w:trHeight w:val="232"/>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Balance Sheets</w:t>
            </w:r>
          </w:p>
        </w:tc>
        <w:tc>
          <w:tcPr>
            <w:tcW w:w="4320" w:type="dxa"/>
            <w:vAlign w:val="bottom"/>
            <w:shd w:val="clear" w:color="auto" w:fill="CCEEFF"/>
          </w:tcPr>
          <w:p>
            <w:pPr>
              <w:jc w:val="center"/>
              <w:ind w:left="3459"/>
              <w:spacing w:after="0"/>
              <w:rPr>
                <w:sz w:val="20"/>
                <w:szCs w:val="20"/>
                <w:color w:val="auto"/>
              </w:rPr>
            </w:pPr>
            <w:r>
              <w:rPr>
                <w:rFonts w:ascii="Arial" w:cs="Arial" w:eastAsia="Arial" w:hAnsi="Arial"/>
                <w:sz w:val="16"/>
                <w:szCs w:val="16"/>
                <w:color w:val="auto"/>
                <w:w w:val="92"/>
              </w:rPr>
              <w:t>11-12</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Statements of Operations</w:t>
            </w:r>
          </w:p>
        </w:tc>
        <w:tc>
          <w:tcPr>
            <w:tcW w:w="4320" w:type="dxa"/>
            <w:vAlign w:val="bottom"/>
          </w:tcPr>
          <w:p>
            <w:pPr>
              <w:jc w:val="center"/>
              <w:ind w:left="3459"/>
              <w:spacing w:after="0"/>
              <w:rPr>
                <w:sz w:val="20"/>
                <w:szCs w:val="20"/>
                <w:color w:val="auto"/>
              </w:rPr>
            </w:pPr>
            <w:r>
              <w:rPr>
                <w:rFonts w:ascii="Arial" w:cs="Arial" w:eastAsia="Arial" w:hAnsi="Arial"/>
                <w:sz w:val="16"/>
                <w:szCs w:val="16"/>
                <w:color w:val="auto"/>
                <w:w w:val="92"/>
              </w:rPr>
              <w:t>13-14</w:t>
            </w:r>
          </w:p>
        </w:tc>
      </w:tr>
      <w:tr>
        <w:trPr>
          <w:trHeight w:val="232"/>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Joint Venture Statements</w:t>
            </w:r>
          </w:p>
        </w:tc>
        <w:tc>
          <w:tcPr>
            <w:tcW w:w="4320" w:type="dxa"/>
            <w:vAlign w:val="bottom"/>
            <w:shd w:val="clear" w:color="auto" w:fill="CCEEFF"/>
          </w:tcPr>
          <w:p>
            <w:pPr>
              <w:jc w:val="center"/>
              <w:ind w:left="3459"/>
              <w:spacing w:after="0"/>
              <w:rPr>
                <w:sz w:val="20"/>
                <w:szCs w:val="20"/>
                <w:color w:val="auto"/>
              </w:rPr>
            </w:pPr>
            <w:r>
              <w:rPr>
                <w:rFonts w:ascii="Arial" w:cs="Arial" w:eastAsia="Arial" w:hAnsi="Arial"/>
                <w:sz w:val="16"/>
                <w:szCs w:val="16"/>
                <w:color w:val="auto"/>
                <w:w w:val="92"/>
              </w:rPr>
              <w:t>15-16</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Statement of Stockholders' Equity</w:t>
            </w:r>
          </w:p>
        </w:tc>
        <w:tc>
          <w:tcPr>
            <w:tcW w:w="4320" w:type="dxa"/>
            <w:vAlign w:val="bottom"/>
          </w:tcPr>
          <w:p>
            <w:pPr>
              <w:jc w:val="center"/>
              <w:ind w:left="3479"/>
              <w:spacing w:after="0"/>
              <w:rPr>
                <w:sz w:val="20"/>
                <w:szCs w:val="20"/>
                <w:color w:val="auto"/>
              </w:rPr>
            </w:pPr>
            <w:r>
              <w:rPr>
                <w:rFonts w:ascii="Arial" w:cs="Arial" w:eastAsia="Arial" w:hAnsi="Arial"/>
                <w:sz w:val="16"/>
                <w:szCs w:val="16"/>
                <w:color w:val="auto"/>
                <w:w w:val="89"/>
              </w:rPr>
              <w:t>17</w:t>
            </w:r>
          </w:p>
        </w:tc>
      </w:tr>
      <w:tr>
        <w:trPr>
          <w:trHeight w:val="232"/>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Funds From Operations</w:t>
            </w:r>
          </w:p>
        </w:tc>
        <w:tc>
          <w:tcPr>
            <w:tcW w:w="4320" w:type="dxa"/>
            <w:vAlign w:val="bottom"/>
            <w:shd w:val="clear" w:color="auto" w:fill="CCEEFF"/>
          </w:tcPr>
          <w:p>
            <w:pPr>
              <w:jc w:val="center"/>
              <w:ind w:left="3479"/>
              <w:spacing w:after="0"/>
              <w:rPr>
                <w:sz w:val="20"/>
                <w:szCs w:val="20"/>
                <w:color w:val="auto"/>
              </w:rPr>
            </w:pPr>
            <w:r>
              <w:rPr>
                <w:rFonts w:ascii="Arial" w:cs="Arial" w:eastAsia="Arial" w:hAnsi="Arial"/>
                <w:sz w:val="16"/>
                <w:szCs w:val="16"/>
                <w:color w:val="auto"/>
                <w:w w:val="89"/>
              </w:rPr>
              <w:t>18</w:t>
            </w:r>
          </w:p>
        </w:tc>
      </w:tr>
      <w:tr>
        <w:trPr>
          <w:trHeight w:val="396"/>
        </w:trPr>
        <w:tc>
          <w:tcPr>
            <w:tcW w:w="7100" w:type="dxa"/>
            <w:vAlign w:val="bottom"/>
          </w:tcPr>
          <w:p>
            <w:pPr>
              <w:spacing w:after="0"/>
              <w:rPr>
                <w:sz w:val="20"/>
                <w:szCs w:val="20"/>
                <w:color w:val="auto"/>
              </w:rPr>
            </w:pPr>
            <w:r>
              <w:rPr>
                <w:rFonts w:ascii="Arial" w:cs="Arial" w:eastAsia="Arial" w:hAnsi="Arial"/>
                <w:sz w:val="16"/>
                <w:szCs w:val="16"/>
                <w:color w:val="auto"/>
              </w:rPr>
              <w:t>Selected Financial Data</w:t>
            </w:r>
          </w:p>
        </w:tc>
        <w:tc>
          <w:tcPr>
            <w:tcW w:w="4320" w:type="dxa"/>
            <w:vAlign w:val="bottom"/>
          </w:tcPr>
          <w:p>
            <w:pPr>
              <w:jc w:val="center"/>
              <w:ind w:left="3459"/>
              <w:spacing w:after="0"/>
              <w:rPr>
                <w:sz w:val="20"/>
                <w:szCs w:val="20"/>
                <w:color w:val="auto"/>
              </w:rPr>
            </w:pPr>
            <w:r>
              <w:rPr>
                <w:rFonts w:ascii="Arial" w:cs="Arial" w:eastAsia="Arial" w:hAnsi="Arial"/>
                <w:sz w:val="16"/>
                <w:szCs w:val="16"/>
                <w:color w:val="auto"/>
                <w:w w:val="92"/>
              </w:rPr>
              <w:t>19-21</w:t>
            </w:r>
          </w:p>
        </w:tc>
      </w:tr>
      <w:tr>
        <w:trPr>
          <w:trHeight w:val="398"/>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Summary of Debt and Ground Lease Arrangements</w:t>
            </w:r>
          </w:p>
        </w:tc>
        <w:tc>
          <w:tcPr>
            <w:tcW w:w="4320" w:type="dxa"/>
            <w:vAlign w:val="bottom"/>
            <w:shd w:val="clear" w:color="auto" w:fill="CCEEFF"/>
          </w:tcPr>
          <w:p>
            <w:pPr>
              <w:jc w:val="center"/>
              <w:ind w:left="3459"/>
              <w:spacing w:after="0"/>
              <w:rPr>
                <w:sz w:val="20"/>
                <w:szCs w:val="20"/>
                <w:color w:val="auto"/>
              </w:rPr>
            </w:pPr>
            <w:r>
              <w:rPr>
                <w:rFonts w:ascii="Arial" w:cs="Arial" w:eastAsia="Arial" w:hAnsi="Arial"/>
                <w:sz w:val="16"/>
                <w:szCs w:val="16"/>
                <w:color w:val="auto"/>
                <w:w w:val="92"/>
              </w:rPr>
              <w:t>22-23</w:t>
            </w:r>
          </w:p>
        </w:tc>
      </w:tr>
      <w:tr>
        <w:trPr>
          <w:trHeight w:val="396"/>
        </w:trPr>
        <w:tc>
          <w:tcPr>
            <w:tcW w:w="7100" w:type="dxa"/>
            <w:vAlign w:val="bottom"/>
          </w:tcPr>
          <w:p>
            <w:pPr>
              <w:spacing w:after="0"/>
              <w:rPr>
                <w:sz w:val="20"/>
                <w:szCs w:val="20"/>
                <w:color w:val="auto"/>
              </w:rPr>
            </w:pPr>
            <w:r>
              <w:rPr>
                <w:rFonts w:ascii="Arial" w:cs="Arial" w:eastAsia="Arial" w:hAnsi="Arial"/>
                <w:sz w:val="16"/>
                <w:szCs w:val="16"/>
                <w:color w:val="auto"/>
              </w:rPr>
              <w:t>Mortgage Investments and Preferred Equity</w:t>
            </w:r>
          </w:p>
        </w:tc>
        <w:tc>
          <w:tcPr>
            <w:tcW w:w="4320" w:type="dxa"/>
            <w:vAlign w:val="bottom"/>
          </w:tcPr>
          <w:p>
            <w:pPr>
              <w:jc w:val="center"/>
              <w:ind w:left="3459"/>
              <w:spacing w:after="0"/>
              <w:rPr>
                <w:sz w:val="20"/>
                <w:szCs w:val="20"/>
                <w:color w:val="auto"/>
              </w:rPr>
            </w:pPr>
            <w:r>
              <w:rPr>
                <w:rFonts w:ascii="Arial" w:cs="Arial" w:eastAsia="Arial" w:hAnsi="Arial"/>
                <w:sz w:val="16"/>
                <w:szCs w:val="16"/>
                <w:color w:val="auto"/>
                <w:w w:val="92"/>
              </w:rPr>
              <w:t>24-25</w:t>
            </w:r>
          </w:p>
        </w:tc>
      </w:tr>
      <w:tr>
        <w:trPr>
          <w:trHeight w:val="398"/>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Property Data</w:t>
            </w:r>
          </w:p>
        </w:tc>
        <w:tc>
          <w:tcPr>
            <w:tcW w:w="4320" w:type="dxa"/>
            <w:vAlign w:val="bottom"/>
            <w:shd w:val="clear" w:color="auto" w:fill="CCEEFF"/>
          </w:tcPr>
          <w:p>
            <w:pPr>
              <w:spacing w:after="0"/>
              <w:rPr>
                <w:sz w:val="24"/>
                <w:szCs w:val="24"/>
                <w:color w:val="auto"/>
              </w:rPr>
            </w:pP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Composition of Property Portfolio</w:t>
            </w:r>
          </w:p>
        </w:tc>
        <w:tc>
          <w:tcPr>
            <w:tcW w:w="4320" w:type="dxa"/>
            <w:vAlign w:val="bottom"/>
          </w:tcPr>
          <w:p>
            <w:pPr>
              <w:jc w:val="center"/>
              <w:ind w:left="3479"/>
              <w:spacing w:after="0"/>
              <w:rPr>
                <w:sz w:val="20"/>
                <w:szCs w:val="20"/>
                <w:color w:val="auto"/>
              </w:rPr>
            </w:pPr>
            <w:r>
              <w:rPr>
                <w:rFonts w:ascii="Arial" w:cs="Arial" w:eastAsia="Arial" w:hAnsi="Arial"/>
                <w:sz w:val="16"/>
                <w:szCs w:val="16"/>
                <w:color w:val="auto"/>
                <w:w w:val="89"/>
              </w:rPr>
              <w:t>26</w:t>
            </w:r>
          </w:p>
        </w:tc>
      </w:tr>
      <w:tr>
        <w:trPr>
          <w:trHeight w:val="232"/>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Top Tenants</w:t>
            </w:r>
          </w:p>
        </w:tc>
        <w:tc>
          <w:tcPr>
            <w:tcW w:w="4320" w:type="dxa"/>
            <w:vAlign w:val="bottom"/>
            <w:shd w:val="clear" w:color="auto" w:fill="CCEEFF"/>
          </w:tcPr>
          <w:p>
            <w:pPr>
              <w:jc w:val="center"/>
              <w:ind w:left="3479"/>
              <w:spacing w:after="0"/>
              <w:rPr>
                <w:sz w:val="20"/>
                <w:szCs w:val="20"/>
                <w:color w:val="auto"/>
              </w:rPr>
            </w:pPr>
            <w:r>
              <w:rPr>
                <w:rFonts w:ascii="Arial" w:cs="Arial" w:eastAsia="Arial" w:hAnsi="Arial"/>
                <w:sz w:val="16"/>
                <w:szCs w:val="16"/>
                <w:color w:val="auto"/>
                <w:w w:val="89"/>
              </w:rPr>
              <w:t>27</w:t>
            </w:r>
          </w:p>
        </w:tc>
      </w:tr>
      <w:tr>
        <w:trPr>
          <w:trHeight w:val="215"/>
        </w:trPr>
        <w:tc>
          <w:tcPr>
            <w:tcW w:w="7100" w:type="dxa"/>
            <w:vAlign w:val="bottom"/>
          </w:tcPr>
          <w:p>
            <w:pPr>
              <w:ind w:left="240"/>
              <w:spacing w:after="0"/>
              <w:rPr>
                <w:sz w:val="20"/>
                <w:szCs w:val="20"/>
                <w:color w:val="auto"/>
              </w:rPr>
            </w:pPr>
            <w:r>
              <w:rPr>
                <w:rFonts w:ascii="Arial" w:cs="Arial" w:eastAsia="Arial" w:hAnsi="Arial"/>
                <w:sz w:val="16"/>
                <w:szCs w:val="16"/>
                <w:color w:val="auto"/>
              </w:rPr>
              <w:t>Leasing Activity Summary</w:t>
            </w:r>
          </w:p>
        </w:tc>
        <w:tc>
          <w:tcPr>
            <w:tcW w:w="4320" w:type="dxa"/>
            <w:vAlign w:val="bottom"/>
          </w:tcPr>
          <w:p>
            <w:pPr>
              <w:jc w:val="center"/>
              <w:ind w:left="3459"/>
              <w:spacing w:after="0"/>
              <w:rPr>
                <w:sz w:val="20"/>
                <w:szCs w:val="20"/>
                <w:color w:val="auto"/>
              </w:rPr>
            </w:pPr>
            <w:r>
              <w:rPr>
                <w:rFonts w:ascii="Arial" w:cs="Arial" w:eastAsia="Arial" w:hAnsi="Arial"/>
                <w:sz w:val="16"/>
                <w:szCs w:val="16"/>
                <w:color w:val="auto"/>
                <w:w w:val="92"/>
              </w:rPr>
              <w:t>28-31</w:t>
            </w:r>
          </w:p>
        </w:tc>
      </w:tr>
      <w:tr>
        <w:trPr>
          <w:trHeight w:val="232"/>
        </w:trPr>
        <w:tc>
          <w:tcPr>
            <w:tcW w:w="7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Expiration Schedule</w:t>
            </w:r>
          </w:p>
        </w:tc>
        <w:tc>
          <w:tcPr>
            <w:tcW w:w="4320" w:type="dxa"/>
            <w:vAlign w:val="bottom"/>
            <w:shd w:val="clear" w:color="auto" w:fill="CCEEFF"/>
          </w:tcPr>
          <w:p>
            <w:pPr>
              <w:jc w:val="center"/>
              <w:ind w:left="3459"/>
              <w:spacing w:after="0"/>
              <w:rPr>
                <w:sz w:val="20"/>
                <w:szCs w:val="20"/>
                <w:color w:val="auto"/>
              </w:rPr>
            </w:pPr>
            <w:r>
              <w:rPr>
                <w:rFonts w:ascii="Arial" w:cs="Arial" w:eastAsia="Arial" w:hAnsi="Arial"/>
                <w:sz w:val="16"/>
                <w:szCs w:val="16"/>
                <w:color w:val="auto"/>
                <w:w w:val="92"/>
              </w:rPr>
              <w:t>32-33</w:t>
            </w:r>
          </w:p>
        </w:tc>
      </w:tr>
    </w:tbl>
    <w:p>
      <w:pPr>
        <w:sectPr>
          <w:pgSz w:w="11900" w:h="16838" w:orient="portrait"/>
          <w:cols w:equalWidth="0" w:num="1">
            <w:col w:w="11420"/>
          </w:cols>
          <w:pgMar w:left="240" w:top="344" w:right="239" w:bottom="0" w:gutter="0" w:footer="0" w:header="0"/>
        </w:sectPr>
      </w:pPr>
    </w:p>
    <w:bookmarkStart w:id="3" w:name="page4"/>
    <w:bookmarkEnd w:id="3"/>
    <w:p>
      <w:pPr>
        <w:spacing w:after="0" w:line="124" w:lineRule="exact"/>
        <w:rPr>
          <w:sz w:val="20"/>
          <w:szCs w:val="20"/>
          <w:color w:val="auto"/>
        </w:rPr>
      </w:pPr>
    </w:p>
    <w:tbl>
      <w:tblPr>
        <w:tblLayout w:type="fixed"/>
        <w:tblInd w:w="1" w:type="dxa"/>
        <w:tblCellMar>
          <w:top w:w="0" w:type="dxa"/>
          <w:left w:w="0" w:type="dxa"/>
          <w:bottom w:w="0" w:type="dxa"/>
          <w:right w:w="0" w:type="dxa"/>
        </w:tblCellMar>
      </w:tblPr>
      <w:tr>
        <w:trPr>
          <w:trHeight w:val="206"/>
        </w:trPr>
        <w:tc>
          <w:tcPr>
            <w:tcW w:w="4320" w:type="dxa"/>
            <w:vAlign w:val="bottom"/>
          </w:tcPr>
          <w:p>
            <w:pPr>
              <w:spacing w:after="0"/>
              <w:rPr>
                <w:sz w:val="20"/>
                <w:szCs w:val="20"/>
                <w:color w:val="auto"/>
              </w:rPr>
            </w:pPr>
            <w:r>
              <w:rPr>
                <w:rFonts w:ascii="Arial" w:cs="Arial" w:eastAsia="Arial" w:hAnsi="Arial"/>
                <w:sz w:val="16"/>
                <w:szCs w:val="16"/>
                <w:color w:val="auto"/>
              </w:rPr>
              <w:t>Summary of Acquisition/Disposition Activity</w:t>
            </w:r>
          </w:p>
        </w:tc>
        <w:tc>
          <w:tcPr>
            <w:tcW w:w="7100" w:type="dxa"/>
            <w:vAlign w:val="bottom"/>
          </w:tcPr>
          <w:p>
            <w:pPr>
              <w:jc w:val="center"/>
              <w:ind w:left="6239"/>
              <w:spacing w:after="0"/>
              <w:rPr>
                <w:sz w:val="20"/>
                <w:szCs w:val="20"/>
                <w:color w:val="auto"/>
              </w:rPr>
            </w:pPr>
            <w:r>
              <w:rPr>
                <w:rFonts w:ascii="Arial" w:cs="Arial" w:eastAsia="Arial" w:hAnsi="Arial"/>
                <w:sz w:val="16"/>
                <w:szCs w:val="16"/>
                <w:color w:val="auto"/>
                <w:w w:val="92"/>
              </w:rPr>
              <w:t>34-35</w:t>
            </w:r>
          </w:p>
        </w:tc>
      </w:tr>
      <w:tr>
        <w:trPr>
          <w:trHeight w:val="20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Supplemental Definitions</w:t>
            </w:r>
          </w:p>
        </w:tc>
        <w:tc>
          <w:tcPr>
            <w:tcW w:w="7100" w:type="dxa"/>
            <w:vAlign w:val="bottom"/>
            <w:shd w:val="clear" w:color="auto" w:fill="CCEEFF"/>
          </w:tcPr>
          <w:p>
            <w:pPr>
              <w:jc w:val="center"/>
              <w:ind w:left="6259"/>
              <w:spacing w:after="0"/>
              <w:rPr>
                <w:sz w:val="20"/>
                <w:szCs w:val="20"/>
                <w:color w:val="auto"/>
              </w:rPr>
            </w:pPr>
            <w:r>
              <w:rPr>
                <w:rFonts w:ascii="Arial" w:cs="Arial" w:eastAsia="Arial" w:hAnsi="Arial"/>
                <w:sz w:val="16"/>
                <w:szCs w:val="16"/>
                <w:color w:val="auto"/>
                <w:w w:val="89"/>
              </w:rPr>
              <w:t>36</w:t>
            </w:r>
          </w:p>
        </w:tc>
      </w:tr>
      <w:tr>
        <w:trPr>
          <w:trHeight w:val="206"/>
        </w:trPr>
        <w:tc>
          <w:tcPr>
            <w:tcW w:w="4320" w:type="dxa"/>
            <w:vAlign w:val="bottom"/>
          </w:tcPr>
          <w:p>
            <w:pPr>
              <w:spacing w:after="0"/>
              <w:rPr>
                <w:sz w:val="20"/>
                <w:szCs w:val="20"/>
                <w:color w:val="auto"/>
              </w:rPr>
            </w:pPr>
            <w:r>
              <w:rPr>
                <w:rFonts w:ascii="Arial" w:cs="Arial" w:eastAsia="Arial" w:hAnsi="Arial"/>
                <w:sz w:val="16"/>
                <w:szCs w:val="16"/>
                <w:color w:val="auto"/>
              </w:rPr>
              <w:t>Corporate Information</w:t>
            </w:r>
          </w:p>
        </w:tc>
        <w:tc>
          <w:tcPr>
            <w:tcW w:w="7100" w:type="dxa"/>
            <w:vAlign w:val="bottom"/>
          </w:tcPr>
          <w:p>
            <w:pPr>
              <w:jc w:val="center"/>
              <w:ind w:left="6259"/>
              <w:spacing w:after="0"/>
              <w:rPr>
                <w:sz w:val="20"/>
                <w:szCs w:val="20"/>
                <w:color w:val="auto"/>
              </w:rPr>
            </w:pPr>
            <w:r>
              <w:rPr>
                <w:rFonts w:ascii="Arial" w:cs="Arial" w:eastAsia="Arial" w:hAnsi="Arial"/>
                <w:sz w:val="16"/>
                <w:szCs w:val="16"/>
                <w:color w:val="auto"/>
                <w:w w:val="89"/>
              </w:rPr>
              <w:t>37</w:t>
            </w:r>
          </w:p>
        </w:tc>
      </w:tr>
      <w:tr>
        <w:trPr>
          <w:trHeight w:val="388"/>
        </w:trPr>
        <w:tc>
          <w:tcPr>
            <w:tcW w:w="4320" w:type="dxa"/>
            <w:vAlign w:val="bottom"/>
          </w:tcPr>
          <w:p>
            <w:pPr>
              <w:spacing w:after="0"/>
              <w:rPr>
                <w:sz w:val="24"/>
                <w:szCs w:val="24"/>
                <w:color w:val="auto"/>
              </w:rPr>
            </w:pPr>
          </w:p>
        </w:tc>
        <w:tc>
          <w:tcPr>
            <w:tcW w:w="7100" w:type="dxa"/>
            <w:vAlign w:val="bottom"/>
          </w:tcPr>
          <w:p>
            <w:pPr>
              <w:jc w:val="right"/>
              <w:ind w:right="5579"/>
              <w:spacing w:after="0"/>
              <w:rPr>
                <w:sz w:val="20"/>
                <w:szCs w:val="20"/>
                <w:color w:val="auto"/>
              </w:rPr>
            </w:pPr>
            <w:r>
              <w:rPr>
                <w:rFonts w:ascii="Arial" w:cs="Arial" w:eastAsia="Arial" w:hAnsi="Arial"/>
                <w:sz w:val="16"/>
                <w:szCs w:val="16"/>
                <w:color w:val="auto"/>
              </w:rPr>
              <w:t>3</w:t>
            </w:r>
          </w:p>
        </w:tc>
      </w:tr>
      <w:tr>
        <w:trPr>
          <w:trHeight w:val="209"/>
        </w:trPr>
        <w:tc>
          <w:tcPr>
            <w:tcW w:w="4320" w:type="dxa"/>
            <w:vAlign w:val="bottom"/>
            <w:tcBorders>
              <w:bottom w:val="single" w:sz="8" w:color="808080"/>
            </w:tcBorders>
          </w:tcPr>
          <w:p>
            <w:pPr>
              <w:spacing w:after="0"/>
              <w:rPr>
                <w:sz w:val="18"/>
                <w:szCs w:val="18"/>
                <w:color w:val="auto"/>
              </w:rPr>
            </w:pPr>
          </w:p>
        </w:tc>
        <w:tc>
          <w:tcPr>
            <w:tcW w:w="7100" w:type="dxa"/>
            <w:vAlign w:val="bottom"/>
            <w:tcBorders>
              <w:bottom w:val="single" w:sz="8" w:color="808080"/>
            </w:tcBorders>
          </w:tcPr>
          <w:p>
            <w:pPr>
              <w:spacing w:after="0"/>
              <w:rPr>
                <w:sz w:val="18"/>
                <w:szCs w:val="18"/>
                <w:color w:val="auto"/>
              </w:rPr>
            </w:pPr>
          </w:p>
        </w:tc>
      </w:tr>
      <w:tr>
        <w:trPr>
          <w:trHeight w:val="203"/>
        </w:trPr>
        <w:tc>
          <w:tcPr>
            <w:tcW w:w="4320" w:type="dxa"/>
            <w:vAlign w:val="bottom"/>
            <w:tcBorders>
              <w:bottom w:val="single" w:sz="8" w:color="808080"/>
            </w:tcBorders>
          </w:tcPr>
          <w:p>
            <w:pPr>
              <w:spacing w:after="0"/>
              <w:rPr>
                <w:sz w:val="17"/>
                <w:szCs w:val="17"/>
                <w:color w:val="auto"/>
              </w:rPr>
            </w:pPr>
          </w:p>
        </w:tc>
        <w:tc>
          <w:tcPr>
            <w:tcW w:w="71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Arial" w:cs="Arial" w:eastAsia="Arial" w:hAnsi="Arial"/>
          <w:sz w:val="30"/>
          <w:szCs w:val="30"/>
          <w:b w:val="1"/>
          <w:bCs w:val="1"/>
          <w:color w:val="auto"/>
        </w:rPr>
        <w:t>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23" w:lineRule="exact"/>
        <w:rPr>
          <w:sz w:val="20"/>
          <w:szCs w:val="20"/>
          <w:color w:val="auto"/>
        </w:rPr>
      </w:pPr>
    </w:p>
    <w:p>
      <w:pPr>
        <w:ind w:left="1" w:right="380"/>
        <w:spacing w:after="0" w:line="291" w:lineRule="auto"/>
        <w:rPr>
          <w:sz w:val="20"/>
          <w:szCs w:val="20"/>
          <w:color w:val="auto"/>
        </w:rPr>
      </w:pPr>
      <w:r>
        <w:rPr>
          <w:rFonts w:ascii="Arial" w:cs="Arial" w:eastAsia="Arial" w:hAnsi="Arial"/>
          <w:sz w:val="15"/>
          <w:szCs w:val="15"/>
          <w:color w:val="auto"/>
        </w:rPr>
        <w:t>SL Green Realty Corp. (the "Company") was formed on August 20, 1997 to continue the commercial real estate business of SL Green Properties Inc. founded in 1980 by Stephen L. Green, our current Chairman and Chief Executive Officer. For more than 20 years SL Green has been engaged in the business of owning, managing, leasing, acquiring and repositioning office properties in Manhattan. The Company's investment focus is to create value through the acquisition, redevelopment and repositioning of Manhattan office properties and releasing and managing these properties for maximum cash flow.</w:t>
      </w:r>
    </w:p>
    <w:p>
      <w:pPr>
        <w:spacing w:after="0" w:line="156" w:lineRule="exact"/>
        <w:rPr>
          <w:sz w:val="20"/>
          <w:szCs w:val="20"/>
          <w:color w:val="auto"/>
        </w:rPr>
      </w:pPr>
    </w:p>
    <w:p>
      <w:pPr>
        <w:jc w:val="both"/>
        <w:ind w:left="1"/>
        <w:spacing w:after="0" w:line="273" w:lineRule="auto"/>
        <w:rPr>
          <w:sz w:val="20"/>
          <w:szCs w:val="20"/>
          <w:color w:val="auto"/>
        </w:rPr>
      </w:pPr>
      <w:r>
        <w:rPr>
          <w:rFonts w:ascii="Arial" w:cs="Arial" w:eastAsia="Arial" w:hAnsi="Arial"/>
          <w:sz w:val="16"/>
          <w:szCs w:val="16"/>
          <w:color w:val="auto"/>
        </w:rPr>
        <w:t>Looking forward, SL Green Realty Corp. will continue its opportunistic investment philosophy through three established business lines: wholly owned property investments, co-ownership in properties with institutional partners, and structured finance investments. This three-legged investment strategy will allow SL Green to balance the components of its portfolio to take advantage of each stage in the business cycle.</w:t>
      </w:r>
    </w:p>
    <w:p>
      <w:pPr>
        <w:spacing w:after="0" w:line="166" w:lineRule="exact"/>
        <w:rPr>
          <w:sz w:val="20"/>
          <w:szCs w:val="20"/>
          <w:color w:val="auto"/>
        </w:rPr>
      </w:pPr>
    </w:p>
    <w:p>
      <w:pPr>
        <w:ind w:left="1" w:right="400"/>
        <w:spacing w:after="0" w:line="287" w:lineRule="auto"/>
        <w:rPr>
          <w:sz w:val="20"/>
          <w:szCs w:val="20"/>
          <w:color w:val="auto"/>
        </w:rPr>
      </w:pPr>
      <w:r>
        <w:rPr>
          <w:rFonts w:ascii="Arial" w:cs="Arial" w:eastAsia="Arial" w:hAnsi="Arial"/>
          <w:sz w:val="16"/>
          <w:szCs w:val="16"/>
          <w:color w:val="auto"/>
        </w:rPr>
        <w:t>Today, the Company is the only fully integrated, self-managed, self-administered Real Estate Investment Trust (REIT) exclusively focused on owning and operating office buildings in Manhattan. SL Green is a pure play for investors to own a piece of New York.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FINANCIAL HIGHLIGHTS</w:t>
      </w:r>
    </w:p>
    <w:p>
      <w:pPr>
        <w:spacing w:after="0" w:line="2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THIRD QUARTER 2002</w:t>
      </w:r>
    </w:p>
    <w:p>
      <w:pPr>
        <w:ind w:left="1"/>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86"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EARNINGS PERFORMANCE</w:t>
      </w:r>
    </w:p>
    <w:p>
      <w:pPr>
        <w:spacing w:after="0" w:line="217" w:lineRule="exact"/>
        <w:rPr>
          <w:sz w:val="20"/>
          <w:szCs w:val="20"/>
          <w:color w:val="auto"/>
        </w:rPr>
      </w:pPr>
    </w:p>
    <w:p>
      <w:pPr>
        <w:ind w:left="1" w:right="220"/>
        <w:spacing w:after="0" w:line="273" w:lineRule="auto"/>
        <w:rPr>
          <w:sz w:val="20"/>
          <w:szCs w:val="20"/>
          <w:color w:val="auto"/>
        </w:rPr>
      </w:pPr>
      <w:r>
        <w:rPr>
          <w:rFonts w:ascii="Arial" w:cs="Arial" w:eastAsia="Arial" w:hAnsi="Arial"/>
          <w:sz w:val="16"/>
          <w:szCs w:val="16"/>
          <w:color w:val="auto"/>
        </w:rPr>
        <w:t>Third quarter Funds From Operations (FFO) were $30.2 million or $0.86 per share (diluted), 19.4% better than one year ago, when FFO was $23.6 million or $0.72 per share (diluted). The third quarter FFO per share results reflect the Company's five million common share issuance in July 2001 which primarily increased the weighted average dilutive shares outstanding from 36.1 million in 2001 to 37.8 million in 2002.</w:t>
      </w:r>
    </w:p>
    <w:p>
      <w:pPr>
        <w:spacing w:after="0" w:line="166" w:lineRule="exact"/>
        <w:rPr>
          <w:sz w:val="20"/>
          <w:szCs w:val="20"/>
          <w:color w:val="auto"/>
        </w:rPr>
      </w:pPr>
    </w:p>
    <w:p>
      <w:pPr>
        <w:ind w:left="1" w:right="680"/>
        <w:spacing w:after="0" w:line="287" w:lineRule="auto"/>
        <w:rPr>
          <w:sz w:val="20"/>
          <w:szCs w:val="20"/>
          <w:color w:val="auto"/>
        </w:rPr>
      </w:pPr>
      <w:r>
        <w:rPr>
          <w:rFonts w:ascii="Arial" w:cs="Arial" w:eastAsia="Arial" w:hAnsi="Arial"/>
          <w:sz w:val="16"/>
          <w:szCs w:val="16"/>
          <w:color w:val="auto"/>
        </w:rPr>
        <w:t>For the nine months ended September 30, 2002, results improved 11.6% as FFO before minority interest totaled $85.8 million, or $2.45 per share diluted, compared to $68.6 million, or $2.25 per share diluted for the same period in 2001.</w:t>
      </w:r>
    </w:p>
    <w:p>
      <w:pPr>
        <w:spacing w:after="0" w:line="156" w:lineRule="exact"/>
        <w:rPr>
          <w:sz w:val="20"/>
          <w:szCs w:val="20"/>
          <w:color w:val="auto"/>
        </w:rPr>
      </w:pPr>
    </w:p>
    <w:p>
      <w:pPr>
        <w:ind w:left="1" w:right="560"/>
        <w:spacing w:after="0" w:line="362" w:lineRule="auto"/>
        <w:rPr>
          <w:sz w:val="20"/>
          <w:szCs w:val="20"/>
          <w:color w:val="auto"/>
        </w:rPr>
      </w:pPr>
      <w:r>
        <w:rPr>
          <w:rFonts w:ascii="Arial" w:cs="Arial" w:eastAsia="Arial" w:hAnsi="Arial"/>
          <w:sz w:val="14"/>
          <w:szCs w:val="14"/>
          <w:color w:val="auto"/>
        </w:rPr>
        <w:t>The 2001 results include a $1.0 million charge, or $0.03 per share, for a one-time contribution to the Twin Towers Fund. In addition, in accordance with new accounting guidelines, the 2001 results were restated to reclassify a $0.3 million charge related to the early extinguishment of debt as an increase to interest expense.</w:t>
      </w:r>
    </w:p>
    <w:p>
      <w:pPr>
        <w:spacing w:after="0" w:line="11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$6.6 million growth in third quarter FFO results from the following:</w:t>
      </w:r>
    </w:p>
    <w:p>
      <w:pPr>
        <w:spacing w:after="0" w:line="213" w:lineRule="exact"/>
        <w:rPr>
          <w:sz w:val="20"/>
          <w:szCs w:val="20"/>
          <w:color w:val="auto"/>
        </w:rPr>
      </w:pPr>
    </w:p>
    <w:p>
      <w:pPr>
        <w:ind w:left="1" w:right="140" w:hanging="1"/>
        <w:spacing w:after="0" w:line="287" w:lineRule="auto"/>
        <w:tabs>
          <w:tab w:leader="none" w:pos="350" w:val="left"/>
        </w:tabs>
        <w:numPr>
          <w:ilvl w:val="0"/>
          <w:numId w:val="3"/>
        </w:numPr>
        <w:rPr>
          <w:rFonts w:ascii="Arial" w:cs="Arial" w:eastAsia="Arial" w:hAnsi="Arial"/>
          <w:sz w:val="16"/>
          <w:szCs w:val="16"/>
          <w:color w:val="auto"/>
        </w:rPr>
      </w:pPr>
      <w:r>
        <w:rPr>
          <w:rFonts w:ascii="Arial" w:cs="Arial" w:eastAsia="Arial" w:hAnsi="Arial"/>
          <w:sz w:val="16"/>
          <w:szCs w:val="16"/>
          <w:color w:val="auto"/>
        </w:rPr>
        <w:t>$3.9 million increase to FFO from unconsolidated joint ventures primarily due to the acquisition of 1515 Broadway (May 2002) and the net acquisition of an incremental share in the interest in 1250 Broadway from 49.9% to 55.0% (November 2001).</w:t>
      </w:r>
    </w:p>
    <w:p>
      <w:pPr>
        <w:spacing w:after="0" w:line="155" w:lineRule="exact"/>
        <w:rPr>
          <w:rFonts w:ascii="Arial" w:cs="Arial" w:eastAsia="Arial" w:hAnsi="Arial"/>
          <w:sz w:val="16"/>
          <w:szCs w:val="16"/>
          <w:color w:val="auto"/>
        </w:rPr>
      </w:pPr>
    </w:p>
    <w:p>
      <w:pPr>
        <w:ind w:left="341" w:hanging="341"/>
        <w:spacing w:after="0"/>
        <w:tabs>
          <w:tab w:leader="none" w:pos="341"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Consolidated GAAP NOI increased $2.3 million:</w:t>
      </w:r>
    </w:p>
    <w:p>
      <w:pPr>
        <w:spacing w:after="0" w:line="225" w:lineRule="exact"/>
        <w:rPr>
          <w:rFonts w:ascii="Arial" w:cs="Arial" w:eastAsia="Arial" w:hAnsi="Arial"/>
          <w:sz w:val="16"/>
          <w:szCs w:val="16"/>
          <w:color w:val="auto"/>
        </w:rPr>
      </w:pPr>
    </w:p>
    <w:p>
      <w:pPr>
        <w:ind w:left="1001" w:right="160" w:hanging="504"/>
        <w:spacing w:after="0" w:line="291" w:lineRule="auto"/>
        <w:tabs>
          <w:tab w:leader="none" w:pos="1001" w:val="left"/>
        </w:tabs>
        <w:numPr>
          <w:ilvl w:val="1"/>
          <w:numId w:val="3"/>
        </w:numPr>
        <w:rPr>
          <w:rFonts w:ascii="Arial" w:cs="Arial" w:eastAsia="Arial" w:hAnsi="Arial"/>
          <w:sz w:val="15"/>
          <w:szCs w:val="15"/>
          <w:color w:val="auto"/>
        </w:rPr>
      </w:pPr>
      <w:r>
        <w:rPr>
          <w:rFonts w:ascii="Arial" w:cs="Arial" w:eastAsia="Arial" w:hAnsi="Arial"/>
          <w:sz w:val="15"/>
          <w:szCs w:val="15"/>
          <w:color w:val="auto"/>
        </w:rPr>
        <w:t>$0.3 million increase from the 2002 same store properties primarily due to an increase in GAAP revenue totaling $1.2 million, net of change in credit loss. The increase in revenue is attributable to (i) a $1.5 million increase from GAAP replacement rents, which were 48.0% higher than the previously fully escalated rents, were partially offset by higher tenant reserves and vacancies ($0.9 million) and (ii) increased escalation and reimbursement income ($0.1 million) primarily from operating expense recoveries. This increase was partially offset by a $1.1 million increase in operating costs.</w:t>
      </w:r>
    </w:p>
    <w:p>
      <w:pPr>
        <w:spacing w:after="0" w:line="181" w:lineRule="exact"/>
        <w:rPr>
          <w:rFonts w:ascii="Arial" w:cs="Arial" w:eastAsia="Arial" w:hAnsi="Arial"/>
          <w:sz w:val="15"/>
          <w:szCs w:val="15"/>
          <w:color w:val="auto"/>
        </w:rPr>
      </w:pPr>
    </w:p>
    <w:p>
      <w:pPr>
        <w:ind w:left="1001" w:right="120" w:hanging="504"/>
        <w:spacing w:after="0" w:line="287" w:lineRule="auto"/>
        <w:tabs>
          <w:tab w:leader="none" w:pos="1001" w:val="left"/>
        </w:tabs>
        <w:numPr>
          <w:ilvl w:val="1"/>
          <w:numId w:val="3"/>
        </w:numPr>
        <w:rPr>
          <w:rFonts w:ascii="Arial" w:cs="Arial" w:eastAsia="Arial" w:hAnsi="Arial"/>
          <w:sz w:val="16"/>
          <w:szCs w:val="16"/>
          <w:color w:val="auto"/>
        </w:rPr>
      </w:pPr>
      <w:r>
        <w:rPr>
          <w:rFonts w:ascii="Arial" w:cs="Arial" w:eastAsia="Arial" w:hAnsi="Arial"/>
          <w:sz w:val="16"/>
          <w:szCs w:val="16"/>
          <w:color w:val="auto"/>
        </w:rPr>
        <w:t>$3.0 million increase from the equity in income from unconsolidated joint ventures (previously noted above, included in $3.9 million from unconsolidated joint ventures). The $3.0 million net income improvement excludes a $0.9 million improvement in FFO for increased depreciation.</w:t>
      </w:r>
    </w:p>
    <w:p>
      <w:pPr>
        <w:spacing w:after="0" w:line="152" w:lineRule="exact"/>
        <w:rPr>
          <w:rFonts w:ascii="Arial" w:cs="Arial" w:eastAsia="Arial" w:hAnsi="Arial"/>
          <w:sz w:val="16"/>
          <w:szCs w:val="16"/>
          <w:color w:val="auto"/>
        </w:rPr>
      </w:pPr>
    </w:p>
    <w:p>
      <w:pPr>
        <w:ind w:left="1001" w:hanging="504"/>
        <w:spacing w:after="0"/>
        <w:tabs>
          <w:tab w:leader="none" w:pos="1001" w:val="left"/>
        </w:tabs>
        <w:numPr>
          <w:ilvl w:val="1"/>
          <w:numId w:val="3"/>
        </w:numPr>
        <w:rPr>
          <w:rFonts w:ascii="Arial" w:cs="Arial" w:eastAsia="Arial" w:hAnsi="Arial"/>
          <w:sz w:val="32"/>
          <w:szCs w:val="32"/>
          <w:color w:val="auto"/>
          <w:vertAlign w:val="superscript"/>
        </w:rPr>
      </w:pPr>
      <w:r>
        <w:rPr>
          <w:rFonts w:ascii="Arial" w:cs="Arial" w:eastAsia="Arial" w:hAnsi="Arial"/>
          <w:sz w:val="16"/>
          <w:szCs w:val="16"/>
          <w:color w:val="auto"/>
        </w:rPr>
        <w:t>$0.2 million decrease due to the partial sale of 110 East 42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p>
      <w:pPr>
        <w:spacing w:after="0" w:line="78" w:lineRule="exact"/>
        <w:rPr>
          <w:rFonts w:ascii="Arial" w:cs="Arial" w:eastAsia="Arial" w:hAnsi="Arial"/>
          <w:sz w:val="32"/>
          <w:szCs w:val="32"/>
          <w:color w:val="auto"/>
          <w:vertAlign w:val="superscript"/>
        </w:rPr>
      </w:pPr>
    </w:p>
    <w:p>
      <w:pPr>
        <w:ind w:left="1001" w:hanging="504"/>
        <w:spacing w:after="0"/>
        <w:tabs>
          <w:tab w:leader="none" w:pos="1001" w:val="left"/>
        </w:tabs>
        <w:numPr>
          <w:ilvl w:val="1"/>
          <w:numId w:val="3"/>
        </w:numPr>
        <w:rPr>
          <w:rFonts w:ascii="Arial" w:cs="Arial" w:eastAsia="Arial" w:hAnsi="Arial"/>
          <w:sz w:val="32"/>
          <w:szCs w:val="32"/>
          <w:color w:val="auto"/>
          <w:vertAlign w:val="superscript"/>
        </w:rPr>
      </w:pPr>
      <w:r>
        <w:rPr>
          <w:rFonts w:ascii="Arial" w:cs="Arial" w:eastAsia="Arial" w:hAnsi="Arial"/>
          <w:sz w:val="16"/>
          <w:szCs w:val="16"/>
          <w:color w:val="auto"/>
        </w:rPr>
        <w:t>$0.6 million decrease from non-same store property results, inclusive of 50 West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Street and e.Emerge.</w:t>
      </w:r>
    </w:p>
    <w:p>
      <w:pPr>
        <w:spacing w:after="0" w:line="81" w:lineRule="exact"/>
        <w:rPr>
          <w:rFonts w:ascii="Arial" w:cs="Arial" w:eastAsia="Arial" w:hAnsi="Arial"/>
          <w:sz w:val="32"/>
          <w:szCs w:val="32"/>
          <w:color w:val="auto"/>
          <w:vertAlign w:val="superscript"/>
        </w:rPr>
      </w:pPr>
    </w:p>
    <w:p>
      <w:pPr>
        <w:ind w:left="1" w:right="40" w:hanging="1"/>
        <w:spacing w:after="0" w:line="322" w:lineRule="auto"/>
        <w:tabs>
          <w:tab w:leader="none" w:pos="350" w:val="left"/>
        </w:tabs>
        <w:numPr>
          <w:ilvl w:val="0"/>
          <w:numId w:val="3"/>
        </w:numPr>
        <w:rPr>
          <w:rFonts w:ascii="Arial" w:cs="Arial" w:eastAsia="Arial" w:hAnsi="Arial"/>
          <w:sz w:val="15"/>
          <w:szCs w:val="15"/>
          <w:color w:val="auto"/>
        </w:rPr>
      </w:pPr>
      <w:r>
        <w:rPr>
          <w:rFonts w:ascii="Arial" w:cs="Arial" w:eastAsia="Arial" w:hAnsi="Arial"/>
          <w:sz w:val="15"/>
          <w:szCs w:val="15"/>
          <w:color w:val="auto"/>
        </w:rPr>
        <w:t>$1.9 million increase in investment and preferred equity income primarily due to the weighted-average asset balance increase from $114.2 million to $194.7 million due to increased net originations. The increase is partially offset by a decrease in the weighted average yield from 16.50% to 12.45% primarily due to lower LIBOR.</w:t>
      </w:r>
    </w:p>
    <w:p>
      <w:pPr>
        <w:spacing w:after="0" w:line="132" w:lineRule="exact"/>
        <w:rPr>
          <w:rFonts w:ascii="Arial" w:cs="Arial" w:eastAsia="Arial" w:hAnsi="Arial"/>
          <w:sz w:val="15"/>
          <w:szCs w:val="15"/>
          <w:color w:val="auto"/>
        </w:rPr>
      </w:pPr>
    </w:p>
    <w:p>
      <w:pPr>
        <w:ind w:left="341" w:hanging="341"/>
        <w:spacing w:after="0"/>
        <w:tabs>
          <w:tab w:leader="none" w:pos="341" w:val="left"/>
        </w:tabs>
        <w:numPr>
          <w:ilvl w:val="0"/>
          <w:numId w:val="3"/>
        </w:numPr>
        <w:rPr>
          <w:rFonts w:ascii="Arial" w:cs="Arial" w:eastAsia="Arial" w:hAnsi="Arial"/>
          <w:sz w:val="16"/>
          <w:szCs w:val="16"/>
          <w:color w:val="auto"/>
        </w:rPr>
      </w:pPr>
      <w:r>
        <w:rPr>
          <w:rFonts w:ascii="Arial" w:cs="Arial" w:eastAsia="Arial" w:hAnsi="Arial"/>
          <w:sz w:val="16"/>
          <w:szCs w:val="16"/>
          <w:color w:val="auto"/>
        </w:rPr>
        <w:t>MG&amp;A decreased $1.0 million due to the contribution to the Twin Towers Fund in 2001.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1" w:hanging="341"/>
        <w:spacing w:after="0"/>
        <w:tabs>
          <w:tab w:leader="none" w:pos="341" w:val="left"/>
        </w:tabs>
        <w:numPr>
          <w:ilvl w:val="0"/>
          <w:numId w:val="4"/>
        </w:numPr>
        <w:rPr>
          <w:rFonts w:ascii="Arial" w:cs="Arial" w:eastAsia="Arial" w:hAnsi="Arial"/>
          <w:sz w:val="15"/>
          <w:szCs w:val="15"/>
          <w:color w:val="auto"/>
        </w:rPr>
      </w:pPr>
      <w:r>
        <w:rPr>
          <w:rFonts w:ascii="Arial" w:cs="Arial" w:eastAsia="Arial" w:hAnsi="Arial"/>
          <w:sz w:val="15"/>
          <w:szCs w:val="15"/>
          <w:color w:val="auto"/>
        </w:rPr>
        <w:t>$0.6 million increase in other income primarily due to asset management fees earned on joint ventures ($0.7 million) and lease buy-out income ($0.2 million).</w:t>
      </w:r>
    </w:p>
    <w:p>
      <w:pPr>
        <w:spacing w:after="0" w:line="224" w:lineRule="exact"/>
        <w:rPr>
          <w:rFonts w:ascii="Arial" w:cs="Arial" w:eastAsia="Arial" w:hAnsi="Arial"/>
          <w:sz w:val="15"/>
          <w:szCs w:val="15"/>
          <w:color w:val="auto"/>
        </w:rPr>
      </w:pPr>
    </w:p>
    <w:p>
      <w:pPr>
        <w:ind w:left="1" w:right="360" w:hanging="1"/>
        <w:spacing w:after="0" w:line="362" w:lineRule="auto"/>
        <w:tabs>
          <w:tab w:leader="none" w:pos="350" w:val="left"/>
        </w:tabs>
        <w:numPr>
          <w:ilvl w:val="0"/>
          <w:numId w:val="4"/>
        </w:numPr>
        <w:rPr>
          <w:rFonts w:ascii="Arial" w:cs="Arial" w:eastAsia="Arial" w:hAnsi="Arial"/>
          <w:sz w:val="14"/>
          <w:szCs w:val="14"/>
          <w:color w:val="auto"/>
        </w:rPr>
      </w:pPr>
      <w:r>
        <w:rPr>
          <w:rFonts w:ascii="Arial" w:cs="Arial" w:eastAsia="Arial" w:hAnsi="Arial"/>
          <w:sz w:val="14"/>
          <w:szCs w:val="14"/>
          <w:color w:val="auto"/>
        </w:rPr>
        <w:t>$0.3 million decrease in interest expense associated with (i) reduced interest costs on floating rate debt ($0.9 million), (ii) reclassification if 2001 debt extinguishment ($0.3 million) and (iii) proceeds from the July 2001 common stock offering ($0.2 million). These reductions were partially offset by increased costs associated with new</w:t>
      </w:r>
    </w:p>
    <w:p>
      <w:pPr>
        <w:sectPr>
          <w:pgSz w:w="11900" w:h="16962" w:orient="portrait"/>
          <w:cols w:equalWidth="0" w:num="1">
            <w:col w:w="11421"/>
          </w:cols>
          <w:pgMar w:left="239" w:top="131" w:right="239" w:bottom="0" w:gutter="0" w:footer="0" w:header="0"/>
        </w:sectPr>
      </w:pPr>
    </w:p>
    <w:bookmarkStart w:id="4" w:name="page5"/>
    <w:bookmarkEnd w:id="4"/>
    <w:p>
      <w:pPr>
        <w:ind w:left="1"/>
        <w:spacing w:after="0"/>
        <w:rPr>
          <w:sz w:val="20"/>
          <w:szCs w:val="20"/>
          <w:color w:val="auto"/>
        </w:rPr>
      </w:pPr>
      <w:r>
        <w:rPr>
          <w:rFonts w:ascii="Arial" w:cs="Arial" w:eastAsia="Arial" w:hAnsi="Arial"/>
          <w:sz w:val="15"/>
          <w:szCs w:val="15"/>
          <w:color w:val="auto"/>
        </w:rPr>
        <w:t>investment activity ($0.8 million), the costs associated with refinancings and amortization ($0.2 million), and increased costs for working capital reserves ($0.1 million).</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QUARTERLY OPERATING RESULTS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Same Store</w:t>
      </w:r>
    </w:p>
    <w:p>
      <w:pPr>
        <w:spacing w:after="0" w:line="217" w:lineRule="exact"/>
        <w:rPr>
          <w:sz w:val="20"/>
          <w:szCs w:val="20"/>
          <w:color w:val="auto"/>
        </w:rPr>
      </w:pPr>
    </w:p>
    <w:p>
      <w:pPr>
        <w:ind w:left="1" w:right="60"/>
        <w:spacing w:after="0" w:line="273" w:lineRule="auto"/>
        <w:rPr>
          <w:sz w:val="20"/>
          <w:szCs w:val="20"/>
          <w:color w:val="auto"/>
        </w:rPr>
      </w:pPr>
      <w:r>
        <w:rPr>
          <w:rFonts w:ascii="Arial" w:cs="Arial" w:eastAsia="Arial" w:hAnsi="Arial"/>
          <w:sz w:val="16"/>
          <w:szCs w:val="16"/>
          <w:color w:val="auto"/>
        </w:rPr>
        <w:t>Same store cash NOI in the 2002 same store portfolio was unchanged at $24.6 million. Cash operating margins before ground rent decreased from 57.9% to 56.4%. GAAP NOI increased by $0.3 million over the prior year, and GAAP operating margins before ground rent decreased from 61.2% to 60.4%. Same store results were affected by a $1.1 million increase in operating costs and a $1.1 million increase in cash revenue.</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$1.1 million increase in same store operating expenses was due to:</w:t>
      </w:r>
    </w:p>
    <w:p>
      <w:pPr>
        <w:spacing w:after="0" w:line="226" w:lineRule="exact"/>
        <w:rPr>
          <w:sz w:val="20"/>
          <w:szCs w:val="20"/>
          <w:color w:val="auto"/>
        </w:rPr>
      </w:pPr>
    </w:p>
    <w:p>
      <w:pPr>
        <w:ind w:left="501" w:hanging="501"/>
        <w:spacing w:after="0"/>
        <w:tabs>
          <w:tab w:leader="none" w:pos="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$0.5 million (8.1%) increase in real estate taxes due to higher assessed property values and an increase to the tax rate.</w:t>
      </w:r>
    </w:p>
    <w:p>
      <w:pPr>
        <w:spacing w:after="0" w:line="237" w:lineRule="exact"/>
        <w:rPr>
          <w:rFonts w:ascii="Arial" w:cs="Arial" w:eastAsia="Arial" w:hAnsi="Arial"/>
          <w:sz w:val="16"/>
          <w:szCs w:val="16"/>
          <w:color w:val="auto"/>
        </w:rPr>
      </w:pPr>
    </w:p>
    <w:p>
      <w:pPr>
        <w:ind w:left="501" w:right="20" w:hanging="501"/>
        <w:spacing w:after="0" w:line="287" w:lineRule="auto"/>
        <w:tabs>
          <w:tab w:leader="none" w:pos="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$0.6 million (49.2%) increase in other operating expenses due primarily to (i) $0.4 million from management costs, professional fees primarily related to legal collection costs and (ii) advertising costs due to the increased vacancy.</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$0.1 million (2.7%) decrease in utility costs for electricity and reduced occupancy.</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$1.1 million increase in cash revenue was due to:</w:t>
      </w:r>
    </w:p>
    <w:p>
      <w:pPr>
        <w:spacing w:after="0" w:line="226" w:lineRule="exact"/>
        <w:rPr>
          <w:sz w:val="20"/>
          <w:szCs w:val="20"/>
          <w:color w:val="auto"/>
        </w:rPr>
      </w:pPr>
    </w:p>
    <w:p>
      <w:pPr>
        <w:ind w:left="501" w:hanging="501"/>
        <w:spacing w:after="0" w:line="273" w:lineRule="auto"/>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in cash rental revenue of $1.4 million resulting from higher replacement rents on approximately 460,000 square feet that were 39.0% greater than previously fully escalated rents. This increase was partially offset by increased vacancy and reserves ($0.4 million) as the same store portfolio occupancy decreased from 97.7% in 2001 to 96.9% in 2002.</w:t>
      </w:r>
    </w:p>
    <w:p>
      <w:pPr>
        <w:spacing w:after="0" w:line="191"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$0.1 million increase in escalation and reimbursement income due to passthrough of operating cost escalations.</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$0.2 million in cash revenue due to tenant rent steps partially offset by increased free rent.</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$0.2 million decrease in signage rent primarily due to 1666 Broadway.</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electric recovery rate for the quarter was approximately 86.0%, which is slightly below the previous year.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w:t>
      </w:r>
    </w:p>
    <w:p>
      <w:pPr>
        <w:spacing w:after="0" w:line="217" w:lineRule="exact"/>
        <w:rPr>
          <w:sz w:val="20"/>
          <w:szCs w:val="20"/>
          <w:color w:val="auto"/>
        </w:rPr>
      </w:pPr>
    </w:p>
    <w:p>
      <w:pPr>
        <w:ind w:left="1" w:right="460"/>
        <w:spacing w:after="0" w:line="287" w:lineRule="auto"/>
        <w:rPr>
          <w:sz w:val="20"/>
          <w:szCs w:val="20"/>
          <w:color w:val="auto"/>
        </w:rPr>
      </w:pPr>
      <w:r>
        <w:rPr>
          <w:rFonts w:ascii="Arial" w:cs="Arial" w:eastAsia="Arial" w:hAnsi="Arial"/>
          <w:sz w:val="16"/>
          <w:szCs w:val="16"/>
          <w:color w:val="auto"/>
        </w:rPr>
        <w:t>The Company's consolidated third quarter EBITDA margins before ground rent improved to 74.9% compared to 65.9% for 2001. The EBITDA margins after ground rent improved to 69.3% as compared to 60.6% in the same period of the prior year.</w:t>
      </w:r>
    </w:p>
    <w:p>
      <w:pPr>
        <w:spacing w:after="0" w:line="156" w:lineRule="exact"/>
        <w:rPr>
          <w:sz w:val="20"/>
          <w:szCs w:val="20"/>
          <w:color w:val="auto"/>
        </w:rPr>
      </w:pPr>
    </w:p>
    <w:p>
      <w:pPr>
        <w:ind w:left="1" w:right="1020"/>
        <w:spacing w:after="0" w:line="287" w:lineRule="auto"/>
        <w:rPr>
          <w:sz w:val="20"/>
          <w:szCs w:val="20"/>
          <w:color w:val="auto"/>
        </w:rPr>
      </w:pPr>
      <w:r>
        <w:rPr>
          <w:rFonts w:ascii="Arial" w:cs="Arial" w:eastAsia="Arial" w:hAnsi="Arial"/>
          <w:sz w:val="16"/>
          <w:szCs w:val="16"/>
          <w:color w:val="auto"/>
        </w:rPr>
        <w:t>These margin improvements are attributable to (i) $3.0 million increase in net income from joint ventures, (ii) $1.9 million increase in structured finance income, (iii) $0.6 million increase in other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income primarily due to management fees and lease buy-out income and (iv) $1.0 million decrease in MG&amp;A expense.</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QUARTERLY LEASING HIGHLIGHTS</w:t>
      </w:r>
    </w:p>
    <w:p>
      <w:pPr>
        <w:spacing w:after="0" w:line="217" w:lineRule="exact"/>
        <w:rPr>
          <w:sz w:val="20"/>
          <w:szCs w:val="20"/>
          <w:color w:val="auto"/>
        </w:rPr>
      </w:pPr>
    </w:p>
    <w:p>
      <w:pPr>
        <w:ind w:left="1" w:right="180"/>
        <w:spacing w:after="0" w:line="273" w:lineRule="auto"/>
        <w:rPr>
          <w:sz w:val="20"/>
          <w:szCs w:val="20"/>
          <w:color w:val="auto"/>
        </w:rPr>
      </w:pPr>
      <w:r>
        <w:rPr>
          <w:rFonts w:ascii="Arial" w:cs="Arial" w:eastAsia="Arial" w:hAnsi="Arial"/>
          <w:sz w:val="16"/>
          <w:szCs w:val="16"/>
          <w:color w:val="auto"/>
        </w:rPr>
        <w:t>Vacancy at June 30, 2002 was 337,022 useable square feet net of holdover tenants. During the quarter, 200,368 additional useable office square feet became available at an average escalated cash rent of $28.25 per rentable square foot. Space available before holdovers to lease during the quarter totaled 537,390 useable square feet, or 4.7% of the total portfolio.</w:t>
      </w:r>
    </w:p>
    <w:p>
      <w:pPr>
        <w:spacing w:after="0" w:line="166" w:lineRule="exact"/>
        <w:rPr>
          <w:sz w:val="20"/>
          <w:szCs w:val="20"/>
          <w:color w:val="auto"/>
        </w:rPr>
      </w:pPr>
    </w:p>
    <w:p>
      <w:pPr>
        <w:ind w:left="1" w:right="260"/>
        <w:spacing w:after="0" w:line="301" w:lineRule="auto"/>
        <w:rPr>
          <w:sz w:val="20"/>
          <w:szCs w:val="20"/>
          <w:color w:val="auto"/>
        </w:rPr>
      </w:pPr>
      <w:r>
        <w:rPr>
          <w:rFonts w:ascii="Arial" w:cs="Arial" w:eastAsia="Arial" w:hAnsi="Arial"/>
          <w:sz w:val="14"/>
          <w:szCs w:val="14"/>
          <w:color w:val="auto"/>
        </w:rPr>
        <w:t>During the third quarter, 47 leases were signed totaling 160,358 useable square feet. New office cash rents averaged $34.27 per rentable square foot. Replacement rents were 33.9% greater than rents on previously occupied space, which had a fully escalated cash rent averaging $25.60 per rentable square foot. The average office lease term was</w:t>
      </w:r>
    </w:p>
    <w:p>
      <w:pPr>
        <w:jc w:val="both"/>
        <w:ind w:left="1" w:right="40"/>
        <w:spacing w:after="0" w:line="268" w:lineRule="auto"/>
        <w:rPr>
          <w:sz w:val="20"/>
          <w:szCs w:val="20"/>
          <w:color w:val="auto"/>
        </w:rPr>
      </w:pPr>
      <w:r>
        <w:rPr>
          <w:rFonts w:ascii="Arial" w:cs="Arial" w:eastAsia="Arial" w:hAnsi="Arial"/>
          <w:sz w:val="16"/>
          <w:szCs w:val="16"/>
          <w:color w:val="auto"/>
        </w:rPr>
        <w:t>8.6 years. Average office tenant concessions were 1.6 months of free rent and an allowance of $17.75 per rentable square foot. Including early renewals and excluding holdover tenants, the tenant renewal rate was 72.0% based on square feet expiring. 16 leases have expired comprising 29,825 useable square feet that are in a holdover status. This results in 347,207 useable square feet (net of holdovers) remaining available as of September 30, 2002.</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average lease term on the quarterly leasing activity was 8.6 years.</w:t>
      </w:r>
    </w:p>
    <w:p>
      <w:pPr>
        <w:spacing w:after="0" w:line="213" w:lineRule="exact"/>
        <w:rPr>
          <w:sz w:val="20"/>
          <w:szCs w:val="20"/>
          <w:color w:val="auto"/>
        </w:rPr>
      </w:pPr>
    </w:p>
    <w:p>
      <w:pPr>
        <w:ind w:left="1" w:right="80"/>
        <w:spacing w:after="0" w:line="268" w:lineRule="auto"/>
        <w:rPr>
          <w:sz w:val="20"/>
          <w:szCs w:val="20"/>
          <w:color w:val="auto"/>
        </w:rPr>
      </w:pPr>
      <w:r>
        <w:rPr>
          <w:rFonts w:ascii="Arial" w:cs="Arial" w:eastAsia="Arial" w:hAnsi="Arial"/>
          <w:sz w:val="16"/>
          <w:szCs w:val="16"/>
          <w:color w:val="auto"/>
        </w:rPr>
        <w:t>The Company signed 10 office leases for 107,935 useable square feet that were for early renewals. The early renewals for space were not scheduled to become available until after the fourth quarter of 2002. The Company was able to renew the current office tenants at an average cash rent of $31.69, representing an increase of 65.3% over the previously fully escalated rents of $19.17. The future fully-escalated rents for the early renewals at the time the current leases will roll are estimated to be $21.72 representing a 45.9% mark-to-market. The average lease term on the office early renewals was 9.4 years.</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6"/>
          <w:szCs w:val="16"/>
          <w:color w:val="auto"/>
        </w:rPr>
        <w:t>For the trailing twelve months, cash replacement rents were 38.1% above the previously escalated rents.</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NEW ACTIVITY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50 West 23</w:t>
      </w:r>
      <w:r>
        <w:rPr>
          <w:rFonts w:ascii="Arial" w:cs="Arial" w:eastAsia="Arial" w:hAnsi="Arial"/>
          <w:sz w:val="26"/>
          <w:szCs w:val="26"/>
          <w:b w:val="1"/>
          <w:bCs w:val="1"/>
          <w:color w:val="auto"/>
          <w:vertAlign w:val="superscript"/>
        </w:rPr>
        <w:t>rd</w:t>
      </w:r>
      <w:r>
        <w:rPr>
          <w:rFonts w:ascii="Arial" w:cs="Arial" w:eastAsia="Arial" w:hAnsi="Arial"/>
          <w:sz w:val="16"/>
          <w:szCs w:val="16"/>
          <w:b w:val="1"/>
          <w:bCs w:val="1"/>
          <w:color w:val="auto"/>
        </w:rPr>
        <w:t xml:space="preserve"> Street</w:t>
      </w:r>
    </w:p>
    <w:p>
      <w:pPr>
        <w:spacing w:after="0" w:line="137" w:lineRule="exact"/>
        <w:rPr>
          <w:sz w:val="20"/>
          <w:szCs w:val="20"/>
          <w:color w:val="auto"/>
        </w:rPr>
      </w:pPr>
    </w:p>
    <w:p>
      <w:pPr>
        <w:ind w:left="1"/>
        <w:spacing w:after="0" w:line="229" w:lineRule="auto"/>
        <w:rPr>
          <w:sz w:val="20"/>
          <w:szCs w:val="20"/>
          <w:color w:val="auto"/>
        </w:rPr>
      </w:pPr>
      <w:r>
        <w:rPr>
          <w:rFonts w:ascii="Arial" w:cs="Arial" w:eastAsia="Arial" w:hAnsi="Arial"/>
          <w:sz w:val="16"/>
          <w:szCs w:val="16"/>
          <w:color w:val="auto"/>
        </w:rPr>
        <w:t>Due to the Company's intent to sell the property located at 50 West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Street, the property's assets and liabilities have been classified to assets and liabilities held for sale on the balance sheet at September 30, 2002. As a result, the Company's operating results have been restated to classify all of the property's income to discontinued operations for all periods presented.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Structured Finance Activity</w:t>
      </w: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auto"/>
        </w:rPr>
        <w:t>After this activity, the structured finance portfolio, including preferred equity interests, totaled $194.7 million with a current yield of 12.40%, after seller financing.</w:t>
      </w:r>
    </w:p>
    <w:p>
      <w:pPr>
        <w:sectPr>
          <w:pgSz w:w="11900" w:h="16838" w:orient="portrait"/>
          <w:cols w:equalWidth="0" w:num="1">
            <w:col w:w="11421"/>
          </w:cols>
          <w:pgMar w:left="239" w:top="131" w:right="239" w:bottom="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2002, $102.0 million of structured finance assets had effective fixed LIBOR floors. The weighted average LIBOR floor was 4.05%.</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CAPITALIZATION AND LIQUIDITY</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FAD before first cycle leasing costs increased 5.2% from $0.55 per share (diluted) to $0.58 per share (diluted). The increase in FAD was due to the (i) higher FFO results</w:t>
      </w:r>
    </w:p>
    <w:p>
      <w:pPr>
        <w:spacing w:after="0" w:line="33"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($6.6 million), (ii) reduced FAD adjustment from joint ventures ($2.1 million) primarily due to 1250 Broadway and One Park Avenue and (iii) increased straight-line credit loss reserve ($0.6 million). These were partially offset by (i) an increase in tenant improvement and leasing commissions ($6.9 million) primarily associated with higher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tenant concession packages, (ii) increased free and straight-line rent ($0.2 million) and (iii) lower recurring capex ($0.2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Company's dividend payout ratio was 51.5% of FFO and 58.3% of FAD before first cycle leasing costs.</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During September, the Company declared a dividend distribution of $0.4425 per common share for the quarter ended September 30, 2002. This reflects the regular quarterly dividend, which is the equivalent of an annualized dividend of $1.77 per common share. At the close of the third quarter 2002, the common share annualized dividend yield was 5.8%. The Company also declared a dividend of $0.50 per share of Preferred Income Equity Redeemable Stock for shareholders of record as of September 30, 2002. Both dividends were paid on October 15,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218" w:lineRule="exact"/>
        <w:rPr>
          <w:sz w:val="20"/>
          <w:szCs w:val="20"/>
          <w:color w:val="auto"/>
        </w:rPr>
      </w:pPr>
    </w:p>
    <w:p>
      <w:pPr>
        <w:ind w:right="420"/>
        <w:spacing w:after="0" w:line="235" w:lineRule="auto"/>
        <w:rPr>
          <w:sz w:val="20"/>
          <w:szCs w:val="20"/>
          <w:color w:val="auto"/>
        </w:rPr>
      </w:pPr>
      <w:r>
        <w:rPr>
          <w:rFonts w:ascii="Arial" w:cs="Arial" w:eastAsia="Arial" w:hAnsi="Arial"/>
          <w:sz w:val="15"/>
          <w:szCs w:val="15"/>
          <w:color w:val="auto"/>
        </w:rPr>
        <w:t>Annually, the Company adjusts the same store pool to include all properties owned for a minimum of twelve months (since January 1, 2001). 50 West 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Street has been classified as held for sale and has been removed from the 2002 same store pool. The 2002 same store pool includes the following wholly-owned properties: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40" w:type="dxa"/>
            <w:vAlign w:val="bottom"/>
          </w:tcPr>
          <w:p>
            <w:pPr>
              <w:ind w:left="2220"/>
              <w:spacing w:after="0"/>
              <w:rPr>
                <w:sz w:val="20"/>
                <w:szCs w:val="20"/>
                <w:color w:val="auto"/>
              </w:rPr>
            </w:pPr>
            <w:r>
              <w:rPr>
                <w:rFonts w:ascii="Arial" w:cs="Arial" w:eastAsia="Arial" w:hAnsi="Arial"/>
                <w:sz w:val="16"/>
                <w:szCs w:val="16"/>
                <w:b w:val="1"/>
                <w:bCs w:val="1"/>
                <w:color w:val="auto"/>
              </w:rPr>
              <w:t>2002 SAME STORE</w:t>
            </w:r>
          </w:p>
        </w:tc>
        <w:tc>
          <w:tcPr>
            <w:tcW w:w="4220" w:type="dxa"/>
            <w:vAlign w:val="bottom"/>
          </w:tcPr>
          <w:p>
            <w:pPr>
              <w:spacing w:after="0"/>
              <w:rPr>
                <w:sz w:val="18"/>
                <w:szCs w:val="18"/>
                <w:color w:val="auto"/>
              </w:rPr>
            </w:pPr>
          </w:p>
        </w:tc>
      </w:tr>
      <w:tr>
        <w:trPr>
          <w:trHeight w:val="390"/>
        </w:trPr>
        <w:tc>
          <w:tcPr>
            <w:tcW w:w="260" w:type="dxa"/>
            <w:vAlign w:val="bottom"/>
          </w:tcPr>
          <w:p>
            <w:pPr>
              <w:spacing w:after="0"/>
              <w:rPr>
                <w:sz w:val="20"/>
                <w:szCs w:val="20"/>
                <w:color w:val="auto"/>
              </w:rPr>
            </w:pPr>
            <w:r>
              <w:rPr>
                <w:rFonts w:ascii="Arial" w:cs="Arial" w:eastAsia="Arial" w:hAnsi="Arial"/>
                <w:sz w:val="16"/>
                <w:szCs w:val="16"/>
                <w:color w:val="auto"/>
                <w:w w:val="89"/>
              </w:rPr>
              <w:t>673</w:t>
            </w:r>
          </w:p>
        </w:tc>
        <w:tc>
          <w:tcPr>
            <w:tcW w:w="2500" w:type="dxa"/>
            <w:vAlign w:val="bottom"/>
          </w:tcPr>
          <w:p>
            <w:pPr>
              <w:ind w:left="20"/>
              <w:spacing w:after="0"/>
              <w:rPr>
                <w:sz w:val="20"/>
                <w:szCs w:val="20"/>
                <w:color w:val="auto"/>
              </w:rPr>
            </w:pPr>
            <w:r>
              <w:rPr>
                <w:rFonts w:ascii="Arial" w:cs="Arial" w:eastAsia="Arial" w:hAnsi="Arial"/>
                <w:sz w:val="16"/>
                <w:szCs w:val="16"/>
                <w:color w:val="auto"/>
              </w:rPr>
              <w:t>First Avenue</w:t>
            </w:r>
          </w:p>
        </w:tc>
        <w:tc>
          <w:tcPr>
            <w:tcW w:w="4440" w:type="dxa"/>
            <w:vAlign w:val="bottom"/>
          </w:tcPr>
          <w:p>
            <w:pPr>
              <w:ind w:left="1240"/>
              <w:spacing w:after="0"/>
              <w:rPr>
                <w:sz w:val="20"/>
                <w:szCs w:val="20"/>
                <w:color w:val="auto"/>
              </w:rPr>
            </w:pPr>
            <w:r>
              <w:rPr>
                <w:rFonts w:ascii="Arial" w:cs="Arial" w:eastAsia="Arial" w:hAnsi="Arial"/>
                <w:sz w:val="16"/>
                <w:szCs w:val="16"/>
                <w:color w:val="auto"/>
              </w:rPr>
              <w:t>1140 Avenue of the Americas</w:t>
            </w:r>
          </w:p>
        </w:tc>
        <w:tc>
          <w:tcPr>
            <w:tcW w:w="4220" w:type="dxa"/>
            <w:vAlign w:val="bottom"/>
          </w:tcPr>
          <w:p>
            <w:pPr>
              <w:ind w:left="800"/>
              <w:spacing w:after="0"/>
              <w:rPr>
                <w:sz w:val="20"/>
                <w:szCs w:val="20"/>
                <w:color w:val="auto"/>
              </w:rPr>
            </w:pPr>
            <w:r>
              <w:rPr>
                <w:rFonts w:ascii="Arial" w:cs="Arial" w:eastAsia="Arial" w:hAnsi="Arial"/>
                <w:sz w:val="16"/>
                <w:szCs w:val="16"/>
                <w:color w:val="auto"/>
              </w:rPr>
              <w:t>420 Lexington Avenue</w:t>
            </w:r>
          </w:p>
        </w:tc>
      </w:tr>
      <w:tr>
        <w:trPr>
          <w:trHeight w:val="236"/>
        </w:trPr>
        <w:tc>
          <w:tcPr>
            <w:tcW w:w="260" w:type="dxa"/>
            <w:vAlign w:val="bottom"/>
          </w:tcPr>
          <w:p>
            <w:pPr>
              <w:spacing w:after="0"/>
              <w:rPr>
                <w:sz w:val="20"/>
                <w:szCs w:val="20"/>
                <w:color w:val="auto"/>
              </w:rPr>
            </w:pPr>
            <w:r>
              <w:rPr>
                <w:rFonts w:ascii="Arial" w:cs="Arial" w:eastAsia="Arial" w:hAnsi="Arial"/>
                <w:sz w:val="16"/>
                <w:szCs w:val="16"/>
                <w:color w:val="auto"/>
                <w:w w:val="89"/>
              </w:rPr>
              <w:t>470</w:t>
            </w:r>
          </w:p>
        </w:tc>
        <w:tc>
          <w:tcPr>
            <w:tcW w:w="2500" w:type="dxa"/>
            <w:vAlign w:val="bottom"/>
          </w:tcPr>
          <w:p>
            <w:pPr>
              <w:ind w:left="20"/>
              <w:spacing w:after="0"/>
              <w:rPr>
                <w:sz w:val="20"/>
                <w:szCs w:val="20"/>
                <w:color w:val="auto"/>
              </w:rPr>
            </w:pPr>
            <w:r>
              <w:rPr>
                <w:rFonts w:ascii="Arial" w:cs="Arial" w:eastAsia="Arial" w:hAnsi="Arial"/>
                <w:sz w:val="16"/>
                <w:szCs w:val="16"/>
                <w:color w:val="auto"/>
              </w:rPr>
              <w:t>Park Avenue South</w:t>
            </w:r>
          </w:p>
        </w:tc>
        <w:tc>
          <w:tcPr>
            <w:tcW w:w="4440" w:type="dxa"/>
            <w:vAlign w:val="bottom"/>
          </w:tcPr>
          <w:p>
            <w:pPr>
              <w:ind w:left="1240"/>
              <w:spacing w:after="0"/>
              <w:rPr>
                <w:sz w:val="20"/>
                <w:szCs w:val="20"/>
                <w:color w:val="auto"/>
              </w:rPr>
            </w:pPr>
            <w:r>
              <w:rPr>
                <w:rFonts w:ascii="Arial" w:cs="Arial" w:eastAsia="Arial" w:hAnsi="Arial"/>
                <w:sz w:val="16"/>
                <w:szCs w:val="16"/>
                <w:color w:val="auto"/>
              </w:rPr>
              <w:t>1466 Broadway</w:t>
            </w:r>
          </w:p>
        </w:tc>
        <w:tc>
          <w:tcPr>
            <w:tcW w:w="4220" w:type="dxa"/>
            <w:vAlign w:val="bottom"/>
          </w:tcPr>
          <w:p>
            <w:pPr>
              <w:ind w:left="800"/>
              <w:spacing w:after="0" w:line="236" w:lineRule="exact"/>
              <w:rPr>
                <w:sz w:val="20"/>
                <w:szCs w:val="20"/>
                <w:color w:val="auto"/>
              </w:rPr>
            </w:pPr>
            <w:r>
              <w:rPr>
                <w:rFonts w:ascii="Arial" w:cs="Arial" w:eastAsia="Arial" w:hAnsi="Arial"/>
                <w:sz w:val="16"/>
                <w:szCs w:val="16"/>
                <w:color w:val="auto"/>
              </w:rPr>
              <w:t>70 West 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tc>
      </w:tr>
      <w:tr>
        <w:trPr>
          <w:trHeight w:val="236"/>
        </w:trPr>
        <w:tc>
          <w:tcPr>
            <w:tcW w:w="260" w:type="dxa"/>
            <w:vAlign w:val="bottom"/>
          </w:tcPr>
          <w:p>
            <w:pPr>
              <w:spacing w:after="0"/>
              <w:rPr>
                <w:sz w:val="20"/>
                <w:szCs w:val="20"/>
                <w:color w:val="auto"/>
              </w:rPr>
            </w:pPr>
            <w:r>
              <w:rPr>
                <w:rFonts w:ascii="Arial" w:cs="Arial" w:eastAsia="Arial" w:hAnsi="Arial"/>
                <w:sz w:val="16"/>
                <w:szCs w:val="16"/>
                <w:color w:val="auto"/>
                <w:w w:val="89"/>
              </w:rPr>
              <w:t>555</w:t>
            </w:r>
          </w:p>
        </w:tc>
        <w:tc>
          <w:tcPr>
            <w:tcW w:w="2500" w:type="dxa"/>
            <w:vAlign w:val="bottom"/>
          </w:tcPr>
          <w:p>
            <w:pPr>
              <w:ind w:left="20"/>
              <w:spacing w:after="0" w:line="236" w:lineRule="exact"/>
              <w:rPr>
                <w:sz w:val="20"/>
                <w:szCs w:val="20"/>
                <w:color w:val="auto"/>
              </w:rPr>
            </w:pPr>
            <w:r>
              <w:rPr>
                <w:rFonts w:ascii="Arial" w:cs="Arial" w:eastAsia="Arial" w:hAnsi="Arial"/>
                <w:sz w:val="16"/>
                <w:szCs w:val="16"/>
                <w:color w:val="auto"/>
              </w:rPr>
              <w:t>West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tc>
        <w:tc>
          <w:tcPr>
            <w:tcW w:w="4440" w:type="dxa"/>
            <w:vAlign w:val="bottom"/>
          </w:tcPr>
          <w:p>
            <w:pPr>
              <w:ind w:left="1240"/>
              <w:spacing w:after="0"/>
              <w:rPr>
                <w:sz w:val="20"/>
                <w:szCs w:val="20"/>
                <w:color w:val="auto"/>
              </w:rPr>
            </w:pPr>
            <w:r>
              <w:rPr>
                <w:rFonts w:ascii="Arial" w:cs="Arial" w:eastAsia="Arial" w:hAnsi="Arial"/>
                <w:sz w:val="16"/>
                <w:szCs w:val="16"/>
                <w:color w:val="auto"/>
              </w:rPr>
              <w:t>440 Ninth Avenue</w:t>
            </w:r>
          </w:p>
        </w:tc>
        <w:tc>
          <w:tcPr>
            <w:tcW w:w="4220" w:type="dxa"/>
            <w:vAlign w:val="bottom"/>
          </w:tcPr>
          <w:p>
            <w:pPr>
              <w:ind w:left="800"/>
              <w:spacing w:after="0"/>
              <w:rPr>
                <w:sz w:val="20"/>
                <w:szCs w:val="20"/>
                <w:color w:val="auto"/>
              </w:rPr>
            </w:pPr>
            <w:r>
              <w:rPr>
                <w:rFonts w:ascii="Arial" w:cs="Arial" w:eastAsia="Arial" w:hAnsi="Arial"/>
                <w:sz w:val="16"/>
                <w:szCs w:val="16"/>
                <w:color w:val="auto"/>
              </w:rPr>
              <w:t>1414 Avenue of the Americas</w:t>
            </w:r>
          </w:p>
        </w:tc>
      </w:tr>
      <w:tr>
        <w:trPr>
          <w:trHeight w:val="199"/>
        </w:trPr>
        <w:tc>
          <w:tcPr>
            <w:tcW w:w="2760" w:type="dxa"/>
            <w:vAlign w:val="bottom"/>
            <w:gridSpan w:val="2"/>
          </w:tcPr>
          <w:p>
            <w:pPr>
              <w:spacing w:after="0"/>
              <w:rPr>
                <w:sz w:val="20"/>
                <w:szCs w:val="20"/>
                <w:color w:val="auto"/>
              </w:rPr>
            </w:pPr>
            <w:r>
              <w:rPr>
                <w:rFonts w:ascii="Arial" w:cs="Arial" w:eastAsia="Arial" w:hAnsi="Arial"/>
                <w:sz w:val="16"/>
                <w:szCs w:val="16"/>
                <w:color w:val="auto"/>
              </w:rPr>
              <w:t>711 Third Avenue</w:t>
            </w:r>
          </w:p>
        </w:tc>
        <w:tc>
          <w:tcPr>
            <w:tcW w:w="4440" w:type="dxa"/>
            <w:vAlign w:val="bottom"/>
          </w:tcPr>
          <w:p>
            <w:pPr>
              <w:ind w:left="1240"/>
              <w:spacing w:after="0"/>
              <w:rPr>
                <w:sz w:val="20"/>
                <w:szCs w:val="20"/>
                <w:color w:val="auto"/>
              </w:rPr>
            </w:pPr>
            <w:r>
              <w:rPr>
                <w:rFonts w:ascii="Arial" w:cs="Arial" w:eastAsia="Arial" w:hAnsi="Arial"/>
                <w:sz w:val="16"/>
                <w:szCs w:val="16"/>
                <w:color w:val="auto"/>
              </w:rPr>
              <w:t>1372 Broadway</w:t>
            </w:r>
          </w:p>
        </w:tc>
        <w:tc>
          <w:tcPr>
            <w:tcW w:w="4220" w:type="dxa"/>
            <w:vAlign w:val="bottom"/>
          </w:tcPr>
          <w:p>
            <w:pPr>
              <w:ind w:left="800"/>
              <w:spacing w:after="0"/>
              <w:rPr>
                <w:sz w:val="20"/>
                <w:szCs w:val="20"/>
                <w:color w:val="auto"/>
              </w:rPr>
            </w:pPr>
            <w:r>
              <w:rPr>
                <w:rFonts w:ascii="Arial" w:cs="Arial" w:eastAsia="Arial" w:hAnsi="Arial"/>
                <w:sz w:val="16"/>
                <w:szCs w:val="16"/>
                <w:color w:val="auto"/>
              </w:rPr>
              <w:t>292 Madison Avenue</w:t>
            </w:r>
          </w:p>
        </w:tc>
      </w:t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286</w:t>
            </w:r>
          </w:p>
        </w:tc>
        <w:tc>
          <w:tcPr>
            <w:tcW w:w="2500" w:type="dxa"/>
            <w:vAlign w:val="bottom"/>
          </w:tcPr>
          <w:p>
            <w:pPr>
              <w:ind w:left="20"/>
              <w:spacing w:after="0"/>
              <w:rPr>
                <w:sz w:val="20"/>
                <w:szCs w:val="20"/>
                <w:color w:val="auto"/>
              </w:rPr>
            </w:pPr>
            <w:r>
              <w:rPr>
                <w:rFonts w:ascii="Arial" w:cs="Arial" w:eastAsia="Arial" w:hAnsi="Arial"/>
                <w:sz w:val="16"/>
                <w:szCs w:val="16"/>
                <w:color w:val="auto"/>
              </w:rPr>
              <w:t>Madison Avenue</w:t>
            </w:r>
          </w:p>
        </w:tc>
        <w:tc>
          <w:tcPr>
            <w:tcW w:w="4440" w:type="dxa"/>
            <w:vAlign w:val="bottom"/>
          </w:tcPr>
          <w:p>
            <w:pPr>
              <w:ind w:left="1240"/>
              <w:spacing w:after="0"/>
              <w:rPr>
                <w:sz w:val="20"/>
                <w:szCs w:val="20"/>
                <w:color w:val="auto"/>
              </w:rPr>
            </w:pPr>
            <w:r>
              <w:rPr>
                <w:rFonts w:ascii="Arial" w:cs="Arial" w:eastAsia="Arial" w:hAnsi="Arial"/>
                <w:sz w:val="16"/>
                <w:szCs w:val="16"/>
                <w:color w:val="auto"/>
              </w:rPr>
              <w:t>290 Madison Avenue</w:t>
            </w:r>
          </w:p>
        </w:tc>
        <w:tc>
          <w:tcPr>
            <w:tcW w:w="4220" w:type="dxa"/>
            <w:vAlign w:val="bottom"/>
          </w:tcPr>
          <w:p>
            <w:pPr>
              <w:ind w:left="800"/>
              <w:spacing w:after="0"/>
              <w:rPr>
                <w:sz w:val="20"/>
                <w:szCs w:val="20"/>
                <w:color w:val="auto"/>
              </w:rPr>
            </w:pPr>
            <w:r>
              <w:rPr>
                <w:rFonts w:ascii="Arial" w:cs="Arial" w:eastAsia="Arial" w:hAnsi="Arial"/>
                <w:sz w:val="16"/>
                <w:szCs w:val="16"/>
                <w:color w:val="auto"/>
              </w:rPr>
              <w:t>17 Battery Place North</w:t>
            </w:r>
          </w:p>
        </w:tc>
      </w:tr>
      <w:tr>
        <w:trPr>
          <w:trHeight w:val="397"/>
        </w:trPr>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40" w:type="dxa"/>
            <w:vAlign w:val="bottom"/>
          </w:tcPr>
          <w:p>
            <w:pPr>
              <w:ind w:left="2920"/>
              <w:spacing w:after="0"/>
              <w:rPr>
                <w:sz w:val="20"/>
                <w:szCs w:val="20"/>
                <w:color w:val="auto"/>
              </w:rPr>
            </w:pPr>
            <w:r>
              <w:rPr>
                <w:rFonts w:ascii="Arial" w:cs="Arial" w:eastAsia="Arial" w:hAnsi="Arial"/>
                <w:sz w:val="16"/>
                <w:szCs w:val="16"/>
                <w:color w:val="auto"/>
              </w:rPr>
              <w:t>8</w:t>
            </w:r>
          </w:p>
        </w:tc>
        <w:tc>
          <w:tcPr>
            <w:tcW w:w="4220" w:type="dxa"/>
            <w:vAlign w:val="bottom"/>
          </w:tcPr>
          <w:p>
            <w:pPr>
              <w:spacing w:after="0"/>
              <w:rPr>
                <w:sz w:val="24"/>
                <w:szCs w:val="24"/>
                <w:color w:val="auto"/>
              </w:rPr>
            </w:pPr>
          </w:p>
        </w:tc>
      </w:tr>
      <w:tr>
        <w:trPr>
          <w:trHeight w:val="209"/>
        </w:trPr>
        <w:tc>
          <w:tcPr>
            <w:tcW w:w="260" w:type="dxa"/>
            <w:vAlign w:val="bottom"/>
            <w:tcBorders>
              <w:bottom w:val="single" w:sz="8" w:color="808080"/>
            </w:tcBorders>
          </w:tcPr>
          <w:p>
            <w:pPr>
              <w:spacing w:after="0"/>
              <w:rPr>
                <w:sz w:val="18"/>
                <w:szCs w:val="18"/>
                <w:color w:val="auto"/>
              </w:rPr>
            </w:pPr>
          </w:p>
        </w:tc>
        <w:tc>
          <w:tcPr>
            <w:tcW w:w="2500" w:type="dxa"/>
            <w:vAlign w:val="bottom"/>
            <w:tcBorders>
              <w:bottom w:val="single" w:sz="8" w:color="808080"/>
            </w:tcBorders>
          </w:tcPr>
          <w:p>
            <w:pPr>
              <w:spacing w:after="0"/>
              <w:rPr>
                <w:sz w:val="18"/>
                <w:szCs w:val="18"/>
                <w:color w:val="auto"/>
              </w:rPr>
            </w:pPr>
          </w:p>
        </w:tc>
        <w:tc>
          <w:tcPr>
            <w:tcW w:w="4440" w:type="dxa"/>
            <w:vAlign w:val="bottom"/>
            <w:tcBorders>
              <w:bottom w:val="single" w:sz="8" w:color="808080"/>
            </w:tcBorders>
          </w:tcPr>
          <w:p>
            <w:pPr>
              <w:spacing w:after="0"/>
              <w:rPr>
                <w:sz w:val="18"/>
                <w:szCs w:val="18"/>
                <w:color w:val="auto"/>
              </w:rPr>
            </w:pPr>
          </w:p>
        </w:tc>
        <w:tc>
          <w:tcPr>
            <w:tcW w:w="4220" w:type="dxa"/>
            <w:vAlign w:val="bottom"/>
            <w:tcBorders>
              <w:bottom w:val="single" w:sz="8" w:color="808080"/>
            </w:tcBorders>
          </w:tcPr>
          <w:p>
            <w:pPr>
              <w:spacing w:after="0"/>
              <w:rPr>
                <w:sz w:val="18"/>
                <w:szCs w:val="18"/>
                <w:color w:val="auto"/>
              </w:rPr>
            </w:pPr>
          </w:p>
        </w:tc>
      </w:tr>
      <w:tr>
        <w:trPr>
          <w:trHeight w:val="203"/>
        </w:trPr>
        <w:tc>
          <w:tcPr>
            <w:tcW w:w="260" w:type="dxa"/>
            <w:vAlign w:val="bottom"/>
            <w:tcBorders>
              <w:bottom w:val="single" w:sz="8" w:color="808080"/>
            </w:tcBorders>
          </w:tcPr>
          <w:p>
            <w:pPr>
              <w:spacing w:after="0"/>
              <w:rPr>
                <w:sz w:val="17"/>
                <w:szCs w:val="17"/>
                <w:color w:val="auto"/>
              </w:rPr>
            </w:pPr>
          </w:p>
        </w:tc>
        <w:tc>
          <w:tcPr>
            <w:tcW w:w="2500" w:type="dxa"/>
            <w:vAlign w:val="bottom"/>
            <w:tcBorders>
              <w:bottom w:val="single" w:sz="8" w:color="808080"/>
            </w:tcBorders>
          </w:tcPr>
          <w:p>
            <w:pPr>
              <w:spacing w:after="0"/>
              <w:rPr>
                <w:sz w:val="17"/>
                <w:szCs w:val="17"/>
                <w:color w:val="auto"/>
              </w:rPr>
            </w:pPr>
          </w:p>
        </w:tc>
        <w:tc>
          <w:tcPr>
            <w:tcW w:w="4440" w:type="dxa"/>
            <w:vAlign w:val="bottom"/>
            <w:tcBorders>
              <w:bottom w:val="single" w:sz="8" w:color="808080"/>
            </w:tcBorders>
          </w:tcPr>
          <w:p>
            <w:pPr>
              <w:spacing w:after="0"/>
              <w:rPr>
                <w:sz w:val="17"/>
                <w:szCs w:val="17"/>
                <w:color w:val="auto"/>
              </w:rPr>
            </w:pPr>
          </w:p>
        </w:tc>
        <w:tc>
          <w:tcPr>
            <w:tcW w:w="42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120"/>
        <w:spacing w:after="0"/>
        <w:rPr>
          <w:sz w:val="20"/>
          <w:szCs w:val="20"/>
          <w:color w:val="auto"/>
        </w:rPr>
      </w:pPr>
      <w:r>
        <w:rPr>
          <w:rFonts w:ascii="Arial" w:cs="Arial" w:eastAsia="Arial" w:hAnsi="Arial"/>
          <w:sz w:val="30"/>
          <w:szCs w:val="30"/>
          <w:b w:val="1"/>
          <w:bCs w:val="1"/>
          <w:color w:val="auto"/>
        </w:rPr>
        <w:t>FINANCIAL HIGHLIGHTS</w:t>
      </w:r>
    </w:p>
    <w:p>
      <w:pPr>
        <w:spacing w:after="0" w:line="19" w:lineRule="exact"/>
        <w:rPr>
          <w:sz w:val="20"/>
          <w:szCs w:val="20"/>
          <w:color w:val="auto"/>
        </w:rPr>
      </w:pPr>
    </w:p>
    <w:p>
      <w:pPr>
        <w:jc w:val="center"/>
        <w:ind w:right="5120"/>
        <w:spacing w:after="0"/>
        <w:rPr>
          <w:sz w:val="20"/>
          <w:szCs w:val="20"/>
          <w:color w:val="auto"/>
        </w:rPr>
      </w:pPr>
      <w:r>
        <w:rPr>
          <w:rFonts w:ascii="Arial" w:cs="Arial" w:eastAsia="Arial" w:hAnsi="Arial"/>
          <w:sz w:val="20"/>
          <w:szCs w:val="20"/>
          <w:b w:val="1"/>
          <w:bCs w:val="1"/>
          <w:color w:val="auto"/>
        </w:rPr>
        <w:t>Third Quarter</w:t>
      </w:r>
    </w:p>
    <w:p>
      <w:pPr>
        <w:jc w:val="center"/>
        <w:ind w:right="5120"/>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180" w:type="dxa"/>
            <w:vAlign w:val="bottom"/>
            <w:gridSpan w:val="3"/>
          </w:tcPr>
          <w:p>
            <w:pPr>
              <w:ind w:left="1240"/>
              <w:spacing w:after="0"/>
              <w:rPr>
                <w:sz w:val="20"/>
                <w:szCs w:val="20"/>
                <w:color w:val="auto"/>
              </w:rPr>
            </w:pPr>
            <w:r>
              <w:rPr>
                <w:rFonts w:ascii="Arial" w:cs="Arial" w:eastAsia="Arial" w:hAnsi="Arial"/>
                <w:sz w:val="12"/>
                <w:szCs w:val="12"/>
                <w:b w:val="1"/>
                <w:bCs w:val="1"/>
                <w:color w:val="auto"/>
              </w:rPr>
              <w:t>September 30,</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500" w:type="dxa"/>
            <w:vAlign w:val="bottom"/>
          </w:tcPr>
          <w:p>
            <w:pPr>
              <w:jc w:val="right"/>
              <w:ind w:right="541"/>
              <w:spacing w:after="0"/>
              <w:rPr>
                <w:sz w:val="20"/>
                <w:szCs w:val="20"/>
                <w:color w:val="auto"/>
              </w:rPr>
            </w:pPr>
            <w:r>
              <w:rPr>
                <w:rFonts w:ascii="Arial" w:cs="Arial" w:eastAsia="Arial" w:hAnsi="Arial"/>
                <w:sz w:val="12"/>
                <w:szCs w:val="12"/>
                <w:b w:val="1"/>
                <w:bCs w:val="1"/>
                <w:color w:val="auto"/>
              </w:rPr>
              <w:t>2002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560"/>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Operational Information</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Total Revenues (000's)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$63,186</w:t>
            </w:r>
          </w:p>
        </w:tc>
        <w:tc>
          <w:tcPr>
            <w:tcW w:w="4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$59,795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Funds from Operations</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FFO per share — diluted</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$0.86</w:t>
            </w:r>
          </w:p>
        </w:tc>
        <w:tc>
          <w:tcPr>
            <w:tcW w:w="4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FFO Payout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w:t>
            </w:r>
          </w:p>
        </w:tc>
        <w:tc>
          <w:tcPr>
            <w:tcW w:w="4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Funds Available for Distribution</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FAD per share — diluted</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$0.58</w:t>
            </w: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FAD Payout</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Operating Earnings per share — diluted</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$0.52</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Dividends per share</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$0.4425</w:t>
            </w:r>
          </w:p>
        </w:tc>
        <w:tc>
          <w:tcPr>
            <w:tcW w:w="4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$0.3875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 — Diluted (FFO)</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37,811</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36,072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Same-store Cash NOI</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4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Capitalization Data (000's)</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Total Assets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$1,467,202</w:t>
            </w:r>
          </w:p>
        </w:tc>
        <w:tc>
          <w:tcPr>
            <w:tcW w:w="4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$1,346,171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Total Consolidated Debt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$548,731</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$484,131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Minority Interest</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$44,941</w:t>
            </w:r>
          </w:p>
        </w:tc>
        <w:tc>
          <w:tcPr>
            <w:tcW w:w="4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$46,474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$111,599</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$111,117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Quarter End Closing Price — SLG Common Stock</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$30.74</w:t>
            </w:r>
          </w:p>
        </w:tc>
        <w:tc>
          <w:tcPr>
            <w:tcW w:w="4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$31.52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Total Market Capitalization</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$2,081,572</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$1,878,278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b w:val="1"/>
                <w:bCs w:val="1"/>
                <w:color w:val="auto"/>
              </w:rPr>
              <w:t>Ratios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9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Consolidated Debt to Total Market Capitalization</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33.81%</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Combined Debt Allocated</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46.42%</w:t>
            </w:r>
          </w:p>
        </w:tc>
        <w:tc>
          <w:tcPr>
            <w:tcW w:w="4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39.80%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Consolidated Fixed Charge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2.68</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Combined Fixed Charge</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2.21</w:t>
            </w:r>
          </w:p>
        </w:tc>
        <w:tc>
          <w:tcPr>
            <w:tcW w:w="4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Portfolio</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7960" w:type="dxa"/>
            <w:vAlign w:val="bottom"/>
            <w:gridSpan w:val="2"/>
          </w:tcPr>
          <w:p>
            <w:pPr>
              <w:spacing w:after="0"/>
              <w:rPr>
                <w:sz w:val="20"/>
                <w:szCs w:val="20"/>
                <w:color w:val="auto"/>
              </w:rPr>
            </w:pPr>
            <w:r>
              <w:rPr>
                <w:rFonts w:ascii="Arial" w:cs="Arial" w:eastAsia="Arial" w:hAnsi="Arial"/>
                <w:sz w:val="16"/>
                <w:szCs w:val="16"/>
                <w:b w:val="1"/>
                <w:bCs w:val="1"/>
                <w:color w:val="auto"/>
              </w:rPr>
              <w:t>Total Buildings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Directly Owned</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w:t>
            </w: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Joint Ventures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Total SF</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11,533,000</w:t>
            </w:r>
          </w:p>
        </w:tc>
        <w:tc>
          <w:tcPr>
            <w:tcW w:w="4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10,035,800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9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-4530090</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-4530090</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-4301490</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-4301490</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-4301490</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-4301490</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-1574800</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-1574800</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-802640</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-802640</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End of Quarter Occupancy — Total</w:t>
            </w:r>
          </w:p>
        </w:tc>
        <w:tc>
          <w:tcPr>
            <w:tcW w:w="5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97.0%</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r>
      <w:tr>
        <w:trPr>
          <w:trHeight w:val="206"/>
        </w:trPr>
        <w:tc>
          <w:tcPr>
            <w:tcW w:w="4480" w:type="dxa"/>
            <w:vAlign w:val="bottom"/>
          </w:tcPr>
          <w:p>
            <w:pPr>
              <w:ind w:left="220"/>
              <w:spacing w:after="0"/>
              <w:rPr>
                <w:sz w:val="20"/>
                <w:szCs w:val="20"/>
                <w:color w:val="auto"/>
              </w:rPr>
            </w:pPr>
            <w:r>
              <w:rPr>
                <w:rFonts w:ascii="Arial" w:cs="Arial" w:eastAsia="Arial" w:hAnsi="Arial"/>
                <w:sz w:val="16"/>
                <w:szCs w:val="16"/>
                <w:color w:val="auto"/>
              </w:rPr>
              <w:t>End of Quarter Occupancy — 2002 Same Store</w:t>
            </w:r>
          </w:p>
        </w:tc>
        <w:tc>
          <w:tcPr>
            <w:tcW w:w="5780" w:type="dxa"/>
            <w:vAlign w:val="bottom"/>
          </w:tcPr>
          <w:p>
            <w:pPr>
              <w:jc w:val="right"/>
              <w:ind w:right="579"/>
              <w:spacing w:after="0"/>
              <w:rPr>
                <w:sz w:val="20"/>
                <w:szCs w:val="20"/>
                <w:color w:val="auto"/>
              </w:rPr>
            </w:pPr>
            <w:r>
              <w:rPr>
                <w:rFonts w:ascii="Arial" w:cs="Arial" w:eastAsia="Arial" w:hAnsi="Arial"/>
                <w:sz w:val="16"/>
                <w:szCs w:val="16"/>
                <w:color w:val="auto"/>
              </w:rPr>
              <w:t>96.9%</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97.7%</w:t>
            </w:r>
          </w:p>
        </w:tc>
      </w:tr>
      <w:tr>
        <w:trPr>
          <w:trHeight w:val="413"/>
        </w:trPr>
        <w:tc>
          <w:tcPr>
            <w:tcW w:w="4480" w:type="dxa"/>
            <w:vAlign w:val="bottom"/>
          </w:tcPr>
          <w:p>
            <w:pPr>
              <w:spacing w:after="0"/>
              <w:rPr>
                <w:sz w:val="24"/>
                <w:szCs w:val="24"/>
                <w:color w:val="auto"/>
              </w:rPr>
            </w:pPr>
          </w:p>
        </w:tc>
        <w:tc>
          <w:tcPr>
            <w:tcW w:w="5780" w:type="dxa"/>
            <w:vAlign w:val="bottom"/>
          </w:tcPr>
          <w:p>
            <w:pPr>
              <w:jc w:val="right"/>
              <w:ind w:right="4419"/>
              <w:spacing w:after="0"/>
              <w:rPr>
                <w:sz w:val="20"/>
                <w:szCs w:val="20"/>
                <w:color w:val="auto"/>
              </w:rPr>
            </w:pPr>
            <w:r>
              <w:rPr>
                <w:rFonts w:ascii="Arial" w:cs="Arial" w:eastAsia="Arial" w:hAnsi="Arial"/>
                <w:sz w:val="16"/>
                <w:szCs w:val="16"/>
                <w:color w:val="auto"/>
              </w:rPr>
              <w:t>9</w:t>
            </w:r>
          </w:p>
        </w:tc>
        <w:tc>
          <w:tcPr>
            <w:tcW w:w="1160" w:type="dxa"/>
            <w:vAlign w:val="bottom"/>
          </w:tcPr>
          <w:p>
            <w:pPr>
              <w:spacing w:after="0"/>
              <w:rPr>
                <w:sz w:val="24"/>
                <w:szCs w:val="24"/>
                <w:color w:val="auto"/>
              </w:rPr>
            </w:pPr>
          </w:p>
        </w:tc>
      </w:tr>
      <w:tr>
        <w:trPr>
          <w:trHeight w:val="209"/>
        </w:trPr>
        <w:tc>
          <w:tcPr>
            <w:tcW w:w="4480" w:type="dxa"/>
            <w:vAlign w:val="bottom"/>
            <w:tcBorders>
              <w:bottom w:val="single" w:sz="8" w:color="808080"/>
            </w:tcBorders>
          </w:tcPr>
          <w:p>
            <w:pPr>
              <w:spacing w:after="0"/>
              <w:rPr>
                <w:sz w:val="18"/>
                <w:szCs w:val="18"/>
                <w:color w:val="auto"/>
              </w:rPr>
            </w:pPr>
          </w:p>
        </w:tc>
        <w:tc>
          <w:tcPr>
            <w:tcW w:w="578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r>
      <w:tr>
        <w:trPr>
          <w:trHeight w:val="203"/>
        </w:trPr>
        <w:tc>
          <w:tcPr>
            <w:tcW w:w="4480" w:type="dxa"/>
            <w:vAlign w:val="bottom"/>
            <w:tcBorders>
              <w:bottom w:val="single" w:sz="8" w:color="808080"/>
            </w:tcBorders>
          </w:tcPr>
          <w:p>
            <w:pPr>
              <w:spacing w:after="0"/>
              <w:rPr>
                <w:sz w:val="17"/>
                <w:szCs w:val="17"/>
                <w:color w:val="auto"/>
              </w:rPr>
            </w:pPr>
          </w:p>
        </w:tc>
        <w:tc>
          <w:tcPr>
            <w:tcW w:w="578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COMPARATIVE BALANCE SHEETS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ind w:left="1320"/>
              <w:spacing w:after="0"/>
              <w:rPr>
                <w:sz w:val="20"/>
                <w:szCs w:val="20"/>
                <w:color w:val="auto"/>
              </w:rPr>
            </w:pPr>
            <w:r>
              <w:rPr>
                <w:rFonts w:ascii="Arial" w:cs="Arial" w:eastAsia="Arial" w:hAnsi="Arial"/>
                <w:sz w:val="12"/>
                <w:szCs w:val="12"/>
                <w:b w:val="1"/>
                <w:bCs w:val="1"/>
                <w:color w:val="auto"/>
              </w:rPr>
              <w:t>Assets</w:t>
            </w:r>
          </w:p>
        </w:tc>
        <w:tc>
          <w:tcPr>
            <w:tcW w:w="12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9/30/02</w:t>
            </w:r>
          </w:p>
        </w:tc>
        <w:tc>
          <w:tcPr>
            <w:tcW w:w="12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Arial" w:cs="Arial" w:eastAsia="Arial" w:hAnsi="Arial"/>
                <w:sz w:val="12"/>
                <w:szCs w:val="12"/>
                <w:b w:val="1"/>
                <w:bCs w:val="1"/>
                <w:color w:val="auto"/>
              </w:rPr>
              <w:t>9/30/01</w:t>
            </w:r>
          </w:p>
        </w:tc>
        <w:tc>
          <w:tcPr>
            <w:tcW w:w="80" w:type="dxa"/>
            <w:vAlign w:val="bottom"/>
          </w:tcPr>
          <w:p>
            <w:pPr>
              <w:spacing w:after="0"/>
              <w:rPr>
                <w:sz w:val="13"/>
                <w:szCs w:val="13"/>
                <w:color w:val="auto"/>
              </w:rPr>
            </w:pPr>
          </w:p>
        </w:tc>
        <w:tc>
          <w:tcPr>
            <w:tcW w:w="1060" w:type="dxa"/>
            <w:vAlign w:val="bottom"/>
            <w:gridSpan w:val="2"/>
          </w:tcPr>
          <w:p>
            <w:pPr>
              <w:jc w:val="right"/>
              <w:ind w:right="359"/>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80" w:type="dxa"/>
            <w:vAlign w:val="bottom"/>
          </w:tcPr>
          <w:p>
            <w:pPr>
              <w:jc w:val="right"/>
              <w:ind w:right="320"/>
              <w:spacing w:after="0"/>
              <w:rPr>
                <w:sz w:val="20"/>
                <w:szCs w:val="20"/>
                <w:color w:val="auto"/>
              </w:rPr>
            </w:pPr>
            <w:r>
              <w:rPr>
                <w:rFonts w:ascii="Arial" w:cs="Arial" w:eastAsia="Arial" w:hAnsi="Arial"/>
                <w:sz w:val="12"/>
                <w:szCs w:val="12"/>
                <w:b w:val="1"/>
                <w:bCs w:val="1"/>
                <w:color w:val="auto"/>
              </w:rPr>
              <w:t>6/30/02</w:t>
            </w:r>
          </w:p>
        </w:tc>
        <w:tc>
          <w:tcPr>
            <w:tcW w:w="10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Arial" w:cs="Arial" w:eastAsia="Arial" w:hAnsi="Arial"/>
                <w:sz w:val="12"/>
                <w:szCs w:val="12"/>
                <w:b w:val="1"/>
                <w:bCs w:val="1"/>
                <w:color w:val="auto"/>
              </w:rPr>
              <w:t>3/31/02</w:t>
            </w:r>
          </w:p>
        </w:tc>
        <w:tc>
          <w:tcPr>
            <w:tcW w:w="12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w w:val="98"/>
              </w:rPr>
              <w:t>Commercial real estate properties, at cost: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6"/>
                <w:szCs w:val="16"/>
                <w:color w:val="auto"/>
              </w:rPr>
              <w:t>Land &amp; land interests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131,078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138,337</w:t>
            </w:r>
          </w:p>
        </w:tc>
        <w:tc>
          <w:tcPr>
            <w:tcW w:w="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(7,259)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138,337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(7,259)</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138,337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(7,259)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Buildings &amp; improvements fee interest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675,499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679,821</w:t>
            </w: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(4,322)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701,721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(26,222)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699,610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6"/>
                <w:szCs w:val="16"/>
                <w:color w:val="auto"/>
              </w:rPr>
              <w:t>Buildings &amp; improvements leasehold</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147,911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143,198</w:t>
            </w:r>
          </w:p>
        </w:tc>
        <w:tc>
          <w:tcPr>
            <w:tcW w:w="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4,713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145,264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2,647</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145,012</w:t>
            </w:r>
          </w:p>
        </w:tc>
        <w:tc>
          <w:tcPr>
            <w:tcW w:w="920" w:type="dxa"/>
            <w:vAlign w:val="bottom"/>
          </w:tcPr>
          <w:p>
            <w:pPr>
              <w:jc w:val="right"/>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Buildings &amp; improvements under capital</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12,208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12,208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966,696</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973,564</w:t>
            </w:r>
          </w:p>
        </w:tc>
        <w:tc>
          <w:tcPr>
            <w:tcW w:w="8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(6,868)</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997,530</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(30,834)</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995,167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(28,471)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(119,056)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(93,339)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(25,717)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(115,555)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(108,034)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847,640</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880,225</w:t>
            </w:r>
          </w:p>
        </w:tc>
        <w:tc>
          <w:tcPr>
            <w:tcW w:w="8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(32,585)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881,975</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(34,335)</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887,133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(39,493)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Other Real Estate Investments: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Pr>
          <w:p>
            <w:pPr>
              <w:ind w:left="200"/>
              <w:spacing w:after="0"/>
              <w:rPr>
                <w:sz w:val="20"/>
                <w:szCs w:val="20"/>
                <w:color w:val="auto"/>
              </w:rPr>
            </w:pPr>
            <w:r>
              <w:rPr>
                <w:rFonts w:ascii="Arial" w:cs="Arial" w:eastAsia="Arial" w:hAnsi="Arial"/>
                <w:sz w:val="16"/>
                <w:szCs w:val="16"/>
                <w:color w:val="auto"/>
              </w:rPr>
              <w:t>Investment in unconsolidated joint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80" w:type="dxa"/>
            <w:vAlign w:val="bottom"/>
          </w:tcPr>
          <w:p>
            <w:pPr>
              <w:ind w:left="200"/>
              <w:spacing w:after="0"/>
              <w:rPr>
                <w:sz w:val="20"/>
                <w:szCs w:val="20"/>
                <w:color w:val="auto"/>
              </w:rPr>
            </w:pPr>
            <w:r>
              <w:rPr>
                <w:rFonts w:ascii="Arial" w:cs="Arial" w:eastAsia="Arial" w:hAnsi="Arial"/>
                <w:sz w:val="16"/>
                <w:szCs w:val="16"/>
                <w:color w:val="auto"/>
              </w:rPr>
              <w:t>ventures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217,108</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143,049</w:t>
            </w:r>
          </w:p>
        </w:tc>
        <w:tc>
          <w:tcPr>
            <w:tcW w:w="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74,059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223,354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(6,246)</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124,958</w:t>
            </w:r>
          </w:p>
        </w:tc>
        <w:tc>
          <w:tcPr>
            <w:tcW w:w="920" w:type="dxa"/>
            <w:vAlign w:val="bottom"/>
          </w:tcPr>
          <w:p>
            <w:pPr>
              <w:jc w:val="right"/>
              <w:spacing w:after="0"/>
              <w:rPr>
                <w:sz w:val="20"/>
                <w:szCs w:val="20"/>
                <w:color w:val="auto"/>
              </w:rPr>
            </w:pPr>
            <w:r>
              <w:rPr>
                <w:rFonts w:ascii="Arial" w:cs="Arial" w:eastAsia="Arial" w:hAnsi="Arial"/>
                <w:sz w:val="16"/>
                <w:szCs w:val="16"/>
                <w:color w:val="auto"/>
              </w:rPr>
              <w:t>92,150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Mortgage loans receivable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127,293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96,411</w:t>
            </w: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30,882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127,814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127,669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6"/>
                <w:szCs w:val="16"/>
                <w:color w:val="auto"/>
              </w:rPr>
              <w:t>Preferred equity investments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67,416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61,491</w:t>
            </w:r>
          </w:p>
        </w:tc>
        <w:tc>
          <w:tcPr>
            <w:tcW w:w="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5,925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67,434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61,451</w:t>
            </w:r>
          </w:p>
        </w:tc>
        <w:tc>
          <w:tcPr>
            <w:tcW w:w="920" w:type="dxa"/>
            <w:vAlign w:val="bottom"/>
          </w:tcPr>
          <w:p>
            <w:pPr>
              <w:jc w:val="right"/>
              <w:spacing w:after="0"/>
              <w:rPr>
                <w:sz w:val="20"/>
                <w:szCs w:val="20"/>
                <w:color w:val="auto"/>
              </w:rPr>
            </w:pPr>
            <w:r>
              <w:rPr>
                <w:rFonts w:ascii="Arial" w:cs="Arial" w:eastAsia="Arial" w:hAnsi="Arial"/>
                <w:sz w:val="16"/>
                <w:szCs w:val="16"/>
                <w:color w:val="auto"/>
              </w:rPr>
              <w:t>5,965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Assets held for sale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29,060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29,060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25,555</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5,991</w:t>
            </w:r>
          </w:p>
        </w:tc>
        <w:tc>
          <w:tcPr>
            <w:tcW w:w="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19,564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20,486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5,069</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12,429</w:t>
            </w:r>
          </w:p>
        </w:tc>
        <w:tc>
          <w:tcPr>
            <w:tcW w:w="920" w:type="dxa"/>
            <w:vAlign w:val="bottom"/>
          </w:tcPr>
          <w:p>
            <w:pPr>
              <w:jc w:val="right"/>
              <w:spacing w:after="0"/>
              <w:rPr>
                <w:sz w:val="20"/>
                <w:szCs w:val="20"/>
                <w:color w:val="auto"/>
              </w:rPr>
            </w:pPr>
            <w:r>
              <w:rPr>
                <w:rFonts w:ascii="Arial" w:cs="Arial" w:eastAsia="Arial" w:hAnsi="Arial"/>
                <w:sz w:val="16"/>
                <w:szCs w:val="16"/>
                <w:color w:val="auto"/>
              </w:rPr>
              <w:t>13,126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6"/>
                <w:szCs w:val="16"/>
                <w:color w:val="auto"/>
              </w:rPr>
              <w:t>Tenant security</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19,115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19,394</w:t>
            </w:r>
          </w:p>
        </w:tc>
        <w:tc>
          <w:tcPr>
            <w:tcW w:w="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(279)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18,974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141</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18,714</w:t>
            </w:r>
          </w:p>
        </w:tc>
        <w:tc>
          <w:tcPr>
            <w:tcW w:w="9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Escrows &amp; other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17,710</w:t>
            </w: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(4,287)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15,517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(2,094)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18,412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w w:val="95"/>
              </w:rPr>
              <w:t>Tenant and other receivables, net of $5,860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spacing w:after="0"/>
              <w:rPr>
                <w:sz w:val="20"/>
                <w:szCs w:val="20"/>
                <w:color w:val="auto"/>
              </w:rPr>
            </w:pPr>
            <w:r>
              <w:rPr>
                <w:rFonts w:ascii="Arial" w:cs="Arial" w:eastAsia="Arial" w:hAnsi="Arial"/>
                <w:sz w:val="16"/>
                <w:szCs w:val="16"/>
                <w:color w:val="auto"/>
              </w:rPr>
              <w:t>reserve at 9/30/02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8,102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12,229</w:t>
            </w:r>
          </w:p>
        </w:tc>
        <w:tc>
          <w:tcPr>
            <w:tcW w:w="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(4,127)</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8,619</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(517)</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7,754</w:t>
            </w:r>
          </w:p>
        </w:tc>
        <w:tc>
          <w:tcPr>
            <w:tcW w:w="9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Related party receivables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4,832</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2,949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3,515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w w:val="95"/>
              </w:rPr>
              <w:t>Deferred rents receivable, net of reserve for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spacing w:after="0"/>
              <w:rPr>
                <w:sz w:val="20"/>
                <w:szCs w:val="20"/>
                <w:color w:val="auto"/>
              </w:rPr>
            </w:pPr>
            <w:r>
              <w:rPr>
                <w:rFonts w:ascii="Arial" w:cs="Arial" w:eastAsia="Arial" w:hAnsi="Arial"/>
                <w:sz w:val="16"/>
                <w:szCs w:val="16"/>
                <w:color w:val="auto"/>
              </w:rPr>
              <w:t>tenant credit loss of $6,321 at 9/30/02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54,992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50,060</w:t>
            </w:r>
          </w:p>
        </w:tc>
        <w:tc>
          <w:tcPr>
            <w:tcW w:w="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4,932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55,975</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(983)</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53,816</w:t>
            </w:r>
          </w:p>
        </w:tc>
        <w:tc>
          <w:tcPr>
            <w:tcW w:w="920" w:type="dxa"/>
            <w:vAlign w:val="bottom"/>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and advances to affiliates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8,570</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(5,430)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Deferred costs, net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34,957</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36,066</w:t>
            </w:r>
          </w:p>
        </w:tc>
        <w:tc>
          <w:tcPr>
            <w:tcW w:w="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(1,109)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34,571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386</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34,416</w:t>
            </w:r>
          </w:p>
        </w:tc>
        <w:tc>
          <w:tcPr>
            <w:tcW w:w="92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14,569</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13,093</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1,476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18,691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(4,122)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108"/>
        </w:trPr>
        <w:tc>
          <w:tcPr>
            <w:tcW w:w="30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1,467,202</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1,346,171</w:t>
            </w:r>
          </w:p>
        </w:tc>
        <w:tc>
          <w:tcPr>
            <w:tcW w:w="80" w:type="dxa"/>
            <w:vAlign w:val="bottom"/>
          </w:tcPr>
          <w:p>
            <w:pPr>
              <w:spacing w:after="0"/>
              <w:rPr>
                <w:sz w:val="24"/>
                <w:szCs w:val="2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121,030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1,479,874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(12,672)</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1,367,985</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99,217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99"/>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1896110</wp:posOffset>
            </wp:positionH>
            <wp:positionV relativeFrom="paragraph">
              <wp:posOffset>-4773295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-4773295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-4773295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-4773295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-4773295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-4773295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-4773295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-4773295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-4773295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-4773295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-4773295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-4773295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-4773295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-4773295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-4773295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-4773295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-3827780</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-3827780</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-3827780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-3827780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-3827780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-3827780</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-3827780</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-3827780</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-3827780</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-3827780</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-3827780</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-3827780</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-3827780</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-3827780</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-3433445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-3433445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-3433445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-3433445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-3433445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-3433445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-3433445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-3433445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-3433445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-3433445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-3433445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-3433445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-3433445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-3433445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-833120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-833120</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-833120</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-833120</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-833120</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-833120</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-833120</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-833120</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-833120</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-833120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-833120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-833120</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-833120</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-833120</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-571500</wp:posOffset>
            </wp:positionV>
            <wp:extent cx="12700" cy="36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-571500</wp:posOffset>
            </wp:positionV>
            <wp:extent cx="12700" cy="36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-92710</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-92710</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COMPARATIVE BALANCE SHEETS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40" w:type="dxa"/>
            <w:vAlign w:val="bottom"/>
          </w:tcPr>
          <w:p>
            <w:pPr>
              <w:jc w:val="right"/>
              <w:ind w:right="300"/>
              <w:spacing w:after="0"/>
              <w:rPr>
                <w:sz w:val="20"/>
                <w:szCs w:val="20"/>
                <w:color w:val="auto"/>
              </w:rPr>
            </w:pPr>
            <w:r>
              <w:rPr>
                <w:rFonts w:ascii="Arial" w:cs="Arial" w:eastAsia="Arial" w:hAnsi="Arial"/>
                <w:sz w:val="12"/>
                <w:szCs w:val="12"/>
                <w:b w:val="1"/>
                <w:bCs w:val="1"/>
                <w:color w:val="auto"/>
              </w:rPr>
              <w:t>9/30/02</w:t>
            </w:r>
          </w:p>
        </w:tc>
        <w:tc>
          <w:tcPr>
            <w:tcW w:w="12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Arial" w:cs="Arial" w:eastAsia="Arial" w:hAnsi="Arial"/>
                <w:sz w:val="12"/>
                <w:szCs w:val="12"/>
                <w:b w:val="1"/>
                <w:bCs w:val="1"/>
                <w:color w:val="auto"/>
              </w:rPr>
              <w:t>9/30/01</w:t>
            </w:r>
          </w:p>
        </w:tc>
        <w:tc>
          <w:tcPr>
            <w:tcW w:w="100" w:type="dxa"/>
            <w:vAlign w:val="bottom"/>
          </w:tcPr>
          <w:p>
            <w:pPr>
              <w:spacing w:after="0"/>
              <w:rPr>
                <w:sz w:val="13"/>
                <w:szCs w:val="13"/>
                <w:color w:val="auto"/>
              </w:rPr>
            </w:pPr>
          </w:p>
        </w:tc>
        <w:tc>
          <w:tcPr>
            <w:tcW w:w="1040" w:type="dxa"/>
            <w:vAlign w:val="bottom"/>
          </w:tcPr>
          <w:p>
            <w:pPr>
              <w:jc w:val="right"/>
              <w:ind w:right="3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80" w:type="dxa"/>
            <w:vAlign w:val="bottom"/>
          </w:tcPr>
          <w:p>
            <w:pPr>
              <w:jc w:val="right"/>
              <w:ind w:right="320"/>
              <w:spacing w:after="0"/>
              <w:rPr>
                <w:sz w:val="20"/>
                <w:szCs w:val="20"/>
                <w:color w:val="auto"/>
              </w:rPr>
            </w:pPr>
            <w:r>
              <w:rPr>
                <w:rFonts w:ascii="Arial" w:cs="Arial" w:eastAsia="Arial" w:hAnsi="Arial"/>
                <w:sz w:val="12"/>
                <w:szCs w:val="12"/>
                <w:b w:val="1"/>
                <w:bCs w:val="1"/>
                <w:color w:val="auto"/>
              </w:rPr>
              <w:t>6/30/02</w:t>
            </w:r>
          </w:p>
        </w:tc>
        <w:tc>
          <w:tcPr>
            <w:tcW w:w="10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Arial" w:cs="Arial" w:eastAsia="Arial" w:hAnsi="Arial"/>
                <w:sz w:val="12"/>
                <w:szCs w:val="12"/>
                <w:b w:val="1"/>
                <w:bCs w:val="1"/>
                <w:color w:val="auto"/>
              </w:rPr>
              <w:t>3/31/02</w:t>
            </w:r>
          </w:p>
        </w:tc>
        <w:tc>
          <w:tcPr>
            <w:tcW w:w="12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3120" w:type="dxa"/>
            <w:vAlign w:val="bottom"/>
            <w:gridSpan w:val="2"/>
          </w:tcPr>
          <w:p>
            <w:pPr>
              <w:spacing w:after="0"/>
              <w:rPr>
                <w:sz w:val="20"/>
                <w:szCs w:val="20"/>
                <w:color w:val="auto"/>
              </w:rPr>
            </w:pPr>
            <w:r>
              <w:rPr>
                <w:rFonts w:ascii="Arial" w:cs="Arial" w:eastAsia="Arial" w:hAnsi="Arial"/>
                <w:sz w:val="16"/>
                <w:szCs w:val="16"/>
                <w:color w:val="auto"/>
              </w:rPr>
              <w:t>Mortgage notes payable</w:t>
            </w:r>
          </w:p>
        </w:tc>
        <w:tc>
          <w:tcPr>
            <w:tcW w:w="1140" w:type="dxa"/>
            <w:vAlign w:val="bottom"/>
          </w:tcPr>
          <w:p>
            <w:pPr>
              <w:jc w:val="right"/>
              <w:spacing w:after="0"/>
              <w:rPr>
                <w:sz w:val="20"/>
                <w:szCs w:val="20"/>
                <w:color w:val="auto"/>
              </w:rPr>
            </w:pPr>
            <w:r>
              <w:rPr>
                <w:rFonts w:ascii="Arial" w:cs="Arial" w:eastAsia="Arial" w:hAnsi="Arial"/>
                <w:sz w:val="16"/>
                <w:szCs w:val="16"/>
                <w:color w:val="auto"/>
              </w:rPr>
              <w:t>374,800</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411,393</w:t>
            </w: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(36,593)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397,371</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(22,571)</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408,186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(33,386)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Revolving credit facilities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173,931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101,193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197,931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86,931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Derivative Instruments-fair value</w:t>
            </w:r>
          </w:p>
        </w:tc>
        <w:tc>
          <w:tcPr>
            <w:tcW w:w="1140" w:type="dxa"/>
            <w:vAlign w:val="bottom"/>
          </w:tcPr>
          <w:p>
            <w:pPr>
              <w:jc w:val="right"/>
              <w:spacing w:after="0"/>
              <w:rPr>
                <w:sz w:val="20"/>
                <w:szCs w:val="20"/>
                <w:color w:val="auto"/>
              </w:rPr>
            </w:pPr>
            <w:r>
              <w:rPr>
                <w:rFonts w:ascii="Arial" w:cs="Arial" w:eastAsia="Arial" w:hAnsi="Arial"/>
                <w:sz w:val="16"/>
                <w:szCs w:val="16"/>
                <w:color w:val="auto"/>
              </w:rPr>
              <w:t>8,540</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3,553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4,991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3,549</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2,002</w:t>
            </w:r>
          </w:p>
        </w:tc>
        <w:tc>
          <w:tcPr>
            <w:tcW w:w="920" w:type="dxa"/>
            <w:vAlign w:val="bottom"/>
          </w:tcPr>
          <w:p>
            <w:pPr>
              <w:jc w:val="right"/>
              <w:spacing w:after="0"/>
              <w:rPr>
                <w:sz w:val="20"/>
                <w:szCs w:val="20"/>
                <w:color w:val="auto"/>
              </w:rPr>
            </w:pPr>
            <w:r>
              <w:rPr>
                <w:rFonts w:ascii="Arial" w:cs="Arial" w:eastAsia="Arial" w:hAnsi="Arial"/>
                <w:sz w:val="16"/>
                <w:szCs w:val="16"/>
                <w:color w:val="auto"/>
              </w:rPr>
              <w:t>6,538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 payable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1140" w:type="dxa"/>
            <w:vAlign w:val="bottom"/>
          </w:tcPr>
          <w:p>
            <w:pPr>
              <w:jc w:val="right"/>
              <w:spacing w:after="0"/>
              <w:rPr>
                <w:sz w:val="20"/>
                <w:szCs w:val="20"/>
                <w:color w:val="auto"/>
              </w:rPr>
            </w:pPr>
            <w:r>
              <w:rPr>
                <w:rFonts w:ascii="Arial" w:cs="Arial" w:eastAsia="Arial" w:hAnsi="Arial"/>
                <w:sz w:val="16"/>
                <w:szCs w:val="16"/>
                <w:color w:val="auto"/>
              </w:rPr>
              <w:t>32,893</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20,827</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1,206</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27,259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5,634</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24,386</w:t>
            </w:r>
          </w:p>
        </w:tc>
        <w:tc>
          <w:tcPr>
            <w:tcW w:w="920" w:type="dxa"/>
            <w:vAlign w:val="bottom"/>
          </w:tcPr>
          <w:p>
            <w:pPr>
              <w:jc w:val="right"/>
              <w:spacing w:after="0"/>
              <w:rPr>
                <w:sz w:val="20"/>
                <w:szCs w:val="20"/>
                <w:color w:val="auto"/>
              </w:rPr>
            </w:pPr>
            <w:r>
              <w:rPr>
                <w:rFonts w:ascii="Arial" w:cs="Arial" w:eastAsia="Arial" w:hAnsi="Arial"/>
                <w:sz w:val="16"/>
                <w:szCs w:val="16"/>
                <w:color w:val="auto"/>
              </w:rPr>
              <w:t>8,507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Deferred compensation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Deferred revenue</w:t>
            </w:r>
          </w:p>
        </w:tc>
        <w:tc>
          <w:tcPr>
            <w:tcW w:w="1140" w:type="dxa"/>
            <w:vAlign w:val="bottom"/>
          </w:tcPr>
          <w:p>
            <w:pPr>
              <w:jc w:val="right"/>
              <w:spacing w:after="0"/>
              <w:rPr>
                <w:sz w:val="20"/>
                <w:szCs w:val="20"/>
                <w:color w:val="auto"/>
              </w:rPr>
            </w:pPr>
            <w:r>
              <w:rPr>
                <w:rFonts w:ascii="Arial" w:cs="Arial" w:eastAsia="Arial" w:hAnsi="Arial"/>
                <w:sz w:val="16"/>
                <w:szCs w:val="16"/>
                <w:color w:val="auto"/>
              </w:rPr>
              <w:t>3,842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2,479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2,920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922</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1,676</w:t>
            </w:r>
          </w:p>
        </w:tc>
        <w:tc>
          <w:tcPr>
            <w:tcW w:w="920" w:type="dxa"/>
            <w:vAlign w:val="bottom"/>
          </w:tcPr>
          <w:p>
            <w:pPr>
              <w:jc w:val="right"/>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Capitalized lease obligations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15,802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15,644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Deferred land lease payable</w:t>
            </w:r>
          </w:p>
        </w:tc>
        <w:tc>
          <w:tcPr>
            <w:tcW w:w="1140" w:type="dxa"/>
            <w:vAlign w:val="bottom"/>
          </w:tcPr>
          <w:p>
            <w:pPr>
              <w:jc w:val="right"/>
              <w:spacing w:after="0"/>
              <w:rPr>
                <w:sz w:val="20"/>
                <w:szCs w:val="20"/>
                <w:color w:val="auto"/>
              </w:rPr>
            </w:pPr>
            <w:r>
              <w:rPr>
                <w:rFonts w:ascii="Arial" w:cs="Arial" w:eastAsia="Arial" w:hAnsi="Arial"/>
                <w:sz w:val="16"/>
                <w:szCs w:val="16"/>
                <w:color w:val="auto"/>
              </w:rPr>
              <w:t>14,466</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13,926</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540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14,406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14,246</w:t>
            </w: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Dividend and distributions payable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16,693</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16,706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16,596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Liabilities related to assets held for sale</w:t>
            </w:r>
          </w:p>
        </w:tc>
        <w:tc>
          <w:tcPr>
            <w:tcW w:w="1140" w:type="dxa"/>
            <w:vAlign w:val="bottom"/>
          </w:tcPr>
          <w:p>
            <w:pPr>
              <w:jc w:val="right"/>
              <w:spacing w:after="0"/>
              <w:rPr>
                <w:sz w:val="20"/>
                <w:szCs w:val="20"/>
                <w:color w:val="auto"/>
              </w:rPr>
            </w:pPr>
            <w:r>
              <w:rPr>
                <w:rFonts w:ascii="Arial" w:cs="Arial" w:eastAsia="Arial" w:hAnsi="Arial"/>
                <w:sz w:val="16"/>
                <w:szCs w:val="16"/>
                <w:color w:val="auto"/>
              </w:rPr>
              <w:t>22,545</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22,545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22,545</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22,545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Security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19,261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19,019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312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140" w:type="dxa"/>
            <w:vAlign w:val="bottom"/>
          </w:tcPr>
          <w:p>
            <w:pPr>
              <w:jc w:val="right"/>
              <w:spacing w:after="0"/>
              <w:rPr>
                <w:sz w:val="20"/>
                <w:szCs w:val="20"/>
                <w:color w:val="auto"/>
              </w:rPr>
            </w:pPr>
            <w:r>
              <w:rPr>
                <w:rFonts w:ascii="Arial" w:cs="Arial" w:eastAsia="Arial" w:hAnsi="Arial"/>
                <w:sz w:val="16"/>
                <w:szCs w:val="16"/>
                <w:color w:val="auto"/>
              </w:rPr>
              <w:t>685,497</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578,190</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107,307</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699,269</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(13,772)</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590,974</w:t>
            </w:r>
          </w:p>
        </w:tc>
        <w:tc>
          <w:tcPr>
            <w:tcW w:w="920" w:type="dxa"/>
            <w:vAlign w:val="bottom"/>
          </w:tcPr>
          <w:p>
            <w:pPr>
              <w:jc w:val="right"/>
              <w:spacing w:after="0"/>
              <w:rPr>
                <w:sz w:val="20"/>
                <w:szCs w:val="20"/>
                <w:color w:val="auto"/>
              </w:rPr>
            </w:pPr>
            <w:r>
              <w:rPr>
                <w:rFonts w:ascii="Arial" w:cs="Arial" w:eastAsia="Arial" w:hAnsi="Arial"/>
                <w:sz w:val="16"/>
                <w:szCs w:val="16"/>
                <w:color w:val="auto"/>
              </w:rPr>
              <w:t>94,523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w w:val="98"/>
              </w:rPr>
              <w:t>Minority interest (2,166 units outstanding) at</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9/30/02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45,644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47,295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395"/>
        </w:trPr>
        <w:tc>
          <w:tcPr>
            <w:tcW w:w="3120" w:type="dxa"/>
            <w:vAlign w:val="bottom"/>
            <w:gridSpan w:val="2"/>
          </w:tcPr>
          <w:p>
            <w:pPr>
              <w:spacing w:after="0"/>
              <w:rPr>
                <w:sz w:val="20"/>
                <w:szCs w:val="20"/>
                <w:color w:val="auto"/>
              </w:rPr>
            </w:pPr>
            <w:r>
              <w:rPr>
                <w:rFonts w:ascii="Arial" w:cs="Arial" w:eastAsia="Arial" w:hAnsi="Arial"/>
                <w:sz w:val="16"/>
                <w:szCs w:val="16"/>
                <w:color w:val="auto"/>
              </w:rPr>
              <w:t>8% Preferred Income Equity Redeemable</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111,599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111,117</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482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111,474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111,353</w:t>
            </w:r>
          </w:p>
        </w:tc>
        <w:tc>
          <w:tcPr>
            <w:tcW w:w="92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-2752725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-2752725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-2752725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-2752725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-2752725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-2752725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-2752725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-2752725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-2752725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-2752725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-2752725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-2752725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-2752725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-2752725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-2484755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-2484755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-829945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-829945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-829945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-829945</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-829945</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-829945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-829945</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-829945</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-829945</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-829945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-829945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-829945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-829945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-829945</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Shares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$0.01 par value, $25.00 mandatory liquidation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preference, 4,600 outstanding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7415" cy="1263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71120</wp:posOffset>
            </wp:positionV>
            <wp:extent cx="718375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3755" cy="2032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20" w:type="dxa"/>
            <w:vAlign w:val="bottom"/>
            <w:gridSpan w:val="2"/>
          </w:tcPr>
          <w:p>
            <w:pPr>
              <w:spacing w:after="0"/>
              <w:rPr>
                <w:sz w:val="20"/>
                <w:szCs w:val="20"/>
                <w:color w:val="auto"/>
              </w:rPr>
            </w:pPr>
            <w:r>
              <w:rPr>
                <w:rFonts w:ascii="Arial" w:cs="Arial" w:eastAsia="Arial" w:hAnsi="Arial"/>
                <w:sz w:val="16"/>
                <w:szCs w:val="16"/>
                <w:color w:val="auto"/>
              </w:rPr>
              <w:t>Common stock, $.01 par value 100,000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20" w:type="dxa"/>
            <w:vAlign w:val="bottom"/>
            <w:gridSpan w:val="2"/>
          </w:tcPr>
          <w:p>
            <w:pPr>
              <w:spacing w:after="0"/>
              <w:rPr>
                <w:sz w:val="20"/>
                <w:szCs w:val="20"/>
                <w:color w:val="auto"/>
              </w:rPr>
            </w:pPr>
            <w:r>
              <w:rPr>
                <w:rFonts w:ascii="Arial" w:cs="Arial" w:eastAsia="Arial" w:hAnsi="Arial"/>
                <w:sz w:val="16"/>
                <w:szCs w:val="16"/>
                <w:color w:val="auto"/>
              </w:rPr>
              <w:t>shares authorized, 30,376 issued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6"/>
                <w:szCs w:val="16"/>
                <w:color w:val="auto"/>
              </w:rPr>
              <w:t>outstanding at 9/30/02</w:t>
            </w:r>
          </w:p>
        </w:tc>
        <w:tc>
          <w:tcPr>
            <w:tcW w:w="114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303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 — in capital</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591,668</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582,874</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8,794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590,197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585,509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w w:val="97"/>
              </w:rPr>
              <w:t>Deferred compensation plans &amp; officer loans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(5,987)</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(8,400)</w:t>
            </w: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2,413</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(6,165)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178</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(7,336)</w:t>
            </w:r>
          </w:p>
        </w:tc>
        <w:tc>
          <w:tcPr>
            <w:tcW w:w="920" w:type="dxa"/>
            <w:vAlign w:val="bottom"/>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(8,279)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(4,500)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(3,779)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(4,709)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(3,570)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Retained earnings</w:t>
            </w:r>
          </w:p>
        </w:tc>
        <w:tc>
          <w:tcPr>
            <w:tcW w:w="1140" w:type="dxa"/>
            <w:vAlign w:val="bottom"/>
          </w:tcPr>
          <w:p>
            <w:pPr>
              <w:jc w:val="right"/>
              <w:spacing w:after="0"/>
              <w:rPr>
                <w:sz w:val="20"/>
                <w:szCs w:val="20"/>
                <w:color w:val="auto"/>
              </w:rPr>
            </w:pPr>
            <w:r>
              <w:rPr>
                <w:rFonts w:ascii="Arial" w:cs="Arial" w:eastAsia="Arial" w:hAnsi="Arial"/>
                <w:sz w:val="16"/>
                <w:szCs w:val="16"/>
                <w:color w:val="auto"/>
              </w:rPr>
              <w:t>47,460</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40,116</w:t>
            </w:r>
          </w:p>
        </w:tc>
        <w:tc>
          <w:tcPr>
            <w:tcW w:w="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7,344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43,861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3,599</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41,598</w:t>
            </w:r>
          </w:p>
        </w:tc>
        <w:tc>
          <w:tcPr>
            <w:tcW w:w="920" w:type="dxa"/>
            <w:vAlign w:val="bottom"/>
          </w:tcPr>
          <w:p>
            <w:pPr>
              <w:jc w:val="right"/>
              <w:spacing w:after="0"/>
              <w:rPr>
                <w:sz w:val="20"/>
                <w:szCs w:val="20"/>
                <w:color w:val="auto"/>
              </w:rPr>
            </w:pPr>
            <w:r>
              <w:rPr>
                <w:rFonts w:ascii="Arial" w:cs="Arial" w:eastAsia="Arial" w:hAnsi="Arial"/>
                <w:sz w:val="16"/>
                <w:szCs w:val="16"/>
                <w:color w:val="auto"/>
              </w:rPr>
              <w:t>5,862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625,165</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610,390</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14,775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623,487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618,363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w w:val="99"/>
              </w:rPr>
              <w:t>Total Liabilities and Stockholders' Equity</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1,467,202</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1,346,171</w:t>
            </w:r>
          </w:p>
        </w:tc>
        <w:tc>
          <w:tcPr>
            <w:tcW w:w="80" w:type="dxa"/>
            <w:vAlign w:val="bottom"/>
          </w:tcPr>
          <w:p>
            <w:pPr>
              <w:spacing w:after="0"/>
              <w:rPr>
                <w:sz w:val="24"/>
                <w:szCs w:val="2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121,031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1,479,874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(12,672)</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1,367,985</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99,217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80"/>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-1163955</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-1163955</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-1163955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-1163955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-1163955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-1163955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-1163955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-1163955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-1163955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-1163955</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-1163955</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-1163955</wp:posOffset>
            </wp:positionV>
            <wp:extent cx="127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-1163955</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-1163955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-895985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-895985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-895985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-895985</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-895985</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-895985</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-895985</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-895985</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-895985</wp:posOffset>
            </wp:positionV>
            <wp:extent cx="127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-895985</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-895985</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-895985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-895985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-895985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-634365</wp:posOffset>
            </wp:positionV>
            <wp:extent cx="12700"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-634365</wp:posOffset>
            </wp:positionV>
            <wp:extent cx="12700" cy="36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COMPARATIVE STATEMENTS OF OPERATIONS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left="298"/>
              <w:spacing w:after="0"/>
              <w:rPr>
                <w:sz w:val="20"/>
                <w:szCs w:val="20"/>
                <w:color w:val="auto"/>
              </w:rPr>
            </w:pPr>
            <w:r>
              <w:rPr>
                <w:rFonts w:ascii="Arial" w:cs="Arial" w:eastAsia="Arial" w:hAnsi="Arial"/>
                <w:sz w:val="12"/>
                <w:szCs w:val="12"/>
                <w:b w:val="1"/>
                <w:bCs w:val="1"/>
                <w:color w:val="auto"/>
                <w:w w:val="93"/>
              </w:rPr>
              <w:t>Three Months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left="298"/>
              <w:spacing w:after="0"/>
              <w:rPr>
                <w:sz w:val="20"/>
                <w:szCs w:val="20"/>
                <w:color w:val="auto"/>
              </w:rPr>
            </w:pPr>
            <w:r>
              <w:rPr>
                <w:rFonts w:ascii="Arial" w:cs="Arial" w:eastAsia="Arial" w:hAnsi="Arial"/>
                <w:sz w:val="12"/>
                <w:szCs w:val="12"/>
                <w:b w:val="1"/>
                <w:bCs w:val="1"/>
                <w:color w:val="auto"/>
                <w:w w:val="92"/>
              </w:rPr>
              <w:t>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Sep-02</w:t>
            </w:r>
          </w:p>
        </w:tc>
        <w:tc>
          <w:tcPr>
            <w:tcW w:w="9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Sep-01</w:t>
            </w:r>
          </w:p>
        </w:tc>
        <w:tc>
          <w:tcPr>
            <w:tcW w:w="700" w:type="dxa"/>
            <w:vAlign w:val="bottom"/>
          </w:tcPr>
          <w:p>
            <w:pPr>
              <w:jc w:val="right"/>
              <w:ind w:right="21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1"/>
                <w:szCs w:val="21"/>
                <w:color w:val="auto"/>
              </w:rPr>
            </w:pPr>
          </w:p>
        </w:tc>
        <w:tc>
          <w:tcPr>
            <w:tcW w:w="440" w:type="dxa"/>
            <w:vAlign w:val="bottom"/>
          </w:tcPr>
          <w:p>
            <w:pPr>
              <w:jc w:val="right"/>
              <w:ind w:right="98"/>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21"/>
                <w:szCs w:val="21"/>
                <w:color w:val="auto"/>
              </w:rPr>
            </w:pPr>
          </w:p>
        </w:tc>
        <w:tc>
          <w:tcPr>
            <w:tcW w:w="1180" w:type="dxa"/>
            <w:vAlign w:val="bottom"/>
          </w:tcPr>
          <w:p>
            <w:pPr>
              <w:jc w:val="center"/>
              <w:ind w:left="298"/>
              <w:spacing w:after="0"/>
              <w:rPr>
                <w:sz w:val="20"/>
                <w:szCs w:val="20"/>
                <w:color w:val="auto"/>
              </w:rPr>
            </w:pPr>
            <w:r>
              <w:rPr>
                <w:rFonts w:ascii="Arial" w:cs="Arial" w:eastAsia="Arial" w:hAnsi="Arial"/>
                <w:sz w:val="12"/>
                <w:szCs w:val="12"/>
                <w:b w:val="1"/>
                <w:bCs w:val="1"/>
                <w:color w:val="auto"/>
                <w:w w:val="98"/>
              </w:rPr>
              <w:t>Jun-02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Sep-02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Revenues</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Arial" w:cs="Arial" w:eastAsia="Arial" w:hAnsi="Arial"/>
                <w:sz w:val="12"/>
                <w:szCs w:val="12"/>
                <w:color w:val="auto"/>
              </w:rPr>
              <w:t>Rental revenue, net</w:t>
            </w:r>
          </w:p>
        </w:tc>
        <w:tc>
          <w:tcPr>
            <w:tcW w:w="820" w:type="dxa"/>
            <w:vAlign w:val="bottom"/>
          </w:tcPr>
          <w:p>
            <w:pPr>
              <w:jc w:val="right"/>
              <w:spacing w:after="0"/>
              <w:rPr>
                <w:sz w:val="20"/>
                <w:szCs w:val="20"/>
                <w:color w:val="auto"/>
              </w:rPr>
            </w:pPr>
            <w:r>
              <w:rPr>
                <w:rFonts w:ascii="Arial" w:cs="Arial" w:eastAsia="Arial" w:hAnsi="Arial"/>
                <w:sz w:val="12"/>
                <w:szCs w:val="12"/>
                <w:color w:val="auto"/>
              </w:rPr>
              <w:t>46,055</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44,704</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1,351</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11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44,903</w:t>
            </w:r>
          </w:p>
        </w:tc>
        <w:tc>
          <w:tcPr>
            <w:tcW w:w="960" w:type="dxa"/>
            <w:vAlign w:val="bottom"/>
          </w:tcPr>
          <w:p>
            <w:pPr>
              <w:jc w:val="right"/>
              <w:spacing w:after="0"/>
              <w:rPr>
                <w:sz w:val="20"/>
                <w:szCs w:val="20"/>
                <w:color w:val="auto"/>
              </w:rPr>
            </w:pPr>
            <w:r>
              <w:rPr>
                <w:rFonts w:ascii="Arial" w:cs="Arial" w:eastAsia="Arial" w:hAnsi="Arial"/>
                <w:sz w:val="12"/>
                <w:szCs w:val="12"/>
                <w:color w:val="auto"/>
              </w:rPr>
              <w:t>135,038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Free rent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69%</w:t>
            </w:r>
          </w:p>
        </w:tc>
        <w:tc>
          <w:tcPr>
            <w:tcW w:w="11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1,695</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4,714</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Arial" w:cs="Arial" w:eastAsia="Arial" w:hAnsi="Arial"/>
                <w:sz w:val="12"/>
                <w:szCs w:val="12"/>
                <w:color w:val="auto"/>
              </w:rPr>
              <w:t>Amortization of free rent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(793)</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(718)</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10%</w:t>
            </w:r>
          </w:p>
        </w:tc>
        <w:tc>
          <w:tcPr>
            <w:tcW w:w="11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(925)</w:t>
            </w: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(2,546)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free rent</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690</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159</w:t>
            </w:r>
          </w:p>
        </w:tc>
        <w:tc>
          <w:tcPr>
            <w:tcW w:w="8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531</w:t>
            </w:r>
          </w:p>
        </w:tc>
        <w:tc>
          <w:tcPr>
            <w:tcW w:w="5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334%</w:t>
            </w:r>
          </w:p>
        </w:tc>
        <w:tc>
          <w:tcPr>
            <w:tcW w:w="1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770</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2,168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5400" w:type="dxa"/>
            <w:vAlign w:val="bottom"/>
            <w:gridSpan w:val="2"/>
          </w:tcPr>
          <w:p>
            <w:pPr>
              <w:spacing w:after="0"/>
              <w:rPr>
                <w:sz w:val="20"/>
                <w:szCs w:val="20"/>
                <w:color w:val="auto"/>
              </w:rPr>
            </w:pPr>
            <w:r>
              <w:rPr>
                <w:rFonts w:ascii="Arial" w:cs="Arial" w:eastAsia="Arial" w:hAnsi="Arial"/>
                <w:sz w:val="12"/>
                <w:szCs w:val="12"/>
                <w:color w:val="auto"/>
              </w:rPr>
              <w:t>Straight-line rent</w:t>
            </w:r>
          </w:p>
        </w:tc>
        <w:tc>
          <w:tcPr>
            <w:tcW w:w="820" w:type="dxa"/>
            <w:vAlign w:val="bottom"/>
          </w:tcPr>
          <w:p>
            <w:pPr>
              <w:jc w:val="right"/>
              <w:spacing w:after="0"/>
              <w:rPr>
                <w:sz w:val="20"/>
                <w:szCs w:val="20"/>
                <w:color w:val="auto"/>
              </w:rPr>
            </w:pPr>
            <w:r>
              <w:rPr>
                <w:rFonts w:ascii="Arial" w:cs="Arial" w:eastAsia="Arial" w:hAnsi="Arial"/>
                <w:sz w:val="12"/>
                <w:szCs w:val="12"/>
                <w:color w:val="auto"/>
              </w:rPr>
              <w:t>1,473</w:t>
            </w:r>
          </w:p>
        </w:tc>
        <w:tc>
          <w:tcPr>
            <w:tcW w:w="12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1,734</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(261)</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 -15%</w:t>
            </w:r>
          </w:p>
        </w:tc>
        <w:tc>
          <w:tcPr>
            <w:tcW w:w="118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1,566</w:t>
            </w:r>
          </w:p>
        </w:tc>
        <w:tc>
          <w:tcPr>
            <w:tcW w:w="960" w:type="dxa"/>
            <w:vAlign w:val="bottom"/>
          </w:tcPr>
          <w:p>
            <w:pPr>
              <w:jc w:val="right"/>
              <w:spacing w:after="0"/>
              <w:rPr>
                <w:sz w:val="20"/>
                <w:szCs w:val="20"/>
                <w:color w:val="auto"/>
              </w:rPr>
            </w:pPr>
            <w:r>
              <w:rPr>
                <w:rFonts w:ascii="Arial" w:cs="Arial" w:eastAsia="Arial" w:hAnsi="Arial"/>
                <w:sz w:val="12"/>
                <w:szCs w:val="12"/>
                <w:color w:val="auto"/>
              </w:rPr>
              <w:t>4,833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Allowance for S/L tenant credit loss</w:t>
            </w:r>
          </w:p>
        </w:tc>
        <w:tc>
          <w:tcPr>
            <w:tcW w:w="9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(974)</w:t>
            </w:r>
          </w:p>
        </w:tc>
        <w:tc>
          <w:tcPr>
            <w:tcW w:w="9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(361)</w:t>
            </w:r>
          </w:p>
        </w:tc>
        <w:tc>
          <w:tcPr>
            <w:tcW w:w="8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(613)</w:t>
            </w:r>
          </w:p>
        </w:tc>
        <w:tc>
          <w:tcPr>
            <w:tcW w:w="5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170%</w:t>
            </w:r>
          </w:p>
        </w:tc>
        <w:tc>
          <w:tcPr>
            <w:tcW w:w="1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(529)</w:t>
            </w:r>
          </w:p>
        </w:tc>
        <w:tc>
          <w:tcPr>
            <w:tcW w:w="10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(2,016)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Pr>
          <w:p>
            <w:pPr>
              <w:spacing w:after="0" w:line="137" w:lineRule="exact"/>
              <w:rPr>
                <w:sz w:val="20"/>
                <w:szCs w:val="20"/>
                <w:color w:val="auto"/>
              </w:rPr>
            </w:pPr>
            <w:r>
              <w:rPr>
                <w:rFonts w:ascii="Arial" w:cs="Arial" w:eastAsia="Arial" w:hAnsi="Arial"/>
                <w:sz w:val="12"/>
                <w:szCs w:val="12"/>
                <w:color w:val="auto"/>
              </w:rPr>
              <w:t>Escalation and reimbursement revenues</w:t>
            </w: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8,824</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8,727</w:t>
            </w:r>
          </w:p>
        </w:tc>
        <w:tc>
          <w:tcPr>
            <w:tcW w:w="8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96</w:t>
            </w:r>
          </w:p>
        </w:tc>
        <w:tc>
          <w:tcPr>
            <w:tcW w:w="5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w:t>
            </w:r>
          </w:p>
        </w:tc>
        <w:tc>
          <w:tcPr>
            <w:tcW w:w="1180" w:type="dxa"/>
            <w:vAlign w:val="bottom"/>
          </w:tcPr>
          <w:p>
            <w:pPr>
              <w:spacing w:after="0"/>
              <w:rPr>
                <w:sz w:val="11"/>
                <w:szCs w:val="11"/>
                <w:color w:val="auto"/>
              </w:rPr>
            </w:pPr>
          </w:p>
        </w:tc>
        <w:tc>
          <w:tcPr>
            <w:tcW w:w="4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6,318</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21,630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Signage rent</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424</w:t>
            </w:r>
          </w:p>
        </w:tc>
        <w:tc>
          <w:tcPr>
            <w:tcW w:w="8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(233)</w:t>
            </w:r>
          </w:p>
        </w:tc>
        <w:tc>
          <w:tcPr>
            <w:tcW w:w="5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-55%</w:t>
            </w:r>
          </w:p>
        </w:tc>
        <w:tc>
          <w:tcPr>
            <w:tcW w:w="1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267</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924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Pr>
          <w:p>
            <w:pPr>
              <w:spacing w:after="0" w:line="137" w:lineRule="exact"/>
              <w:rPr>
                <w:sz w:val="20"/>
                <w:szCs w:val="20"/>
                <w:color w:val="auto"/>
              </w:rPr>
            </w:pPr>
            <w:r>
              <w:rPr>
                <w:rFonts w:ascii="Arial" w:cs="Arial" w:eastAsia="Arial" w:hAnsi="Arial"/>
                <w:sz w:val="12"/>
                <w:szCs w:val="12"/>
                <w:color w:val="auto"/>
              </w:rPr>
              <w:t>Preferred equity investment income</w:t>
            </w: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1,960</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632</w:t>
            </w:r>
          </w:p>
        </w:tc>
        <w:tc>
          <w:tcPr>
            <w:tcW w:w="8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1,328</w:t>
            </w:r>
          </w:p>
        </w:tc>
        <w:tc>
          <w:tcPr>
            <w:tcW w:w="5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210%</w:t>
            </w:r>
          </w:p>
        </w:tc>
        <w:tc>
          <w:tcPr>
            <w:tcW w:w="1180" w:type="dxa"/>
            <w:vAlign w:val="bottom"/>
          </w:tcPr>
          <w:p>
            <w:pPr>
              <w:spacing w:after="0"/>
              <w:rPr>
                <w:sz w:val="11"/>
                <w:szCs w:val="11"/>
                <w:color w:val="auto"/>
              </w:rPr>
            </w:pPr>
          </w:p>
        </w:tc>
        <w:tc>
          <w:tcPr>
            <w:tcW w:w="4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1,934</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5,805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Investment income</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3,871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3,304</w:t>
            </w:r>
          </w:p>
        </w:tc>
        <w:tc>
          <w:tcPr>
            <w:tcW w:w="8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567</w:t>
            </w:r>
          </w:p>
        </w:tc>
        <w:tc>
          <w:tcPr>
            <w:tcW w:w="5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17%</w:t>
            </w:r>
          </w:p>
        </w:tc>
        <w:tc>
          <w:tcPr>
            <w:tcW w:w="1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3,828</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11,420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Other income</w:t>
            </w:r>
          </w:p>
        </w:tc>
        <w:tc>
          <w:tcPr>
            <w:tcW w:w="820" w:type="dxa"/>
            <w:vAlign w:val="bottom"/>
          </w:tcPr>
          <w:p>
            <w:pPr>
              <w:jc w:val="right"/>
              <w:spacing w:after="0"/>
              <w:rPr>
                <w:sz w:val="20"/>
                <w:szCs w:val="20"/>
                <w:color w:val="auto"/>
              </w:rPr>
            </w:pPr>
            <w:r>
              <w:rPr>
                <w:rFonts w:ascii="Arial" w:cs="Arial" w:eastAsia="Arial" w:hAnsi="Arial"/>
                <w:sz w:val="12"/>
                <w:szCs w:val="12"/>
                <w:color w:val="auto"/>
              </w:rPr>
              <w:t>1,095</w:t>
            </w: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472</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623</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132%</w:t>
            </w:r>
          </w:p>
        </w:tc>
        <w:tc>
          <w:tcPr>
            <w:tcW w:w="11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1,334</w:t>
            </w:r>
          </w:p>
        </w:tc>
        <w:tc>
          <w:tcPr>
            <w:tcW w:w="960" w:type="dxa"/>
            <w:vAlign w:val="bottom"/>
          </w:tcPr>
          <w:p>
            <w:pPr>
              <w:jc w:val="right"/>
              <w:spacing w:after="0"/>
              <w:rPr>
                <w:sz w:val="20"/>
                <w:szCs w:val="20"/>
                <w:color w:val="auto"/>
              </w:rPr>
            </w:pPr>
            <w:r>
              <w:rPr>
                <w:rFonts w:ascii="Arial" w:cs="Arial" w:eastAsia="Arial" w:hAnsi="Arial"/>
                <w:sz w:val="12"/>
                <w:szCs w:val="12"/>
                <w:color w:val="auto"/>
              </w:rPr>
              <w:t>3,402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-1936115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-1936115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-1936115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-1936115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-1936115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-1936115</wp:posOffset>
            </wp:positionV>
            <wp:extent cx="127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-1708150</wp:posOffset>
            </wp:positionV>
            <wp:extent cx="1270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-1708150</wp:posOffset>
            </wp:positionV>
            <wp:extent cx="1270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-1708150</wp:posOffset>
            </wp:positionV>
            <wp:extent cx="127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-1708150</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-1708150</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-1708150</wp:posOffset>
            </wp:positionV>
            <wp:extent cx="127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-1708150</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-1708150</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-1708150</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-1708150</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-1708150</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-1708150</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-1479550</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-1479550</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-935355</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-935355</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-935355</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-935355</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-935355</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-935355</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-935355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-935355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-935355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-935355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-935355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-935355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-13335</wp:posOffset>
            </wp:positionV>
            <wp:extent cx="127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-13335</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-13335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-13335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-13335</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-13335</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-13335</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-13335</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-13335</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-13335</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-13335</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-13335</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2"/>
                <w:szCs w:val="12"/>
                <w:b w:val="1"/>
                <w:bCs w:val="1"/>
                <w:color w:val="auto"/>
              </w:rPr>
              <w:t>Total Revenues, net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59,795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ind w:right="600"/>
              <w:spacing w:after="0"/>
              <w:rPr>
                <w:sz w:val="20"/>
                <w:szCs w:val="20"/>
                <w:color w:val="auto"/>
              </w:rPr>
            </w:pPr>
            <w:r>
              <w:rPr>
                <w:rFonts w:ascii="Arial" w:cs="Arial" w:eastAsia="Arial" w:hAnsi="Arial"/>
                <w:sz w:val="12"/>
                <w:szCs w:val="12"/>
                <w:b w:val="1"/>
                <w:bCs w:val="1"/>
                <w:color w:val="auto"/>
              </w:rPr>
              <w:t>6%</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60,391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183,204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Pr>
          <w:p>
            <w:pPr>
              <w:spacing w:after="0" w:line="137" w:lineRule="exact"/>
              <w:rPr>
                <w:sz w:val="20"/>
                <w:szCs w:val="20"/>
                <w:color w:val="auto"/>
              </w:rPr>
            </w:pPr>
            <w:r>
              <w:rPr>
                <w:rFonts w:ascii="Arial" w:cs="Arial" w:eastAsia="Arial" w:hAnsi="Arial"/>
                <w:sz w:val="12"/>
                <w:szCs w:val="12"/>
                <w:color w:val="auto"/>
              </w:rPr>
              <w:t>Equity in income/(loss) from affiliates</w:t>
            </w: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(57)</w:t>
            </w:r>
          </w:p>
        </w:tc>
        <w:tc>
          <w:tcPr>
            <w:tcW w:w="2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78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-137%</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307</w:t>
            </w:r>
          </w:p>
        </w:tc>
        <w:tc>
          <w:tcPr>
            <w:tcW w:w="12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Equity in income from unconsolidated joint ventures</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5,784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2,751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3,033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110%</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3,998</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13,113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8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Operating expenses</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15,997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14,740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9%</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13,945</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43,174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Pr>
          <w:p>
            <w:pPr>
              <w:spacing w:after="0" w:line="137" w:lineRule="exact"/>
              <w:rPr>
                <w:sz w:val="20"/>
                <w:szCs w:val="20"/>
                <w:color w:val="auto"/>
              </w:rPr>
            </w:pPr>
            <w:r>
              <w:rPr>
                <w:rFonts w:ascii="Arial" w:cs="Arial" w:eastAsia="Arial" w:hAnsi="Arial"/>
                <w:sz w:val="12"/>
                <w:szCs w:val="12"/>
                <w:color w:val="auto"/>
              </w:rPr>
              <w:t>Ground rent</w:t>
            </w: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3,159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3,101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58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right"/>
              <w:spacing w:after="0" w:line="137" w:lineRule="exact"/>
              <w:rPr>
                <w:sz w:val="20"/>
                <w:szCs w:val="20"/>
                <w:color w:val="auto"/>
              </w:rPr>
            </w:pPr>
            <w:r>
              <w:rPr>
                <w:rFonts w:ascii="Arial" w:cs="Arial" w:eastAsia="Arial" w:hAnsi="Arial"/>
                <w:sz w:val="12"/>
                <w:szCs w:val="12"/>
                <w:color w:val="auto"/>
              </w:rPr>
              <w:t>3,159</w:t>
            </w:r>
          </w:p>
        </w:tc>
        <w:tc>
          <w:tcPr>
            <w:tcW w:w="12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9,478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Real estate taxes</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7,688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7,153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535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7%</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7,052</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21,798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Marketing, general and administrative</w:t>
            </w:r>
          </w:p>
        </w:tc>
        <w:tc>
          <w:tcPr>
            <w:tcW w:w="820" w:type="dxa"/>
            <w:vAlign w:val="bottom"/>
          </w:tcPr>
          <w:p>
            <w:pPr>
              <w:jc w:val="right"/>
              <w:spacing w:after="0"/>
              <w:rPr>
                <w:sz w:val="20"/>
                <w:szCs w:val="20"/>
                <w:color w:val="auto"/>
              </w:rPr>
            </w:pPr>
            <w:r>
              <w:rPr>
                <w:rFonts w:ascii="Arial" w:cs="Arial" w:eastAsia="Arial" w:hAnsi="Arial"/>
                <w:sz w:val="12"/>
                <w:szCs w:val="12"/>
                <w:color w:val="auto"/>
              </w:rPr>
              <w:t>3,160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(955)</w:t>
            </w:r>
          </w:p>
        </w:tc>
        <w:tc>
          <w:tcPr>
            <w:tcW w:w="2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3,357</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9,719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2"/>
                <w:szCs w:val="12"/>
                <w:b w:val="1"/>
                <w:bCs w:val="1"/>
                <w:color w:val="auto"/>
              </w:rPr>
              <w:t>Total Operating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30,004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ind w:right="600"/>
              <w:spacing w:after="0"/>
              <w:rPr>
                <w:sz w:val="20"/>
                <w:szCs w:val="20"/>
                <w:color w:val="auto"/>
              </w:rPr>
            </w:pPr>
            <w:r>
              <w:rPr>
                <w:rFonts w:ascii="Arial" w:cs="Arial" w:eastAsia="Arial" w:hAnsi="Arial"/>
                <w:sz w:val="12"/>
                <w:szCs w:val="12"/>
                <w:b w:val="1"/>
                <w:bCs w:val="1"/>
                <w:color w:val="auto"/>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27,513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5400" w:type="dxa"/>
            <w:vAlign w:val="bottom"/>
            <w:gridSpan w:val="2"/>
          </w:tcPr>
          <w:p>
            <w:pPr>
              <w:spacing w:after="0"/>
              <w:rPr>
                <w:sz w:val="20"/>
                <w:szCs w:val="20"/>
                <w:color w:val="auto"/>
              </w:rPr>
            </w:pPr>
            <w:r>
              <w:rPr>
                <w:rFonts w:ascii="Arial" w:cs="Arial" w:eastAsia="Arial" w:hAnsi="Arial"/>
                <w:sz w:val="12"/>
                <w:szCs w:val="12"/>
                <w:b w:val="1"/>
                <w:bCs w:val="1"/>
                <w:color w:val="auto"/>
              </w:rPr>
              <w:t>EBITDA</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38,987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33,380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5,607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17%</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37,183</w:t>
            </w: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112,393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(346)</w:t>
            </w:r>
          </w:p>
        </w:tc>
        <w:tc>
          <w:tcPr>
            <w:tcW w:w="2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-4%</w:t>
            </w:r>
          </w:p>
        </w:tc>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9,130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27,235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820" w:type="dxa"/>
            <w:vAlign w:val="bottom"/>
          </w:tcPr>
          <w:p>
            <w:pPr>
              <w:jc w:val="right"/>
              <w:spacing w:after="0"/>
              <w:rPr>
                <w:sz w:val="20"/>
                <w:szCs w:val="20"/>
                <w:color w:val="auto"/>
              </w:rPr>
            </w:pPr>
            <w:r>
              <w:rPr>
                <w:rFonts w:ascii="Arial" w:cs="Arial" w:eastAsia="Arial" w:hAnsi="Arial"/>
                <w:sz w:val="12"/>
                <w:szCs w:val="12"/>
                <w:color w:val="auto"/>
              </w:rPr>
              <w:t>9,795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8,792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9,502</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28,648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Income Before Minority Interest and Items</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19,814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14,864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4,950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gridSpan w:val="5"/>
            <w:shd w:val="clear" w:color="auto" w:fill="CCEEFF"/>
          </w:tcPr>
          <w:p>
            <w:pPr>
              <w:jc w:val="right"/>
              <w:ind w:right="600"/>
              <w:spacing w:after="0" w:line="137" w:lineRule="exact"/>
              <w:rPr>
                <w:sz w:val="20"/>
                <w:szCs w:val="20"/>
                <w:color w:val="auto"/>
              </w:rPr>
            </w:pPr>
            <w:r>
              <w:rPr>
                <w:rFonts w:ascii="Arial" w:cs="Arial" w:eastAsia="Arial" w:hAnsi="Arial"/>
                <w:sz w:val="12"/>
                <w:szCs w:val="12"/>
                <w:b w:val="1"/>
                <w:bCs w:val="1"/>
                <w:color w:val="auto"/>
              </w:rPr>
              <w:t>33%</w:t>
            </w: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18,551</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56,510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5400" w:type="dxa"/>
            <w:vAlign w:val="bottom"/>
            <w:gridSpan w:val="2"/>
          </w:tcPr>
          <w:p>
            <w:pPr>
              <w:spacing w:after="0"/>
              <w:rPr>
                <w:sz w:val="20"/>
                <w:szCs w:val="20"/>
                <w:color w:val="auto"/>
              </w:rPr>
            </w:pPr>
            <w:r>
              <w:rPr>
                <w:rFonts w:ascii="Arial" w:cs="Arial" w:eastAsia="Arial" w:hAnsi="Arial"/>
                <w:sz w:val="12"/>
                <w:szCs w:val="12"/>
                <w:color w:val="auto"/>
              </w:rPr>
              <w:t>Extraordinary loss—early debt extinguishment</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Income from Discontinued Operations</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789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786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0%</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700</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2,034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Pr>
          <w:p>
            <w:pPr>
              <w:spacing w:after="0" w:line="137" w:lineRule="exact"/>
              <w:rPr>
                <w:sz w:val="20"/>
                <w:szCs w:val="20"/>
                <w:color w:val="auto"/>
              </w:rPr>
            </w:pPr>
            <w:r>
              <w:rPr>
                <w:rFonts w:ascii="Arial" w:cs="Arial" w:eastAsia="Arial" w:hAnsi="Arial"/>
                <w:sz w:val="12"/>
                <w:szCs w:val="12"/>
                <w:color w:val="auto"/>
              </w:rPr>
              <w:t>Gain on sale of properties</w:t>
            </w:r>
          </w:p>
        </w:tc>
        <w:tc>
          <w:tcPr>
            <w:tcW w:w="94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647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(647)</w:t>
            </w:r>
          </w:p>
        </w:tc>
        <w:tc>
          <w:tcPr>
            <w:tcW w:w="20" w:type="dxa"/>
            <w:vAlign w:val="bottom"/>
          </w:tcPr>
          <w:p>
            <w:pPr>
              <w:spacing w:after="0"/>
              <w:rPr>
                <w:sz w:val="11"/>
                <w:szCs w:val="11"/>
                <w:color w:val="auto"/>
              </w:rPr>
            </w:pPr>
          </w:p>
        </w:tc>
        <w:tc>
          <w:tcPr>
            <w:tcW w:w="56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Cumulative effect of accounting change</w:t>
            </w:r>
          </w:p>
        </w:tc>
        <w:tc>
          <w:tcPr>
            <w:tcW w:w="9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0%</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Minority interest—OP</w:t>
            </w:r>
          </w:p>
        </w:tc>
        <w:tc>
          <w:tcPr>
            <w:tcW w:w="940" w:type="dxa"/>
            <w:vAlign w:val="bottom"/>
            <w:gridSpan w:val="3"/>
          </w:tcPr>
          <w:p>
            <w:pPr>
              <w:jc w:val="right"/>
              <w:ind w:right="60"/>
              <w:spacing w:after="0"/>
              <w:rPr>
                <w:sz w:val="20"/>
                <w:szCs w:val="20"/>
                <w:color w:val="auto"/>
              </w:rPr>
            </w:pPr>
            <w:r>
              <w:rPr>
                <w:rFonts w:ascii="Arial" w:cs="Arial" w:eastAsia="Arial" w:hAnsi="Arial"/>
                <w:sz w:val="12"/>
                <w:szCs w:val="12"/>
                <w:color w:val="auto"/>
              </w:rPr>
              <w:t>(1,167)</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(950)</w:t>
            </w:r>
          </w:p>
        </w:tc>
        <w:tc>
          <w:tcPr>
            <w:tcW w:w="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(217)</w:t>
            </w:r>
          </w:p>
        </w:tc>
        <w:tc>
          <w:tcPr>
            <w:tcW w:w="2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(1,153)</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(3,380)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Net Income</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19,436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15,347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4,089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gridSpan w:val="5"/>
            <w:shd w:val="clear" w:color="auto" w:fill="CCEEFF"/>
          </w:tcPr>
          <w:p>
            <w:pPr>
              <w:jc w:val="right"/>
              <w:ind w:right="600"/>
              <w:spacing w:after="0" w:line="137" w:lineRule="exact"/>
              <w:rPr>
                <w:sz w:val="20"/>
                <w:szCs w:val="20"/>
                <w:color w:val="auto"/>
              </w:rPr>
            </w:pPr>
            <w:r>
              <w:rPr>
                <w:rFonts w:ascii="Arial" w:cs="Arial" w:eastAsia="Arial" w:hAnsi="Arial"/>
                <w:sz w:val="12"/>
                <w:szCs w:val="12"/>
                <w:b w:val="1"/>
                <w:bCs w:val="1"/>
                <w:color w:val="auto"/>
              </w:rPr>
              <w:t>27%</w:t>
            </w: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18,098</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55,164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5400" w:type="dxa"/>
            <w:vAlign w:val="bottom"/>
            <w:gridSpan w:val="2"/>
          </w:tcPr>
          <w:p>
            <w:pPr>
              <w:spacing w:after="0"/>
              <w:rPr>
                <w:sz w:val="20"/>
                <w:szCs w:val="20"/>
                <w:color w:val="auto"/>
              </w:rPr>
            </w:pPr>
            <w:r>
              <w:rPr>
                <w:rFonts w:ascii="Arial" w:cs="Arial" w:eastAsia="Arial" w:hAnsi="Arial"/>
                <w:sz w:val="12"/>
                <w:szCs w:val="12"/>
                <w:color w:val="auto"/>
              </w:rPr>
              <w:t>Dividends on preferred shares</w:t>
            </w:r>
          </w:p>
        </w:tc>
        <w:tc>
          <w:tcPr>
            <w:tcW w:w="820" w:type="dxa"/>
            <w:vAlign w:val="bottom"/>
          </w:tcPr>
          <w:p>
            <w:pPr>
              <w:jc w:val="right"/>
              <w:spacing w:after="0"/>
              <w:rPr>
                <w:sz w:val="20"/>
                <w:szCs w:val="20"/>
                <w:color w:val="auto"/>
              </w:rPr>
            </w:pPr>
            <w:r>
              <w:rPr>
                <w:rFonts w:ascii="Arial" w:cs="Arial" w:eastAsia="Arial" w:hAnsi="Arial"/>
                <w:sz w:val="12"/>
                <w:szCs w:val="12"/>
                <w:color w:val="auto"/>
              </w:rPr>
              <w:t>2,300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2,300</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6,900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Preferred stock accretion</w:t>
            </w: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8%</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123</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2"/>
                <w:szCs w:val="12"/>
                <w:b w:val="1"/>
                <w:bCs w:val="1"/>
                <w:color w:val="auto"/>
              </w:rPr>
              <w:t>Net Income Available For Common Shares</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17,013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12,933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4,080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32%</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15,675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47,896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400" w:type="dxa"/>
            <w:vAlign w:val="bottom"/>
            <w:gridSpan w:val="2"/>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Ratios</w:t>
            </w: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3"/>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Arial" w:cs="Arial" w:eastAsia="Arial" w:hAnsi="Arial"/>
                <w:sz w:val="12"/>
                <w:szCs w:val="12"/>
                <w:color w:val="auto"/>
              </w:rPr>
              <w:t>MG&amp;A to Real Estate Revenue, net</w:t>
            </w: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5.62%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7.43%</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6.30%</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auto"/>
              </w:rPr>
              <w:t>5.98%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MG&amp;A to Total Revenue, net</w:t>
            </w:r>
          </w:p>
        </w:tc>
        <w:tc>
          <w:tcPr>
            <w:tcW w:w="94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5.00%</w:t>
            </w:r>
          </w:p>
        </w:tc>
        <w:tc>
          <w:tcPr>
            <w:tcW w:w="9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6.88%</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5.56%</w:t>
            </w:r>
          </w:p>
        </w:tc>
        <w:tc>
          <w:tcPr>
            <w:tcW w:w="108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Pr>
          <w:p>
            <w:pPr>
              <w:spacing w:after="0" w:line="137" w:lineRule="exact"/>
              <w:rPr>
                <w:sz w:val="20"/>
                <w:szCs w:val="20"/>
                <w:color w:val="auto"/>
              </w:rPr>
            </w:pPr>
            <w:r>
              <w:rPr>
                <w:rFonts w:ascii="Arial" w:cs="Arial" w:eastAsia="Arial" w:hAnsi="Arial"/>
                <w:sz w:val="12"/>
                <w:szCs w:val="12"/>
                <w:color w:val="auto"/>
              </w:rPr>
              <w:t>Operating Expense to Real Estate Revenue, net</w:t>
            </w:r>
          </w:p>
        </w:tc>
        <w:tc>
          <w:tcPr>
            <w:tcW w:w="94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28.43%</w:t>
            </w:r>
          </w:p>
        </w:tc>
        <w:tc>
          <w:tcPr>
            <w:tcW w:w="9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26.61%</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26.17%</w:t>
            </w:r>
          </w:p>
        </w:tc>
        <w:tc>
          <w:tcPr>
            <w:tcW w:w="108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26.56%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EBITDA to Real Estate Revenue, net</w:t>
            </w:r>
          </w:p>
        </w:tc>
        <w:tc>
          <w:tcPr>
            <w:tcW w:w="94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69.30%</w:t>
            </w:r>
          </w:p>
        </w:tc>
        <w:tc>
          <w:tcPr>
            <w:tcW w:w="9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60.27%</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69.77%</w:t>
            </w:r>
          </w:p>
        </w:tc>
        <w:tc>
          <w:tcPr>
            <w:tcW w:w="108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69.13%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EBITDA before Ground Rent to Real Estate Revenue, net</w:t>
            </w: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74.91%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65.86%</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75.70%</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auto"/>
              </w:rPr>
              <w:t>74.96%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7167880</wp:posOffset>
            </wp:positionH>
            <wp:positionV relativeFrom="paragraph">
              <wp:posOffset>-3632835</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-3632835</wp:posOffset>
            </wp:positionV>
            <wp:extent cx="1270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-3144520</wp:posOffset>
            </wp:positionV>
            <wp:extent cx="127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-3144520</wp:posOffset>
            </wp:positionV>
            <wp:extent cx="1270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-3144520</wp:posOffset>
            </wp:positionV>
            <wp:extent cx="127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-3144520</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-3144520</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-3144520</wp:posOffset>
            </wp:positionV>
            <wp:extent cx="127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-3144520</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-3144520</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-3144520</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-3144520</wp:posOffset>
            </wp:positionV>
            <wp:extent cx="127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-3144520</wp:posOffset>
            </wp:positionV>
            <wp:extent cx="127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-3144520</wp:posOffset>
            </wp:positionV>
            <wp:extent cx="1270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-2372360</wp:posOffset>
            </wp:positionV>
            <wp:extent cx="1270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-2372360</wp:posOffset>
            </wp:positionV>
            <wp:extent cx="1270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-2372360</wp:posOffset>
            </wp:positionV>
            <wp:extent cx="127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-2372360</wp:posOffset>
            </wp:positionV>
            <wp:extent cx="1270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-2372360</wp:posOffset>
            </wp:positionV>
            <wp:extent cx="1270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-2372360</wp:posOffset>
            </wp:positionV>
            <wp:extent cx="127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-2372360</wp:posOffset>
            </wp:positionV>
            <wp:extent cx="127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-2372360</wp:posOffset>
            </wp:positionV>
            <wp:extent cx="1270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-2372360</wp:posOffset>
            </wp:positionV>
            <wp:extent cx="1270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-2372360</wp:posOffset>
            </wp:positionV>
            <wp:extent cx="127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-2372360</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-2372360</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-1623695</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-1623695</wp:posOffset>
            </wp:positionV>
            <wp:extent cx="127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-1623695</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-1623695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-1623695</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-1623695</wp:posOffset>
            </wp:positionV>
            <wp:extent cx="127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-1623695</wp:posOffset>
            </wp:positionV>
            <wp:extent cx="127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-1623695</wp:posOffset>
            </wp:positionV>
            <wp:extent cx="1270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-1623695</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-1623695</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-1623695</wp:posOffset>
            </wp:positionV>
            <wp:extent cx="127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-1623695</wp:posOffset>
            </wp:positionV>
            <wp:extent cx="127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-1134745</wp:posOffset>
            </wp:positionV>
            <wp:extent cx="127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-1134745</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-1134745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-1134745</wp:posOffset>
            </wp:positionV>
            <wp:extent cx="127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-1134745</wp:posOffset>
            </wp:positionV>
            <wp:extent cx="127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-1134745</wp:posOffset>
            </wp:positionV>
            <wp:extent cx="1270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-1134745</wp:posOffset>
            </wp:positionV>
            <wp:extent cx="1270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-1134745</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-1134745</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-1134745</wp:posOffset>
            </wp:positionV>
            <wp:extent cx="1270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-1134745</wp:posOffset>
            </wp:positionV>
            <wp:extent cx="1270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-1134745</wp:posOffset>
            </wp:positionV>
            <wp:extent cx="12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-913130</wp:posOffset>
            </wp:positionV>
            <wp:extent cx="12700" cy="36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-913130</wp:posOffset>
            </wp:positionV>
            <wp:extent cx="12700" cy="36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-913130</wp:posOffset>
            </wp:positionV>
            <wp:extent cx="12700" cy="36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-913130</wp:posOffset>
            </wp:positionV>
            <wp:extent cx="12700" cy="36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-913130</wp:posOffset>
            </wp:positionV>
            <wp:extent cx="12700" cy="361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-913130</wp:posOffset>
            </wp:positionV>
            <wp:extent cx="12700" cy="36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-913130</wp:posOffset>
            </wp:positionV>
            <wp:extent cx="12700" cy="36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-913130</wp:posOffset>
            </wp:positionV>
            <wp:extent cx="12700" cy="36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-913130</wp:posOffset>
            </wp:positionV>
            <wp:extent cx="12700" cy="36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-913130</wp:posOffset>
            </wp:positionV>
            <wp:extent cx="12700" cy="36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-913130</wp:posOffset>
            </wp:positionV>
            <wp:extent cx="12700" cy="36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-913130</wp:posOffset>
            </wp:positionV>
            <wp:extent cx="12700" cy="36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-520065</wp:posOffset>
            </wp:positionV>
            <wp:extent cx="127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-520065</wp:posOffset>
            </wp:positionV>
            <wp:extent cx="1270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48"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6249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5741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7415" cy="5715"/>
                    </a:xfrm>
                    <a:prstGeom prst="rect">
                      <a:avLst/>
                    </a:prstGeom>
                    <a:noFill/>
                  </pic:spPr>
                </pic:pic>
              </a:graphicData>
            </a:graphic>
          </wp:anchor>
        </w:drawing>
      </w:r>
    </w:p>
    <w:p>
      <w:pPr>
        <w:sectPr>
          <w:pgSz w:w="11900" w:h="16838" w:orient="portrait"/>
          <w:cols w:equalWidth="0" w:num="1">
            <w:col w:w="11420"/>
          </w:cols>
          <w:pgMar w:left="240" w:top="131" w:right="239" w:bottom="48" w:gutter="0" w:footer="0" w:header="0"/>
          <w:type w:val="continuous"/>
        </w:sectPr>
      </w:pPr>
    </w:p>
    <w:bookmarkStart w:id="8" w:name="page9"/>
    <w:bookmarkEnd w:id="8"/>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0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2495" cy="10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COMPARATIVE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780" w:type="dxa"/>
            <w:vAlign w:val="bottom"/>
            <w:gridSpan w:val="3"/>
          </w:tcPr>
          <w:p>
            <w:pPr>
              <w:ind w:left="580"/>
              <w:spacing w:after="0"/>
              <w:rPr>
                <w:sz w:val="20"/>
                <w:szCs w:val="20"/>
                <w:color w:val="auto"/>
              </w:rPr>
            </w:pPr>
            <w:r>
              <w:rPr>
                <w:rFonts w:ascii="Arial" w:cs="Arial" w:eastAsia="Arial" w:hAnsi="Arial"/>
                <w:sz w:val="12"/>
                <w:szCs w:val="12"/>
                <w:b w:val="1"/>
                <w:bCs w:val="1"/>
                <w:color w:val="auto"/>
                <w:w w:val="99"/>
              </w:rPr>
              <w:t>Three Months Ended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Three Months Ended</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80" w:type="dxa"/>
            <w:vAlign w:val="bottom"/>
            <w:gridSpan w:val="3"/>
          </w:tcPr>
          <w:p>
            <w:pPr>
              <w:ind w:left="680"/>
              <w:spacing w:after="0"/>
              <w:rPr>
                <w:sz w:val="20"/>
                <w:szCs w:val="20"/>
                <w:color w:val="auto"/>
              </w:rPr>
            </w:pPr>
            <w:r>
              <w:rPr>
                <w:rFonts w:ascii="Arial" w:cs="Arial" w:eastAsia="Arial" w:hAnsi="Arial"/>
                <w:sz w:val="12"/>
                <w:szCs w:val="12"/>
                <w:b w:val="1"/>
                <w:bCs w:val="1"/>
                <w:color w:val="auto"/>
              </w:rPr>
              <w:t>Sep-02</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Sep-01</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Jun-02</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Sep-02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Per share data:</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140" w:type="dxa"/>
            <w:vAlign w:val="bottom"/>
            <w:gridSpan w:val="5"/>
          </w:tcPr>
          <w:p>
            <w:pPr>
              <w:spacing w:after="0"/>
              <w:rPr>
                <w:sz w:val="20"/>
                <w:szCs w:val="20"/>
                <w:color w:val="auto"/>
              </w:rPr>
            </w:pPr>
            <w:r>
              <w:rPr>
                <w:rFonts w:ascii="Arial" w:cs="Arial" w:eastAsia="Arial" w:hAnsi="Arial"/>
                <w:sz w:val="16"/>
                <w:szCs w:val="16"/>
                <w:b w:val="1"/>
                <w:bCs w:val="1"/>
                <w:color w:val="auto"/>
              </w:rPr>
              <w:t>Earnings per Share</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per share (basic)</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0.56</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Net income per share (diluted)</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0.54</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0.44</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0.51</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3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0"/>
              </w:rPr>
              <w:t>Operating Earnings</w:t>
            </w:r>
          </w:p>
        </w:tc>
        <w:tc>
          <w:tcPr>
            <w:tcW w:w="37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Net Income Available For Common Shares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17,013</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12,933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80" w:type="dxa"/>
            <w:vAlign w:val="bottom"/>
          </w:tcPr>
          <w:p>
            <w:pPr>
              <w:jc w:val="right"/>
              <w:spacing w:after="0"/>
              <w:rPr>
                <w:sz w:val="20"/>
                <w:szCs w:val="20"/>
                <w:color w:val="auto"/>
              </w:rPr>
            </w:pPr>
            <w:r>
              <w:rPr>
                <w:rFonts w:ascii="Arial" w:cs="Arial" w:eastAsia="Arial" w:hAnsi="Arial"/>
                <w:sz w:val="16"/>
                <w:szCs w:val="16"/>
                <w:color w:val="auto"/>
              </w:rPr>
              <w:t>15,675</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47,896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(789)</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Cumulative effect of accounting change</w:t>
            </w:r>
          </w:p>
        </w:tc>
        <w:tc>
          <w:tcPr>
            <w:tcW w:w="1780" w:type="dxa"/>
            <w:vAlign w:val="bottom"/>
            <w:gridSpan w:val="3"/>
          </w:tcPr>
          <w:p>
            <w:pPr>
              <w:jc w:val="right"/>
              <w:ind w:right="7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Gain on Sale</w:t>
            </w: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140" w:type="dxa"/>
            <w:vAlign w:val="bottom"/>
            <w:gridSpan w:val="5"/>
          </w:tcPr>
          <w:p>
            <w:pPr>
              <w:spacing w:after="0"/>
              <w:rPr>
                <w:sz w:val="20"/>
                <w:szCs w:val="20"/>
                <w:color w:val="auto"/>
              </w:rPr>
            </w:pPr>
            <w:r>
              <w:rPr>
                <w:rFonts w:ascii="Arial" w:cs="Arial" w:eastAsia="Arial" w:hAnsi="Arial"/>
                <w:sz w:val="16"/>
                <w:szCs w:val="16"/>
                <w:b w:val="1"/>
                <w:bCs w:val="1"/>
                <w:color w:val="auto"/>
              </w:rPr>
              <w:t>Operating Earnings-Basic</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16,225</w:t>
            </w:r>
          </w:p>
        </w:tc>
        <w:tc>
          <w:tcPr>
            <w:tcW w:w="5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11,499</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41%</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14,975</w:t>
            </w:r>
          </w:p>
        </w:tc>
        <w:tc>
          <w:tcPr>
            <w:tcW w:w="2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46,407</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Operating Earnings Per Share—Basic</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0.53</w:t>
            </w:r>
          </w:p>
        </w:tc>
        <w:tc>
          <w:tcPr>
            <w:tcW w:w="5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0.40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0.50</w:t>
            </w:r>
          </w:p>
        </w:tc>
        <w:tc>
          <w:tcPr>
            <w:tcW w:w="2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b w:val="1"/>
                <w:bCs w:val="1"/>
                <w:color w:val="auto"/>
              </w:rPr>
              <w:t>Operating Earnings Per Share—Diluted</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0.52</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0.39</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33%</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0.49</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8"/>
              </w:rPr>
              <w:t>Taxable Income</w:t>
            </w:r>
          </w:p>
        </w:tc>
        <w:tc>
          <w:tcPr>
            <w:tcW w:w="4040" w:type="dxa"/>
            <w:vAlign w:val="bottom"/>
            <w:tcBorders>
              <w:bottom w:val="single" w:sz="8" w:color="CCEEFF"/>
            </w:tcBorders>
            <w:gridSpan w:val="3"/>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Net Income Available For Common Shares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17,013</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12,933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80" w:type="dxa"/>
            <w:vAlign w:val="bottom"/>
          </w:tcPr>
          <w:p>
            <w:pPr>
              <w:jc w:val="right"/>
              <w:spacing w:after="0"/>
              <w:rPr>
                <w:sz w:val="20"/>
                <w:szCs w:val="20"/>
                <w:color w:val="auto"/>
              </w:rPr>
            </w:pPr>
            <w:r>
              <w:rPr>
                <w:rFonts w:ascii="Arial" w:cs="Arial" w:eastAsia="Arial" w:hAnsi="Arial"/>
                <w:sz w:val="16"/>
                <w:szCs w:val="16"/>
                <w:color w:val="auto"/>
              </w:rPr>
              <w:t>15,675</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47,896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Book/Tax Depreciation Adjustment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2,045</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-915%</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Book/Tax Gain Recognition Adjustment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1,393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280" w:type="dxa"/>
            <w:vAlign w:val="bottom"/>
          </w:tcPr>
          <w:p>
            <w:pPr>
              <w:jc w:val="right"/>
              <w:spacing w:after="0"/>
              <w:rPr>
                <w:sz w:val="20"/>
                <w:szCs w:val="20"/>
                <w:color w:val="auto"/>
              </w:rPr>
            </w:pPr>
            <w:r>
              <w:rPr>
                <w:rFonts w:ascii="Arial" w:cs="Arial" w:eastAsia="Arial" w:hAnsi="Arial"/>
                <w:sz w:val="16"/>
                <w:szCs w:val="16"/>
                <w:color w:val="auto"/>
              </w:rPr>
              <w:t>1,680</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Other Operating Adjustments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(1,736)</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(2,584)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(4,351)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C-corp Earnings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57</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-137%</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(307)</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Taxable Income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17,301</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11,548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14,491</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45,316</w:t>
            </w:r>
          </w:p>
        </w:tc>
        <w:tc>
          <w:tcPr>
            <w:tcW w:w="0" w:type="dxa"/>
            <w:vAlign w:val="bottom"/>
          </w:tcPr>
          <w:p>
            <w:pPr>
              <w:spacing w:after="0"/>
              <w:rPr>
                <w:sz w:val="1"/>
                <w:szCs w:val="1"/>
                <w:color w:val="auto"/>
              </w:rPr>
            </w:pPr>
          </w:p>
        </w:tc>
      </w:tr>
      <w:tr>
        <w:trPr>
          <w:trHeight w:val="395"/>
        </w:trPr>
        <w:tc>
          <w:tcPr>
            <w:tcW w:w="5140" w:type="dxa"/>
            <w:vAlign w:val="bottom"/>
            <w:gridSpan w:val="5"/>
          </w:tcPr>
          <w:p>
            <w:pPr>
              <w:spacing w:after="0"/>
              <w:rPr>
                <w:sz w:val="20"/>
                <w:szCs w:val="20"/>
                <w:color w:val="auto"/>
              </w:rPr>
            </w:pPr>
            <w:r>
              <w:rPr>
                <w:rFonts w:ascii="Arial" w:cs="Arial" w:eastAsia="Arial" w:hAnsi="Arial"/>
                <w:sz w:val="16"/>
                <w:szCs w:val="16"/>
                <w:color w:val="auto"/>
              </w:rPr>
              <w:t>Dividend per share</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0.4425</w:t>
            </w:r>
          </w:p>
        </w:tc>
        <w:tc>
          <w:tcPr>
            <w:tcW w:w="5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0.3875</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1280" w:type="dxa"/>
            <w:vAlign w:val="bottom"/>
          </w:tcPr>
          <w:p>
            <w:pPr>
              <w:jc w:val="right"/>
              <w:spacing w:after="0"/>
              <w:rPr>
                <w:sz w:val="20"/>
                <w:szCs w:val="20"/>
                <w:color w:val="auto"/>
              </w:rPr>
            </w:pPr>
            <w:r>
              <w:rPr>
                <w:rFonts w:ascii="Arial" w:cs="Arial" w:eastAsia="Arial" w:hAnsi="Arial"/>
                <w:sz w:val="16"/>
                <w:szCs w:val="16"/>
                <w:color w:val="auto"/>
              </w:rPr>
              <w:t>0.4425</w:t>
            </w:r>
          </w:p>
        </w:tc>
        <w:tc>
          <w:tcPr>
            <w:tcW w:w="2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Estimated payout of taxable income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gridSpan w:val="4"/>
          </w:tcPr>
          <w:p>
            <w:pPr>
              <w:spacing w:after="0"/>
              <w:rPr>
                <w:sz w:val="20"/>
                <w:szCs w:val="20"/>
                <w:color w:val="auto"/>
              </w:rPr>
            </w:pPr>
            <w:r>
              <w:rPr>
                <w:rFonts w:ascii="Arial" w:cs="Arial" w:eastAsia="Arial" w:hAnsi="Arial"/>
                <w:sz w:val="16"/>
                <w:szCs w:val="16"/>
                <w:color w:val="auto"/>
              </w:rPr>
              <w:t>Basic weighted average common shares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30,357</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28,511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280" w:type="dxa"/>
            <w:vAlign w:val="bottom"/>
          </w:tcPr>
          <w:p>
            <w:pPr>
              <w:jc w:val="right"/>
              <w:spacing w:after="0"/>
              <w:rPr>
                <w:sz w:val="20"/>
                <w:szCs w:val="20"/>
                <w:color w:val="auto"/>
              </w:rPr>
            </w:pPr>
            <w:r>
              <w:rPr>
                <w:rFonts w:ascii="Arial" w:cs="Arial" w:eastAsia="Arial" w:hAnsi="Arial"/>
                <w:sz w:val="16"/>
                <w:szCs w:val="16"/>
                <w:color w:val="auto"/>
              </w:rPr>
              <w:t>30,200</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30,185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Diluted weighted average common shares and common share equivalents</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outstanding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37,811</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31,373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-4305935</wp:posOffset>
            </wp:positionV>
            <wp:extent cx="1270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-4305935</wp:posOffset>
            </wp:positionV>
            <wp:extent cx="1270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-4305935</wp:posOffset>
            </wp:positionV>
            <wp:extent cx="12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-4305935</wp:posOffset>
            </wp:positionV>
            <wp:extent cx="1270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-4305935</wp:posOffset>
            </wp:positionV>
            <wp:extent cx="1270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-4305935</wp:posOffset>
            </wp:positionV>
            <wp:extent cx="127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-4077335</wp:posOffset>
            </wp:positionV>
            <wp:extent cx="1270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-4077335</wp:posOffset>
            </wp:positionV>
            <wp:extent cx="1270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-4077335</wp:posOffset>
            </wp:positionV>
            <wp:extent cx="1270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-4077335</wp:posOffset>
            </wp:positionV>
            <wp:extent cx="127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-4077335</wp:posOffset>
            </wp:positionV>
            <wp:extent cx="1270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-4077335</wp:posOffset>
            </wp:positionV>
            <wp:extent cx="127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-4077335</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-4077335</wp:posOffset>
            </wp:positionV>
            <wp:extent cx="1270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-3809365</wp:posOffset>
            </wp:positionV>
            <wp:extent cx="1270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-3809365</wp:posOffset>
            </wp:positionV>
            <wp:extent cx="1270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-2517140</wp:posOffset>
            </wp:positionV>
            <wp:extent cx="1270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-2517140</wp:posOffset>
            </wp:positionV>
            <wp:extent cx="1270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-2517140</wp:posOffset>
            </wp:positionV>
            <wp:extent cx="1270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-2517140</wp:posOffset>
            </wp:positionV>
            <wp:extent cx="1270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-2517140</wp:posOffset>
            </wp:positionV>
            <wp:extent cx="127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-2517140</wp:posOffset>
            </wp:positionV>
            <wp:extent cx="1270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-2517140</wp:posOffset>
            </wp:positionV>
            <wp:extent cx="1270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-2517140</wp:posOffset>
            </wp:positionV>
            <wp:extent cx="1270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-2517140</wp:posOffset>
            </wp:positionV>
            <wp:extent cx="1270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-2517140</wp:posOffset>
            </wp:positionV>
            <wp:extent cx="1270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-956945</wp:posOffset>
            </wp:positionV>
            <wp:extent cx="1270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-956945</wp:posOffset>
            </wp:positionV>
            <wp:extent cx="1270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-956945</wp:posOffset>
            </wp:positionV>
            <wp:extent cx="1270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-956945</wp:posOffset>
            </wp:positionV>
            <wp:extent cx="1270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-956945</wp:posOffset>
            </wp:positionV>
            <wp:extent cx="1270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-956945</wp:posOffset>
            </wp:positionV>
            <wp:extent cx="1270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-956945</wp:posOffset>
            </wp:positionV>
            <wp:extent cx="1270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-956945</wp:posOffset>
            </wp:positionV>
            <wp:extent cx="1270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-956945</wp:posOffset>
            </wp:positionV>
            <wp:extent cx="1270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-956945</wp:posOffset>
            </wp:positionV>
            <wp:extent cx="1270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Payout of Taxable Income Analysis:</w:t>
      </w:r>
    </w:p>
    <w:p>
      <w:pPr>
        <w:spacing w:after="0" w:line="26"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Estimated taxable income is derived from net income less straightline rent, free rent net of amortization of free rent, plus tax gain on sale of properties, credit loss, straightline ground rent and the difference between tax and GAAP depreciation. The Company has deferred the taxable gain on the sales 29 West 35th Street, 17 Battery Place South, 90 Broad Street, and 1412 Broadway through 1031 exchanges.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JOINT VENTURE STATEMENTS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for unconsolidated joint ventures</w:t>
      </w:r>
    </w:p>
    <w:p>
      <w:pPr>
        <w:spacing w:after="0" w:line="233" w:lineRule="auto"/>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3"/>
          </w:tcPr>
          <w:p>
            <w:pPr>
              <w:ind w:left="1440"/>
              <w:spacing w:after="0"/>
              <w:rPr>
                <w:sz w:val="20"/>
                <w:szCs w:val="20"/>
                <w:color w:val="auto"/>
              </w:rPr>
            </w:pPr>
            <w:r>
              <w:rPr>
                <w:rFonts w:ascii="Arial" w:cs="Arial" w:eastAsia="Arial" w:hAnsi="Arial"/>
                <w:sz w:val="12"/>
                <w:szCs w:val="12"/>
                <w:b w:val="1"/>
                <w:bCs w:val="1"/>
                <w:color w:val="auto"/>
              </w:rPr>
              <w:t>September 30, 2002</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20" w:type="dxa"/>
            <w:vAlign w:val="bottom"/>
            <w:gridSpan w:val="3"/>
          </w:tcPr>
          <w:p>
            <w:pPr>
              <w:ind w:left="1460"/>
              <w:spacing w:after="0"/>
              <w:rPr>
                <w:sz w:val="20"/>
                <w:szCs w:val="20"/>
                <w:color w:val="auto"/>
              </w:rPr>
            </w:pPr>
            <w:r>
              <w:rPr>
                <w:rFonts w:ascii="Arial" w:cs="Arial" w:eastAsia="Arial" w:hAnsi="Arial"/>
                <w:sz w:val="12"/>
                <w:szCs w:val="12"/>
                <w:b w:val="1"/>
                <w:bCs w:val="1"/>
                <w:color w:val="auto"/>
              </w:rPr>
              <w:t>September 30, 2001</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3"/>
          </w:tcPr>
          <w:p>
            <w:pPr>
              <w:ind w:left="720"/>
              <w:spacing w:after="0"/>
              <w:rPr>
                <w:sz w:val="20"/>
                <w:szCs w:val="20"/>
                <w:color w:val="auto"/>
              </w:rPr>
            </w:pPr>
            <w:r>
              <w:rPr>
                <w:rFonts w:ascii="Arial" w:cs="Arial" w:eastAsia="Arial" w:hAnsi="Arial"/>
                <w:sz w:val="12"/>
                <w:szCs w:val="12"/>
                <w:b w:val="1"/>
                <w:bCs w:val="1"/>
                <w:color w:val="auto"/>
              </w:rPr>
              <w:t>Total Property</w:t>
            </w:r>
          </w:p>
        </w:tc>
        <w:tc>
          <w:tcPr>
            <w:tcW w:w="14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SLG Property Interest</w:t>
            </w:r>
          </w:p>
        </w:tc>
        <w:tc>
          <w:tcPr>
            <w:tcW w:w="1240" w:type="dxa"/>
            <w:vAlign w:val="bottom"/>
          </w:tcPr>
          <w:p>
            <w:pPr>
              <w:spacing w:after="0"/>
              <w:rPr>
                <w:sz w:val="21"/>
                <w:szCs w:val="21"/>
                <w:color w:val="auto"/>
              </w:rPr>
            </w:pPr>
          </w:p>
        </w:tc>
        <w:tc>
          <w:tcPr>
            <w:tcW w:w="2620" w:type="dxa"/>
            <w:vAlign w:val="bottom"/>
            <w:gridSpan w:val="3"/>
          </w:tcPr>
          <w:p>
            <w:pPr>
              <w:ind w:left="720"/>
              <w:spacing w:after="0"/>
              <w:rPr>
                <w:sz w:val="20"/>
                <w:szCs w:val="20"/>
                <w:color w:val="auto"/>
              </w:rPr>
            </w:pPr>
            <w:r>
              <w:rPr>
                <w:rFonts w:ascii="Arial" w:cs="Arial" w:eastAsia="Arial" w:hAnsi="Arial"/>
                <w:sz w:val="12"/>
                <w:szCs w:val="12"/>
                <w:b w:val="1"/>
                <w:bCs w:val="1"/>
                <w:color w:val="auto"/>
              </w:rPr>
              <w:t>Total Property</w:t>
            </w:r>
          </w:p>
        </w:tc>
        <w:tc>
          <w:tcPr>
            <w:tcW w:w="14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SLG Property Interest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Land &amp; land interests</w:t>
            </w: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217,266</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115,955</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129,751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75,594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Buildings &amp; improvements</w:t>
            </w:r>
          </w:p>
        </w:tc>
        <w:tc>
          <w:tcPr>
            <w:tcW w:w="1500" w:type="dxa"/>
            <w:vAlign w:val="bottom"/>
          </w:tcPr>
          <w:p>
            <w:pPr>
              <w:jc w:val="right"/>
              <w:spacing w:after="0"/>
              <w:rPr>
                <w:sz w:val="20"/>
                <w:szCs w:val="20"/>
                <w:color w:val="auto"/>
              </w:rPr>
            </w:pPr>
            <w:r>
              <w:rPr>
                <w:rFonts w:ascii="Arial" w:cs="Arial" w:eastAsia="Arial" w:hAnsi="Arial"/>
                <w:sz w:val="12"/>
                <w:szCs w:val="12"/>
                <w:color w:val="auto"/>
              </w:rPr>
              <w:t>901,573</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480,104</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547,460</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321,754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1,118,839</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596,059</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677,211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397,348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1720" w:type="dxa"/>
            <w:vAlign w:val="bottom"/>
            <w:gridSpan w:val="2"/>
          </w:tcPr>
          <w:p>
            <w:pPr>
              <w:jc w:val="right"/>
              <w:ind w:right="180"/>
              <w:spacing w:after="0"/>
              <w:rPr>
                <w:sz w:val="20"/>
                <w:szCs w:val="20"/>
                <w:color w:val="auto"/>
              </w:rPr>
            </w:pPr>
            <w:r>
              <w:rPr>
                <w:rFonts w:ascii="Arial" w:cs="Arial" w:eastAsia="Arial" w:hAnsi="Arial"/>
                <w:sz w:val="12"/>
                <w:szCs w:val="12"/>
                <w:color w:val="auto"/>
              </w:rPr>
              <w:t>(32,407)</w:t>
            </w:r>
          </w:p>
        </w:tc>
        <w:tc>
          <w:tcPr>
            <w:tcW w:w="88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(16,859)</w:t>
            </w:r>
          </w:p>
        </w:tc>
        <w:tc>
          <w:tcPr>
            <w:tcW w:w="1240" w:type="dxa"/>
            <w:vAlign w:val="bottom"/>
          </w:tcPr>
          <w:p>
            <w:pPr>
              <w:spacing w:after="0"/>
              <w:rPr>
                <w:sz w:val="13"/>
                <w:szCs w:val="13"/>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2"/>
                <w:szCs w:val="12"/>
                <w:color w:val="auto"/>
              </w:rPr>
              <w:t>(15,532)</w:t>
            </w:r>
          </w:p>
        </w:tc>
        <w:tc>
          <w:tcPr>
            <w:tcW w:w="90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(10,082)</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Net Real Estate</w:t>
            </w: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1,086,432</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579,200</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661,679</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387,266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tcPr>
          <w:p>
            <w:pPr>
              <w:spacing w:after="0" w:line="137" w:lineRule="exact"/>
              <w:rPr>
                <w:sz w:val="20"/>
                <w:szCs w:val="20"/>
                <w:color w:val="auto"/>
              </w:rPr>
            </w:pPr>
            <w:r>
              <w:rPr>
                <w:rFonts w:ascii="Arial" w:cs="Arial" w:eastAsia="Arial" w:hAnsi="Arial"/>
                <w:sz w:val="12"/>
                <w:szCs w:val="12"/>
                <w:color w:val="auto"/>
              </w:rPr>
              <w:t>Cash and cash equivalents</w:t>
            </w:r>
          </w:p>
        </w:tc>
        <w:tc>
          <w:tcPr>
            <w:tcW w:w="1500" w:type="dxa"/>
            <w:vAlign w:val="bottom"/>
          </w:tcPr>
          <w:p>
            <w:pPr>
              <w:jc w:val="right"/>
              <w:spacing w:after="0" w:line="137" w:lineRule="exact"/>
              <w:rPr>
                <w:sz w:val="20"/>
                <w:szCs w:val="20"/>
                <w:color w:val="auto"/>
              </w:rPr>
            </w:pPr>
            <w:r>
              <w:rPr>
                <w:rFonts w:ascii="Arial" w:cs="Arial" w:eastAsia="Arial" w:hAnsi="Arial"/>
                <w:sz w:val="12"/>
                <w:szCs w:val="12"/>
                <w:color w:val="auto"/>
              </w:rPr>
              <w:t>34,931</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jc w:val="right"/>
              <w:spacing w:after="0" w:line="137" w:lineRule="exact"/>
              <w:rPr>
                <w:sz w:val="20"/>
                <w:szCs w:val="20"/>
                <w:color w:val="auto"/>
              </w:rPr>
            </w:pPr>
            <w:r>
              <w:rPr>
                <w:rFonts w:ascii="Arial" w:cs="Arial" w:eastAsia="Arial" w:hAnsi="Arial"/>
                <w:sz w:val="12"/>
                <w:szCs w:val="12"/>
                <w:color w:val="auto"/>
              </w:rPr>
              <w:t>18,507</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right"/>
              <w:spacing w:after="0" w:line="137" w:lineRule="exact"/>
              <w:rPr>
                <w:sz w:val="20"/>
                <w:szCs w:val="20"/>
                <w:color w:val="auto"/>
              </w:rPr>
            </w:pPr>
            <w:r>
              <w:rPr>
                <w:rFonts w:ascii="Arial" w:cs="Arial" w:eastAsia="Arial" w:hAnsi="Arial"/>
                <w:sz w:val="12"/>
                <w:szCs w:val="12"/>
                <w:color w:val="auto"/>
              </w:rPr>
              <w:t>10,638</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jc w:val="right"/>
              <w:spacing w:after="0" w:line="137" w:lineRule="exact"/>
              <w:rPr>
                <w:sz w:val="20"/>
                <w:szCs w:val="20"/>
                <w:color w:val="auto"/>
              </w:rPr>
            </w:pPr>
            <w:r>
              <w:rPr>
                <w:rFonts w:ascii="Arial" w:cs="Arial" w:eastAsia="Arial" w:hAnsi="Arial"/>
                <w:sz w:val="12"/>
                <w:szCs w:val="12"/>
                <w:color w:val="auto"/>
              </w:rPr>
              <w:t>6,584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Restricted cash</w:t>
            </w: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28,934</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15,500</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23,433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15,792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gridSpan w:val="2"/>
          </w:tcPr>
          <w:p>
            <w:pPr>
              <w:spacing w:after="0" w:line="128" w:lineRule="exact"/>
              <w:rPr>
                <w:sz w:val="20"/>
                <w:szCs w:val="20"/>
                <w:color w:val="auto"/>
              </w:rPr>
            </w:pPr>
            <w:r>
              <w:rPr>
                <w:rFonts w:ascii="Arial" w:cs="Arial" w:eastAsia="Arial" w:hAnsi="Arial"/>
                <w:sz w:val="12"/>
                <w:szCs w:val="12"/>
                <w:color w:val="auto"/>
              </w:rPr>
              <w:t>Tenant receivables, net of $177</w:t>
            </w: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80" w:type="dxa"/>
            <w:vAlign w:val="bottom"/>
            <w:gridSpan w:val="3"/>
          </w:tcPr>
          <w:p>
            <w:pPr>
              <w:spacing w:after="0"/>
              <w:rPr>
                <w:sz w:val="20"/>
                <w:szCs w:val="20"/>
                <w:color w:val="auto"/>
              </w:rPr>
            </w:pPr>
            <w:r>
              <w:rPr>
                <w:rFonts w:ascii="Arial" w:cs="Arial" w:eastAsia="Arial" w:hAnsi="Arial"/>
                <w:sz w:val="12"/>
                <w:szCs w:val="12"/>
                <w:color w:val="auto"/>
              </w:rPr>
              <w:t>reserve</w:t>
            </w:r>
          </w:p>
        </w:tc>
        <w:tc>
          <w:tcPr>
            <w:tcW w:w="1500" w:type="dxa"/>
            <w:vAlign w:val="bottom"/>
          </w:tcPr>
          <w:p>
            <w:pPr>
              <w:jc w:val="right"/>
              <w:spacing w:after="0"/>
              <w:rPr>
                <w:sz w:val="20"/>
                <w:szCs w:val="20"/>
                <w:color w:val="auto"/>
              </w:rPr>
            </w:pPr>
            <w:r>
              <w:rPr>
                <w:rFonts w:ascii="Arial" w:cs="Arial" w:eastAsia="Arial" w:hAnsi="Arial"/>
                <w:sz w:val="12"/>
                <w:szCs w:val="12"/>
                <w:color w:val="auto"/>
              </w:rPr>
              <w:t>2,442</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1,308</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5,585</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3,968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Deferred rents receivable, net of</w:t>
            </w:r>
          </w:p>
        </w:tc>
        <w:tc>
          <w:tcPr>
            <w:tcW w:w="1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reserve for tenant credit loss of $662</w:t>
            </w:r>
          </w:p>
        </w:tc>
        <w:tc>
          <w:tcPr>
            <w:tcW w:w="1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at 9/30/02</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11,144</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5,751</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tcPr>
          <w:p>
            <w:pPr>
              <w:spacing w:after="0" w:line="137" w:lineRule="exact"/>
              <w:rPr>
                <w:sz w:val="20"/>
                <w:szCs w:val="20"/>
                <w:color w:val="auto"/>
              </w:rPr>
            </w:pPr>
            <w:r>
              <w:rPr>
                <w:rFonts w:ascii="Arial" w:cs="Arial" w:eastAsia="Arial" w:hAnsi="Arial"/>
                <w:sz w:val="12"/>
                <w:szCs w:val="12"/>
                <w:color w:val="auto"/>
              </w:rPr>
              <w:t>Deferred costs, net</w:t>
            </w:r>
          </w:p>
        </w:tc>
        <w:tc>
          <w:tcPr>
            <w:tcW w:w="1500" w:type="dxa"/>
            <w:vAlign w:val="bottom"/>
          </w:tcPr>
          <w:p>
            <w:pPr>
              <w:jc w:val="right"/>
              <w:spacing w:after="0" w:line="137" w:lineRule="exact"/>
              <w:rPr>
                <w:sz w:val="20"/>
                <w:szCs w:val="20"/>
                <w:color w:val="auto"/>
              </w:rPr>
            </w:pPr>
            <w:r>
              <w:rPr>
                <w:rFonts w:ascii="Arial" w:cs="Arial" w:eastAsia="Arial" w:hAnsi="Arial"/>
                <w:sz w:val="12"/>
                <w:szCs w:val="12"/>
                <w:color w:val="auto"/>
              </w:rPr>
              <w:t>13,814</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jc w:val="right"/>
              <w:spacing w:after="0" w:line="137" w:lineRule="exact"/>
              <w:rPr>
                <w:sz w:val="20"/>
                <w:szCs w:val="20"/>
                <w:color w:val="auto"/>
              </w:rPr>
            </w:pPr>
            <w:r>
              <w:rPr>
                <w:rFonts w:ascii="Arial" w:cs="Arial" w:eastAsia="Arial" w:hAnsi="Arial"/>
                <w:sz w:val="12"/>
                <w:szCs w:val="12"/>
                <w:color w:val="auto"/>
              </w:rPr>
              <w:t>7,400</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right"/>
              <w:spacing w:after="0" w:line="137" w:lineRule="exact"/>
              <w:rPr>
                <w:sz w:val="20"/>
                <w:szCs w:val="20"/>
                <w:color w:val="auto"/>
              </w:rPr>
            </w:pPr>
            <w:r>
              <w:rPr>
                <w:rFonts w:ascii="Arial" w:cs="Arial" w:eastAsia="Arial" w:hAnsi="Arial"/>
                <w:sz w:val="12"/>
                <w:szCs w:val="12"/>
                <w:color w:val="auto"/>
              </w:rPr>
              <w:t>9,095</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jc w:val="right"/>
              <w:spacing w:after="0" w:line="137" w:lineRule="exact"/>
              <w:rPr>
                <w:sz w:val="20"/>
                <w:szCs w:val="20"/>
                <w:color w:val="auto"/>
              </w:rPr>
            </w:pPr>
            <w:r>
              <w:rPr>
                <w:rFonts w:ascii="Arial" w:cs="Arial" w:eastAsia="Arial" w:hAnsi="Arial"/>
                <w:sz w:val="12"/>
                <w:szCs w:val="12"/>
                <w:color w:val="auto"/>
              </w:rPr>
              <w:t>6,472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Other assets</w:t>
            </w: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8,760</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4,674</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4,681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2,788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Total Assets</w:t>
            </w:r>
          </w:p>
        </w:tc>
        <w:tc>
          <w:tcPr>
            <w:tcW w:w="1500" w:type="dxa"/>
            <w:vAlign w:val="bottom"/>
          </w:tcPr>
          <w:p>
            <w:pPr>
              <w:jc w:val="right"/>
              <w:spacing w:after="0"/>
              <w:rPr>
                <w:sz w:val="20"/>
                <w:szCs w:val="20"/>
                <w:color w:val="auto"/>
              </w:rPr>
            </w:pPr>
            <w:r>
              <w:rPr>
                <w:rFonts w:ascii="Arial" w:cs="Arial" w:eastAsia="Arial" w:hAnsi="Arial"/>
                <w:sz w:val="12"/>
                <w:szCs w:val="12"/>
                <w:b w:val="1"/>
                <w:bCs w:val="1"/>
                <w:color w:val="auto"/>
              </w:rPr>
              <w:t>1,186,456</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632,340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2"/>
                <w:szCs w:val="12"/>
                <w:b w:val="1"/>
                <w:bCs w:val="1"/>
                <w:color w:val="auto"/>
              </w:rPr>
              <w:t>720,712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426,429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0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Mortgage loan payable</w:t>
            </w:r>
          </w:p>
        </w:tc>
        <w:tc>
          <w:tcPr>
            <w:tcW w:w="1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742,926</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396,513</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references pages</w:t>
            </w:r>
          </w:p>
        </w:tc>
        <w:tc>
          <w:tcPr>
            <w:tcW w:w="1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445,000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263,648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18 &amp; 21</w:t>
            </w:r>
          </w:p>
        </w:tc>
        <w:tc>
          <w:tcPr>
            <w:tcW w:w="1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tcPr>
          <w:p>
            <w:pPr>
              <w:spacing w:after="0" w:line="137" w:lineRule="exact"/>
              <w:rPr>
                <w:sz w:val="20"/>
                <w:szCs w:val="20"/>
                <w:color w:val="auto"/>
              </w:rPr>
            </w:pPr>
            <w:r>
              <w:rPr>
                <w:rFonts w:ascii="Arial" w:cs="Arial" w:eastAsia="Arial" w:hAnsi="Arial"/>
                <w:sz w:val="12"/>
                <w:szCs w:val="12"/>
                <w:color w:val="auto"/>
              </w:rPr>
              <w:t>Derivative Instruments—fair value</w:t>
            </w:r>
          </w:p>
        </w:tc>
        <w:tc>
          <w:tcPr>
            <w:tcW w:w="172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(258)</w:t>
            </w:r>
          </w:p>
        </w:tc>
        <w:tc>
          <w:tcPr>
            <w:tcW w:w="880" w:type="dxa"/>
            <w:vAlign w:val="bottom"/>
          </w:tcPr>
          <w:p>
            <w:pPr>
              <w:spacing w:after="0"/>
              <w:rPr>
                <w:sz w:val="11"/>
                <w:szCs w:val="11"/>
                <w:color w:val="auto"/>
              </w:rPr>
            </w:pPr>
          </w:p>
        </w:tc>
        <w:tc>
          <w:tcPr>
            <w:tcW w:w="1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(142)</w:t>
            </w:r>
          </w:p>
        </w:tc>
        <w:tc>
          <w:tcPr>
            <w:tcW w:w="1240" w:type="dxa"/>
            <w:vAlign w:val="bottom"/>
          </w:tcPr>
          <w:p>
            <w:pPr>
              <w:spacing w:after="0"/>
              <w:rPr>
                <w:sz w:val="11"/>
                <w:szCs w:val="11"/>
                <w:color w:val="auto"/>
              </w:rPr>
            </w:pPr>
          </w:p>
        </w:tc>
        <w:tc>
          <w:tcPr>
            <w:tcW w:w="150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Accrued interest payable (1)</w:t>
            </w: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2,268</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1,181</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1,642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885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gridSpan w:val="2"/>
          </w:tcPr>
          <w:p>
            <w:pPr>
              <w:spacing w:after="0" w:line="128" w:lineRule="exact"/>
              <w:rPr>
                <w:sz w:val="20"/>
                <w:szCs w:val="20"/>
                <w:color w:val="auto"/>
              </w:rPr>
            </w:pPr>
            <w:r>
              <w:rPr>
                <w:rFonts w:ascii="Arial" w:cs="Arial" w:eastAsia="Arial" w:hAnsi="Arial"/>
                <w:sz w:val="12"/>
                <w:szCs w:val="12"/>
                <w:color w:val="auto"/>
              </w:rPr>
              <w:t>Accounts payable and accrued</w:t>
            </w: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80" w:type="dxa"/>
            <w:vAlign w:val="bottom"/>
            <w:gridSpan w:val="3"/>
          </w:tcPr>
          <w:p>
            <w:pPr>
              <w:spacing w:after="0"/>
              <w:rPr>
                <w:sz w:val="20"/>
                <w:szCs w:val="20"/>
                <w:color w:val="auto"/>
              </w:rPr>
            </w:pPr>
            <w:r>
              <w:rPr>
                <w:rFonts w:ascii="Arial" w:cs="Arial" w:eastAsia="Arial" w:hAnsi="Arial"/>
                <w:sz w:val="12"/>
                <w:szCs w:val="12"/>
                <w:color w:val="auto"/>
              </w:rPr>
              <w:t>expenses</w:t>
            </w:r>
          </w:p>
        </w:tc>
        <w:tc>
          <w:tcPr>
            <w:tcW w:w="1500" w:type="dxa"/>
            <w:vAlign w:val="bottom"/>
          </w:tcPr>
          <w:p>
            <w:pPr>
              <w:jc w:val="right"/>
              <w:spacing w:after="0"/>
              <w:rPr>
                <w:sz w:val="20"/>
                <w:szCs w:val="20"/>
                <w:color w:val="auto"/>
              </w:rPr>
            </w:pPr>
            <w:r>
              <w:rPr>
                <w:rFonts w:ascii="Arial" w:cs="Arial" w:eastAsia="Arial" w:hAnsi="Arial"/>
                <w:sz w:val="12"/>
                <w:szCs w:val="12"/>
                <w:color w:val="auto"/>
              </w:rPr>
              <w:t>11,948</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6,253</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18,266</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14,375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Security deposits</w:t>
            </w: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21,923</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11,788</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6,340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4,380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Contributed Capital (2)</w:t>
            </w:r>
          </w:p>
        </w:tc>
        <w:tc>
          <w:tcPr>
            <w:tcW w:w="1500" w:type="dxa"/>
            <w:vAlign w:val="bottom"/>
          </w:tcPr>
          <w:p>
            <w:pPr>
              <w:jc w:val="right"/>
              <w:spacing w:after="0"/>
              <w:rPr>
                <w:sz w:val="20"/>
                <w:szCs w:val="20"/>
                <w:color w:val="auto"/>
              </w:rPr>
            </w:pPr>
            <w:r>
              <w:rPr>
                <w:rFonts w:ascii="Arial" w:cs="Arial" w:eastAsia="Arial" w:hAnsi="Arial"/>
                <w:sz w:val="12"/>
                <w:szCs w:val="12"/>
                <w:color w:val="auto"/>
              </w:rPr>
              <w:t>407,649</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216,747</w:t>
            </w:r>
          </w:p>
        </w:tc>
        <w:tc>
          <w:tcPr>
            <w:tcW w:w="12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references page</w:t>
            </w:r>
          </w:p>
        </w:tc>
        <w:tc>
          <w:tcPr>
            <w:tcW w:w="1500" w:type="dxa"/>
            <w:vAlign w:val="bottom"/>
          </w:tcPr>
          <w:p>
            <w:pPr>
              <w:jc w:val="right"/>
              <w:spacing w:after="0"/>
              <w:rPr>
                <w:sz w:val="20"/>
                <w:szCs w:val="20"/>
                <w:color w:val="auto"/>
              </w:rPr>
            </w:pPr>
            <w:r>
              <w:rPr>
                <w:rFonts w:ascii="Arial" w:cs="Arial" w:eastAsia="Arial" w:hAnsi="Arial"/>
                <w:sz w:val="12"/>
                <w:szCs w:val="12"/>
                <w:color w:val="auto"/>
              </w:rPr>
              <w:t>249,464</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143,141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-2892425</wp:posOffset>
            </wp:positionV>
            <wp:extent cx="127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-2892425</wp:posOffset>
            </wp:positionV>
            <wp:extent cx="127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-2892425</wp:posOffset>
            </wp:positionV>
            <wp:extent cx="1270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-2892425</wp:posOffset>
            </wp:positionV>
            <wp:extent cx="127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-2663825</wp:posOffset>
            </wp:positionV>
            <wp:extent cx="1270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-2663825</wp:posOffset>
            </wp:positionV>
            <wp:extent cx="127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-2663825</wp:posOffset>
            </wp:positionV>
            <wp:extent cx="1270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-2663825</wp:posOffset>
            </wp:positionV>
            <wp:extent cx="1270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-2663825</wp:posOffset>
            </wp:positionV>
            <wp:extent cx="1270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-2663825</wp:posOffset>
            </wp:positionV>
            <wp:extent cx="1270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-2663825</wp:posOffset>
            </wp:positionV>
            <wp:extent cx="1270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-2663825</wp:posOffset>
            </wp:positionV>
            <wp:extent cx="1270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-2348865</wp:posOffset>
            </wp:positionV>
            <wp:extent cx="1270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-2348865</wp:posOffset>
            </wp:positionV>
            <wp:extent cx="1270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-2348865</wp:posOffset>
            </wp:positionV>
            <wp:extent cx="1270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-2348865</wp:posOffset>
            </wp:positionV>
            <wp:extent cx="1270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-2348865</wp:posOffset>
            </wp:positionV>
            <wp:extent cx="1270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-2348865</wp:posOffset>
            </wp:positionV>
            <wp:extent cx="1270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-2348865</wp:posOffset>
            </wp:positionV>
            <wp:extent cx="1270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-2348865</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-2033270</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-2033270</wp:posOffset>
            </wp:positionV>
            <wp:extent cx="127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-2033270</wp:posOffset>
            </wp:positionV>
            <wp:extent cx="1270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-2033270</wp:posOffset>
            </wp:positionV>
            <wp:extent cx="1270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-2033270</wp:posOffset>
            </wp:positionV>
            <wp:extent cx="1270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-2033270</wp:posOffset>
            </wp:positionV>
            <wp:extent cx="1270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-2033270</wp:posOffset>
            </wp:positionV>
            <wp:extent cx="1270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-2033270</wp:posOffset>
            </wp:positionV>
            <wp:extent cx="1270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-1024890</wp:posOffset>
            </wp:positionV>
            <wp:extent cx="1270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-1024890</wp:posOffset>
            </wp:positionV>
            <wp:extent cx="1270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-1024890</wp:posOffset>
            </wp:positionV>
            <wp:extent cx="1270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-1024890</wp:posOffset>
            </wp:positionV>
            <wp:extent cx="1270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-1024890</wp:posOffset>
            </wp:positionV>
            <wp:extent cx="127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-1024890</wp:posOffset>
            </wp:positionV>
            <wp:extent cx="1270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-1024890</wp:posOffset>
            </wp:positionV>
            <wp:extent cx="1270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-1024890</wp:posOffset>
            </wp:positionV>
            <wp:extent cx="1270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-802640</wp:posOffset>
            </wp:positionV>
            <wp:extent cx="12700" cy="361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-802640</wp:posOffset>
            </wp:positionV>
            <wp:extent cx="12700" cy="361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-802640</wp:posOffset>
            </wp:positionV>
            <wp:extent cx="12700" cy="361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-802640</wp:posOffset>
            </wp:positionV>
            <wp:extent cx="12700" cy="361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-802640</wp:posOffset>
            </wp:positionV>
            <wp:extent cx="12700" cy="361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-802640</wp:posOffset>
            </wp:positionV>
            <wp:extent cx="12700" cy="36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-802640</wp:posOffset>
            </wp:positionV>
            <wp:extent cx="12700" cy="361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-802640</wp:posOffset>
            </wp:positionV>
            <wp:extent cx="12700" cy="361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65" w:orient="portrait"/>
          <w:cols w:equalWidth="0" w:num="1">
            <w:col w:w="11420"/>
          </w:cols>
          <w:pgMar w:left="240" w:top="361" w:right="239" w:bottom="0" w:gutter="0" w:footer="0" w:header="0"/>
        </w:sectPr>
      </w:pPr>
    </w:p>
    <w:bookmarkStart w:id="9" w:name="page10"/>
    <w:bookmarkEnd w:id="9"/>
    <w:p>
      <w:pPr>
        <w:spacing w:after="0" w:line="35" w:lineRule="exact"/>
        <w:rPr>
          <w:sz w:val="20"/>
          <w:szCs w:val="20"/>
          <w:color w:val="auto"/>
        </w:rPr>
      </w:pPr>
    </w:p>
    <w:p>
      <w:pPr>
        <w:ind w:left="6221"/>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1313815</wp:posOffset>
            </wp:positionH>
            <wp:positionV relativeFrom="paragraph">
              <wp:posOffset>65405</wp:posOffset>
            </wp:positionV>
            <wp:extent cx="5867400"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67400" cy="20320"/>
                    </a:xfrm>
                    <a:prstGeom prst="rect">
                      <a:avLst/>
                    </a:prstGeom>
                    <a:noFill/>
                  </pic:spPr>
                </pic:pic>
              </a:graphicData>
            </a:graphic>
          </wp:anchor>
        </w:drawing>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Liabilities and Equity</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1,186,456</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632,340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720,712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426,429</w:t>
            </w:r>
          </w:p>
        </w:tc>
        <w:tc>
          <w:tcPr>
            <w:tcW w:w="120" w:type="dxa"/>
            <w:vAlign w:val="bottom"/>
            <w:shd w:val="clear" w:color="auto" w:fill="CCEEFF"/>
          </w:tcPr>
          <w:p>
            <w:pPr>
              <w:spacing w:after="0"/>
              <w:rPr>
                <w:sz w:val="12"/>
                <w:szCs w:val="12"/>
                <w:color w:val="auto"/>
              </w:rPr>
            </w:pPr>
          </w:p>
        </w:tc>
      </w:tr>
      <w:tr>
        <w:trPr>
          <w:trHeight w:val="133"/>
        </w:trPr>
        <w:tc>
          <w:tcPr>
            <w:tcW w:w="2060" w:type="dxa"/>
            <w:vAlign w:val="bottom"/>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1360" w:type="dxa"/>
            <w:vAlign w:val="bottom"/>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-35560</wp:posOffset>
            </wp:positionV>
            <wp:extent cx="12700" cy="361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-35560</wp:posOffset>
            </wp:positionV>
            <wp:extent cx="12700" cy="36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-35560</wp:posOffset>
            </wp:positionV>
            <wp:extent cx="12700" cy="36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-35560</wp:posOffset>
            </wp:positionV>
            <wp:extent cx="12700" cy="361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-35560</wp:posOffset>
            </wp:positionV>
            <wp:extent cx="12700" cy="361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-35560</wp:posOffset>
            </wp:positionV>
            <wp:extent cx="12700" cy="361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-35560</wp:posOffset>
            </wp:positionV>
            <wp:extent cx="12700" cy="361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-35560</wp:posOffset>
            </wp:positionV>
            <wp:extent cx="12700" cy="361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left="1" w:right="200"/>
        <w:spacing w:after="0" w:line="291" w:lineRule="auto"/>
        <w:rPr>
          <w:sz w:val="20"/>
          <w:szCs w:val="20"/>
          <w:color w:val="auto"/>
        </w:rPr>
      </w:pPr>
      <w:r>
        <w:rPr>
          <w:rFonts w:ascii="Arial" w:cs="Arial" w:eastAsia="Arial" w:hAnsi="Arial"/>
          <w:sz w:val="15"/>
          <w:szCs w:val="15"/>
          <w:color w:val="auto"/>
        </w:rPr>
        <w:t>As of September 30, 2002 the Company has six joint venture interests representing a 50% interest in 180 Madison Avenue acquired in December 2000, a 55% interest in1250 Broadway acquired in September 2001, a 50% interest in 100 Park Avenue acquired in February 2000, a 35% interest in 321 West 44th Street contributed May 2000, a 55% interest in 1 Park Avenue contributed in June 2001, and a 55% interest in 1515 Broadway acquired in May 2002. These interests are accounted for on the equity method of accounting and, therefore, are not consolidated into the company's financial statements. Additional detail is available on page 32.</w:t>
      </w:r>
    </w:p>
    <w:p>
      <w:pPr>
        <w:spacing w:after="0" w:line="169"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analysis includes hedge instruments at fair value of $193K on 1250 Broadway and $57K on 1515 Broadway.</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analysis excludes certain residual interests in the entity that held 90 Broad Street (sold November 2000).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JOINT VENTURE STATEMENTS</w:t>
      </w:r>
    </w:p>
    <w:p>
      <w:pPr>
        <w:spacing w:after="0" w:line="2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Statements of operations for unconsolidated joint ventures</w:t>
      </w:r>
    </w:p>
    <w:p>
      <w:pPr>
        <w:ind w:left="1"/>
        <w:spacing w:after="0" w:line="233" w:lineRule="auto"/>
        <w:rPr>
          <w:sz w:val="20"/>
          <w:szCs w:val="20"/>
          <w:color w:val="auto"/>
        </w:rPr>
      </w:pPr>
      <w:r>
        <w:rPr>
          <w:rFonts w:ascii="Arial" w:cs="Arial" w:eastAsia="Arial" w:hAnsi="Arial"/>
          <w:sz w:val="20"/>
          <w:szCs w:val="20"/>
          <w:b w:val="1"/>
          <w:bCs w:val="1"/>
          <w:color w:val="auto"/>
        </w:rPr>
        <w:t>Unaudited</w:t>
      </w:r>
    </w:p>
    <w:p>
      <w:pPr>
        <w:ind w:left="1"/>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gridSpan w:val="4"/>
          </w:tcPr>
          <w:p>
            <w:pPr>
              <w:ind w:left="40"/>
              <w:spacing w:after="0"/>
              <w:rPr>
                <w:sz w:val="20"/>
                <w:szCs w:val="20"/>
                <w:color w:val="auto"/>
              </w:rPr>
            </w:pPr>
            <w:r>
              <w:rPr>
                <w:rFonts w:ascii="Arial" w:cs="Arial" w:eastAsia="Arial" w:hAnsi="Arial"/>
                <w:sz w:val="12"/>
                <w:szCs w:val="12"/>
                <w:b w:val="1"/>
                <w:bCs w:val="1"/>
                <w:color w:val="auto"/>
              </w:rPr>
              <w:t>Three Months Ended September 30, 2002</w:t>
            </w:r>
          </w:p>
        </w:tc>
        <w:tc>
          <w:tcPr>
            <w:tcW w:w="3680" w:type="dxa"/>
            <w:vAlign w:val="bottom"/>
            <w:gridSpan w:val="5"/>
          </w:tcPr>
          <w:p>
            <w:pPr>
              <w:jc w:val="right"/>
              <w:ind w:right="678"/>
              <w:spacing w:after="0"/>
              <w:rPr>
                <w:sz w:val="20"/>
                <w:szCs w:val="20"/>
                <w:color w:val="auto"/>
              </w:rPr>
            </w:pPr>
            <w:r>
              <w:rPr>
                <w:rFonts w:ascii="Arial" w:cs="Arial" w:eastAsia="Arial" w:hAnsi="Arial"/>
                <w:sz w:val="12"/>
                <w:szCs w:val="12"/>
                <w:b w:val="1"/>
                <w:bCs w:val="1"/>
                <w:color w:val="auto"/>
              </w:rPr>
              <w:t>Three Months Ended September 30, 2001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SLG</w:t>
            </w:r>
          </w:p>
        </w:tc>
        <w:tc>
          <w:tcPr>
            <w:tcW w:w="2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SLG</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SLG</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7"/>
              </w:rPr>
              <w:t>SLG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 Property</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Property Interest</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Subsidiary</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 Property</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Property Interest</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1"/>
              </w:rPr>
              <w:t>Subsidiary</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Revenues</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040" w:type="dxa"/>
            <w:vAlign w:val="bottom"/>
            <w:gridSpan w:val="2"/>
          </w:tcPr>
          <w:p>
            <w:pPr>
              <w:spacing w:after="0"/>
              <w:rPr>
                <w:sz w:val="20"/>
                <w:szCs w:val="20"/>
                <w:color w:val="auto"/>
              </w:rPr>
            </w:pPr>
            <w:r>
              <w:rPr>
                <w:rFonts w:ascii="Arial" w:cs="Arial" w:eastAsia="Arial" w:hAnsi="Arial"/>
                <w:sz w:val="12"/>
                <w:szCs w:val="12"/>
                <w:color w:val="auto"/>
              </w:rPr>
              <w:t>Rental Revenue, net</w:t>
            </w:r>
          </w:p>
        </w:tc>
        <w:tc>
          <w:tcPr>
            <w:tcW w:w="1060" w:type="dxa"/>
            <w:vAlign w:val="bottom"/>
          </w:tcPr>
          <w:p>
            <w:pPr>
              <w:jc w:val="right"/>
              <w:spacing w:after="0"/>
              <w:rPr>
                <w:sz w:val="20"/>
                <w:szCs w:val="20"/>
                <w:color w:val="auto"/>
              </w:rPr>
            </w:pPr>
            <w:r>
              <w:rPr>
                <w:rFonts w:ascii="Arial" w:cs="Arial" w:eastAsia="Arial" w:hAnsi="Arial"/>
                <w:sz w:val="12"/>
                <w:szCs w:val="12"/>
                <w:color w:val="auto"/>
              </w:rPr>
              <w:t>35,141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18,647</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21,628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11,463</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Free rent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20" w:type="dxa"/>
            <w:vAlign w:val="bottom"/>
          </w:tcPr>
          <w:p>
            <w:pPr>
              <w:ind w:left="200"/>
              <w:spacing w:after="0"/>
              <w:rPr>
                <w:sz w:val="20"/>
                <w:szCs w:val="20"/>
                <w:color w:val="auto"/>
              </w:rPr>
            </w:pPr>
            <w:r>
              <w:rPr>
                <w:rFonts w:ascii="Arial" w:cs="Arial" w:eastAsia="Arial" w:hAnsi="Arial"/>
                <w:sz w:val="12"/>
                <w:szCs w:val="12"/>
                <w:color w:val="auto"/>
              </w:rPr>
              <w:t>Amortization of free rent</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(85)</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(42)</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(71)</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(37)</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free rent</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162</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3040" w:type="dxa"/>
            <w:vAlign w:val="bottom"/>
            <w:gridSpan w:val="2"/>
          </w:tcPr>
          <w:p>
            <w:pPr>
              <w:spacing w:after="0"/>
              <w:rPr>
                <w:sz w:val="20"/>
                <w:szCs w:val="20"/>
                <w:color w:val="auto"/>
              </w:rPr>
            </w:pPr>
            <w:r>
              <w:rPr>
                <w:rFonts w:ascii="Arial" w:cs="Arial" w:eastAsia="Arial" w:hAnsi="Arial"/>
                <w:sz w:val="12"/>
                <w:szCs w:val="12"/>
                <w:color w:val="auto"/>
              </w:rPr>
              <w:t>Straight-line rent</w:t>
            </w:r>
          </w:p>
        </w:tc>
        <w:tc>
          <w:tcPr>
            <w:tcW w:w="1060" w:type="dxa"/>
            <w:vAlign w:val="bottom"/>
          </w:tcPr>
          <w:p>
            <w:pPr>
              <w:jc w:val="right"/>
              <w:spacing w:after="0"/>
              <w:rPr>
                <w:sz w:val="20"/>
                <w:szCs w:val="20"/>
                <w:color w:val="auto"/>
              </w:rPr>
            </w:pPr>
            <w:r>
              <w:rPr>
                <w:rFonts w:ascii="Arial" w:cs="Arial" w:eastAsia="Arial" w:hAnsi="Arial"/>
                <w:sz w:val="12"/>
                <w:szCs w:val="12"/>
                <w:color w:val="auto"/>
              </w:rPr>
              <w:t>1,926</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1,033</w:t>
            </w: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1,008</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516</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Allowance for S/L tenant credit loss</w:t>
            </w:r>
          </w:p>
        </w:tc>
        <w:tc>
          <w:tcPr>
            <w:tcW w:w="11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(365)</w:t>
            </w:r>
          </w:p>
        </w:tc>
        <w:tc>
          <w:tcPr>
            <w:tcW w:w="13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(195)</w:t>
            </w: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(185)</w:t>
            </w:r>
          </w:p>
        </w:tc>
        <w:tc>
          <w:tcPr>
            <w:tcW w:w="13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(105)</w:t>
            </w: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2"/>
                <w:szCs w:val="12"/>
                <w:color w:val="auto"/>
              </w:rPr>
              <w:t>Escalation and reimbursement revenues</w:t>
            </w:r>
          </w:p>
        </w:tc>
        <w:tc>
          <w:tcPr>
            <w:tcW w:w="1060" w:type="dxa"/>
            <w:vAlign w:val="bottom"/>
          </w:tcPr>
          <w:p>
            <w:pPr>
              <w:jc w:val="right"/>
              <w:spacing w:after="0" w:line="137" w:lineRule="exact"/>
              <w:rPr>
                <w:sz w:val="20"/>
                <w:szCs w:val="20"/>
                <w:color w:val="auto"/>
              </w:rPr>
            </w:pPr>
            <w:r>
              <w:rPr>
                <w:rFonts w:ascii="Arial" w:cs="Arial" w:eastAsia="Arial" w:hAnsi="Arial"/>
                <w:sz w:val="12"/>
                <w:szCs w:val="12"/>
                <w:color w:val="auto"/>
              </w:rPr>
              <w:t>8,667</w:t>
            </w:r>
          </w:p>
        </w:tc>
        <w:tc>
          <w:tcPr>
            <w:tcW w:w="100" w:type="dxa"/>
            <w:vAlign w:val="bottom"/>
          </w:tcPr>
          <w:p>
            <w:pPr>
              <w:spacing w:after="0"/>
              <w:rPr>
                <w:sz w:val="11"/>
                <w:szCs w:val="11"/>
                <w:color w:val="auto"/>
              </w:rPr>
            </w:pPr>
          </w:p>
        </w:tc>
        <w:tc>
          <w:tcPr>
            <w:tcW w:w="1180" w:type="dxa"/>
            <w:vAlign w:val="bottom"/>
          </w:tcPr>
          <w:p>
            <w:pPr>
              <w:jc w:val="right"/>
              <w:spacing w:after="0" w:line="137" w:lineRule="exact"/>
              <w:rPr>
                <w:sz w:val="20"/>
                <w:szCs w:val="20"/>
                <w:color w:val="auto"/>
              </w:rPr>
            </w:pPr>
            <w:r>
              <w:rPr>
                <w:rFonts w:ascii="Arial" w:cs="Arial" w:eastAsia="Arial" w:hAnsi="Arial"/>
                <w:sz w:val="12"/>
                <w:szCs w:val="12"/>
                <w:color w:val="auto"/>
              </w:rPr>
              <w:t>4,630</w:t>
            </w: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7" w:lineRule="exact"/>
              <w:rPr>
                <w:sz w:val="20"/>
                <w:szCs w:val="20"/>
                <w:color w:val="auto"/>
              </w:rPr>
            </w:pPr>
            <w:r>
              <w:rPr>
                <w:rFonts w:ascii="Arial" w:cs="Arial" w:eastAsia="Arial" w:hAnsi="Arial"/>
                <w:sz w:val="12"/>
                <w:szCs w:val="12"/>
                <w:color w:val="auto"/>
              </w:rPr>
              <w:t>4,999</w:t>
            </w:r>
          </w:p>
        </w:tc>
        <w:tc>
          <w:tcPr>
            <w:tcW w:w="100" w:type="dxa"/>
            <w:vAlign w:val="bottom"/>
          </w:tcPr>
          <w:p>
            <w:pPr>
              <w:spacing w:after="0"/>
              <w:rPr>
                <w:sz w:val="11"/>
                <w:szCs w:val="11"/>
                <w:color w:val="auto"/>
              </w:rPr>
            </w:pPr>
          </w:p>
        </w:tc>
        <w:tc>
          <w:tcPr>
            <w:tcW w:w="1200" w:type="dxa"/>
            <w:vAlign w:val="bottom"/>
          </w:tcPr>
          <w:p>
            <w:pPr>
              <w:jc w:val="right"/>
              <w:spacing w:after="0" w:line="137" w:lineRule="exact"/>
              <w:rPr>
                <w:sz w:val="20"/>
                <w:szCs w:val="20"/>
                <w:color w:val="auto"/>
              </w:rPr>
            </w:pPr>
            <w:r>
              <w:rPr>
                <w:rFonts w:ascii="Arial" w:cs="Arial" w:eastAsia="Arial" w:hAnsi="Arial"/>
                <w:sz w:val="12"/>
                <w:szCs w:val="12"/>
                <w:color w:val="auto"/>
              </w:rPr>
              <w:t>2,657</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Investment income</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93</w:t>
            </w: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Arial" w:cs="Arial" w:eastAsia="Arial" w:hAnsi="Arial"/>
                <w:sz w:val="12"/>
                <w:szCs w:val="12"/>
                <w:color w:val="auto"/>
              </w:rPr>
              <w:t>Other income</w:t>
            </w:r>
          </w:p>
        </w:tc>
        <w:tc>
          <w:tcPr>
            <w:tcW w:w="1060" w:type="dxa"/>
            <w:vAlign w:val="bottom"/>
          </w:tcPr>
          <w:p>
            <w:pPr>
              <w:jc w:val="right"/>
              <w:spacing w:after="0"/>
              <w:rPr>
                <w:sz w:val="20"/>
                <w:szCs w:val="20"/>
                <w:color w:val="auto"/>
              </w:rPr>
            </w:pPr>
            <w:r>
              <w:rPr>
                <w:rFonts w:ascii="Arial" w:cs="Arial" w:eastAsia="Arial" w:hAnsi="Arial"/>
                <w:sz w:val="12"/>
                <w:szCs w:val="12"/>
                <w:color w:val="auto"/>
              </w:rPr>
              <w:t>394</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216</w:t>
            </w: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2"/>
                <w:szCs w:val="12"/>
                <w:b w:val="1"/>
                <w:bCs w:val="1"/>
                <w:color w:val="auto"/>
              </w:rPr>
              <w:t>Total Revenues, net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46,072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24,491</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Expenses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Operating expenses</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12,326</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6,553</w:t>
            </w: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6,827</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3,577</w:t>
            </w: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Arial" w:cs="Arial" w:eastAsia="Arial" w:hAnsi="Arial"/>
                <w:sz w:val="12"/>
                <w:szCs w:val="12"/>
                <w:color w:val="auto"/>
              </w:rPr>
              <w:t>Real estate taxes</w:t>
            </w:r>
          </w:p>
        </w:tc>
        <w:tc>
          <w:tcPr>
            <w:tcW w:w="1060" w:type="dxa"/>
            <w:vAlign w:val="bottom"/>
          </w:tcPr>
          <w:p>
            <w:pPr>
              <w:jc w:val="right"/>
              <w:spacing w:after="0"/>
              <w:rPr>
                <w:sz w:val="20"/>
                <w:szCs w:val="20"/>
                <w:color w:val="auto"/>
              </w:rPr>
            </w:pPr>
            <w:r>
              <w:rPr>
                <w:rFonts w:ascii="Arial" w:cs="Arial" w:eastAsia="Arial" w:hAnsi="Arial"/>
                <w:sz w:val="12"/>
                <w:szCs w:val="12"/>
                <w:color w:val="auto"/>
              </w:rPr>
              <w:t>6,835</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3,630</w:t>
            </w: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4,264</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2,269</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2"/>
                <w:szCs w:val="12"/>
                <w:b w:val="1"/>
                <w:bCs w:val="1"/>
                <w:color w:val="auto"/>
              </w:rPr>
              <w:t>Total Operating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19,161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10,183</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GAAP NOI</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27,276</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14,503</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16,678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8,997</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Cash NOI</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25,188</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13,388</w:t>
            </w: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15,548</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8,378</w:t>
            </w: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0"/>
        </w:trPr>
        <w:tc>
          <w:tcPr>
            <w:tcW w:w="3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1060" w:type="dxa"/>
            <w:vAlign w:val="bottom"/>
          </w:tcPr>
          <w:p>
            <w:pPr>
              <w:jc w:val="right"/>
              <w:spacing w:after="0"/>
              <w:rPr>
                <w:sz w:val="20"/>
                <w:szCs w:val="20"/>
                <w:color w:val="auto"/>
              </w:rPr>
            </w:pPr>
            <w:r>
              <w:rPr>
                <w:rFonts w:ascii="Arial" w:cs="Arial" w:eastAsia="Arial" w:hAnsi="Arial"/>
                <w:sz w:val="12"/>
                <w:szCs w:val="12"/>
                <w:color w:val="auto"/>
              </w:rPr>
              <w:t>9,341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4,789</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7,159</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3,733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Depreciation and amortization</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7,005</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3,735</w:t>
            </w: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4,279</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2,408</w:t>
            </w: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40" w:type="dxa"/>
            <w:vAlign w:val="bottom"/>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Net Income</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10,565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5,784</w:t>
            </w:r>
          </w:p>
        </w:tc>
        <w:tc>
          <w:tcPr>
            <w:tcW w:w="120" w:type="dxa"/>
            <w:vAlign w:val="bottom"/>
          </w:tcPr>
          <w:p>
            <w:pPr>
              <w:spacing w:after="0"/>
              <w:rPr>
                <w:sz w:val="20"/>
                <w:szCs w:val="20"/>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2"/>
                <w:szCs w:val="12"/>
                <w:color w:val="auto"/>
              </w:rPr>
              <w:t>references page 12</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5,054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2,752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Plus: Real Estate Depreciation</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6,047</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3,072</w:t>
            </w:r>
          </w:p>
        </w:tc>
        <w:tc>
          <w:tcPr>
            <w:tcW w:w="12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references page 17</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2,225</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2"/>
                <w:szCs w:val="12"/>
                <w:color w:val="auto"/>
              </w:rPr>
              <w:t>Plus: Extraordinary Loss</w:t>
            </w:r>
          </w:p>
        </w:tc>
        <w:tc>
          <w:tcPr>
            <w:tcW w:w="11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Plus: Management &amp; Leasing Fees</w:t>
            </w:r>
          </w:p>
        </w:tc>
        <w:tc>
          <w:tcPr>
            <w:tcW w:w="11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22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08"/>
        </w:trPr>
        <w:tc>
          <w:tcPr>
            <w:tcW w:w="3040" w:type="dxa"/>
            <w:vAlign w:val="bottom"/>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Funds From Operations</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16,612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8,856</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8,957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4,977</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FAD Adjustments:</w:t>
            </w: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040" w:type="dxa"/>
            <w:vAlign w:val="bottom"/>
            <w:gridSpan w:val="2"/>
          </w:tcPr>
          <w:p>
            <w:pPr>
              <w:spacing w:after="0"/>
              <w:rPr>
                <w:sz w:val="20"/>
                <w:szCs w:val="20"/>
                <w:color w:val="auto"/>
              </w:rPr>
            </w:pPr>
            <w:r>
              <w:rPr>
                <w:rFonts w:ascii="Arial" w:cs="Arial" w:eastAsia="Arial" w:hAnsi="Arial"/>
                <w:sz w:val="12"/>
                <w:szCs w:val="12"/>
                <w:color w:val="auto"/>
              </w:rPr>
              <w:t>Plus: Non Real Estate Depreciation</w:t>
            </w:r>
          </w:p>
        </w:tc>
        <w:tc>
          <w:tcPr>
            <w:tcW w:w="1060" w:type="dxa"/>
            <w:vAlign w:val="bottom"/>
          </w:tcPr>
          <w:p>
            <w:pPr>
              <w:jc w:val="right"/>
              <w:spacing w:after="0"/>
              <w:rPr>
                <w:sz w:val="20"/>
                <w:szCs w:val="20"/>
                <w:color w:val="auto"/>
              </w:rPr>
            </w:pPr>
            <w:r>
              <w:rPr>
                <w:rFonts w:ascii="Arial" w:cs="Arial" w:eastAsia="Arial" w:hAnsi="Arial"/>
                <w:sz w:val="12"/>
                <w:szCs w:val="12"/>
                <w:color w:val="auto"/>
              </w:rPr>
              <w:t>958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519</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Plus: 2% Allowance for S/L Tenant Credit Loss</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365</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195</w:t>
            </w:r>
          </w:p>
        </w:tc>
        <w:tc>
          <w:tcPr>
            <w:tcW w:w="1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185</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2"/>
                <w:szCs w:val="12"/>
                <w:color w:val="auto"/>
              </w:rPr>
              <w:t>Less: Free and S/L Rent</w:t>
            </w:r>
          </w:p>
        </w:tc>
        <w:tc>
          <w:tcPr>
            <w:tcW w:w="116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(2,088)</w:t>
            </w:r>
          </w:p>
        </w:tc>
        <w:tc>
          <w:tcPr>
            <w:tcW w:w="13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(1,115)</w:t>
            </w: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(1,129)</w:t>
            </w:r>
          </w:p>
        </w:tc>
        <w:tc>
          <w:tcPr>
            <w:tcW w:w="13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(556)</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Less: Second Cycle Tenant Improvement,</w:t>
            </w:r>
          </w:p>
        </w:tc>
        <w:tc>
          <w:tcPr>
            <w:tcW w:w="11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(310)</w:t>
            </w:r>
          </w:p>
        </w:tc>
        <w:tc>
          <w:tcPr>
            <w:tcW w:w="13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(117)</w:t>
            </w: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(2,734)</w:t>
            </w:r>
          </w:p>
        </w:tc>
        <w:tc>
          <w:tcPr>
            <w:tcW w:w="13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(2,092)</w:t>
            </w: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2"/>
                <w:szCs w:val="12"/>
                <w:color w:val="auto"/>
              </w:rPr>
              <w:t>Less: Second Cycle Leasing Commissions</w:t>
            </w:r>
          </w:p>
        </w:tc>
        <w:tc>
          <w:tcPr>
            <w:tcW w:w="116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(484)</w:t>
            </w:r>
          </w:p>
        </w:tc>
        <w:tc>
          <w:tcPr>
            <w:tcW w:w="13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(256)</w:t>
            </w: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(597)</w:t>
            </w:r>
          </w:p>
        </w:tc>
        <w:tc>
          <w:tcPr>
            <w:tcW w:w="13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(442)</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Less: Recurring Capex</w:t>
            </w:r>
          </w:p>
        </w:tc>
        <w:tc>
          <w:tcPr>
            <w:tcW w:w="11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(175)</w:t>
            </w:r>
          </w:p>
        </w:tc>
        <w:tc>
          <w:tcPr>
            <w:tcW w:w="13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(83)</w:t>
            </w: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(322)</w:t>
            </w:r>
          </w:p>
        </w:tc>
        <w:tc>
          <w:tcPr>
            <w:tcW w:w="13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(158)</w:t>
            </w: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40" w:type="dxa"/>
            <w:vAlign w:val="bottom"/>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FAD Adjustment</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(1,734)</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(856)</w:t>
            </w: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(4,221)</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(2,973)</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Operating Expense to Real Estate Revenue, net</w:t>
            </w:r>
          </w:p>
        </w:tc>
        <w:tc>
          <w:tcPr>
            <w:tcW w:w="1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26.86%</w:t>
            </w:r>
          </w:p>
        </w:tc>
        <w:tc>
          <w:tcPr>
            <w:tcW w:w="13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26.86%</w:t>
            </w: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24.60%</w:t>
            </w:r>
          </w:p>
        </w:tc>
        <w:tc>
          <w:tcPr>
            <w:tcW w:w="13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24.27%</w:t>
            </w: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2"/>
                <w:szCs w:val="12"/>
                <w:color w:val="auto"/>
              </w:rPr>
              <w:t>GAAP NOI to Real Estate Revenue, net</w:t>
            </w:r>
          </w:p>
        </w:tc>
        <w:tc>
          <w:tcPr>
            <w:tcW w:w="11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59.43%</w:t>
            </w:r>
          </w:p>
        </w:tc>
        <w:tc>
          <w:tcPr>
            <w:tcW w:w="13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59.46%</w:t>
            </w: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60.09%</w:t>
            </w:r>
          </w:p>
        </w:tc>
        <w:tc>
          <w:tcPr>
            <w:tcW w:w="13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61.05%</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Cash NOI to Real Estate Revenue, net</w:t>
            </w:r>
          </w:p>
        </w:tc>
        <w:tc>
          <w:tcPr>
            <w:tcW w:w="1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54.88%</w:t>
            </w:r>
          </w:p>
        </w:tc>
        <w:tc>
          <w:tcPr>
            <w:tcW w:w="13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54.89%</w:t>
            </w: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56.02%</w:t>
            </w:r>
          </w:p>
        </w:tc>
        <w:tc>
          <w:tcPr>
            <w:tcW w:w="13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56.85%</w:t>
            </w: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-6325870</wp:posOffset>
            </wp:positionV>
            <wp:extent cx="1270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-6325870</wp:posOffset>
            </wp:positionV>
            <wp:extent cx="1270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-6325870</wp:posOffset>
            </wp:positionV>
            <wp:extent cx="1270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-6325870</wp:posOffset>
            </wp:positionV>
            <wp:extent cx="1270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-6010275</wp:posOffset>
            </wp:positionV>
            <wp:extent cx="127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-6010275</wp:posOffset>
            </wp:positionV>
            <wp:extent cx="1270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-6010275</wp:posOffset>
            </wp:positionV>
            <wp:extent cx="1270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-6010275</wp:posOffset>
            </wp:positionV>
            <wp:extent cx="1270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-6010275</wp:posOffset>
            </wp:positionV>
            <wp:extent cx="1270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-6010275</wp:posOffset>
            </wp:positionV>
            <wp:extent cx="127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-6010275</wp:posOffset>
            </wp:positionV>
            <wp:extent cx="127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-6010275</wp:posOffset>
            </wp:positionV>
            <wp:extent cx="1270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-6010275</wp:posOffset>
            </wp:positionV>
            <wp:extent cx="1270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-6010275</wp:posOffset>
            </wp:positionV>
            <wp:extent cx="1270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-6010275</wp:posOffset>
            </wp:positionV>
            <wp:extent cx="1270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6483350</wp:posOffset>
            </wp:positionH>
            <wp:positionV relativeFrom="paragraph">
              <wp:posOffset>-6010275</wp:posOffset>
            </wp:positionV>
            <wp:extent cx="1270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-5781675</wp:posOffset>
            </wp:positionV>
            <wp:extent cx="1270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-5781675</wp:posOffset>
            </wp:positionV>
            <wp:extent cx="1270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-5781675</wp:posOffset>
            </wp:positionV>
            <wp:extent cx="1270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-5781675</wp:posOffset>
            </wp:positionV>
            <wp:extent cx="1270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-5269865</wp:posOffset>
            </wp:positionV>
            <wp:extent cx="1270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-5269865</wp:posOffset>
            </wp:positionV>
            <wp:extent cx="1270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-5269865</wp:posOffset>
            </wp:positionV>
            <wp:extent cx="1270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-5269865</wp:posOffset>
            </wp:positionV>
            <wp:extent cx="1270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-5269865</wp:posOffset>
            </wp:positionV>
            <wp:extent cx="1270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-5269865</wp:posOffset>
            </wp:positionV>
            <wp:extent cx="1270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-5269865</wp:posOffset>
            </wp:positionV>
            <wp:extent cx="1270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-5269865</wp:posOffset>
            </wp:positionV>
            <wp:extent cx="1270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-4521200</wp:posOffset>
            </wp:positionV>
            <wp:extent cx="1270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-4521200</wp:posOffset>
            </wp:positionV>
            <wp:extent cx="1270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-4521200</wp:posOffset>
            </wp:positionV>
            <wp:extent cx="1270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-4521200</wp:posOffset>
            </wp:positionV>
            <wp:extent cx="1270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-4521200</wp:posOffset>
            </wp:positionV>
            <wp:extent cx="1270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-4521200</wp:posOffset>
            </wp:positionV>
            <wp:extent cx="1270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-4521200</wp:posOffset>
            </wp:positionV>
            <wp:extent cx="1270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-4521200</wp:posOffset>
            </wp:positionV>
            <wp:extent cx="1270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-4008755</wp:posOffset>
            </wp:positionV>
            <wp:extent cx="127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-4008755</wp:posOffset>
            </wp:positionV>
            <wp:extent cx="1270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-4008755</wp:posOffset>
            </wp:positionV>
            <wp:extent cx="1270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-4008755</wp:posOffset>
            </wp:positionV>
            <wp:extent cx="1270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-3693795</wp:posOffset>
            </wp:positionV>
            <wp:extent cx="1270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-3693795</wp:posOffset>
            </wp:positionV>
            <wp:extent cx="1270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-3693795</wp:posOffset>
            </wp:positionV>
            <wp:extent cx="1270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-3693795</wp:posOffset>
            </wp:positionV>
            <wp:extent cx="1270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-3693795</wp:posOffset>
            </wp:positionV>
            <wp:extent cx="1270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-3693795</wp:posOffset>
            </wp:positionV>
            <wp:extent cx="1270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-3693795</wp:posOffset>
            </wp:positionV>
            <wp:extent cx="1270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-3693795</wp:posOffset>
            </wp:positionV>
            <wp:extent cx="1270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-2779395</wp:posOffset>
            </wp:positionV>
            <wp:extent cx="1270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-2779395</wp:posOffset>
            </wp:positionV>
            <wp:extent cx="1270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-2779395</wp:posOffset>
            </wp:positionV>
            <wp:extent cx="1270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-2779395</wp:posOffset>
            </wp:positionV>
            <wp:extent cx="1270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-2779395</wp:posOffset>
            </wp:positionV>
            <wp:extent cx="1270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-2779395</wp:posOffset>
            </wp:positionV>
            <wp:extent cx="1270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-2779395</wp:posOffset>
            </wp:positionV>
            <wp:extent cx="1270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-2779395</wp:posOffset>
            </wp:positionV>
            <wp:extent cx="1270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-2148840</wp:posOffset>
            </wp:positionV>
            <wp:extent cx="1270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-2148840</wp:posOffset>
            </wp:positionV>
            <wp:extent cx="1270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-2148840</wp:posOffset>
            </wp:positionV>
            <wp:extent cx="1270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-2148840</wp:posOffset>
            </wp:positionV>
            <wp:extent cx="1270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-2148840</wp:posOffset>
            </wp:positionV>
            <wp:extent cx="1270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-2148840</wp:posOffset>
            </wp:positionV>
            <wp:extent cx="1270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-2148840</wp:posOffset>
            </wp:positionV>
            <wp:extent cx="127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-2148840</wp:posOffset>
            </wp:positionV>
            <wp:extent cx="1270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-2148840</wp:posOffset>
            </wp:positionV>
            <wp:extent cx="1270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-2148840</wp:posOffset>
            </wp:positionV>
            <wp:extent cx="1270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-2148840</wp:posOffset>
            </wp:positionV>
            <wp:extent cx="1270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6483350</wp:posOffset>
            </wp:positionH>
            <wp:positionV relativeFrom="paragraph">
              <wp:posOffset>-2148840</wp:posOffset>
            </wp:positionV>
            <wp:extent cx="1270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-1747520</wp:posOffset>
            </wp:positionV>
            <wp:extent cx="1270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-1747520</wp:posOffset>
            </wp:positionV>
            <wp:extent cx="1270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-1747520</wp:posOffset>
            </wp:positionV>
            <wp:extent cx="1270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-1747520</wp:posOffset>
            </wp:positionV>
            <wp:extent cx="1270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-1085215</wp:posOffset>
            </wp:positionV>
            <wp:extent cx="1270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-1085215</wp:posOffset>
            </wp:positionV>
            <wp:extent cx="1270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-1085215</wp:posOffset>
            </wp:positionV>
            <wp:extent cx="1270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-1085215</wp:posOffset>
            </wp:positionV>
            <wp:extent cx="1270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-1085215</wp:posOffset>
            </wp:positionV>
            <wp:extent cx="1270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-1085215</wp:posOffset>
            </wp:positionV>
            <wp:extent cx="1270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-1085215</wp:posOffset>
            </wp:positionV>
            <wp:extent cx="1270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-1085215</wp:posOffset>
            </wp:positionV>
            <wp:extent cx="1270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-801370</wp:posOffset>
            </wp:positionV>
            <wp:extent cx="1270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-801370</wp:posOffset>
            </wp:positionV>
            <wp:extent cx="1270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-579755</wp:posOffset>
            </wp:positionV>
            <wp:extent cx="12700" cy="361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-579755</wp:posOffset>
            </wp:positionV>
            <wp:extent cx="12700" cy="361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-579755</wp:posOffset>
            </wp:positionV>
            <wp:extent cx="12700" cy="361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-579755</wp:posOffset>
            </wp:positionV>
            <wp:extent cx="12700" cy="361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-579755</wp:posOffset>
            </wp:positionV>
            <wp:extent cx="12700" cy="361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-579755</wp:posOffset>
            </wp:positionV>
            <wp:extent cx="12700" cy="36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-579755</wp:posOffset>
            </wp:positionV>
            <wp:extent cx="12700" cy="361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-579755</wp:posOffset>
            </wp:positionV>
            <wp:extent cx="12700" cy="361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-415290</wp:posOffset>
            </wp:positionV>
            <wp:extent cx="1270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-415290</wp:posOffset>
            </wp:positionV>
            <wp:extent cx="1270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73" w:orient="portrait"/>
          <w:cols w:equalWidth="0" w:num="1">
            <w:col w:w="11421"/>
          </w:cols>
          <w:pgMar w:left="239"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CONDENSED CONSOLIDATED STATEMENT OF</w:t>
      </w:r>
    </w:p>
    <w:p>
      <w:pPr>
        <w:sectPr>
          <w:pgSz w:w="11900" w:h="16873" w:orient="portrait"/>
          <w:cols w:equalWidth="0" w:num="1">
            <w:col w:w="11421"/>
          </w:cols>
          <w:pgMar w:left="239" w:top="131" w:right="239" w:bottom="0" w:gutter="0" w:footer="0" w:header="0"/>
          <w:type w:val="continuous"/>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EQUITY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452755</wp:posOffset>
            </wp:positionV>
            <wp:extent cx="7262495" cy="20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Deferred</w:t>
            </w:r>
          </w:p>
        </w:tc>
        <w:tc>
          <w:tcPr>
            <w:tcW w:w="120" w:type="dxa"/>
            <w:vAlign w:val="bottom"/>
          </w:tcPr>
          <w:p>
            <w:pPr>
              <w:spacing w:after="0"/>
              <w:rPr>
                <w:sz w:val="12"/>
                <w:szCs w:val="12"/>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Accumulated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4"/>
          </w:tcPr>
          <w:p>
            <w:pPr>
              <w:jc w:val="right"/>
              <w:ind w:right="60"/>
              <w:spacing w:after="0" w:line="137" w:lineRule="exact"/>
              <w:rPr>
                <w:sz w:val="20"/>
                <w:szCs w:val="20"/>
                <w:color w:val="auto"/>
              </w:rPr>
            </w:pPr>
            <w:r>
              <w:rPr>
                <w:rFonts w:ascii="Arial" w:cs="Arial" w:eastAsia="Arial" w:hAnsi="Arial"/>
                <w:sz w:val="12"/>
                <w:szCs w:val="12"/>
                <w:b w:val="1"/>
                <w:bCs w:val="1"/>
                <w:color w:val="auto"/>
              </w:rPr>
              <w:t>Retained Earnings /</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jc w:val="right"/>
              <w:ind w:right="580"/>
              <w:spacing w:after="0" w:line="137" w:lineRule="exact"/>
              <w:rPr>
                <w:sz w:val="20"/>
                <w:szCs w:val="20"/>
                <w:color w:val="auto"/>
              </w:rPr>
            </w:pPr>
            <w:r>
              <w:rPr>
                <w:rFonts w:ascii="Arial" w:cs="Arial" w:eastAsia="Arial" w:hAnsi="Arial"/>
                <w:sz w:val="12"/>
                <w:szCs w:val="12"/>
                <w:b w:val="1"/>
                <w:bCs w:val="1"/>
                <w:color w:val="auto"/>
                <w:w w:val="95"/>
              </w:rPr>
              <w:t>Compensation</w:t>
            </w:r>
          </w:p>
        </w:tc>
        <w:tc>
          <w:tcPr>
            <w:tcW w:w="120" w:type="dxa"/>
            <w:vAlign w:val="bottom"/>
          </w:tcPr>
          <w:p>
            <w:pPr>
              <w:spacing w:after="0"/>
              <w:rPr>
                <w:sz w:val="11"/>
                <w:szCs w:val="11"/>
                <w:color w:val="auto"/>
              </w:rPr>
            </w:pPr>
          </w:p>
        </w:tc>
        <w:tc>
          <w:tcPr>
            <w:tcW w:w="1280" w:type="dxa"/>
            <w:vAlign w:val="bottom"/>
            <w:gridSpan w:val="4"/>
          </w:tcPr>
          <w:p>
            <w:pPr>
              <w:jc w:val="right"/>
              <w:ind w:right="100"/>
              <w:spacing w:after="0" w:line="137" w:lineRule="exact"/>
              <w:rPr>
                <w:sz w:val="20"/>
                <w:szCs w:val="20"/>
                <w:color w:val="auto"/>
              </w:rPr>
            </w:pPr>
            <w:r>
              <w:rPr>
                <w:rFonts w:ascii="Arial" w:cs="Arial" w:eastAsia="Arial" w:hAnsi="Arial"/>
                <w:sz w:val="12"/>
                <w:szCs w:val="12"/>
                <w:b w:val="1"/>
                <w:bCs w:val="1"/>
                <w:color w:val="auto"/>
              </w:rPr>
              <w:t>Other</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37" w:lineRule="exact"/>
              <w:rPr>
                <w:sz w:val="20"/>
                <w:szCs w:val="20"/>
                <w:color w:val="auto"/>
              </w:rPr>
            </w:pPr>
            <w:r>
              <w:rPr>
                <w:rFonts w:ascii="Arial" w:cs="Arial" w:eastAsia="Arial" w:hAnsi="Arial"/>
                <w:sz w:val="12"/>
                <w:szCs w:val="12"/>
                <w:b w:val="1"/>
                <w:bCs w:val="1"/>
                <w:color w:val="auto"/>
                <w:w w:val="95"/>
              </w:rPr>
              <w:t>Additional</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3"/>
          </w:tcPr>
          <w:p>
            <w:pPr>
              <w:jc w:val="right"/>
              <w:ind w:right="60"/>
              <w:spacing w:after="0" w:line="137" w:lineRule="exact"/>
              <w:rPr>
                <w:sz w:val="20"/>
                <w:szCs w:val="20"/>
                <w:color w:val="auto"/>
              </w:rPr>
            </w:pPr>
            <w:r>
              <w:rPr>
                <w:rFonts w:ascii="Arial" w:cs="Arial" w:eastAsia="Arial" w:hAnsi="Arial"/>
                <w:sz w:val="12"/>
                <w:szCs w:val="12"/>
                <w:b w:val="1"/>
                <w:bCs w:val="1"/>
                <w:color w:val="auto"/>
                <w:w w:val="97"/>
              </w:rPr>
              <w:t>(Distributions In</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jc w:val="right"/>
              <w:ind w:right="580"/>
              <w:spacing w:after="0" w:line="137" w:lineRule="exact"/>
              <w:rPr>
                <w:sz w:val="20"/>
                <w:szCs w:val="20"/>
                <w:color w:val="auto"/>
              </w:rPr>
            </w:pPr>
            <w:r>
              <w:rPr>
                <w:rFonts w:ascii="Arial" w:cs="Arial" w:eastAsia="Arial" w:hAnsi="Arial"/>
                <w:sz w:val="12"/>
                <w:szCs w:val="12"/>
                <w:b w:val="1"/>
                <w:bCs w:val="1"/>
                <w:color w:val="auto"/>
                <w:w w:val="95"/>
              </w:rPr>
              <w:t>Plan / Officers'</w:t>
            </w:r>
          </w:p>
        </w:tc>
        <w:tc>
          <w:tcPr>
            <w:tcW w:w="120" w:type="dxa"/>
            <w:vAlign w:val="bottom"/>
          </w:tcPr>
          <w:p>
            <w:pPr>
              <w:spacing w:after="0"/>
              <w:rPr>
                <w:sz w:val="11"/>
                <w:szCs w:val="11"/>
                <w:color w:val="auto"/>
              </w:rPr>
            </w:pPr>
          </w:p>
        </w:tc>
        <w:tc>
          <w:tcPr>
            <w:tcW w:w="1280" w:type="dxa"/>
            <w:vAlign w:val="bottom"/>
            <w:gridSpan w:val="4"/>
          </w:tcPr>
          <w:p>
            <w:pPr>
              <w:jc w:val="right"/>
              <w:ind w:right="100"/>
              <w:spacing w:after="0" w:line="137" w:lineRule="exact"/>
              <w:rPr>
                <w:sz w:val="20"/>
                <w:szCs w:val="20"/>
                <w:color w:val="auto"/>
              </w:rPr>
            </w:pPr>
            <w:r>
              <w:rPr>
                <w:rFonts w:ascii="Arial" w:cs="Arial" w:eastAsia="Arial" w:hAnsi="Arial"/>
                <w:sz w:val="12"/>
                <w:szCs w:val="12"/>
                <w:b w:val="1"/>
                <w:bCs w:val="1"/>
                <w:color w:val="auto"/>
              </w:rPr>
              <w:t>Comprehensive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Paid-In Capital</w:t>
            </w:r>
          </w:p>
        </w:tc>
        <w:tc>
          <w:tcPr>
            <w:tcW w:w="40" w:type="dxa"/>
            <w:vAlign w:val="bottom"/>
          </w:tcPr>
          <w:p>
            <w:pPr>
              <w:spacing w:after="0"/>
              <w:rPr>
                <w:sz w:val="13"/>
                <w:szCs w:val="13"/>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Excess of Earnings)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Loan</w:t>
            </w:r>
          </w:p>
        </w:tc>
        <w:tc>
          <w:tcPr>
            <w:tcW w:w="120" w:type="dxa"/>
            <w:vAlign w:val="bottom"/>
          </w:tcPr>
          <w:p>
            <w:pPr>
              <w:spacing w:after="0"/>
              <w:rPr>
                <w:sz w:val="13"/>
                <w:szCs w:val="13"/>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Loss</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December 31, 2000</w:t>
            </w:r>
          </w:p>
        </w:tc>
        <w:tc>
          <w:tcPr>
            <w:tcW w:w="10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246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b w:val="1"/>
                <w:bCs w:val="1"/>
                <w:color w:val="auto"/>
              </w:rPr>
              <w:t>428,698</w:t>
            </w:r>
          </w:p>
        </w:tc>
        <w:tc>
          <w:tcPr>
            <w:tcW w:w="1500" w:type="dxa"/>
            <w:vAlign w:val="bottom"/>
            <w:gridSpan w:val="5"/>
            <w:shd w:val="clear" w:color="auto" w:fill="CCEEFF"/>
          </w:tcPr>
          <w:p>
            <w:pPr>
              <w:jc w:val="right"/>
              <w:ind w:right="60"/>
              <w:spacing w:after="0" w:line="137" w:lineRule="exact"/>
              <w:rPr>
                <w:sz w:val="20"/>
                <w:szCs w:val="20"/>
                <w:color w:val="auto"/>
              </w:rPr>
            </w:pPr>
            <w:r>
              <w:rPr>
                <w:rFonts w:ascii="Arial" w:cs="Arial" w:eastAsia="Arial" w:hAnsi="Arial"/>
                <w:sz w:val="12"/>
                <w:szCs w:val="12"/>
                <w:b w:val="1"/>
                <w:bCs w:val="1"/>
                <w:color w:val="auto"/>
              </w:rPr>
              <w:t>31,166</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(5,037)</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w w:val="82"/>
              </w:rPr>
              <w:t>—</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455,073</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292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gridSpan w:val="5"/>
          </w:tcPr>
          <w:p>
            <w:pPr>
              <w:jc w:val="right"/>
              <w:ind w:right="60"/>
              <w:spacing w:after="0"/>
              <w:rPr>
                <w:sz w:val="20"/>
                <w:szCs w:val="20"/>
                <w:color w:val="auto"/>
              </w:rPr>
            </w:pPr>
            <w:r>
              <w:rPr>
                <w:rFonts w:ascii="Arial" w:cs="Arial" w:eastAsia="Arial" w:hAnsi="Arial"/>
                <w:sz w:val="12"/>
                <w:szCs w:val="12"/>
                <w:color w:val="auto"/>
              </w:rPr>
              <w:t>63,001</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63,001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Cumulative Effect of Accounting Change</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0" w:type="dxa"/>
            <w:vAlign w:val="bottom"/>
            <w:gridSpan w:val="5"/>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(811)</w:t>
            </w:r>
          </w:p>
        </w:tc>
        <w:tc>
          <w:tcPr>
            <w:tcW w:w="11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(811)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line="137" w:lineRule="exact"/>
              <w:rPr>
                <w:sz w:val="20"/>
                <w:szCs w:val="20"/>
                <w:color w:val="auto"/>
              </w:rPr>
            </w:pPr>
            <w:r>
              <w:rPr>
                <w:rFonts w:ascii="Arial" w:cs="Arial" w:eastAsia="Arial" w:hAnsi="Arial"/>
                <w:sz w:val="12"/>
                <w:szCs w:val="12"/>
                <w:color w:val="auto"/>
              </w:rPr>
              <w:t>Preferred Dividend and Accretion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tcPr>
          <w:p>
            <w:pPr>
              <w:jc w:val="right"/>
              <w:ind w:right="20"/>
              <w:spacing w:after="0" w:line="137" w:lineRule="exact"/>
              <w:rPr>
                <w:sz w:val="20"/>
                <w:szCs w:val="20"/>
                <w:color w:val="auto"/>
              </w:rPr>
            </w:pPr>
            <w:r>
              <w:rPr>
                <w:rFonts w:ascii="Arial" w:cs="Arial" w:eastAsia="Arial" w:hAnsi="Arial"/>
                <w:sz w:val="12"/>
                <w:szCs w:val="12"/>
                <w:color w:val="auto"/>
              </w:rPr>
              <w:t>(9,657)</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(9,657)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9"/>
              </w:rPr>
              <w:t>Proceeds from common stock offering &amp; revaluation of</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minority interest ($2,927)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144,558</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144,608</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line="137" w:lineRule="exact"/>
              <w:rPr>
                <w:sz w:val="20"/>
                <w:szCs w:val="20"/>
                <w:color w:val="auto"/>
              </w:rPr>
            </w:pPr>
            <w:r>
              <w:rPr>
                <w:rFonts w:ascii="Arial" w:cs="Arial" w:eastAsia="Arial" w:hAnsi="Arial"/>
                <w:sz w:val="12"/>
                <w:szCs w:val="12"/>
                <w:color w:val="auto"/>
              </w:rPr>
              <w:t>Deferred compensation plan</w:t>
            </w:r>
          </w:p>
        </w:tc>
        <w:tc>
          <w:tcPr>
            <w:tcW w:w="104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4,122</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(4,105)</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7" w:lineRule="exact"/>
              <w:rPr>
                <w:sz w:val="20"/>
                <w:szCs w:val="20"/>
                <w:color w:val="auto"/>
              </w:rPr>
            </w:pPr>
            <w:r>
              <w:rPr>
                <w:rFonts w:ascii="Arial" w:cs="Arial" w:eastAsia="Arial" w:hAnsi="Arial"/>
                <w:sz w:val="12"/>
                <w:szCs w:val="12"/>
                <w:color w:val="auto"/>
              </w:rPr>
              <w:t>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Exercise of employee stock options</w:t>
            </w:r>
          </w:p>
        </w:tc>
        <w:tc>
          <w:tcPr>
            <w:tcW w:w="10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5,283</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5,286</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line="137" w:lineRule="exact"/>
              <w:rPr>
                <w:sz w:val="20"/>
                <w:szCs w:val="20"/>
                <w:color w:val="auto"/>
              </w:rPr>
            </w:pPr>
            <w:r>
              <w:rPr>
                <w:rFonts w:ascii="Arial" w:cs="Arial" w:eastAsia="Arial" w:hAnsi="Arial"/>
                <w:sz w:val="12"/>
                <w:szCs w:val="12"/>
                <w:color w:val="auto"/>
                <w:w w:val="97"/>
              </w:rPr>
              <w:t>Cash distributions declared ($1.605 per common share)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tcPr>
          <w:p>
            <w:pPr>
              <w:jc w:val="right"/>
              <w:ind w:right="20"/>
              <w:spacing w:after="0" w:line="137" w:lineRule="exact"/>
              <w:rPr>
                <w:sz w:val="20"/>
                <w:szCs w:val="20"/>
                <w:color w:val="auto"/>
              </w:rPr>
            </w:pPr>
            <w:r>
              <w:rPr>
                <w:rFonts w:ascii="Arial" w:cs="Arial" w:eastAsia="Arial" w:hAnsi="Arial"/>
                <w:sz w:val="12"/>
                <w:szCs w:val="12"/>
                <w:color w:val="auto"/>
              </w:rPr>
              <w:t>(44,826)</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(44,826)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Redemption of operating partnership units</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689</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689</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00" w:type="dxa"/>
            <w:vAlign w:val="bottom"/>
          </w:tcPr>
          <w:p>
            <w:pPr>
              <w:spacing w:after="0" w:line="128" w:lineRule="exact"/>
              <w:rPr>
                <w:sz w:val="20"/>
                <w:szCs w:val="20"/>
                <w:color w:val="auto"/>
              </w:rPr>
            </w:pPr>
            <w:r>
              <w:rPr>
                <w:rFonts w:ascii="Arial" w:cs="Arial" w:eastAsia="Arial" w:hAnsi="Arial"/>
                <w:sz w:val="12"/>
                <w:szCs w:val="12"/>
                <w:color w:val="auto"/>
                <w:w w:val="99"/>
              </w:rPr>
              <w:t>Comprehensive Income—Unrealized loss of 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20" w:type="dxa"/>
            <w:vAlign w:val="bottom"/>
            <w:gridSpan w:val="2"/>
          </w:tcPr>
          <w:p>
            <w:pPr>
              <w:spacing w:after="0"/>
              <w:rPr>
                <w:sz w:val="20"/>
                <w:szCs w:val="20"/>
                <w:color w:val="auto"/>
              </w:rPr>
            </w:pPr>
            <w:r>
              <w:rPr>
                <w:rFonts w:ascii="Arial" w:cs="Arial" w:eastAsia="Arial" w:hAnsi="Arial"/>
                <w:sz w:val="12"/>
                <w:szCs w:val="12"/>
                <w:color w:val="auto"/>
              </w:rPr>
              <w:t>instruments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5"/>
          </w:tcPr>
          <w:p>
            <w:pPr>
              <w:jc w:val="right"/>
              <w:ind w:right="60"/>
              <w:spacing w:after="0"/>
              <w:rPr>
                <w:sz w:val="20"/>
                <w:szCs w:val="20"/>
                <w:color w:val="auto"/>
              </w:rPr>
            </w:pPr>
            <w:r>
              <w:rPr>
                <w:rFonts w:ascii="Arial" w:cs="Arial" w:eastAsia="Arial" w:hAnsi="Arial"/>
                <w:sz w:val="12"/>
                <w:szCs w:val="12"/>
                <w:color w:val="auto"/>
              </w:rPr>
              <w:t>(2,100)</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Amortization of officers' loan and deferred</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compensation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1,627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2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920" w:type="dxa"/>
            <w:vAlign w:val="bottom"/>
            <w:gridSpan w:val="2"/>
          </w:tcPr>
          <w:p>
            <w:pPr>
              <w:spacing w:after="0"/>
              <w:rPr>
                <w:sz w:val="20"/>
                <w:szCs w:val="20"/>
                <w:color w:val="auto"/>
              </w:rPr>
            </w:pPr>
            <w:r>
              <w:rPr>
                <w:rFonts w:ascii="Arial" w:cs="Arial" w:eastAsia="Arial" w:hAnsi="Arial"/>
                <w:sz w:val="12"/>
                <w:szCs w:val="12"/>
                <w:b w:val="1"/>
                <w:bCs w:val="1"/>
                <w:color w:val="auto"/>
              </w:rPr>
              <w:t>Balance at December 31, 2001</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300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583,350</w:t>
            </w:r>
          </w:p>
        </w:tc>
        <w:tc>
          <w:tcPr>
            <w:tcW w:w="150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rPr>
              <w:t>39,684</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b w:val="1"/>
                <w:bCs w:val="1"/>
                <w:color w:val="auto"/>
              </w:rPr>
              <w:t>(7,515)</w:t>
            </w:r>
          </w:p>
        </w:tc>
        <w:tc>
          <w:tcPr>
            <w:tcW w:w="480" w:type="dxa"/>
            <w:vAlign w:val="bottom"/>
          </w:tcPr>
          <w:p>
            <w:pPr>
              <w:spacing w:after="0"/>
              <w:rPr>
                <w:sz w:val="20"/>
                <w:szCs w:val="20"/>
                <w:color w:val="auto"/>
              </w:rPr>
            </w:pPr>
          </w:p>
        </w:tc>
        <w:tc>
          <w:tcPr>
            <w:tcW w:w="140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rPr>
              <w:t>(2,911)</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612,908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500" w:type="dxa"/>
            <w:vAlign w:val="bottom"/>
            <w:gridSpan w:val="5"/>
            <w:shd w:val="clear" w:color="auto" w:fill="CCEEFF"/>
          </w:tcPr>
          <w:p>
            <w:pPr>
              <w:jc w:val="right"/>
              <w:ind w:right="60"/>
              <w:spacing w:after="0"/>
              <w:rPr>
                <w:sz w:val="20"/>
                <w:szCs w:val="20"/>
                <w:color w:val="auto"/>
              </w:rPr>
            </w:pPr>
            <w:r>
              <w:rPr>
                <w:rFonts w:ascii="Arial" w:cs="Arial" w:eastAsia="Arial" w:hAnsi="Arial"/>
                <w:sz w:val="12"/>
                <w:szCs w:val="12"/>
                <w:color w:val="auto"/>
              </w:rPr>
              <w:t>55,164</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55,164</w:t>
            </w:r>
          </w:p>
        </w:tc>
        <w:tc>
          <w:tcPr>
            <w:tcW w:w="1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line="137" w:lineRule="exact"/>
              <w:rPr>
                <w:sz w:val="20"/>
                <w:szCs w:val="20"/>
                <w:color w:val="auto"/>
              </w:rPr>
            </w:pPr>
            <w:r>
              <w:rPr>
                <w:rFonts w:ascii="Arial" w:cs="Arial" w:eastAsia="Arial" w:hAnsi="Arial"/>
                <w:sz w:val="12"/>
                <w:szCs w:val="12"/>
                <w:color w:val="auto"/>
              </w:rPr>
              <w:t>Preferred Dividend and Accretion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tcPr>
          <w:p>
            <w:pPr>
              <w:jc w:val="right"/>
              <w:ind w:right="20"/>
              <w:spacing w:after="0" w:line="137" w:lineRule="exact"/>
              <w:rPr>
                <w:sz w:val="20"/>
                <w:szCs w:val="20"/>
                <w:color w:val="auto"/>
              </w:rPr>
            </w:pPr>
            <w:r>
              <w:rPr>
                <w:rFonts w:ascii="Arial" w:cs="Arial" w:eastAsia="Arial" w:hAnsi="Arial"/>
                <w:sz w:val="12"/>
                <w:szCs w:val="12"/>
                <w:color w:val="auto"/>
              </w:rPr>
              <w:t>(7,268)</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(7,268)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Exercise of employee stock options</w:t>
            </w:r>
          </w:p>
        </w:tc>
        <w:tc>
          <w:tcPr>
            <w:tcW w:w="10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6,147</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6,150</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00" w:type="dxa"/>
            <w:vAlign w:val="bottom"/>
          </w:tcPr>
          <w:p>
            <w:pPr>
              <w:spacing w:after="0" w:line="128" w:lineRule="exact"/>
              <w:rPr>
                <w:sz w:val="20"/>
                <w:szCs w:val="20"/>
                <w:color w:val="auto"/>
              </w:rPr>
            </w:pPr>
            <w:r>
              <w:rPr>
                <w:rFonts w:ascii="Arial" w:cs="Arial" w:eastAsia="Arial" w:hAnsi="Arial"/>
                <w:sz w:val="12"/>
                <w:szCs w:val="12"/>
                <w:color w:val="auto"/>
              </w:rPr>
              <w:t>Cash distributions declared ($1.3275 per common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2"/>
                <w:szCs w:val="12"/>
                <w:color w:val="auto"/>
              </w:rPr>
              <w:t>(40,120)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(40,120)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9"/>
              </w:rPr>
              <w:t>Comprehensive Income—Unrealized loss of derivative</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instruments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0" w:type="dxa"/>
            <w:vAlign w:val="bottom"/>
            <w:gridSpan w:val="5"/>
            <w:shd w:val="clear" w:color="auto" w:fill="CCEEFF"/>
          </w:tcPr>
          <w:p>
            <w:pPr>
              <w:jc w:val="right"/>
              <w:ind w:right="60"/>
              <w:spacing w:after="0"/>
              <w:rPr>
                <w:sz w:val="20"/>
                <w:szCs w:val="20"/>
                <w:color w:val="auto"/>
              </w:rPr>
            </w:pPr>
            <w:r>
              <w:rPr>
                <w:rFonts w:ascii="Arial" w:cs="Arial" w:eastAsia="Arial" w:hAnsi="Arial"/>
                <w:sz w:val="12"/>
                <w:szCs w:val="12"/>
                <w:color w:val="auto"/>
              </w:rPr>
              <w:t>(5,368)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tcPr>
          <w:p>
            <w:pPr>
              <w:spacing w:after="0" w:line="137" w:lineRule="exact"/>
              <w:rPr>
                <w:sz w:val="20"/>
                <w:szCs w:val="20"/>
                <w:color w:val="auto"/>
              </w:rPr>
            </w:pPr>
            <w:r>
              <w:rPr>
                <w:rFonts w:ascii="Arial" w:cs="Arial" w:eastAsia="Arial" w:hAnsi="Arial"/>
                <w:sz w:val="12"/>
                <w:szCs w:val="12"/>
                <w:color w:val="auto"/>
              </w:rPr>
              <w:t>Redemption of operating partnership units</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2,686</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7" w:lineRule="exact"/>
              <w:rPr>
                <w:sz w:val="20"/>
                <w:szCs w:val="20"/>
                <w:color w:val="auto"/>
              </w:rPr>
            </w:pPr>
            <w:r>
              <w:rPr>
                <w:rFonts w:ascii="Arial" w:cs="Arial" w:eastAsia="Arial" w:hAnsi="Arial"/>
                <w:sz w:val="12"/>
                <w:szCs w:val="12"/>
                <w:color w:val="auto"/>
              </w:rPr>
              <w:t>2,686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Deferred compensation plan</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(515)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534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Amortization of deferred compensation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994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994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September 30, 2002 (Unaudited)</w:t>
            </w:r>
          </w:p>
        </w:tc>
        <w:tc>
          <w:tcPr>
            <w:tcW w:w="10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303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b w:val="1"/>
                <w:bCs w:val="1"/>
                <w:color w:val="auto"/>
              </w:rPr>
              <w:t>591,668</w:t>
            </w:r>
          </w:p>
        </w:tc>
        <w:tc>
          <w:tcPr>
            <w:tcW w:w="1500" w:type="dxa"/>
            <w:vAlign w:val="bottom"/>
            <w:gridSpan w:val="5"/>
            <w:shd w:val="clear" w:color="auto" w:fill="CCEEFF"/>
          </w:tcPr>
          <w:p>
            <w:pPr>
              <w:jc w:val="right"/>
              <w:ind w:right="60"/>
              <w:spacing w:after="0" w:line="137" w:lineRule="exact"/>
              <w:rPr>
                <w:sz w:val="20"/>
                <w:szCs w:val="20"/>
                <w:color w:val="auto"/>
              </w:rPr>
            </w:pPr>
            <w:r>
              <w:rPr>
                <w:rFonts w:ascii="Arial" w:cs="Arial" w:eastAsia="Arial" w:hAnsi="Arial"/>
                <w:sz w:val="12"/>
                <w:szCs w:val="12"/>
                <w:b w:val="1"/>
                <w:bCs w:val="1"/>
                <w:color w:val="auto"/>
              </w:rPr>
              <w:t>47,460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(5,987)</w:t>
            </w:r>
          </w:p>
        </w:tc>
        <w:tc>
          <w:tcPr>
            <w:tcW w:w="480" w:type="dxa"/>
            <w:vAlign w:val="bottom"/>
            <w:shd w:val="clear" w:color="auto" w:fill="CCEEFF"/>
          </w:tcPr>
          <w:p>
            <w:pPr>
              <w:spacing w:after="0"/>
              <w:rPr>
                <w:sz w:val="11"/>
                <w:szCs w:val="11"/>
                <w:color w:val="auto"/>
              </w:rPr>
            </w:pPr>
          </w:p>
        </w:tc>
        <w:tc>
          <w:tcPr>
            <w:tcW w:w="1400" w:type="dxa"/>
            <w:vAlign w:val="bottom"/>
            <w:gridSpan w:val="5"/>
            <w:shd w:val="clear" w:color="auto" w:fill="CCEEFF"/>
          </w:tcPr>
          <w:p>
            <w:pPr>
              <w:jc w:val="right"/>
              <w:ind w:right="60"/>
              <w:spacing w:after="0" w:line="137" w:lineRule="exact"/>
              <w:rPr>
                <w:sz w:val="20"/>
                <w:szCs w:val="20"/>
                <w:color w:val="auto"/>
              </w:rPr>
            </w:pPr>
            <w:r>
              <w:rPr>
                <w:rFonts w:ascii="Arial" w:cs="Arial" w:eastAsia="Arial" w:hAnsi="Arial"/>
                <w:sz w:val="12"/>
                <w:szCs w:val="12"/>
                <w:b w:val="1"/>
                <w:bCs w:val="1"/>
                <w:color w:val="auto"/>
              </w:rPr>
              <w:t>(8,279)</w:t>
            </w:r>
          </w:p>
        </w:tc>
        <w:tc>
          <w:tcPr>
            <w:tcW w:w="10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625,165</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Borders>
              <w:bottom w:val="single" w:sz="8" w:color="808080"/>
            </w:tcBorders>
            <w:gridSpan w:val="2"/>
          </w:tcPr>
          <w:p>
            <w:pPr>
              <w:spacing w:after="0"/>
              <w:rPr>
                <w:sz w:val="9"/>
                <w:szCs w:val="9"/>
                <w:color w:val="auto"/>
              </w:rPr>
            </w:pPr>
          </w:p>
        </w:tc>
        <w:tc>
          <w:tcPr>
            <w:tcW w:w="1260" w:type="dxa"/>
            <w:vAlign w:val="bottom"/>
            <w:tcBorders>
              <w:bottom w:val="single" w:sz="8" w:color="808080"/>
            </w:tcBorders>
            <w:gridSpan w:val="3"/>
          </w:tcPr>
          <w:p>
            <w:pPr>
              <w:spacing w:after="0"/>
              <w:rPr>
                <w:sz w:val="9"/>
                <w:szCs w:val="9"/>
                <w:color w:val="auto"/>
              </w:rPr>
            </w:pPr>
          </w:p>
        </w:tc>
        <w:tc>
          <w:tcPr>
            <w:tcW w:w="1280" w:type="dxa"/>
            <w:vAlign w:val="bottom"/>
            <w:tcBorders>
              <w:bottom w:val="single" w:sz="8" w:color="808080"/>
            </w:tcBorders>
            <w:gridSpan w:val="5"/>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gridSpan w:val="4"/>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4"/>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10240" w:type="dxa"/>
            <w:vAlign w:val="bottom"/>
            <w:gridSpan w:val="25"/>
          </w:tcPr>
          <w:p>
            <w:pPr>
              <w:spacing w:after="0"/>
              <w:rPr>
                <w:sz w:val="20"/>
                <w:szCs w:val="20"/>
                <w:color w:val="auto"/>
              </w:rPr>
            </w:pPr>
            <w:r>
              <w:rPr>
                <w:rFonts w:ascii="Arial" w:cs="Arial" w:eastAsia="Arial" w:hAnsi="Arial"/>
                <w:sz w:val="22"/>
                <w:szCs w:val="22"/>
                <w:b w:val="1"/>
                <w:bCs w:val="1"/>
                <w:color w:val="auto"/>
              </w:rPr>
              <w:t>RECONCILIATION OF SHARES AND UNITS OUTSTANDING, AND DILUTION COMPUTATION</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Common 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5"/>
          </w:tcPr>
          <w:p>
            <w:pPr>
              <w:jc w:val="right"/>
              <w:ind w:right="980"/>
              <w:spacing w:after="0"/>
              <w:rPr>
                <w:sz w:val="20"/>
                <w:szCs w:val="20"/>
                <w:color w:val="auto"/>
              </w:rPr>
            </w:pPr>
            <w:r>
              <w:rPr>
                <w:rFonts w:ascii="Arial" w:cs="Arial" w:eastAsia="Arial" w:hAnsi="Arial"/>
                <w:sz w:val="12"/>
                <w:szCs w:val="12"/>
                <w:b w:val="1"/>
                <w:bCs w:val="1"/>
                <w:color w:val="auto"/>
                <w:w w:val="98"/>
              </w:rPr>
              <w:t>OP Units</w:t>
            </w: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w w:val="90"/>
              </w:rPr>
              <w:t>Stock Options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Sub-total</w:t>
            </w:r>
          </w:p>
        </w:tc>
        <w:tc>
          <w:tcPr>
            <w:tcW w:w="120" w:type="dxa"/>
            <w:vAlign w:val="bottom"/>
          </w:tcPr>
          <w:p>
            <w:pPr>
              <w:spacing w:after="0"/>
              <w:rPr>
                <w:sz w:val="13"/>
                <w:szCs w:val="13"/>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Preferred Stock</w:t>
            </w:r>
          </w:p>
        </w:tc>
        <w:tc>
          <w:tcPr>
            <w:tcW w:w="12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Diluted Shares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December 31, 2001</w:t>
            </w:r>
          </w:p>
        </w:tc>
        <w:tc>
          <w:tcPr>
            <w:tcW w:w="1620" w:type="dxa"/>
            <w:vAlign w:val="bottom"/>
            <w:gridSpan w:val="5"/>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29,978,304</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58"/>
              <w:spacing w:after="0" w:line="137" w:lineRule="exact"/>
              <w:rPr>
                <w:sz w:val="20"/>
                <w:szCs w:val="20"/>
                <w:color w:val="auto"/>
              </w:rPr>
            </w:pPr>
            <w:r>
              <w:rPr>
                <w:rFonts w:ascii="Arial" w:cs="Arial" w:eastAsia="Arial" w:hAnsi="Arial"/>
                <w:sz w:val="12"/>
                <w:szCs w:val="12"/>
                <w:b w:val="1"/>
                <w:bCs w:val="1"/>
                <w:color w:val="auto"/>
                <w:w w:val="93"/>
              </w:rPr>
              <w:t>2,271,404</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1400" w:type="dxa"/>
            <w:vAlign w:val="bottom"/>
            <w:gridSpan w:val="4"/>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32,249,708</w:t>
            </w:r>
          </w:p>
        </w:tc>
        <w:tc>
          <w:tcPr>
            <w:tcW w:w="120" w:type="dxa"/>
            <w:vAlign w:val="bottom"/>
            <w:shd w:val="clear" w:color="auto" w:fill="CCEEFF"/>
          </w:tcPr>
          <w:p>
            <w:pPr>
              <w:spacing w:after="0"/>
              <w:rPr>
                <w:sz w:val="11"/>
                <w:szCs w:val="11"/>
                <w:color w:val="auto"/>
              </w:rPr>
            </w:pPr>
          </w:p>
        </w:tc>
        <w:tc>
          <w:tcPr>
            <w:tcW w:w="1280" w:type="dxa"/>
            <w:vAlign w:val="bottom"/>
            <w:gridSpan w:val="4"/>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1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32,249,708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20" w:type="dxa"/>
            <w:vAlign w:val="bottom"/>
            <w:gridSpan w:val="2"/>
          </w:tcPr>
          <w:p>
            <w:pPr>
              <w:spacing w:after="0"/>
              <w:rPr>
                <w:sz w:val="20"/>
                <w:szCs w:val="20"/>
                <w:color w:val="auto"/>
              </w:rPr>
            </w:pPr>
            <w:r>
              <w:rPr>
                <w:rFonts w:ascii="Arial" w:cs="Arial" w:eastAsia="Arial" w:hAnsi="Arial"/>
                <w:sz w:val="12"/>
                <w:szCs w:val="12"/>
                <w:color w:val="auto"/>
              </w:rPr>
              <w:t>YTD share activity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color w:val="auto"/>
              </w:rPr>
              <w:t>397,830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3"/>
          </w:tcPr>
          <w:p>
            <w:pPr>
              <w:jc w:val="right"/>
              <w:ind w:right="18"/>
              <w:spacing w:after="0"/>
              <w:rPr>
                <w:sz w:val="20"/>
                <w:szCs w:val="20"/>
                <w:color w:val="auto"/>
              </w:rPr>
            </w:pPr>
            <w:r>
              <w:rPr>
                <w:rFonts w:ascii="Arial" w:cs="Arial" w:eastAsia="Arial" w:hAnsi="Arial"/>
                <w:sz w:val="12"/>
                <w:szCs w:val="12"/>
                <w:color w:val="auto"/>
              </w:rPr>
              <w:t>(104,964)</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2"/>
                <w:szCs w:val="12"/>
                <w:color w:val="auto"/>
              </w:rPr>
              <w:t>292,866</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2"/>
                <w:szCs w:val="12"/>
                <w:color w:val="auto"/>
              </w:rPr>
              <w:t>292,866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September 30, 2002—Basic</w:t>
            </w:r>
          </w:p>
        </w:tc>
        <w:tc>
          <w:tcPr>
            <w:tcW w:w="1620" w:type="dxa"/>
            <w:vAlign w:val="bottom"/>
            <w:gridSpan w:val="5"/>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30,376,134</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58"/>
              <w:spacing w:after="0" w:line="137" w:lineRule="exact"/>
              <w:rPr>
                <w:sz w:val="20"/>
                <w:szCs w:val="20"/>
                <w:color w:val="auto"/>
              </w:rPr>
            </w:pPr>
            <w:r>
              <w:rPr>
                <w:rFonts w:ascii="Arial" w:cs="Arial" w:eastAsia="Arial" w:hAnsi="Arial"/>
                <w:sz w:val="12"/>
                <w:szCs w:val="12"/>
                <w:b w:val="1"/>
                <w:bCs w:val="1"/>
                <w:color w:val="auto"/>
                <w:w w:val="93"/>
              </w:rPr>
              <w:t>2,166,440</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1400" w:type="dxa"/>
            <w:vAlign w:val="bottom"/>
            <w:gridSpan w:val="4"/>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32,542,574</w:t>
            </w:r>
          </w:p>
        </w:tc>
        <w:tc>
          <w:tcPr>
            <w:tcW w:w="120" w:type="dxa"/>
            <w:vAlign w:val="bottom"/>
            <w:shd w:val="clear" w:color="auto" w:fill="CCEEFF"/>
          </w:tcPr>
          <w:p>
            <w:pPr>
              <w:spacing w:after="0"/>
              <w:rPr>
                <w:sz w:val="11"/>
                <w:szCs w:val="11"/>
                <w:color w:val="auto"/>
              </w:rPr>
            </w:pPr>
          </w:p>
        </w:tc>
        <w:tc>
          <w:tcPr>
            <w:tcW w:w="1280" w:type="dxa"/>
            <w:vAlign w:val="bottom"/>
            <w:gridSpan w:val="4"/>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1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32,542,574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20" w:type="dxa"/>
            <w:vAlign w:val="bottom"/>
            <w:gridSpan w:val="2"/>
          </w:tcPr>
          <w:p>
            <w:pPr>
              <w:spacing w:after="0"/>
              <w:rPr>
                <w:sz w:val="20"/>
                <w:szCs w:val="20"/>
                <w:color w:val="auto"/>
              </w:rPr>
            </w:pPr>
            <w:r>
              <w:rPr>
                <w:rFonts w:ascii="Arial" w:cs="Arial" w:eastAsia="Arial" w:hAnsi="Arial"/>
                <w:sz w:val="12"/>
                <w:szCs w:val="12"/>
                <w:color w:val="auto"/>
              </w:rPr>
              <w:t>Dilution Factor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w w:val="97"/>
              </w:rPr>
              <w:t>(191,799)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3"/>
          </w:tcPr>
          <w:p>
            <w:pPr>
              <w:jc w:val="right"/>
              <w:ind w:right="58"/>
              <w:spacing w:after="0"/>
              <w:rPr>
                <w:sz w:val="20"/>
                <w:szCs w:val="20"/>
                <w:color w:val="auto"/>
              </w:rPr>
            </w:pPr>
            <w:r>
              <w:rPr>
                <w:rFonts w:ascii="Arial" w:cs="Arial" w:eastAsia="Arial" w:hAnsi="Arial"/>
                <w:sz w:val="12"/>
                <w:szCs w:val="12"/>
                <w:color w:val="auto"/>
              </w:rPr>
              <w:t>57,748</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665,197</w:t>
            </w:r>
          </w:p>
        </w:tc>
        <w:tc>
          <w:tcPr>
            <w:tcW w:w="1400" w:type="dxa"/>
            <w:vAlign w:val="bottom"/>
            <w:gridSpan w:val="4"/>
          </w:tcPr>
          <w:p>
            <w:pPr>
              <w:jc w:val="right"/>
              <w:spacing w:after="0"/>
              <w:rPr>
                <w:sz w:val="20"/>
                <w:szCs w:val="20"/>
                <w:color w:val="auto"/>
              </w:rPr>
            </w:pPr>
            <w:r>
              <w:rPr>
                <w:rFonts w:ascii="Arial" w:cs="Arial" w:eastAsia="Arial" w:hAnsi="Arial"/>
                <w:sz w:val="12"/>
                <w:szCs w:val="12"/>
                <w:color w:val="auto"/>
              </w:rPr>
              <w:t>531,146</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4,698,900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2"/>
                <w:szCs w:val="12"/>
                <w:color w:val="auto"/>
              </w:rPr>
              <w:t>5,230,046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September 30, 2002—Diluted</w:t>
            </w:r>
          </w:p>
        </w:tc>
        <w:tc>
          <w:tcPr>
            <w:tcW w:w="1620" w:type="dxa"/>
            <w:vAlign w:val="bottom"/>
            <w:gridSpan w:val="5"/>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30,184,335</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58"/>
              <w:spacing w:after="0" w:line="137" w:lineRule="exact"/>
              <w:rPr>
                <w:sz w:val="20"/>
                <w:szCs w:val="20"/>
                <w:color w:val="auto"/>
              </w:rPr>
            </w:pPr>
            <w:r>
              <w:rPr>
                <w:rFonts w:ascii="Arial" w:cs="Arial" w:eastAsia="Arial" w:hAnsi="Arial"/>
                <w:sz w:val="12"/>
                <w:szCs w:val="12"/>
                <w:b w:val="1"/>
                <w:bCs w:val="1"/>
                <w:color w:val="auto"/>
                <w:w w:val="93"/>
              </w:rPr>
              <w:t>2,224,188</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665,197</w:t>
            </w:r>
          </w:p>
        </w:tc>
        <w:tc>
          <w:tcPr>
            <w:tcW w:w="1400" w:type="dxa"/>
            <w:vAlign w:val="bottom"/>
            <w:gridSpan w:val="4"/>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33,073,720</w:t>
            </w:r>
          </w:p>
        </w:tc>
        <w:tc>
          <w:tcPr>
            <w:tcW w:w="11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4,698,900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37,772,620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-4439920</wp:posOffset>
            </wp:positionV>
            <wp:extent cx="1270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-4439920</wp:posOffset>
            </wp:positionV>
            <wp:extent cx="1270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-4439920</wp:posOffset>
            </wp:positionV>
            <wp:extent cx="1270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-4439920</wp:posOffset>
            </wp:positionV>
            <wp:extent cx="1270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-4439920</wp:posOffset>
            </wp:positionV>
            <wp:extent cx="1270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-4439920</wp:posOffset>
            </wp:positionV>
            <wp:extent cx="1270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-4439920</wp:posOffset>
            </wp:positionV>
            <wp:extent cx="1270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-4439920</wp:posOffset>
            </wp:positionV>
            <wp:extent cx="1270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-4439920</wp:posOffset>
            </wp:positionV>
            <wp:extent cx="1270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-4439920</wp:posOffset>
            </wp:positionV>
            <wp:extent cx="1270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-4439920</wp:posOffset>
            </wp:positionV>
            <wp:extent cx="1270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-4439920</wp:posOffset>
            </wp:positionV>
            <wp:extent cx="1270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-2997835</wp:posOffset>
            </wp:positionV>
            <wp:extent cx="1270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-2997835</wp:posOffset>
            </wp:positionV>
            <wp:extent cx="1270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-2997835</wp:posOffset>
            </wp:positionV>
            <wp:extent cx="1270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-2997835</wp:posOffset>
            </wp:positionV>
            <wp:extent cx="1270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-2997835</wp:posOffset>
            </wp:positionV>
            <wp:extent cx="1270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-2997835</wp:posOffset>
            </wp:positionV>
            <wp:extent cx="1270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-2997835</wp:posOffset>
            </wp:positionV>
            <wp:extent cx="1270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-2997835</wp:posOffset>
            </wp:positionV>
            <wp:extent cx="1270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-2997835</wp:posOffset>
            </wp:positionV>
            <wp:extent cx="1270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-2997835</wp:posOffset>
            </wp:positionV>
            <wp:extent cx="1270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-2997835</wp:posOffset>
            </wp:positionV>
            <wp:extent cx="1270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-2997835</wp:posOffset>
            </wp:positionV>
            <wp:extent cx="1270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-1815465</wp:posOffset>
            </wp:positionV>
            <wp:extent cx="1270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-1815465</wp:posOffset>
            </wp:positionV>
            <wp:extent cx="1270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-1815465</wp:posOffset>
            </wp:positionV>
            <wp:extent cx="1270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-1815465</wp:posOffset>
            </wp:positionV>
            <wp:extent cx="1270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-1815465</wp:posOffset>
            </wp:positionV>
            <wp:extent cx="1270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-1815465</wp:posOffset>
            </wp:positionV>
            <wp:extent cx="1270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-1815465</wp:posOffset>
            </wp:positionV>
            <wp:extent cx="1270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-1815465</wp:posOffset>
            </wp:positionV>
            <wp:extent cx="1270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-1815465</wp:posOffset>
            </wp:positionV>
            <wp:extent cx="1270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-1815465</wp:posOffset>
            </wp:positionV>
            <wp:extent cx="1270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-1815465</wp:posOffset>
            </wp:positionV>
            <wp:extent cx="1270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-1815465</wp:posOffset>
            </wp:positionV>
            <wp:extent cx="1270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-1587500</wp:posOffset>
            </wp:positionV>
            <wp:extent cx="1270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-1587500</wp:posOffset>
            </wp:positionV>
            <wp:extent cx="1270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-1280160</wp:posOffset>
            </wp:positionV>
            <wp:extent cx="1270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-1280160</wp:posOffset>
            </wp:positionV>
            <wp:extent cx="1270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-964565</wp:posOffset>
            </wp:positionV>
            <wp:extent cx="1270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-964565</wp:posOffset>
            </wp:positionV>
            <wp:extent cx="1270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-964565</wp:posOffset>
            </wp:positionV>
            <wp:extent cx="1270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-964565</wp:posOffset>
            </wp:positionV>
            <wp:extent cx="1270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-964565</wp:posOffset>
            </wp:positionV>
            <wp:extent cx="1270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-964565</wp:posOffset>
            </wp:positionV>
            <wp:extent cx="1270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-964565</wp:posOffset>
            </wp:positionV>
            <wp:extent cx="1270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-964565</wp:posOffset>
            </wp:positionV>
            <wp:extent cx="1270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-964565</wp:posOffset>
            </wp:positionV>
            <wp:extent cx="1270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-964565</wp:posOffset>
            </wp:positionV>
            <wp:extent cx="1270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-964565</wp:posOffset>
            </wp:positionV>
            <wp:extent cx="1270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-964565</wp:posOffset>
            </wp:positionV>
            <wp:extent cx="1270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-562610</wp:posOffset>
            </wp:positionV>
            <wp:extent cx="1270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-562610</wp:posOffset>
            </wp:positionV>
            <wp:extent cx="1270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-562610</wp:posOffset>
            </wp:positionV>
            <wp:extent cx="1270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-562610</wp:posOffset>
            </wp:positionV>
            <wp:extent cx="1270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-562610</wp:posOffset>
            </wp:positionV>
            <wp:extent cx="1270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-562610</wp:posOffset>
            </wp:positionV>
            <wp:extent cx="1270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-562610</wp:posOffset>
            </wp:positionV>
            <wp:extent cx="1270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-562610</wp:posOffset>
            </wp:positionV>
            <wp:extent cx="1270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-562610</wp:posOffset>
            </wp:positionV>
            <wp:extent cx="1270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-562610</wp:posOffset>
            </wp:positionV>
            <wp:extent cx="1270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-562610</wp:posOffset>
            </wp:positionV>
            <wp:extent cx="1270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-562610</wp:posOffset>
            </wp:positionV>
            <wp:extent cx="1270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-160655</wp:posOffset>
            </wp:positionV>
            <wp:extent cx="1270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-160655</wp:posOffset>
            </wp:positionV>
            <wp:extent cx="1270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-160655</wp:posOffset>
            </wp:positionV>
            <wp:extent cx="1270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-160655</wp:posOffset>
            </wp:positionV>
            <wp:extent cx="1270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-160655</wp:posOffset>
            </wp:positionV>
            <wp:extent cx="1270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-160655</wp:posOffset>
            </wp:positionV>
            <wp:extent cx="1270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-160655</wp:posOffset>
            </wp:positionV>
            <wp:extent cx="1270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-160655</wp:posOffset>
            </wp:positionV>
            <wp:extent cx="1270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-160655</wp:posOffset>
            </wp:positionV>
            <wp:extent cx="1270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-160655</wp:posOffset>
            </wp:positionV>
            <wp:extent cx="1270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-160655</wp:posOffset>
            </wp:positionV>
            <wp:extent cx="1270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-160655</wp:posOffset>
            </wp:positionV>
            <wp:extent cx="1270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COMPARATIVE COMPUTATION OF FFO AND FAD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b w:val="1"/>
                <w:bCs w:val="1"/>
                <w:color w:val="auto"/>
              </w:rPr>
              <w:t>Three Months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Three Months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4"/>
          </w:tcPr>
          <w:p>
            <w:pPr>
              <w:jc w:val="right"/>
              <w:ind w:right="1000"/>
              <w:spacing w:after="0"/>
              <w:rPr>
                <w:sz w:val="20"/>
                <w:szCs w:val="20"/>
                <w:color w:val="auto"/>
              </w:rPr>
            </w:pPr>
            <w:r>
              <w:rPr>
                <w:rFonts w:ascii="Arial" w:cs="Arial" w:eastAsia="Arial" w:hAnsi="Arial"/>
                <w:sz w:val="12"/>
                <w:szCs w:val="12"/>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Ended Sept 30</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Ended June 30,</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gridSpan w:val="4"/>
          </w:tcPr>
          <w:p>
            <w:pPr>
              <w:jc w:val="right"/>
              <w:ind w:right="920"/>
              <w:spacing w:after="0"/>
              <w:rPr>
                <w:sz w:val="20"/>
                <w:szCs w:val="20"/>
                <w:color w:val="auto"/>
              </w:rPr>
            </w:pPr>
            <w:r>
              <w:rPr>
                <w:rFonts w:ascii="Arial" w:cs="Arial" w:eastAsia="Arial" w:hAnsi="Arial"/>
                <w:sz w:val="12"/>
                <w:szCs w:val="12"/>
                <w:b w:val="1"/>
                <w:bCs w:val="1"/>
                <w:color w:val="auto"/>
              </w:rPr>
              <w:t>Ended March 31,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2"/>
                <w:szCs w:val="12"/>
                <w:b w:val="1"/>
                <w:bCs w:val="1"/>
                <w:color w:val="auto"/>
              </w:rPr>
              <w:t>% Change</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2002</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 Change</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2002</w:t>
            </w:r>
          </w:p>
        </w:tc>
        <w:tc>
          <w:tcPr>
            <w:tcW w:w="86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20" w:type="dxa"/>
            <w:vAlign w:val="bottom"/>
            <w:gridSpan w:val="2"/>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Funds from operations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340" w:type="dxa"/>
            <w:vAlign w:val="bottom"/>
            <w:gridSpan w:val="3"/>
          </w:tcPr>
          <w:p>
            <w:pPr>
              <w:spacing w:after="0"/>
              <w:rPr>
                <w:sz w:val="20"/>
                <w:szCs w:val="20"/>
                <w:color w:val="auto"/>
              </w:rPr>
            </w:pPr>
            <w:r>
              <w:rPr>
                <w:rFonts w:ascii="Arial" w:cs="Arial" w:eastAsia="Arial" w:hAnsi="Arial"/>
                <w:sz w:val="12"/>
                <w:szCs w:val="12"/>
                <w:color w:val="auto"/>
              </w:rPr>
              <w:t>Net Income before Minority Interests</w:t>
            </w:r>
          </w:p>
        </w:tc>
        <w:tc>
          <w:tcPr>
            <w:tcW w:w="680" w:type="dxa"/>
            <w:vAlign w:val="bottom"/>
          </w:tcPr>
          <w:p>
            <w:pPr>
              <w:jc w:val="right"/>
              <w:spacing w:after="0"/>
              <w:rPr>
                <w:sz w:val="20"/>
                <w:szCs w:val="20"/>
                <w:color w:val="auto"/>
              </w:rPr>
            </w:pPr>
            <w:r>
              <w:rPr>
                <w:rFonts w:ascii="Arial" w:cs="Arial" w:eastAsia="Arial" w:hAnsi="Arial"/>
                <w:sz w:val="12"/>
                <w:szCs w:val="12"/>
                <w:color w:val="auto"/>
              </w:rPr>
              <w:t>19,814</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14,864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33%</w:t>
            </w:r>
          </w:p>
        </w:tc>
        <w:tc>
          <w:tcPr>
            <w:tcW w:w="1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18,551</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7%</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18,144</w:t>
            </w:r>
          </w:p>
        </w:tc>
        <w:tc>
          <w:tcPr>
            <w:tcW w:w="1880" w:type="dxa"/>
            <w:vAlign w:val="bottom"/>
            <w:gridSpan w:val="3"/>
          </w:tcPr>
          <w:p>
            <w:pPr>
              <w:jc w:val="right"/>
              <w:ind w:right="20"/>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2"/>
                <w:szCs w:val="12"/>
                <w:color w:val="auto"/>
              </w:rPr>
              <w:t>Add:</w:t>
            </w:r>
          </w:p>
        </w:tc>
        <w:tc>
          <w:tcPr>
            <w:tcW w:w="38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8,791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9,502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9,351</w:t>
            </w: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0" w:type="dxa"/>
            <w:vAlign w:val="bottom"/>
          </w:tcPr>
          <w:p>
            <w:pPr>
              <w:ind w:left="140"/>
              <w:spacing w:after="0" w:line="137" w:lineRule="exact"/>
              <w:rPr>
                <w:sz w:val="20"/>
                <w:szCs w:val="20"/>
                <w:color w:val="auto"/>
              </w:rPr>
            </w:pPr>
            <w:r>
              <w:rPr>
                <w:rFonts w:ascii="Arial" w:cs="Arial" w:eastAsia="Arial" w:hAnsi="Arial"/>
                <w:sz w:val="12"/>
                <w:szCs w:val="12"/>
                <w:color w:val="auto"/>
              </w:rPr>
              <w:t>FFO from Discontinued Operations</w:t>
            </w: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927</w:t>
            </w:r>
          </w:p>
        </w:tc>
        <w:tc>
          <w:tcPr>
            <w:tcW w:w="8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1,096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-15%</w:t>
            </w:r>
          </w:p>
        </w:tc>
        <w:tc>
          <w:tcPr>
            <w:tcW w:w="1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947</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w:t>
            </w: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887</w:t>
            </w:r>
          </w:p>
        </w:tc>
        <w:tc>
          <w:tcPr>
            <w:tcW w:w="188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0" w:type="dxa"/>
            <w:vAlign w:val="bottom"/>
            <w:shd w:val="clear" w:color="auto" w:fill="CCEEFF"/>
          </w:tcPr>
          <w:p>
            <w:pPr>
              <w:ind w:left="140"/>
              <w:spacing w:after="0" w:line="137" w:lineRule="exact"/>
              <w:rPr>
                <w:sz w:val="20"/>
                <w:szCs w:val="20"/>
                <w:color w:val="auto"/>
              </w:rPr>
            </w:pPr>
            <w:r>
              <w:rPr>
                <w:rFonts w:ascii="Arial" w:cs="Arial" w:eastAsia="Arial" w:hAnsi="Arial"/>
                <w:sz w:val="12"/>
                <w:szCs w:val="12"/>
                <w:color w:val="auto"/>
              </w:rPr>
              <w:t>FFO adjustment for Joint Ventures</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3,072</w:t>
            </w:r>
          </w:p>
        </w:tc>
        <w:tc>
          <w:tcPr>
            <w:tcW w:w="8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2,225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38%</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2,713</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13%</w:t>
            </w: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1,881</w:t>
            </w:r>
          </w:p>
        </w:tc>
        <w:tc>
          <w:tcPr>
            <w:tcW w:w="188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Arial" w:cs="Arial" w:eastAsia="Arial" w:hAnsi="Arial"/>
                <w:sz w:val="12"/>
                <w:szCs w:val="12"/>
                <w:color w:val="auto"/>
              </w:rPr>
              <w:t>Less:</w:t>
            </w:r>
          </w:p>
        </w:tc>
        <w:tc>
          <w:tcPr>
            <w:tcW w:w="3800" w:type="dxa"/>
            <w:vAlign w:val="bottom"/>
          </w:tcPr>
          <w:p>
            <w:pPr>
              <w:ind w:left="140"/>
              <w:spacing w:after="0" w:line="137" w:lineRule="exact"/>
              <w:rPr>
                <w:sz w:val="20"/>
                <w:szCs w:val="20"/>
                <w:color w:val="auto"/>
              </w:rPr>
            </w:pPr>
            <w:r>
              <w:rPr>
                <w:rFonts w:ascii="Arial" w:cs="Arial" w:eastAsia="Arial" w:hAnsi="Arial"/>
                <w:sz w:val="12"/>
                <w:szCs w:val="12"/>
                <w:color w:val="auto"/>
              </w:rPr>
              <w:t>Dividends on Preferred Shares</w:t>
            </w: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2,300</w:t>
            </w:r>
          </w:p>
        </w:tc>
        <w:tc>
          <w:tcPr>
            <w:tcW w:w="8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2,300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w:t>
            </w:r>
          </w:p>
        </w:tc>
        <w:tc>
          <w:tcPr>
            <w:tcW w:w="1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2,300</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0%</w:t>
            </w: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2,300</w:t>
            </w:r>
          </w:p>
        </w:tc>
        <w:tc>
          <w:tcPr>
            <w:tcW w:w="188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0" w:type="dxa"/>
            <w:vAlign w:val="bottom"/>
            <w:shd w:val="clear" w:color="auto" w:fill="CCEEFF"/>
          </w:tcPr>
          <w:p>
            <w:pPr>
              <w:ind w:left="140"/>
              <w:spacing w:after="0" w:line="137" w:lineRule="exact"/>
              <w:rPr>
                <w:sz w:val="20"/>
                <w:szCs w:val="20"/>
                <w:color w:val="auto"/>
              </w:rPr>
            </w:pPr>
            <w:r>
              <w:rPr>
                <w:rFonts w:ascii="Arial" w:cs="Arial" w:eastAsia="Arial" w:hAnsi="Arial"/>
                <w:sz w:val="12"/>
                <w:szCs w:val="12"/>
                <w:color w:val="auto"/>
              </w:rPr>
              <w:t>Non Real Estate Depreciation/Amortization of Finance Costs</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1,046</w:t>
            </w:r>
          </w:p>
        </w:tc>
        <w:tc>
          <w:tcPr>
            <w:tcW w:w="8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1,055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1,056</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w:t>
            </w: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981</w:t>
            </w:r>
          </w:p>
        </w:tc>
        <w:tc>
          <w:tcPr>
            <w:tcW w:w="188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Arial" w:cs="Arial" w:eastAsia="Arial" w:hAnsi="Arial"/>
                <w:sz w:val="12"/>
                <w:szCs w:val="12"/>
                <w:b w:val="1"/>
                <w:bCs w:val="1"/>
                <w:color w:val="auto"/>
              </w:rPr>
              <w:t>Funds From Operations—Basic</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30,262</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23,621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28%</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28,357</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7%</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26,982</w:t>
            </w:r>
          </w:p>
        </w:tc>
        <w:tc>
          <w:tcPr>
            <w:tcW w:w="19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Funds From Operations—Basic per Share</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0.77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0.87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0.84</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12"/>
                <w:szCs w:val="12"/>
                <w:color w:val="auto"/>
              </w:rPr>
              <w:t>Add:</w:t>
            </w:r>
          </w:p>
        </w:tc>
        <w:tc>
          <w:tcPr>
            <w:tcW w:w="3800" w:type="dxa"/>
            <w:vAlign w:val="bottom"/>
          </w:tcPr>
          <w:p>
            <w:pPr>
              <w:ind w:left="140"/>
              <w:spacing w:after="0"/>
              <w:rPr>
                <w:sz w:val="20"/>
                <w:szCs w:val="20"/>
                <w:color w:val="auto"/>
              </w:rPr>
            </w:pPr>
            <w:r>
              <w:rPr>
                <w:rFonts w:ascii="Arial" w:cs="Arial" w:eastAsia="Arial" w:hAnsi="Arial"/>
                <w:sz w:val="12"/>
                <w:szCs w:val="12"/>
                <w:color w:val="auto"/>
              </w:rPr>
              <w:t>Dividends on Preferred Shares</w:t>
            </w:r>
          </w:p>
        </w:tc>
        <w:tc>
          <w:tcPr>
            <w:tcW w:w="680" w:type="dxa"/>
            <w:vAlign w:val="bottom"/>
          </w:tcPr>
          <w:p>
            <w:pPr>
              <w:jc w:val="right"/>
              <w:spacing w:after="0"/>
              <w:rPr>
                <w:sz w:val="20"/>
                <w:szCs w:val="20"/>
                <w:color w:val="auto"/>
              </w:rPr>
            </w:pPr>
            <w:r>
              <w:rPr>
                <w:rFonts w:ascii="Arial" w:cs="Arial" w:eastAsia="Arial" w:hAnsi="Arial"/>
                <w:sz w:val="12"/>
                <w:szCs w:val="12"/>
                <w:color w:val="auto"/>
              </w:rPr>
              <w:t>2,300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2,300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16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2,300</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2,300</w:t>
            </w:r>
          </w:p>
        </w:tc>
        <w:tc>
          <w:tcPr>
            <w:tcW w:w="1880" w:type="dxa"/>
            <w:vAlign w:val="bottom"/>
            <w:gridSpan w:val="3"/>
          </w:tcPr>
          <w:p>
            <w:pPr>
              <w:jc w:val="right"/>
              <w:ind w:right="20"/>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0" w:type="dxa"/>
            <w:vAlign w:val="bottom"/>
            <w:shd w:val="clear" w:color="auto" w:fill="CCEEFF"/>
          </w:tcPr>
          <w:p>
            <w:pPr>
              <w:ind w:left="140"/>
              <w:spacing w:after="0" w:line="137" w:lineRule="exact"/>
              <w:rPr>
                <w:sz w:val="20"/>
                <w:szCs w:val="20"/>
                <w:color w:val="auto"/>
              </w:rPr>
            </w:pPr>
            <w:r>
              <w:rPr>
                <w:rFonts w:ascii="Arial" w:cs="Arial" w:eastAsia="Arial" w:hAnsi="Arial"/>
                <w:sz w:val="12"/>
                <w:szCs w:val="12"/>
                <w:b w:val="1"/>
                <w:bCs w:val="1"/>
                <w:color w:val="auto"/>
              </w:rPr>
              <w:t>Funds From Operations—Diluted</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32,562</w:t>
            </w:r>
          </w:p>
        </w:tc>
        <w:tc>
          <w:tcPr>
            <w:tcW w:w="8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25,921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60"/>
              <w:spacing w:after="0" w:line="137" w:lineRule="exact"/>
              <w:rPr>
                <w:sz w:val="20"/>
                <w:szCs w:val="20"/>
                <w:color w:val="auto"/>
              </w:rPr>
            </w:pPr>
            <w:r>
              <w:rPr>
                <w:rFonts w:ascii="Arial" w:cs="Arial" w:eastAsia="Arial" w:hAnsi="Arial"/>
                <w:sz w:val="12"/>
                <w:szCs w:val="12"/>
                <w:b w:val="1"/>
                <w:bCs w:val="1"/>
                <w:color w:val="auto"/>
              </w:rPr>
              <w:t>26%</w:t>
            </w: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30,657</w:t>
            </w:r>
          </w:p>
        </w:tc>
        <w:tc>
          <w:tcPr>
            <w:tcW w:w="10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6%</w:t>
            </w: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b w:val="1"/>
                <w:bCs w:val="1"/>
                <w:color w:val="auto"/>
              </w:rPr>
              <w:t>29,282</w:t>
            </w:r>
          </w:p>
        </w:tc>
        <w:tc>
          <w:tcPr>
            <w:tcW w:w="188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0" w:type="dxa"/>
            <w:vAlign w:val="bottom"/>
          </w:tcPr>
          <w:p>
            <w:pPr>
              <w:ind w:left="140"/>
              <w:spacing w:after="0"/>
              <w:rPr>
                <w:sz w:val="20"/>
                <w:szCs w:val="20"/>
                <w:color w:val="auto"/>
              </w:rPr>
            </w:pPr>
            <w:r>
              <w:rPr>
                <w:rFonts w:ascii="Arial" w:cs="Arial" w:eastAsia="Arial" w:hAnsi="Arial"/>
                <w:sz w:val="12"/>
                <w:szCs w:val="12"/>
                <w:b w:val="1"/>
                <w:bCs w:val="1"/>
                <w:color w:val="auto"/>
              </w:rPr>
              <w:t>Funds From Operations—Diluted per Share</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0.86</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0.72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19%</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0.81</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6%</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0.78</w:t>
            </w:r>
          </w:p>
        </w:tc>
        <w:tc>
          <w:tcPr>
            <w:tcW w:w="19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11%</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Funds Available for Distribution</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540" w:type="dxa"/>
            <w:vAlign w:val="bottom"/>
            <w:gridSpan w:val="2"/>
          </w:tcPr>
          <w:p>
            <w:pPr>
              <w:spacing w:after="0"/>
              <w:rPr>
                <w:sz w:val="20"/>
                <w:szCs w:val="20"/>
                <w:color w:val="auto"/>
              </w:rPr>
            </w:pPr>
            <w:r>
              <w:rPr>
                <w:rFonts w:ascii="Arial" w:cs="Arial" w:eastAsia="Arial" w:hAnsi="Arial"/>
                <w:sz w:val="12"/>
                <w:szCs w:val="12"/>
                <w:color w:val="auto"/>
              </w:rPr>
              <w:t>FFO (1)</w:t>
            </w:r>
          </w:p>
        </w:tc>
        <w:tc>
          <w:tcPr>
            <w:tcW w:w="3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32,562</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25,921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30,657</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6%</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29,282</w:t>
            </w:r>
          </w:p>
        </w:tc>
        <w:tc>
          <w:tcPr>
            <w:tcW w:w="1880" w:type="dxa"/>
            <w:vAlign w:val="bottom"/>
            <w:gridSpan w:val="3"/>
          </w:tcPr>
          <w:p>
            <w:pPr>
              <w:jc w:val="right"/>
              <w:ind w:right="20"/>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2"/>
                <w:szCs w:val="12"/>
                <w:color w:val="auto"/>
              </w:rPr>
              <w:t>Add:</w:t>
            </w:r>
          </w:p>
        </w:tc>
        <w:tc>
          <w:tcPr>
            <w:tcW w:w="38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 Real Estate Depreciation</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-1%</w:t>
            </w:r>
          </w:p>
        </w:tc>
        <w:tc>
          <w:tcPr>
            <w:tcW w:w="1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987</w:t>
            </w: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0" w:type="dxa"/>
            <w:vAlign w:val="bottom"/>
          </w:tcPr>
          <w:p>
            <w:pPr>
              <w:ind w:left="140"/>
              <w:spacing w:after="0" w:line="137" w:lineRule="exact"/>
              <w:rPr>
                <w:sz w:val="20"/>
                <w:szCs w:val="20"/>
                <w:color w:val="auto"/>
              </w:rPr>
            </w:pPr>
            <w:r>
              <w:rPr>
                <w:rFonts w:ascii="Arial" w:cs="Arial" w:eastAsia="Arial" w:hAnsi="Arial"/>
                <w:sz w:val="12"/>
                <w:szCs w:val="12"/>
                <w:color w:val="auto"/>
              </w:rPr>
              <w:t>2% Allowance for S/L Tenant Credit Loss</w:t>
            </w: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974</w:t>
            </w:r>
          </w:p>
        </w:tc>
        <w:tc>
          <w:tcPr>
            <w:tcW w:w="8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377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158%</w:t>
            </w:r>
          </w:p>
        </w:tc>
        <w:tc>
          <w:tcPr>
            <w:tcW w:w="1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542</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80%</w:t>
            </w: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516</w:t>
            </w:r>
          </w:p>
        </w:tc>
        <w:tc>
          <w:tcPr>
            <w:tcW w:w="188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0" w:type="dxa"/>
            <w:vAlign w:val="bottom"/>
            <w:shd w:val="clear" w:color="auto" w:fill="CCEEFF"/>
          </w:tcPr>
          <w:p>
            <w:pPr>
              <w:ind w:left="140"/>
              <w:spacing w:after="0" w:line="137" w:lineRule="exact"/>
              <w:rPr>
                <w:sz w:val="20"/>
                <w:szCs w:val="20"/>
                <w:color w:val="auto"/>
              </w:rPr>
            </w:pPr>
            <w:r>
              <w:rPr>
                <w:rFonts w:ascii="Arial" w:cs="Arial" w:eastAsia="Arial" w:hAnsi="Arial"/>
                <w:sz w:val="12"/>
                <w:szCs w:val="12"/>
                <w:color w:val="auto"/>
              </w:rPr>
              <w:t>Straight-line Ground Rent</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60</w:t>
            </w:r>
          </w:p>
        </w:tc>
        <w:tc>
          <w:tcPr>
            <w:tcW w:w="8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160</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-63%</w:t>
            </w: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160</w:t>
            </w:r>
          </w:p>
        </w:tc>
        <w:tc>
          <w:tcPr>
            <w:tcW w:w="188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ind w:left="140"/>
              <w:spacing w:after="0" w:line="137" w:lineRule="exact"/>
              <w:rPr>
                <w:sz w:val="20"/>
                <w:szCs w:val="20"/>
                <w:color w:val="auto"/>
              </w:rPr>
            </w:pPr>
            <w:r>
              <w:rPr>
                <w:rFonts w:ascii="Arial" w:cs="Arial" w:eastAsia="Arial" w:hAnsi="Arial"/>
                <w:sz w:val="12"/>
                <w:szCs w:val="12"/>
                <w:color w:val="auto"/>
              </w:rPr>
              <w:t>Non-cash Deferred Compensation</w:t>
            </w:r>
          </w:p>
        </w:tc>
        <w:tc>
          <w:tcPr>
            <w:tcW w:w="680" w:type="dxa"/>
            <w:vAlign w:val="bottom"/>
            <w:tcBorders>
              <w:bottom w:val="single" w:sz="8" w:color="CCEEFF"/>
            </w:tcBorders>
          </w:tcPr>
          <w:p>
            <w:pPr>
              <w:jc w:val="right"/>
              <w:spacing w:after="0" w:line="137" w:lineRule="exact"/>
              <w:rPr>
                <w:sz w:val="20"/>
                <w:szCs w:val="20"/>
                <w:color w:val="auto"/>
              </w:rPr>
            </w:pPr>
            <w:r>
              <w:rPr>
                <w:rFonts w:ascii="Arial" w:cs="Arial" w:eastAsia="Arial" w:hAnsi="Arial"/>
                <w:sz w:val="12"/>
                <w:szCs w:val="12"/>
                <w:color w:val="auto"/>
              </w:rPr>
              <w:t>178</w:t>
            </w:r>
          </w:p>
        </w:tc>
        <w:tc>
          <w:tcPr>
            <w:tcW w:w="800" w:type="dxa"/>
            <w:vAlign w:val="bottom"/>
            <w:tcBorders>
              <w:bottom w:val="single" w:sz="8" w:color="CCEEFF"/>
            </w:tcBorders>
            <w:gridSpan w:val="2"/>
          </w:tcPr>
          <w:p>
            <w:pPr>
              <w:jc w:val="right"/>
              <w:spacing w:after="0" w:line="137" w:lineRule="exact"/>
              <w:rPr>
                <w:sz w:val="20"/>
                <w:szCs w:val="20"/>
                <w:color w:val="auto"/>
              </w:rPr>
            </w:pPr>
            <w:r>
              <w:rPr>
                <w:rFonts w:ascii="Arial" w:cs="Arial" w:eastAsia="Arial" w:hAnsi="Arial"/>
                <w:sz w:val="12"/>
                <w:szCs w:val="12"/>
                <w:color w:val="auto"/>
              </w:rPr>
              <w:t>349</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gridSpan w:val="2"/>
          </w:tcPr>
          <w:p>
            <w:pPr>
              <w:jc w:val="right"/>
              <w:ind w:right="20"/>
              <w:spacing w:after="0" w:line="137" w:lineRule="exact"/>
              <w:rPr>
                <w:sz w:val="20"/>
                <w:szCs w:val="20"/>
                <w:color w:val="auto"/>
              </w:rPr>
            </w:pPr>
            <w:r>
              <w:rPr>
                <w:rFonts w:ascii="Arial" w:cs="Arial" w:eastAsia="Arial" w:hAnsi="Arial"/>
                <w:sz w:val="12"/>
                <w:szCs w:val="12"/>
                <w:color w:val="auto"/>
              </w:rPr>
              <w:t>-49%</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gridSpan w:val="2"/>
          </w:tcPr>
          <w:p>
            <w:pPr>
              <w:jc w:val="right"/>
              <w:ind w:right="120"/>
              <w:spacing w:after="0" w:line="137" w:lineRule="exact"/>
              <w:rPr>
                <w:sz w:val="20"/>
                <w:szCs w:val="20"/>
                <w:color w:val="auto"/>
              </w:rPr>
            </w:pPr>
            <w:r>
              <w:rPr>
                <w:rFonts w:ascii="Arial" w:cs="Arial" w:eastAsia="Arial" w:hAnsi="Arial"/>
                <w:sz w:val="12"/>
                <w:szCs w:val="12"/>
                <w:color w:val="auto"/>
              </w:rPr>
              <w:t>637</w:t>
            </w:r>
          </w:p>
        </w:tc>
        <w:tc>
          <w:tcPr>
            <w:tcW w:w="1040" w:type="dxa"/>
            <w:vAlign w:val="bottom"/>
            <w:tcBorders>
              <w:bottom w:val="single" w:sz="8" w:color="CCEEFF"/>
            </w:tcBorders>
            <w:gridSpan w:val="2"/>
          </w:tcPr>
          <w:p>
            <w:pPr>
              <w:jc w:val="right"/>
              <w:ind w:right="40"/>
              <w:spacing w:after="0" w:line="137" w:lineRule="exact"/>
              <w:rPr>
                <w:sz w:val="20"/>
                <w:szCs w:val="20"/>
                <w:color w:val="auto"/>
              </w:rPr>
            </w:pPr>
            <w:r>
              <w:rPr>
                <w:rFonts w:ascii="Arial" w:cs="Arial" w:eastAsia="Arial" w:hAnsi="Arial"/>
                <w:sz w:val="12"/>
                <w:szCs w:val="12"/>
                <w:color w:val="auto"/>
              </w:rPr>
              <w:t>-72%</w:t>
            </w:r>
          </w:p>
        </w:tc>
        <w:tc>
          <w:tcPr>
            <w:tcW w:w="720" w:type="dxa"/>
            <w:vAlign w:val="bottom"/>
            <w:tcBorders>
              <w:bottom w:val="single" w:sz="8" w:color="CCEEFF"/>
            </w:tcBorders>
            <w:gridSpan w:val="2"/>
          </w:tcPr>
          <w:p>
            <w:pPr>
              <w:jc w:val="right"/>
              <w:ind w:right="40"/>
              <w:spacing w:after="0" w:line="137" w:lineRule="exact"/>
              <w:rPr>
                <w:sz w:val="20"/>
                <w:szCs w:val="20"/>
                <w:color w:val="auto"/>
              </w:rPr>
            </w:pPr>
            <w:r>
              <w:rPr>
                <w:rFonts w:ascii="Arial" w:cs="Arial" w:eastAsia="Arial" w:hAnsi="Arial"/>
                <w:sz w:val="12"/>
                <w:szCs w:val="12"/>
                <w:color w:val="auto"/>
              </w:rPr>
              <w:t>179</w:t>
            </w:r>
          </w:p>
        </w:tc>
        <w:tc>
          <w:tcPr>
            <w:tcW w:w="1880" w:type="dxa"/>
            <w:vAlign w:val="bottom"/>
            <w:tcBorders>
              <w:bottom w:val="single" w:sz="8" w:color="CCEEFF"/>
            </w:tcBorders>
            <w:gridSpan w:val="3"/>
          </w:tcPr>
          <w:p>
            <w:pPr>
              <w:jc w:val="right"/>
              <w:ind w:right="20"/>
              <w:spacing w:after="0" w:line="137" w:lineRule="exact"/>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-3134995</wp:posOffset>
            </wp:positionV>
            <wp:extent cx="1270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-3134995</wp:posOffset>
            </wp:positionV>
            <wp:extent cx="1270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-3134995</wp:posOffset>
            </wp:positionV>
            <wp:extent cx="1270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-3134995</wp:posOffset>
            </wp:positionV>
            <wp:extent cx="1270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-3134995</wp:posOffset>
            </wp:positionV>
            <wp:extent cx="1270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-3134995</wp:posOffset>
            </wp:positionV>
            <wp:extent cx="1270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-2906395</wp:posOffset>
            </wp:positionV>
            <wp:extent cx="1270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-2906395</wp:posOffset>
            </wp:positionV>
            <wp:extent cx="1270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-2906395</wp:posOffset>
            </wp:positionV>
            <wp:extent cx="1270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-2906395</wp:posOffset>
            </wp:positionV>
            <wp:extent cx="1270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-2906395</wp:posOffset>
            </wp:positionV>
            <wp:extent cx="1270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-2906395</wp:posOffset>
            </wp:positionV>
            <wp:extent cx="1270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-2906395</wp:posOffset>
            </wp:positionV>
            <wp:extent cx="1270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-2906395</wp:posOffset>
            </wp:positionV>
            <wp:extent cx="1270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-2906395</wp:posOffset>
            </wp:positionV>
            <wp:extent cx="1270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-2906395</wp:posOffset>
            </wp:positionV>
            <wp:extent cx="1270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-2906395</wp:posOffset>
            </wp:positionV>
            <wp:extent cx="1270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-2906395</wp:posOffset>
            </wp:positionV>
            <wp:extent cx="1270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-2906395</wp:posOffset>
            </wp:positionV>
            <wp:extent cx="1270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-2906395</wp:posOffset>
            </wp:positionV>
            <wp:extent cx="1270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-2677795</wp:posOffset>
            </wp:positionV>
            <wp:extent cx="1270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-2677795</wp:posOffset>
            </wp:positionV>
            <wp:extent cx="1270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-1929130</wp:posOffset>
            </wp:positionV>
            <wp:extent cx="1270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-1929130</wp:posOffset>
            </wp:positionV>
            <wp:extent cx="1270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-1929130</wp:posOffset>
            </wp:positionV>
            <wp:extent cx="1270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-1929130</wp:posOffset>
            </wp:positionV>
            <wp:extent cx="1270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-1929130</wp:posOffset>
            </wp:positionV>
            <wp:extent cx="1270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-1929130</wp:posOffset>
            </wp:positionV>
            <wp:extent cx="1270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-1929130</wp:posOffset>
            </wp:positionV>
            <wp:extent cx="1270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-1929130</wp:posOffset>
            </wp:positionV>
            <wp:extent cx="1270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-1929130</wp:posOffset>
            </wp:positionV>
            <wp:extent cx="1270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-1929130</wp:posOffset>
            </wp:positionV>
            <wp:extent cx="1270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-1929130</wp:posOffset>
            </wp:positionV>
            <wp:extent cx="1270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-1929130</wp:posOffset>
            </wp:positionV>
            <wp:extent cx="1270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-1929130</wp:posOffset>
            </wp:positionV>
            <wp:extent cx="1270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-1929130</wp:posOffset>
            </wp:positionV>
            <wp:extent cx="1270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-1299210</wp:posOffset>
            </wp:positionV>
            <wp:extent cx="1270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-1299210</wp:posOffset>
            </wp:positionV>
            <wp:extent cx="1270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-1299210</wp:posOffset>
            </wp:positionV>
            <wp:extent cx="1270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-1299210</wp:posOffset>
            </wp:positionV>
            <wp:extent cx="1270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-1299210</wp:posOffset>
            </wp:positionV>
            <wp:extent cx="1270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-1299210</wp:posOffset>
            </wp:positionV>
            <wp:extent cx="1270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-1299210</wp:posOffset>
            </wp:positionV>
            <wp:extent cx="1270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-1299210</wp:posOffset>
            </wp:positionV>
            <wp:extent cx="1270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-1299210</wp:posOffset>
            </wp:positionV>
            <wp:extent cx="1270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-1299210</wp:posOffset>
            </wp:positionV>
            <wp:extent cx="1270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-1299210</wp:posOffset>
            </wp:positionV>
            <wp:extent cx="1270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-1299210</wp:posOffset>
            </wp:positionV>
            <wp:extent cx="1270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-1299210</wp:posOffset>
            </wp:positionV>
            <wp:extent cx="1270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-1299210</wp:posOffset>
            </wp:positionV>
            <wp:extent cx="1270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-613410</wp:posOffset>
            </wp:positionV>
            <wp:extent cx="1270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-613410</wp:posOffset>
            </wp:positionV>
            <wp:extent cx="1270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14" w:right="239" w:bottom="0" w:gutter="0" w:footer="0" w:header="0"/>
        </w:sectPr>
      </w:pPr>
    </w:p>
    <w:bookmarkStart w:id="11" w:name="page12"/>
    <w:bookmarkEnd w:id="11"/>
    <w:p>
      <w:pPr>
        <w:spacing w:after="0" w:line="6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FAD adjustment for Joint Ventures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(856)</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(2,922)</w:t>
            </w: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-71%</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(2,234)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w:t>
            </w: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2"/>
                <w:szCs w:val="12"/>
                <w:color w:val="auto"/>
              </w:rPr>
              <w:t>(850)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line="137" w:lineRule="exact"/>
              <w:rPr>
                <w:sz w:val="20"/>
                <w:szCs w:val="20"/>
                <w:color w:val="auto"/>
              </w:rPr>
            </w:pPr>
            <w:r>
              <w:rPr>
                <w:rFonts w:ascii="Arial" w:cs="Arial" w:eastAsia="Arial" w:hAnsi="Arial"/>
                <w:sz w:val="12"/>
                <w:szCs w:val="12"/>
                <w:color w:val="auto"/>
              </w:rPr>
              <w:t>Less:</w:t>
            </w:r>
          </w:p>
        </w:tc>
        <w:tc>
          <w:tcPr>
            <w:tcW w:w="3860" w:type="dxa"/>
            <w:vAlign w:val="bottom"/>
          </w:tcPr>
          <w:p>
            <w:pPr>
              <w:ind w:left="200"/>
              <w:spacing w:after="0" w:line="137" w:lineRule="exact"/>
              <w:rPr>
                <w:sz w:val="20"/>
                <w:szCs w:val="20"/>
                <w:color w:val="auto"/>
              </w:rPr>
            </w:pPr>
            <w:r>
              <w:rPr>
                <w:rFonts w:ascii="Arial" w:cs="Arial" w:eastAsia="Arial" w:hAnsi="Arial"/>
                <w:sz w:val="12"/>
                <w:szCs w:val="12"/>
                <w:color w:val="auto"/>
              </w:rPr>
              <w:t>Straight-line Rental Income</w:t>
            </w: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1,473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1,783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-17%</w:t>
            </w:r>
          </w:p>
        </w:tc>
        <w:tc>
          <w:tcPr>
            <w:tcW w:w="1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1,601</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-8%</w:t>
            </w:r>
          </w:p>
        </w:tc>
        <w:tc>
          <w:tcPr>
            <w:tcW w:w="1580" w:type="dxa"/>
            <w:vAlign w:val="bottom"/>
            <w:gridSpan w:val="2"/>
          </w:tcPr>
          <w:p>
            <w:pPr>
              <w:jc w:val="right"/>
              <w:ind w:right="900"/>
              <w:spacing w:after="0" w:line="137" w:lineRule="exact"/>
              <w:rPr>
                <w:sz w:val="20"/>
                <w:szCs w:val="20"/>
                <w:color w:val="auto"/>
              </w:rPr>
            </w:pPr>
            <w:r>
              <w:rPr>
                <w:rFonts w:ascii="Arial" w:cs="Arial" w:eastAsia="Arial" w:hAnsi="Arial"/>
                <w:sz w:val="12"/>
                <w:szCs w:val="12"/>
                <w:color w:val="auto"/>
              </w:rPr>
              <w:t>1,821</w:t>
            </w:r>
          </w:p>
        </w:tc>
        <w:tc>
          <w:tcPr>
            <w:tcW w:w="10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60" w:type="dxa"/>
            <w:vAlign w:val="bottom"/>
            <w:shd w:val="clear" w:color="auto" w:fill="CCEEFF"/>
          </w:tcPr>
          <w:p>
            <w:pPr>
              <w:ind w:left="200"/>
              <w:spacing w:after="0" w:line="137" w:lineRule="exact"/>
              <w:rPr>
                <w:sz w:val="20"/>
                <w:szCs w:val="20"/>
                <w:color w:val="auto"/>
              </w:rPr>
            </w:pPr>
            <w:r>
              <w:rPr>
                <w:rFonts w:ascii="Arial" w:cs="Arial" w:eastAsia="Arial" w:hAnsi="Arial"/>
                <w:sz w:val="12"/>
                <w:szCs w:val="12"/>
                <w:color w:val="auto"/>
              </w:rPr>
              <w:t>Free Rent—Occupied (Net of Amortization, incl. First Cycle)</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690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138</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400%</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784</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-12%</w:t>
            </w:r>
          </w:p>
        </w:tc>
        <w:tc>
          <w:tcPr>
            <w:tcW w:w="1580" w:type="dxa"/>
            <w:vAlign w:val="bottom"/>
            <w:gridSpan w:val="2"/>
            <w:shd w:val="clear" w:color="auto" w:fill="CCEEFF"/>
          </w:tcPr>
          <w:p>
            <w:pPr>
              <w:jc w:val="right"/>
              <w:ind w:right="900"/>
              <w:spacing w:after="0" w:line="137" w:lineRule="exact"/>
              <w:rPr>
                <w:sz w:val="20"/>
                <w:szCs w:val="20"/>
                <w:color w:val="auto"/>
              </w:rPr>
            </w:pPr>
            <w:r>
              <w:rPr>
                <w:rFonts w:ascii="Arial" w:cs="Arial" w:eastAsia="Arial" w:hAnsi="Arial"/>
                <w:sz w:val="12"/>
                <w:szCs w:val="12"/>
                <w:color w:val="auto"/>
              </w:rPr>
              <w:t>715</w:t>
            </w:r>
          </w:p>
        </w:tc>
        <w:tc>
          <w:tcPr>
            <w:tcW w:w="10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60" w:type="dxa"/>
            <w:vAlign w:val="bottom"/>
          </w:tcPr>
          <w:p>
            <w:pPr>
              <w:ind w:left="200"/>
              <w:spacing w:after="0" w:line="137" w:lineRule="exact"/>
              <w:rPr>
                <w:sz w:val="20"/>
                <w:szCs w:val="20"/>
                <w:color w:val="auto"/>
              </w:rPr>
            </w:pPr>
            <w:r>
              <w:rPr>
                <w:rFonts w:ascii="Arial" w:cs="Arial" w:eastAsia="Arial" w:hAnsi="Arial"/>
                <w:sz w:val="12"/>
                <w:szCs w:val="12"/>
                <w:color w:val="auto"/>
              </w:rPr>
              <w:t>Amortization of Mortgage Investment Discount</w:t>
            </w: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97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177</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-45%</w:t>
            </w:r>
          </w:p>
        </w:tc>
        <w:tc>
          <w:tcPr>
            <w:tcW w:w="1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97</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0%</w:t>
            </w:r>
          </w:p>
        </w:tc>
        <w:tc>
          <w:tcPr>
            <w:tcW w:w="1580" w:type="dxa"/>
            <w:vAlign w:val="bottom"/>
            <w:gridSpan w:val="2"/>
          </w:tcPr>
          <w:p>
            <w:pPr>
              <w:jc w:val="right"/>
              <w:ind w:right="900"/>
              <w:spacing w:after="0" w:line="137" w:lineRule="exact"/>
              <w:rPr>
                <w:sz w:val="20"/>
                <w:szCs w:val="20"/>
                <w:color w:val="auto"/>
              </w:rPr>
            </w:pPr>
            <w:r>
              <w:rPr>
                <w:rFonts w:ascii="Arial" w:cs="Arial" w:eastAsia="Arial" w:hAnsi="Arial"/>
                <w:sz w:val="12"/>
                <w:szCs w:val="12"/>
                <w:color w:val="auto"/>
              </w:rPr>
              <w:t>95</w:t>
            </w:r>
          </w:p>
        </w:tc>
        <w:tc>
          <w:tcPr>
            <w:tcW w:w="10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60" w:type="dxa"/>
            <w:vAlign w:val="bottom"/>
            <w:shd w:val="clear" w:color="auto" w:fill="CCEEFF"/>
          </w:tcPr>
          <w:p>
            <w:pPr>
              <w:ind w:left="200"/>
              <w:spacing w:after="0" w:line="137" w:lineRule="exact"/>
              <w:rPr>
                <w:sz w:val="20"/>
                <w:szCs w:val="20"/>
                <w:color w:val="auto"/>
              </w:rPr>
            </w:pPr>
            <w:r>
              <w:rPr>
                <w:rFonts w:ascii="Arial" w:cs="Arial" w:eastAsia="Arial" w:hAnsi="Arial"/>
                <w:sz w:val="12"/>
                <w:szCs w:val="12"/>
                <w:color w:val="auto"/>
              </w:rPr>
              <w:t>Second Cycle Tenant Improvements</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6,691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591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1032%</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1,429</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368%</w:t>
            </w:r>
          </w:p>
        </w:tc>
        <w:tc>
          <w:tcPr>
            <w:tcW w:w="1580" w:type="dxa"/>
            <w:vAlign w:val="bottom"/>
            <w:gridSpan w:val="2"/>
            <w:shd w:val="clear" w:color="auto" w:fill="CCEEFF"/>
          </w:tcPr>
          <w:p>
            <w:pPr>
              <w:jc w:val="right"/>
              <w:ind w:right="900"/>
              <w:spacing w:after="0" w:line="137" w:lineRule="exact"/>
              <w:rPr>
                <w:sz w:val="20"/>
                <w:szCs w:val="20"/>
                <w:color w:val="auto"/>
              </w:rPr>
            </w:pPr>
            <w:r>
              <w:rPr>
                <w:rFonts w:ascii="Arial" w:cs="Arial" w:eastAsia="Arial" w:hAnsi="Arial"/>
                <w:sz w:val="12"/>
                <w:szCs w:val="12"/>
                <w:color w:val="auto"/>
              </w:rPr>
              <w:t>3,603</w:t>
            </w:r>
          </w:p>
        </w:tc>
        <w:tc>
          <w:tcPr>
            <w:tcW w:w="10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60" w:type="dxa"/>
            <w:vAlign w:val="bottom"/>
          </w:tcPr>
          <w:p>
            <w:pPr>
              <w:ind w:left="200"/>
              <w:spacing w:after="0" w:line="137" w:lineRule="exact"/>
              <w:rPr>
                <w:sz w:val="20"/>
                <w:szCs w:val="20"/>
                <w:color w:val="auto"/>
              </w:rPr>
            </w:pPr>
            <w:r>
              <w:rPr>
                <w:rFonts w:ascii="Arial" w:cs="Arial" w:eastAsia="Arial" w:hAnsi="Arial"/>
                <w:sz w:val="12"/>
                <w:szCs w:val="12"/>
                <w:color w:val="auto"/>
              </w:rPr>
              <w:t>Second Cycle Leasing Commissions</w:t>
            </w: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2,711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1,858</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46%</w:t>
            </w:r>
          </w:p>
        </w:tc>
        <w:tc>
          <w:tcPr>
            <w:tcW w:w="1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757</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258%</w:t>
            </w:r>
          </w:p>
        </w:tc>
        <w:tc>
          <w:tcPr>
            <w:tcW w:w="1580" w:type="dxa"/>
            <w:vAlign w:val="bottom"/>
            <w:gridSpan w:val="2"/>
          </w:tcPr>
          <w:p>
            <w:pPr>
              <w:jc w:val="right"/>
              <w:ind w:right="900"/>
              <w:spacing w:after="0" w:line="137" w:lineRule="exact"/>
              <w:rPr>
                <w:sz w:val="20"/>
                <w:szCs w:val="20"/>
                <w:color w:val="auto"/>
              </w:rPr>
            </w:pPr>
            <w:r>
              <w:rPr>
                <w:rFonts w:ascii="Arial" w:cs="Arial" w:eastAsia="Arial" w:hAnsi="Arial"/>
                <w:sz w:val="12"/>
                <w:szCs w:val="12"/>
                <w:color w:val="auto"/>
              </w:rPr>
              <w:t>848</w:t>
            </w:r>
          </w:p>
        </w:tc>
        <w:tc>
          <w:tcPr>
            <w:tcW w:w="10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60" w:type="dxa"/>
            <w:vAlign w:val="bottom"/>
            <w:shd w:val="clear" w:color="auto" w:fill="CCEEFF"/>
          </w:tcPr>
          <w:p>
            <w:pPr>
              <w:ind w:left="200"/>
              <w:spacing w:after="0" w:line="137" w:lineRule="exact"/>
              <w:rPr>
                <w:sz w:val="20"/>
                <w:szCs w:val="20"/>
                <w:color w:val="auto"/>
              </w:rPr>
            </w:pPr>
            <w:r>
              <w:rPr>
                <w:rFonts w:ascii="Arial" w:cs="Arial" w:eastAsia="Arial" w:hAnsi="Arial"/>
                <w:sz w:val="12"/>
                <w:szCs w:val="12"/>
                <w:color w:val="auto"/>
              </w:rPr>
              <w:t>Recurring Building Improvements</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-46%</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101</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130%</w:t>
            </w:r>
          </w:p>
        </w:tc>
        <w:tc>
          <w:tcPr>
            <w:tcW w:w="1580" w:type="dxa"/>
            <w:vAlign w:val="bottom"/>
            <w:gridSpan w:val="2"/>
            <w:shd w:val="clear" w:color="auto" w:fill="CCEEFF"/>
          </w:tcPr>
          <w:p>
            <w:pPr>
              <w:jc w:val="right"/>
              <w:ind w:right="900"/>
              <w:spacing w:after="0" w:line="137" w:lineRule="exact"/>
              <w:rPr>
                <w:sz w:val="20"/>
                <w:szCs w:val="20"/>
                <w:color w:val="auto"/>
              </w:rPr>
            </w:pPr>
            <w:r>
              <w:rPr>
                <w:rFonts w:ascii="Arial" w:cs="Arial" w:eastAsia="Arial" w:hAnsi="Arial"/>
                <w:sz w:val="12"/>
                <w:szCs w:val="12"/>
                <w:color w:val="auto"/>
              </w:rPr>
              <w:t>88</w:t>
            </w:r>
          </w:p>
        </w:tc>
        <w:tc>
          <w:tcPr>
            <w:tcW w:w="10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340" w:type="dxa"/>
            <w:vAlign w:val="bottom"/>
            <w:gridSpan w:val="3"/>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340" w:type="dxa"/>
            <w:vAlign w:val="bottom"/>
            <w:gridSpan w:val="3"/>
          </w:tcPr>
          <w:p>
            <w:pPr>
              <w:spacing w:after="0"/>
              <w:rPr>
                <w:sz w:val="20"/>
                <w:szCs w:val="20"/>
                <w:color w:val="auto"/>
              </w:rPr>
            </w:pPr>
            <w:r>
              <w:rPr>
                <w:rFonts w:ascii="Arial" w:cs="Arial" w:eastAsia="Arial" w:hAnsi="Arial"/>
                <w:sz w:val="12"/>
                <w:szCs w:val="12"/>
                <w:b w:val="1"/>
                <w:bCs w:val="1"/>
                <w:color w:val="auto"/>
              </w:rPr>
              <w:t>Funds Available for Distribution</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22,070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19,866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11%</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26,050</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-15%</w:t>
            </w:r>
          </w:p>
        </w:tc>
        <w:tc>
          <w:tcPr>
            <w:tcW w:w="1580" w:type="dxa"/>
            <w:vAlign w:val="bottom"/>
            <w:gridSpan w:val="2"/>
          </w:tcPr>
          <w:p>
            <w:pPr>
              <w:jc w:val="right"/>
              <w:ind w:right="900"/>
              <w:spacing w:after="0"/>
              <w:rPr>
                <w:sz w:val="20"/>
                <w:szCs w:val="20"/>
                <w:color w:val="auto"/>
              </w:rPr>
            </w:pPr>
            <w:r>
              <w:rPr>
                <w:rFonts w:ascii="Arial" w:cs="Arial" w:eastAsia="Arial" w:hAnsi="Arial"/>
                <w:sz w:val="12"/>
                <w:szCs w:val="12"/>
                <w:b w:val="1"/>
                <w:bCs w:val="1"/>
                <w:color w:val="auto"/>
              </w:rPr>
              <w:t>23,103</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60" w:type="dxa"/>
            <w:vAlign w:val="bottom"/>
            <w:shd w:val="clear" w:color="auto" w:fill="CCEEFF"/>
          </w:tcPr>
          <w:p>
            <w:pPr>
              <w:ind w:left="200"/>
              <w:spacing w:after="0" w:line="137" w:lineRule="exact"/>
              <w:rPr>
                <w:sz w:val="20"/>
                <w:szCs w:val="20"/>
                <w:color w:val="auto"/>
              </w:rPr>
            </w:pPr>
            <w:r>
              <w:rPr>
                <w:rFonts w:ascii="Arial" w:cs="Arial" w:eastAsia="Arial" w:hAnsi="Arial"/>
                <w:sz w:val="12"/>
                <w:szCs w:val="12"/>
                <w:color w:val="auto"/>
              </w:rPr>
              <w:t>Diluted per Share</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0.58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0.55</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6%</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0.69</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-15%</w:t>
            </w:r>
          </w:p>
        </w:tc>
        <w:tc>
          <w:tcPr>
            <w:tcW w:w="1580" w:type="dxa"/>
            <w:vAlign w:val="bottom"/>
            <w:gridSpan w:val="2"/>
            <w:shd w:val="clear" w:color="auto" w:fill="CCEEFF"/>
          </w:tcPr>
          <w:p>
            <w:pPr>
              <w:jc w:val="right"/>
              <w:ind w:right="900"/>
              <w:spacing w:after="0" w:line="137" w:lineRule="exact"/>
              <w:rPr>
                <w:sz w:val="20"/>
                <w:szCs w:val="20"/>
                <w:color w:val="auto"/>
              </w:rPr>
            </w:pPr>
            <w:r>
              <w:rPr>
                <w:rFonts w:ascii="Arial" w:cs="Arial" w:eastAsia="Arial" w:hAnsi="Arial"/>
                <w:sz w:val="12"/>
                <w:szCs w:val="12"/>
                <w:color w:val="auto"/>
              </w:rPr>
              <w:t>0.62</w:t>
            </w:r>
          </w:p>
        </w:tc>
        <w:tc>
          <w:tcPr>
            <w:tcW w:w="10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4340" w:type="dxa"/>
            <w:vAlign w:val="bottom"/>
            <w:gridSpan w:val="3"/>
          </w:tcPr>
          <w:p>
            <w:pPr>
              <w:spacing w:after="0"/>
              <w:rPr>
                <w:sz w:val="20"/>
                <w:szCs w:val="20"/>
                <w:color w:val="auto"/>
              </w:rPr>
            </w:pPr>
            <w:r>
              <w:rPr>
                <w:rFonts w:ascii="Arial" w:cs="Arial" w:eastAsia="Arial" w:hAnsi="Arial"/>
                <w:sz w:val="12"/>
                <w:szCs w:val="12"/>
                <w:color w:val="auto"/>
              </w:rPr>
              <w:t>First Cycle Leasing Costs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60" w:type="dxa"/>
            <w:vAlign w:val="bottom"/>
            <w:shd w:val="clear" w:color="auto" w:fill="CCEEFF"/>
          </w:tcPr>
          <w:p>
            <w:pPr>
              <w:ind w:left="200"/>
              <w:spacing w:after="0" w:line="137" w:lineRule="exact"/>
              <w:rPr>
                <w:sz w:val="20"/>
                <w:szCs w:val="20"/>
                <w:color w:val="auto"/>
              </w:rPr>
            </w:pPr>
            <w:r>
              <w:rPr>
                <w:rFonts w:ascii="Arial" w:cs="Arial" w:eastAsia="Arial" w:hAnsi="Arial"/>
                <w:sz w:val="12"/>
                <w:szCs w:val="12"/>
                <w:color w:val="auto"/>
              </w:rPr>
              <w:t>Tenant Improvement</w:t>
            </w:r>
          </w:p>
        </w:tc>
        <w:tc>
          <w:tcPr>
            <w:tcW w:w="960" w:type="dxa"/>
            <w:vAlign w:val="bottom"/>
            <w:gridSpan w:val="3"/>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-100%</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13</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-100%</w:t>
            </w:r>
          </w:p>
        </w:tc>
        <w:tc>
          <w:tcPr>
            <w:tcW w:w="1580" w:type="dxa"/>
            <w:vAlign w:val="bottom"/>
            <w:gridSpan w:val="2"/>
            <w:shd w:val="clear" w:color="auto" w:fill="CCEEFF"/>
          </w:tcPr>
          <w:p>
            <w:pPr>
              <w:jc w:val="right"/>
              <w:ind w:right="900"/>
              <w:spacing w:after="0" w:line="137" w:lineRule="exact"/>
              <w:rPr>
                <w:sz w:val="20"/>
                <w:szCs w:val="20"/>
                <w:color w:val="auto"/>
              </w:rPr>
            </w:pPr>
            <w:r>
              <w:rPr>
                <w:rFonts w:ascii="Arial" w:cs="Arial" w:eastAsia="Arial" w:hAnsi="Arial"/>
                <w:sz w:val="12"/>
                <w:szCs w:val="12"/>
                <w:color w:val="auto"/>
              </w:rPr>
              <w:t>78</w:t>
            </w:r>
          </w:p>
        </w:tc>
        <w:tc>
          <w:tcPr>
            <w:tcW w:w="10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60" w:type="dxa"/>
            <w:vAlign w:val="bottom"/>
          </w:tcPr>
          <w:p>
            <w:pPr>
              <w:ind w:left="200"/>
              <w:spacing w:after="0"/>
              <w:rPr>
                <w:sz w:val="20"/>
                <w:szCs w:val="20"/>
                <w:color w:val="auto"/>
              </w:rPr>
            </w:pPr>
            <w:r>
              <w:rPr>
                <w:rFonts w:ascii="Arial" w:cs="Arial" w:eastAsia="Arial" w:hAnsi="Arial"/>
                <w:sz w:val="12"/>
                <w:szCs w:val="12"/>
                <w:color w:val="auto"/>
              </w:rPr>
              <w:t>Leasing Commissions</w:t>
            </w:r>
          </w:p>
        </w:tc>
        <w:tc>
          <w:tcPr>
            <w:tcW w:w="96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1580" w:type="dxa"/>
            <w:vAlign w:val="bottom"/>
            <w:gridSpan w:val="2"/>
          </w:tcPr>
          <w:p>
            <w:pPr>
              <w:jc w:val="right"/>
              <w:ind w:right="900"/>
              <w:spacing w:after="0"/>
              <w:rPr>
                <w:sz w:val="20"/>
                <w:szCs w:val="20"/>
                <w:color w:val="auto"/>
              </w:rPr>
            </w:pPr>
            <w:r>
              <w:rPr>
                <w:rFonts w:ascii="Arial" w:cs="Arial" w:eastAsia="Arial" w:hAnsi="Arial"/>
                <w:sz w:val="12"/>
                <w:szCs w:val="12"/>
                <w:color w:val="auto"/>
              </w:rPr>
              <w:t>279</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320" w:type="dxa"/>
            <w:vAlign w:val="bottom"/>
            <w:gridSpan w:val="2"/>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Funds Available for Distribution after First Cycle Leasing Costs</w:t>
            </w: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22,070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19,859</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60"/>
              <w:spacing w:after="0" w:line="137" w:lineRule="exact"/>
              <w:rPr>
                <w:sz w:val="20"/>
                <w:szCs w:val="20"/>
                <w:color w:val="auto"/>
              </w:rPr>
            </w:pPr>
            <w:r>
              <w:rPr>
                <w:rFonts w:ascii="Arial" w:cs="Arial" w:eastAsia="Arial" w:hAnsi="Arial"/>
                <w:sz w:val="12"/>
                <w:szCs w:val="12"/>
                <w:b w:val="1"/>
                <w:bCs w:val="1"/>
                <w:color w:val="auto"/>
              </w:rPr>
              <w:t>11%</w:t>
            </w: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26,037</w:t>
            </w:r>
          </w:p>
        </w:tc>
        <w:tc>
          <w:tcPr>
            <w:tcW w:w="10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-15%</w:t>
            </w:r>
          </w:p>
        </w:tc>
        <w:tc>
          <w:tcPr>
            <w:tcW w:w="1580" w:type="dxa"/>
            <w:vAlign w:val="bottom"/>
            <w:gridSpan w:val="2"/>
            <w:shd w:val="clear" w:color="auto" w:fill="CCEEFF"/>
          </w:tcPr>
          <w:p>
            <w:pPr>
              <w:jc w:val="right"/>
              <w:ind w:right="900"/>
              <w:spacing w:after="0" w:line="137" w:lineRule="exact"/>
              <w:rPr>
                <w:sz w:val="20"/>
                <w:szCs w:val="20"/>
                <w:color w:val="auto"/>
              </w:rPr>
            </w:pPr>
            <w:r>
              <w:rPr>
                <w:rFonts w:ascii="Arial" w:cs="Arial" w:eastAsia="Arial" w:hAnsi="Arial"/>
                <w:sz w:val="12"/>
                <w:szCs w:val="12"/>
                <w:b w:val="1"/>
                <w:bCs w:val="1"/>
                <w:color w:val="auto"/>
              </w:rPr>
              <w:t>22,746</w:t>
            </w:r>
          </w:p>
        </w:tc>
        <w:tc>
          <w:tcPr>
            <w:tcW w:w="10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340" w:type="dxa"/>
            <w:vAlign w:val="bottom"/>
            <w:gridSpan w:val="3"/>
          </w:tcPr>
          <w:p>
            <w:pPr>
              <w:spacing w:after="0"/>
              <w:rPr>
                <w:sz w:val="20"/>
                <w:szCs w:val="20"/>
                <w:color w:val="auto"/>
              </w:rPr>
            </w:pPr>
            <w:r>
              <w:rPr>
                <w:rFonts w:ascii="Arial" w:cs="Arial" w:eastAsia="Arial" w:hAnsi="Arial"/>
                <w:sz w:val="12"/>
                <w:szCs w:val="12"/>
                <w:color w:val="auto"/>
              </w:rPr>
              <w:t>Funds Available for Distribution per Diluted Weighted Average Unit and</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4340" w:type="dxa"/>
            <w:vAlign w:val="bottom"/>
            <w:gridSpan w:val="3"/>
          </w:tcPr>
          <w:p>
            <w:pPr>
              <w:spacing w:after="0"/>
              <w:rPr>
                <w:sz w:val="20"/>
                <w:szCs w:val="20"/>
                <w:color w:val="auto"/>
              </w:rPr>
            </w:pPr>
            <w:r>
              <w:rPr>
                <w:rFonts w:ascii="Arial" w:cs="Arial" w:eastAsia="Arial" w:hAnsi="Arial"/>
                <w:sz w:val="12"/>
                <w:szCs w:val="12"/>
                <w:color w:val="auto"/>
              </w:rPr>
              <w:t>Common Share</w:t>
            </w:r>
          </w:p>
        </w:tc>
        <w:tc>
          <w:tcPr>
            <w:tcW w:w="680" w:type="dxa"/>
            <w:vAlign w:val="bottom"/>
          </w:tcPr>
          <w:p>
            <w:pPr>
              <w:jc w:val="right"/>
              <w:spacing w:after="0"/>
              <w:rPr>
                <w:sz w:val="20"/>
                <w:szCs w:val="20"/>
                <w:color w:val="auto"/>
              </w:rPr>
            </w:pPr>
            <w:r>
              <w:rPr>
                <w:rFonts w:ascii="Arial" w:cs="Arial" w:eastAsia="Arial" w:hAnsi="Arial"/>
                <w:sz w:val="12"/>
                <w:szCs w:val="12"/>
                <w:color w:val="auto"/>
              </w:rPr>
              <w:t>0.58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0.55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0.69</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 -15%</w:t>
            </w:r>
          </w:p>
        </w:tc>
        <w:tc>
          <w:tcPr>
            <w:tcW w:w="1580" w:type="dxa"/>
            <w:vAlign w:val="bottom"/>
            <w:gridSpan w:val="2"/>
          </w:tcPr>
          <w:p>
            <w:pPr>
              <w:jc w:val="right"/>
              <w:ind w:right="900"/>
              <w:spacing w:after="0"/>
              <w:rPr>
                <w:sz w:val="20"/>
                <w:szCs w:val="20"/>
                <w:color w:val="auto"/>
              </w:rPr>
            </w:pPr>
            <w:r>
              <w:rPr>
                <w:rFonts w:ascii="Arial" w:cs="Arial" w:eastAsia="Arial" w:hAnsi="Arial"/>
                <w:sz w:val="12"/>
                <w:szCs w:val="12"/>
                <w:color w:val="auto"/>
              </w:rPr>
              <w:t>0.60</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 -4%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Redevelopment Costs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-46%</w:t>
            </w:r>
          </w:p>
        </w:tc>
        <w:tc>
          <w:tcPr>
            <w:tcW w:w="1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2,329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Borders>
              <w:bottom w:val="single" w:sz="8" w:color="808080"/>
            </w:tcBorders>
            <w:gridSpan w:val="2"/>
          </w:tcPr>
          <w:p>
            <w:pPr>
              <w:spacing w:after="0"/>
              <w:rPr>
                <w:sz w:val="9"/>
                <w:szCs w:val="9"/>
                <w:color w:val="auto"/>
              </w:rPr>
            </w:pPr>
          </w:p>
        </w:tc>
        <w:tc>
          <w:tcPr>
            <w:tcW w:w="960" w:type="dxa"/>
            <w:vAlign w:val="bottom"/>
            <w:tcBorders>
              <w:bottom w:val="single" w:sz="8" w:color="808080"/>
            </w:tcBorders>
            <w:gridSpan w:val="3"/>
          </w:tcPr>
          <w:p>
            <w:pPr>
              <w:spacing w:after="0"/>
              <w:rPr>
                <w:sz w:val="9"/>
                <w:szCs w:val="9"/>
                <w:color w:val="auto"/>
              </w:rPr>
            </w:pPr>
          </w:p>
        </w:tc>
        <w:tc>
          <w:tcPr>
            <w:tcW w:w="980" w:type="dxa"/>
            <w:vAlign w:val="bottom"/>
            <w:tcBorders>
              <w:bottom w:val="single" w:sz="8" w:color="808080"/>
            </w:tcBorders>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5"/>
        </w:trPr>
        <w:tc>
          <w:tcPr>
            <w:tcW w:w="4340" w:type="dxa"/>
            <w:vAlign w:val="bottom"/>
            <w:gridSpan w:val="3"/>
          </w:tcPr>
          <w:p>
            <w:pPr>
              <w:spacing w:after="0"/>
              <w:rPr>
                <w:sz w:val="20"/>
                <w:szCs w:val="20"/>
                <w:color w:val="auto"/>
              </w:rPr>
            </w:pPr>
            <w:r>
              <w:rPr>
                <w:rFonts w:ascii="Arial" w:cs="Arial" w:eastAsia="Arial" w:hAnsi="Arial"/>
                <w:sz w:val="12"/>
                <w:szCs w:val="12"/>
                <w:b w:val="1"/>
                <w:bCs w:val="1"/>
                <w:color w:val="auto"/>
              </w:rPr>
              <w:t>Payout Ratio of Funds From Operations</w:t>
            </w:r>
          </w:p>
        </w:tc>
        <w:tc>
          <w:tcPr>
            <w:tcW w:w="9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51.38%</w:t>
            </w:r>
          </w:p>
        </w:tc>
        <w:tc>
          <w:tcPr>
            <w:tcW w:w="98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53.92%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b w:val="1"/>
                <w:bCs w:val="1"/>
                <w:color w:val="auto"/>
              </w:rPr>
              <w:t>54.68%</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56.82%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Payout Ratio of Funds Available for Distribution Before First Cycle</w:t>
            </w:r>
          </w:p>
        </w:tc>
        <w:tc>
          <w:tcPr>
            <w:tcW w:w="960" w:type="dxa"/>
            <w:vAlign w:val="bottom"/>
            <w:gridSpan w:val="3"/>
            <w:shd w:val="clear" w:color="auto" w:fill="CCEEFF"/>
          </w:tcPr>
          <w:p>
            <w:pPr>
              <w:jc w:val="right"/>
              <w:ind w:right="160"/>
              <w:spacing w:after="0" w:line="137" w:lineRule="exact"/>
              <w:rPr>
                <w:sz w:val="20"/>
                <w:szCs w:val="20"/>
                <w:color w:val="auto"/>
              </w:rPr>
            </w:pPr>
            <w:r>
              <w:rPr>
                <w:rFonts w:ascii="Arial" w:cs="Arial" w:eastAsia="Arial" w:hAnsi="Arial"/>
                <w:sz w:val="12"/>
                <w:szCs w:val="12"/>
                <w:b w:val="1"/>
                <w:bCs w:val="1"/>
                <w:color w:val="auto"/>
              </w:rPr>
              <w:t>75.81%</w:t>
            </w:r>
          </w:p>
        </w:tc>
        <w:tc>
          <w:tcPr>
            <w:tcW w:w="980" w:type="dxa"/>
            <w:vAlign w:val="bottom"/>
            <w:gridSpan w:val="3"/>
            <w:shd w:val="clear" w:color="auto" w:fill="CCEEFF"/>
          </w:tcPr>
          <w:p>
            <w:pPr>
              <w:jc w:val="right"/>
              <w:ind w:right="340"/>
              <w:spacing w:after="0" w:line="137" w:lineRule="exact"/>
              <w:rPr>
                <w:sz w:val="20"/>
                <w:szCs w:val="20"/>
                <w:color w:val="auto"/>
              </w:rPr>
            </w:pPr>
            <w:r>
              <w:rPr>
                <w:rFonts w:ascii="Arial" w:cs="Arial" w:eastAsia="Arial" w:hAnsi="Arial"/>
                <w:sz w:val="12"/>
                <w:szCs w:val="12"/>
                <w:b w:val="1"/>
                <w:bCs w:val="1"/>
                <w:color w:val="auto"/>
              </w:rPr>
              <w:t>70.36%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64.35%</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right"/>
              <w:ind w:right="780"/>
              <w:spacing w:after="0" w:line="137" w:lineRule="exact"/>
              <w:rPr>
                <w:sz w:val="20"/>
                <w:szCs w:val="20"/>
                <w:color w:val="auto"/>
              </w:rPr>
            </w:pPr>
            <w:r>
              <w:rPr>
                <w:rFonts w:ascii="Arial" w:cs="Arial" w:eastAsia="Arial" w:hAnsi="Arial"/>
                <w:sz w:val="12"/>
                <w:szCs w:val="12"/>
                <w:b w:val="1"/>
                <w:bCs w:val="1"/>
                <w:color w:val="auto"/>
              </w:rPr>
              <w:t>71.85%</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-1794510</wp:posOffset>
            </wp:positionV>
            <wp:extent cx="1270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-1794510</wp:posOffset>
            </wp:positionV>
            <wp:extent cx="1270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-1794510</wp:posOffset>
            </wp:positionV>
            <wp:extent cx="1270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-1794510</wp:posOffset>
            </wp:positionV>
            <wp:extent cx="1270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-1794510</wp:posOffset>
            </wp:positionV>
            <wp:extent cx="1270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-1794510</wp:posOffset>
            </wp:positionV>
            <wp:extent cx="1270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-1794510</wp:posOffset>
            </wp:positionV>
            <wp:extent cx="1270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-1794510</wp:posOffset>
            </wp:positionV>
            <wp:extent cx="1270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-1794510</wp:posOffset>
            </wp:positionV>
            <wp:extent cx="1270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-1794510</wp:posOffset>
            </wp:positionV>
            <wp:extent cx="1270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-1794510</wp:posOffset>
            </wp:positionV>
            <wp:extent cx="1270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-1794510</wp:posOffset>
            </wp:positionV>
            <wp:extent cx="1270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-1794510</wp:posOffset>
            </wp:positionV>
            <wp:extent cx="1270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-1794510</wp:posOffset>
            </wp:positionV>
            <wp:extent cx="1270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-1132840</wp:posOffset>
            </wp:positionV>
            <wp:extent cx="1270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-1132840</wp:posOffset>
            </wp:positionV>
            <wp:extent cx="1270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-1132840</wp:posOffset>
            </wp:positionV>
            <wp:extent cx="1270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-1132840</wp:posOffset>
            </wp:positionV>
            <wp:extent cx="1270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-1132840</wp:posOffset>
            </wp:positionV>
            <wp:extent cx="1270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-1132840</wp:posOffset>
            </wp:positionV>
            <wp:extent cx="1270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-1132840</wp:posOffset>
            </wp:positionV>
            <wp:extent cx="1270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-1132840</wp:posOffset>
            </wp:positionV>
            <wp:extent cx="1270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-1132840</wp:posOffset>
            </wp:positionV>
            <wp:extent cx="1270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-1132840</wp:posOffset>
            </wp:positionV>
            <wp:extent cx="1270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-1132840</wp:posOffset>
            </wp:positionV>
            <wp:extent cx="1270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-1132840</wp:posOffset>
            </wp:positionV>
            <wp:extent cx="1270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-1132840</wp:posOffset>
            </wp:positionV>
            <wp:extent cx="1270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-1132840</wp:posOffset>
            </wp:positionV>
            <wp:extent cx="1270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-470535</wp:posOffset>
            </wp:positionV>
            <wp:extent cx="1270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-470535</wp:posOffset>
            </wp:positionV>
            <wp:extent cx="1270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-13335</wp:posOffset>
            </wp:positionV>
            <wp:extent cx="1270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85" w:lineRule="exact"/>
        <w:rPr>
          <w:sz w:val="20"/>
          <w:szCs w:val="20"/>
          <w:color w:val="auto"/>
        </w:rPr>
      </w:pPr>
    </w:p>
    <w:p>
      <w:pPr>
        <w:ind w:left="501" w:hanging="501"/>
        <w:spacing w:after="0"/>
        <w:tabs>
          <w:tab w:leader="none" w:pos="501" w:val="left"/>
        </w:tabs>
        <w:numPr>
          <w:ilvl w:val="0"/>
          <w:numId w:val="8"/>
        </w:numPr>
        <w:rPr>
          <w:rFonts w:ascii="Arial" w:cs="Arial" w:eastAsia="Arial" w:hAnsi="Arial"/>
          <w:sz w:val="25"/>
          <w:szCs w:val="25"/>
          <w:color w:val="auto"/>
          <w:vertAlign w:val="subscript"/>
        </w:rPr>
      </w:pPr>
      <w:r>
        <w:rPr>
          <w:rFonts w:ascii="Arial" w:cs="Arial" w:eastAsia="Arial" w:hAnsi="Arial"/>
          <w:sz w:val="12"/>
          <w:szCs w:val="12"/>
          <w:color w:val="auto"/>
        </w:rPr>
        <w:t>For the calculation of funds available for distribution, the FFO Diluted was used for 3Q01.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SELECTED FINANCIAL DATA</w:t>
      </w:r>
    </w:p>
    <w:p>
      <w:pPr>
        <w:spacing w:after="0" w:line="2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Capitalization Analysis</w:t>
      </w:r>
    </w:p>
    <w:p>
      <w:pPr>
        <w:ind w:left="1"/>
        <w:spacing w:after="0" w:line="233" w:lineRule="auto"/>
        <w:rPr>
          <w:sz w:val="20"/>
          <w:szCs w:val="20"/>
          <w:color w:val="auto"/>
        </w:rPr>
      </w:pPr>
      <w:r>
        <w:rPr>
          <w:rFonts w:ascii="Arial" w:cs="Arial" w:eastAsia="Arial" w:hAnsi="Arial"/>
          <w:sz w:val="20"/>
          <w:szCs w:val="20"/>
          <w:b w:val="1"/>
          <w:bCs w:val="1"/>
          <w:color w:val="auto"/>
        </w:rPr>
        <w:t>Unaudited</w:t>
      </w:r>
    </w:p>
    <w:p>
      <w:pPr>
        <w:ind w:left="1"/>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920" w:type="dxa"/>
            <w:vAlign w:val="bottom"/>
            <w:gridSpan w:val="3"/>
          </w:tcPr>
          <w:p>
            <w:pPr>
              <w:ind w:left="1000"/>
              <w:spacing w:after="0"/>
              <w:rPr>
                <w:sz w:val="20"/>
                <w:szCs w:val="20"/>
                <w:color w:val="auto"/>
              </w:rPr>
            </w:pPr>
            <w:r>
              <w:rPr>
                <w:rFonts w:ascii="Arial" w:cs="Arial" w:eastAsia="Arial" w:hAnsi="Arial"/>
                <w:sz w:val="12"/>
                <w:szCs w:val="12"/>
                <w:b w:val="1"/>
                <w:bCs w:val="1"/>
                <w:color w:val="auto"/>
              </w:rPr>
              <w:t>September 30,</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gridSpan w:val="2"/>
            <w:vMerge w:val="restart"/>
          </w:tcPr>
          <w:p>
            <w:pPr>
              <w:ind w:left="820"/>
              <w:spacing w:after="0"/>
              <w:rPr>
                <w:sz w:val="20"/>
                <w:szCs w:val="20"/>
                <w:color w:val="auto"/>
              </w:rPr>
            </w:pPr>
            <w:r>
              <w:rPr>
                <w:rFonts w:ascii="Arial" w:cs="Arial" w:eastAsia="Arial" w:hAnsi="Arial"/>
                <w:sz w:val="12"/>
                <w:szCs w:val="12"/>
                <w:b w:val="1"/>
                <w:bCs w:val="1"/>
                <w:color w:val="auto"/>
              </w:rPr>
              <w:t>June 30,</w:t>
            </w:r>
          </w:p>
        </w:tc>
        <w:tc>
          <w:tcPr>
            <w:tcW w:w="1380" w:type="dxa"/>
            <w:vAlign w:val="bottom"/>
            <w:gridSpan w:val="2"/>
            <w:vMerge w:val="restart"/>
          </w:tcPr>
          <w:p>
            <w:pPr>
              <w:ind w:left="7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2002</w:t>
            </w: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 Capitalization</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600" w:type="dxa"/>
            <w:vAlign w:val="bottom"/>
            <w:gridSpan w:val="2"/>
          </w:tcPr>
          <w:p>
            <w:pPr>
              <w:spacing w:after="0"/>
              <w:rPr>
                <w:sz w:val="20"/>
                <w:szCs w:val="20"/>
                <w:color w:val="auto"/>
              </w:rPr>
            </w:pPr>
            <w:r>
              <w:rPr>
                <w:rFonts w:ascii="Arial" w:cs="Arial" w:eastAsia="Arial" w:hAnsi="Arial"/>
                <w:sz w:val="16"/>
                <w:szCs w:val="16"/>
                <w:color w:val="auto"/>
              </w:rPr>
              <w:t>Common Equity:</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Shares Outstanding</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30,376</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OP Units Outstanding</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2,166</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2,213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Common Equity (Shares and Units)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32,542</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32,223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Share Price (End of Period)</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30.74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35.65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Market Value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1,000,329</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1,015,669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1,159,338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1,085,745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5600" w:type="dxa"/>
            <w:vAlign w:val="bottom"/>
            <w:gridSpan w:val="2"/>
          </w:tcPr>
          <w:p>
            <w:pPr>
              <w:spacing w:after="0"/>
              <w:rPr>
                <w:sz w:val="20"/>
                <w:szCs w:val="20"/>
                <w:color w:val="auto"/>
              </w:rPr>
            </w:pPr>
            <w:r>
              <w:rPr>
                <w:rFonts w:ascii="Arial" w:cs="Arial" w:eastAsia="Arial" w:hAnsi="Arial"/>
                <w:sz w:val="16"/>
                <w:szCs w:val="16"/>
                <w:color w:val="auto"/>
              </w:rPr>
              <w:t>Preferred Equity at Liquidation Value:</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115,000</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115,000</w:t>
            </w:r>
          </w:p>
        </w:tc>
        <w:tc>
          <w:tcPr>
            <w:tcW w:w="1260" w:type="dxa"/>
            <w:vAlign w:val="bottom"/>
          </w:tcPr>
          <w:p>
            <w:pPr>
              <w:jc w:val="right"/>
              <w:spacing w:after="0"/>
              <w:rPr>
                <w:sz w:val="20"/>
                <w:szCs w:val="20"/>
                <w:color w:val="auto"/>
              </w:rPr>
            </w:pPr>
            <w:r>
              <w:rPr>
                <w:rFonts w:ascii="Arial" w:cs="Arial" w:eastAsia="Arial" w:hAnsi="Arial"/>
                <w:sz w:val="16"/>
                <w:szCs w:val="16"/>
                <w:color w:val="auto"/>
              </w:rPr>
              <w:t>115,000</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Real Estate Debt</w:t>
            </w: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Property Level Mortgage Debt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395,800</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411,393</w:t>
            </w:r>
          </w:p>
        </w:tc>
        <w:tc>
          <w:tcPr>
            <w:tcW w:w="1260" w:type="dxa"/>
            <w:vAlign w:val="bottom"/>
          </w:tcPr>
          <w:p>
            <w:pPr>
              <w:jc w:val="right"/>
              <w:spacing w:after="0"/>
              <w:rPr>
                <w:sz w:val="20"/>
                <w:szCs w:val="20"/>
                <w:color w:val="auto"/>
              </w:rPr>
            </w:pPr>
            <w:r>
              <w:rPr>
                <w:rFonts w:ascii="Arial" w:cs="Arial" w:eastAsia="Arial" w:hAnsi="Arial"/>
                <w:sz w:val="16"/>
                <w:szCs w:val="16"/>
                <w:color w:val="auto"/>
              </w:rPr>
              <w:t>397,371</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408,186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Company's portion of Joint Venture Mortgages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396,513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263,478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396,650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225,133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Outstanding Balance on—Secured Credit Line</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30,931</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19,738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33,931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Balance on—Unsecured Credit Line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143,000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580" w:type="dxa"/>
            <w:vAlign w:val="bottom"/>
          </w:tcPr>
          <w:p>
            <w:pPr>
              <w:ind w:left="220"/>
              <w:spacing w:after="0"/>
              <w:rPr>
                <w:sz w:val="20"/>
                <w:szCs w:val="20"/>
                <w:color w:val="auto"/>
              </w:rPr>
            </w:pPr>
            <w:r>
              <w:rPr>
                <w:rFonts w:ascii="Arial" w:cs="Arial" w:eastAsia="Arial" w:hAnsi="Arial"/>
                <w:sz w:val="16"/>
                <w:szCs w:val="16"/>
                <w:b w:val="1"/>
                <w:bCs w:val="1"/>
                <w:color w:val="auto"/>
              </w:rPr>
              <w:t>Total Combined Debt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966,244</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747,609</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991,952</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720,250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Market Cap (Debt &amp; Equity)</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2,081,572</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1,878,278</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2,266,290</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1,920,995</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Lines of Credit Availability</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Senior Unsecured Line of Credit Maximum Line Available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300,000</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Letters of Credit issued</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Balance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143,000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Net Line Availability</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152,000</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242,000</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131,000</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Secured Line of Credit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Maximum Line Available</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75,000</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Balance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30,931</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Net Line Availability</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44,069</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40,262</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41,069</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40,069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Availability under Lines of Credit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196,069</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282,262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172,069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258,069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Ratio Analysis</w:t>
            </w: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6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808080"/>
            </w:tcBorders>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8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-6208395</wp:posOffset>
            </wp:positionV>
            <wp:extent cx="1270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-6208395</wp:posOffset>
            </wp:positionV>
            <wp:extent cx="1270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-5893435</wp:posOffset>
            </wp:positionV>
            <wp:extent cx="1270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-5893435</wp:posOffset>
            </wp:positionV>
            <wp:extent cx="1270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-5893435</wp:posOffset>
            </wp:positionV>
            <wp:extent cx="1270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-5893435</wp:posOffset>
            </wp:positionV>
            <wp:extent cx="1270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-5893435</wp:posOffset>
            </wp:positionV>
            <wp:extent cx="1270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-5893435</wp:posOffset>
            </wp:positionV>
            <wp:extent cx="1270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-5893435</wp:posOffset>
            </wp:positionV>
            <wp:extent cx="1270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-5893435</wp:posOffset>
            </wp:positionV>
            <wp:extent cx="1270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-5625465</wp:posOffset>
            </wp:positionV>
            <wp:extent cx="1270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-5625465</wp:posOffset>
            </wp:positionV>
            <wp:extent cx="1270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-5073650</wp:posOffset>
            </wp:positionV>
            <wp:extent cx="1270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-5073650</wp:posOffset>
            </wp:positionV>
            <wp:extent cx="1270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-5073650</wp:posOffset>
            </wp:positionV>
            <wp:extent cx="1270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-5073650</wp:posOffset>
            </wp:positionV>
            <wp:extent cx="1270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-5073650</wp:posOffset>
            </wp:positionV>
            <wp:extent cx="1270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-5073650</wp:posOffset>
            </wp:positionV>
            <wp:extent cx="1270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-5073650</wp:posOffset>
            </wp:positionV>
            <wp:extent cx="1270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-5073650</wp:posOffset>
            </wp:positionV>
            <wp:extent cx="1270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-4648200</wp:posOffset>
            </wp:positionV>
            <wp:extent cx="1270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-4648200</wp:posOffset>
            </wp:positionV>
            <wp:extent cx="1270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-4648200</wp:posOffset>
            </wp:positionV>
            <wp:extent cx="1270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-4648200</wp:posOffset>
            </wp:positionV>
            <wp:extent cx="1270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-4648200</wp:posOffset>
            </wp:positionV>
            <wp:extent cx="1270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-4648200</wp:posOffset>
            </wp:positionV>
            <wp:extent cx="1270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-4648200</wp:posOffset>
            </wp:positionV>
            <wp:extent cx="1270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-4648200</wp:posOffset>
            </wp:positionV>
            <wp:extent cx="1270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-3844290</wp:posOffset>
            </wp:positionV>
            <wp:extent cx="1270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-3844290</wp:posOffset>
            </wp:positionV>
            <wp:extent cx="1270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-3134995</wp:posOffset>
            </wp:positionV>
            <wp:extent cx="1270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-3134995</wp:posOffset>
            </wp:positionV>
            <wp:extent cx="1270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-3134995</wp:posOffset>
            </wp:positionV>
            <wp:extent cx="1270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-3134995</wp:posOffset>
            </wp:positionV>
            <wp:extent cx="1270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-3134995</wp:posOffset>
            </wp:positionV>
            <wp:extent cx="1270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-3134995</wp:posOffset>
            </wp:positionV>
            <wp:extent cx="1270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-3134995</wp:posOffset>
            </wp:positionV>
            <wp:extent cx="1270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-3134995</wp:posOffset>
            </wp:positionV>
            <wp:extent cx="1270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-2315845</wp:posOffset>
            </wp:positionV>
            <wp:extent cx="1270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-2315845</wp:posOffset>
            </wp:positionV>
            <wp:extent cx="1270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-1764030</wp:posOffset>
            </wp:positionV>
            <wp:extent cx="1270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-1764030</wp:posOffset>
            </wp:positionV>
            <wp:extent cx="1270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-1764030</wp:posOffset>
            </wp:positionV>
            <wp:extent cx="1270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-1764030</wp:posOffset>
            </wp:positionV>
            <wp:extent cx="1270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-1764030</wp:posOffset>
            </wp:positionV>
            <wp:extent cx="1270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-1764030</wp:posOffset>
            </wp:positionV>
            <wp:extent cx="1270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-1764030</wp:posOffset>
            </wp:positionV>
            <wp:extent cx="1270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-1764030</wp:posOffset>
            </wp:positionV>
            <wp:extent cx="1270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-1480185</wp:posOffset>
            </wp:positionV>
            <wp:extent cx="1270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-1480185</wp:posOffset>
            </wp:positionV>
            <wp:extent cx="1270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-1480185</wp:posOffset>
            </wp:positionV>
            <wp:extent cx="1270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-1480185</wp:posOffset>
            </wp:positionV>
            <wp:extent cx="1270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-1480185</wp:posOffset>
            </wp:positionV>
            <wp:extent cx="1270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-1480185</wp:posOffset>
            </wp:positionV>
            <wp:extent cx="1270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-1480185</wp:posOffset>
            </wp:positionV>
            <wp:extent cx="1270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-1480185</wp:posOffset>
            </wp:positionV>
            <wp:extent cx="1270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-928370</wp:posOffset>
            </wp:positionV>
            <wp:extent cx="1270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-928370</wp:posOffset>
            </wp:positionV>
            <wp:extent cx="1270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-928370</wp:posOffset>
            </wp:positionV>
            <wp:extent cx="1270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-928370</wp:posOffset>
            </wp:positionV>
            <wp:extent cx="1270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-928370</wp:posOffset>
            </wp:positionV>
            <wp:extent cx="1270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-928370</wp:posOffset>
            </wp:positionV>
            <wp:extent cx="1270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-928370</wp:posOffset>
            </wp:positionV>
            <wp:extent cx="1270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-928370</wp:posOffset>
            </wp:positionV>
            <wp:extent cx="1270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-645160</wp:posOffset>
            </wp:positionV>
            <wp:extent cx="1270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-645160</wp:posOffset>
            </wp:positionV>
            <wp:extent cx="1270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-645160</wp:posOffset>
            </wp:positionV>
            <wp:extent cx="1270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-645160</wp:posOffset>
            </wp:positionV>
            <wp:extent cx="1270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-645160</wp:posOffset>
            </wp:positionV>
            <wp:extent cx="1270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-645160</wp:posOffset>
            </wp:positionV>
            <wp:extent cx="1270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-645160</wp:posOffset>
            </wp:positionV>
            <wp:extent cx="1270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-645160</wp:posOffset>
            </wp:positionV>
            <wp:extent cx="1270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-361315</wp:posOffset>
            </wp:positionV>
            <wp:extent cx="1270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-361315</wp:posOffset>
            </wp:positionV>
            <wp:extent cx="1270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-361315</wp:posOffset>
            </wp:positionV>
            <wp:extent cx="1270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-361315</wp:posOffset>
            </wp:positionV>
            <wp:extent cx="1270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-361315</wp:posOffset>
            </wp:positionV>
            <wp:extent cx="1270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-361315</wp:posOffset>
            </wp:positionV>
            <wp:extent cx="1270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-361315</wp:posOffset>
            </wp:positionV>
            <wp:extent cx="1270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-361315</wp:posOffset>
            </wp:positionV>
            <wp:extent cx="1270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7160895</wp:posOffset>
            </wp:positionH>
            <wp:positionV relativeFrom="paragraph">
              <wp:posOffset>-93345</wp:posOffset>
            </wp:positionV>
            <wp:extent cx="1270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-93345</wp:posOffset>
            </wp:positionV>
            <wp:extent cx="1270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1"/>
          </w:cols>
          <w:pgMar w:left="239" w:top="138"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9"/>
        </w:trPr>
        <w:tc>
          <w:tcPr>
            <w:tcW w:w="50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Consolidated Basis</w:t>
            </w:r>
          </w:p>
        </w:tc>
        <w:tc>
          <w:tcPr>
            <w:tcW w:w="2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2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Debt to Market Cap Ratio</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33.81%</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29.98%</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31.84%</w:t>
            </w:r>
          </w:p>
        </w:tc>
        <w:tc>
          <w:tcPr>
            <w:tcW w:w="980" w:type="dxa"/>
            <w:vAlign w:val="bottom"/>
          </w:tcPr>
          <w:p>
            <w:pPr>
              <w:jc w:val="right"/>
              <w:spacing w:after="0"/>
              <w:rPr>
                <w:sz w:val="20"/>
                <w:szCs w:val="20"/>
                <w:color w:val="auto"/>
              </w:rPr>
            </w:pPr>
            <w:r>
              <w:rPr>
                <w:rFonts w:ascii="Arial" w:cs="Arial" w:eastAsia="Arial" w:hAnsi="Arial"/>
                <w:sz w:val="16"/>
                <w:szCs w:val="16"/>
                <w:color w:val="auto"/>
              </w:rPr>
              <w:t>29.20%</w:t>
            </w:r>
          </w:p>
        </w:tc>
      </w:tr>
      <w:tr>
        <w:trPr>
          <w:trHeight w:val="224"/>
        </w:trPr>
        <w:tc>
          <w:tcPr>
            <w:tcW w:w="2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to Gross Real Estate Book Ratio (1)</w:t>
            </w:r>
          </w:p>
        </w:tc>
        <w:tc>
          <w:tcPr>
            <w:tcW w:w="24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56.45%</w:t>
            </w:r>
          </w:p>
        </w:tc>
        <w:tc>
          <w:tcPr>
            <w:tcW w:w="14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48.31%</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56.97%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w:t>
            </w:r>
          </w:p>
        </w:tc>
      </w:tr>
      <w:tr>
        <w:trPr>
          <w:trHeight w:val="223"/>
        </w:trPr>
        <w:tc>
          <w:tcPr>
            <w:tcW w:w="2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Secured Real Estate Debt to Secured Assets Gross Book (1)</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67.68%</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67.51%</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68.48%</w:t>
            </w:r>
          </w:p>
        </w:tc>
        <w:tc>
          <w:tcPr>
            <w:tcW w:w="980" w:type="dxa"/>
            <w:vAlign w:val="bottom"/>
          </w:tcPr>
          <w:p>
            <w:pPr>
              <w:jc w:val="right"/>
              <w:spacing w:after="0"/>
              <w:rPr>
                <w:sz w:val="20"/>
                <w:szCs w:val="20"/>
                <w:color w:val="auto"/>
              </w:rPr>
            </w:pPr>
            <w:r>
              <w:rPr>
                <w:rFonts w:ascii="Arial" w:cs="Arial" w:eastAsia="Arial" w:hAnsi="Arial"/>
                <w:sz w:val="16"/>
                <w:szCs w:val="16"/>
                <w:color w:val="auto"/>
              </w:rPr>
              <w:t>66.04%</w:t>
            </w:r>
          </w:p>
        </w:tc>
      </w:tr>
      <w:tr>
        <w:trPr>
          <w:trHeight w:val="224"/>
        </w:trPr>
        <w:tc>
          <w:tcPr>
            <w:tcW w:w="2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Unsecured Debt to Unencumbered Assets-Gross Book Value (1)</w:t>
            </w:r>
          </w:p>
        </w:tc>
        <w:tc>
          <w:tcPr>
            <w:tcW w:w="24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39.29%</w:t>
            </w:r>
          </w:p>
        </w:tc>
        <w:tc>
          <w:tcPr>
            <w:tcW w:w="14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15.67%</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42.44%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r>
      <w:tr>
        <w:trPr>
          <w:trHeight w:val="222"/>
        </w:trPr>
        <w:tc>
          <w:tcPr>
            <w:tcW w:w="2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Secured Line of Credit to Structured Finance Assets (1)</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15.89%</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12.50%</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26.58%</w:t>
            </w:r>
          </w:p>
        </w:tc>
        <w:tc>
          <w:tcPr>
            <w:tcW w:w="980" w:type="dxa"/>
            <w:vAlign w:val="bottom"/>
          </w:tcPr>
          <w:p>
            <w:pPr>
              <w:jc w:val="right"/>
              <w:spacing w:after="0"/>
              <w:rPr>
                <w:sz w:val="20"/>
                <w:szCs w:val="20"/>
                <w:color w:val="auto"/>
              </w:rPr>
            </w:pPr>
            <w:r>
              <w:rPr>
                <w:rFonts w:ascii="Arial" w:cs="Arial" w:eastAsia="Arial" w:hAnsi="Arial"/>
                <w:sz w:val="16"/>
                <w:szCs w:val="16"/>
                <w:color w:val="auto"/>
              </w:rPr>
              <w:t>27.36%</w:t>
            </w:r>
          </w:p>
        </w:tc>
      </w:tr>
      <w:tr>
        <w:trPr>
          <w:trHeight w:val="200"/>
        </w:trPr>
        <w:tc>
          <w:tcPr>
            <w:tcW w:w="50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Joint Ventures Allocated</w:t>
            </w:r>
          </w:p>
        </w:tc>
        <w:tc>
          <w:tcPr>
            <w:tcW w:w="2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2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Combined Debt to Market Cap Ratio</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46.42%</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39.80%</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43.77%</w:t>
            </w:r>
          </w:p>
        </w:tc>
        <w:tc>
          <w:tcPr>
            <w:tcW w:w="980" w:type="dxa"/>
            <w:vAlign w:val="bottom"/>
          </w:tcPr>
          <w:p>
            <w:pPr>
              <w:jc w:val="right"/>
              <w:spacing w:after="0"/>
              <w:rPr>
                <w:sz w:val="20"/>
                <w:szCs w:val="20"/>
                <w:color w:val="auto"/>
              </w:rPr>
            </w:pPr>
            <w:r>
              <w:rPr>
                <w:rFonts w:ascii="Arial" w:cs="Arial" w:eastAsia="Arial" w:hAnsi="Arial"/>
                <w:sz w:val="16"/>
                <w:szCs w:val="16"/>
                <w:color w:val="auto"/>
              </w:rPr>
              <w:t>37.49%</w:t>
            </w:r>
          </w:p>
        </w:tc>
      </w:tr>
      <w:tr>
        <w:trPr>
          <w:trHeight w:val="224"/>
        </w:trPr>
        <w:tc>
          <w:tcPr>
            <w:tcW w:w="2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to Gross Real Estate Book Ratio (1)</w:t>
            </w:r>
          </w:p>
        </w:tc>
        <w:tc>
          <w:tcPr>
            <w:tcW w:w="24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60.34%</w:t>
            </w:r>
          </w:p>
        </w:tc>
        <w:tc>
          <w:tcPr>
            <w:tcW w:w="14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53.77%</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60.58%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w:t>
            </w:r>
          </w:p>
        </w:tc>
      </w:tr>
      <w:tr>
        <w:trPr>
          <w:trHeight w:val="222"/>
        </w:trPr>
        <w:tc>
          <w:tcPr>
            <w:tcW w:w="2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Secured Debt to Secured Assets Gross Book (1)</w:t>
            </w:r>
          </w:p>
        </w:tc>
        <w:tc>
          <w:tcPr>
            <w:tcW w:w="2460" w:type="dxa"/>
            <w:vAlign w:val="bottom"/>
          </w:tcPr>
          <w:p>
            <w:pPr>
              <w:jc w:val="right"/>
              <w:ind w:right="399"/>
              <w:spacing w:after="0"/>
              <w:rPr>
                <w:sz w:val="20"/>
                <w:szCs w:val="20"/>
                <w:color w:val="auto"/>
              </w:rPr>
            </w:pPr>
            <w:r>
              <w:rPr>
                <w:rFonts w:ascii="Arial" w:cs="Arial" w:eastAsia="Arial" w:hAnsi="Arial"/>
                <w:sz w:val="16"/>
                <w:szCs w:val="16"/>
                <w:color w:val="auto"/>
              </w:rPr>
              <w:t>67.13%</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67.38%</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67.50%</w:t>
            </w:r>
          </w:p>
        </w:tc>
        <w:tc>
          <w:tcPr>
            <w:tcW w:w="980" w:type="dxa"/>
            <w:vAlign w:val="bottom"/>
          </w:tcPr>
          <w:p>
            <w:pPr>
              <w:jc w:val="right"/>
              <w:spacing w:after="0"/>
              <w:rPr>
                <w:sz w:val="20"/>
                <w:szCs w:val="20"/>
                <w:color w:val="auto"/>
              </w:rPr>
            </w:pPr>
            <w:r>
              <w:rPr>
                <w:rFonts w:ascii="Arial" w:cs="Arial" w:eastAsia="Arial" w:hAnsi="Arial"/>
                <w:sz w:val="16"/>
                <w:szCs w:val="16"/>
                <w:color w:val="auto"/>
              </w:rPr>
              <w:t>47.58%</w:t>
            </w:r>
          </w:p>
        </w:tc>
      </w:tr>
      <w:tr>
        <w:trPr>
          <w:trHeight w:val="110"/>
        </w:trPr>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404"/>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4800" w:type="dxa"/>
            <w:vAlign w:val="bottom"/>
            <w:gridSpan w:val="2"/>
          </w:tcPr>
          <w:p>
            <w:pPr>
              <w:ind w:left="280"/>
              <w:spacing w:after="0"/>
              <w:rPr>
                <w:sz w:val="20"/>
                <w:szCs w:val="20"/>
                <w:color w:val="auto"/>
              </w:rPr>
            </w:pPr>
            <w:r>
              <w:rPr>
                <w:rFonts w:ascii="Arial" w:cs="Arial" w:eastAsia="Arial" w:hAnsi="Arial"/>
                <w:sz w:val="16"/>
                <w:szCs w:val="16"/>
                <w:color w:val="auto"/>
              </w:rPr>
              <w:t>Excludes property under capital lease</w:t>
            </w:r>
          </w:p>
        </w:tc>
        <w:tc>
          <w:tcPr>
            <w:tcW w:w="2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7"/>
        </w:trPr>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60" w:type="dxa"/>
            <w:vAlign w:val="bottom"/>
          </w:tcPr>
          <w:p>
            <w:pPr>
              <w:jc w:val="right"/>
              <w:ind w:right="1599"/>
              <w:spacing w:after="0"/>
              <w:rPr>
                <w:sz w:val="20"/>
                <w:szCs w:val="20"/>
                <w:color w:val="auto"/>
              </w:rPr>
            </w:pPr>
            <w:r>
              <w:rPr>
                <w:rFonts w:ascii="Arial" w:cs="Arial" w:eastAsia="Arial" w:hAnsi="Arial"/>
                <w:sz w:val="16"/>
                <w:szCs w:val="16"/>
                <w:color w:val="auto"/>
              </w:rPr>
              <w:t>18</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9"/>
        </w:trPr>
        <w:tc>
          <w:tcPr>
            <w:tcW w:w="2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35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r>
      <w:tr>
        <w:trPr>
          <w:trHeight w:val="203"/>
        </w:trPr>
        <w:tc>
          <w:tcPr>
            <w:tcW w:w="22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35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-809625</wp:posOffset>
            </wp:positionV>
            <wp:extent cx="1270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-809625</wp:posOffset>
            </wp:positionV>
            <wp:extent cx="1270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1270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DATA</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NOI and Coverage Ratios</w:t>
      </w:r>
    </w:p>
    <w:p>
      <w:pPr>
        <w:spacing w:after="0" w:line="233" w:lineRule="auto"/>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left="81"/>
              <w:spacing w:after="0"/>
              <w:rPr>
                <w:sz w:val="20"/>
                <w:szCs w:val="20"/>
                <w:color w:val="auto"/>
              </w:rPr>
            </w:pPr>
            <w:r>
              <w:rPr>
                <w:rFonts w:ascii="Arial" w:cs="Arial" w:eastAsia="Arial" w:hAnsi="Arial"/>
                <w:sz w:val="12"/>
                <w:szCs w:val="12"/>
                <w:b w:val="1"/>
                <w:bCs w:val="1"/>
                <w:color w:val="auto"/>
                <w:w w:val="94"/>
              </w:rPr>
              <w:t>Three Months 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6"/>
              </w:rPr>
              <w:t>Three Months Ended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center"/>
              <w:ind w:left="81"/>
              <w:spacing w:after="0"/>
              <w:rPr>
                <w:sz w:val="20"/>
                <w:szCs w:val="20"/>
                <w:color w:val="auto"/>
              </w:rPr>
            </w:pPr>
            <w:r>
              <w:rPr>
                <w:rFonts w:ascii="Arial" w:cs="Arial" w:eastAsia="Arial" w:hAnsi="Arial"/>
                <w:sz w:val="12"/>
                <w:szCs w:val="12"/>
                <w:b w:val="1"/>
                <w:bCs w:val="1"/>
                <w:color w:val="auto"/>
                <w:w w:val="92"/>
              </w:rPr>
              <w:t>September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1"/>
              </w:rPr>
              <w:t>June 30,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 Change</w:t>
            </w:r>
          </w:p>
        </w:tc>
        <w:tc>
          <w:tcPr>
            <w:tcW w:w="102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2002</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80" w:type="dxa"/>
            <w:vAlign w:val="bottom"/>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Funds from operations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6,641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30,504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6"/>
                <w:szCs w:val="16"/>
                <w:color w:val="auto"/>
              </w:rPr>
              <w:t>Less:</w:t>
            </w:r>
          </w:p>
        </w:tc>
        <w:tc>
          <w:tcPr>
            <w:tcW w:w="4120" w:type="dxa"/>
            <w:vAlign w:val="bottom"/>
          </w:tcPr>
          <w:p>
            <w:pPr>
              <w:ind w:left="240"/>
              <w:spacing w:after="0"/>
              <w:rPr>
                <w:sz w:val="20"/>
                <w:szCs w:val="20"/>
                <w:color w:val="auto"/>
              </w:rPr>
            </w:pPr>
            <w:r>
              <w:rPr>
                <w:rFonts w:ascii="Arial" w:cs="Arial" w:eastAsia="Arial" w:hAnsi="Arial"/>
                <w:sz w:val="16"/>
                <w:szCs w:val="16"/>
                <w:color w:val="auto"/>
              </w:rPr>
              <w:t>Non - Building Revenue</w:t>
            </w:r>
          </w:p>
        </w:tc>
        <w:tc>
          <w:tcPr>
            <w:tcW w:w="800" w:type="dxa"/>
            <w:vAlign w:val="bottom"/>
          </w:tcPr>
          <w:p>
            <w:pPr>
              <w:jc w:val="right"/>
              <w:spacing w:after="0"/>
              <w:rPr>
                <w:sz w:val="20"/>
                <w:szCs w:val="20"/>
                <w:color w:val="auto"/>
              </w:rPr>
            </w:pPr>
            <w:r>
              <w:rPr>
                <w:rFonts w:ascii="Arial" w:cs="Arial" w:eastAsia="Arial" w:hAnsi="Arial"/>
                <w:sz w:val="16"/>
                <w:szCs w:val="16"/>
                <w:color w:val="auto"/>
              </w:rPr>
              <w:t>9,986</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6,354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3,632</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57%</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12,084</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(2,098)</w:t>
            </w:r>
          </w:p>
        </w:tc>
        <w:tc>
          <w:tcPr>
            <w:tcW w:w="3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 Reserve for Tenant Credit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542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Interest Expense (incl. Capital Lease Int.)</w:t>
            </w:r>
          </w:p>
        </w:tc>
        <w:tc>
          <w:tcPr>
            <w:tcW w:w="800" w:type="dxa"/>
            <w:vAlign w:val="bottom"/>
          </w:tcPr>
          <w:p>
            <w:pPr>
              <w:jc w:val="right"/>
              <w:spacing w:after="0"/>
              <w:rPr>
                <w:sz w:val="20"/>
                <w:szCs w:val="20"/>
                <w:color w:val="auto"/>
              </w:rPr>
            </w:pPr>
            <w:r>
              <w:rPr>
                <w:rFonts w:ascii="Arial" w:cs="Arial" w:eastAsia="Arial" w:hAnsi="Arial"/>
                <w:sz w:val="16"/>
                <w:szCs w:val="16"/>
                <w:color w:val="auto"/>
              </w:rPr>
              <w:t>9,776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(341)</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9,519</w:t>
            </w:r>
          </w:p>
        </w:tc>
        <w:tc>
          <w:tcPr>
            <w:tcW w:w="6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 Real Estate Depreciation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1,057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MG&amp;A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3,160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(956)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3,357</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(197)</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Dividend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2,300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Pr>
          <w:p>
            <w:pPr>
              <w:ind w:left="720"/>
              <w:spacing w:after="0"/>
              <w:rPr>
                <w:sz w:val="20"/>
                <w:szCs w:val="20"/>
                <w:color w:val="auto"/>
              </w:rPr>
            </w:pPr>
            <w:r>
              <w:rPr>
                <w:rFonts w:ascii="Arial" w:cs="Arial" w:eastAsia="Arial" w:hAnsi="Arial"/>
                <w:sz w:val="16"/>
                <w:szCs w:val="16"/>
                <w:b w:val="1"/>
                <w:bCs w:val="1"/>
                <w:color w:val="auto"/>
              </w:rPr>
              <w:t>GAAP NOI</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37,533</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35,236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2,297</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b w:val="1"/>
                <w:bCs w:val="1"/>
                <w:color w:val="auto"/>
              </w:rPr>
              <w:t>35,196</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adjustments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6"/>
                <w:szCs w:val="16"/>
                <w:color w:val="auto"/>
              </w:rPr>
              <w:t>Less:</w:t>
            </w:r>
          </w:p>
        </w:tc>
        <w:tc>
          <w:tcPr>
            <w:tcW w:w="4120" w:type="dxa"/>
            <w:vAlign w:val="bottom"/>
          </w:tcPr>
          <w:p>
            <w:pPr>
              <w:ind w:left="240"/>
              <w:spacing w:after="0"/>
              <w:rPr>
                <w:sz w:val="20"/>
                <w:szCs w:val="20"/>
                <w:color w:val="auto"/>
              </w:rPr>
            </w:pPr>
            <w:r>
              <w:rPr>
                <w:rFonts w:ascii="Arial" w:cs="Arial" w:eastAsia="Arial" w:hAnsi="Arial"/>
                <w:sz w:val="16"/>
                <w:szCs w:val="16"/>
                <w:color w:val="auto"/>
              </w:rPr>
              <w:t>Free Rent (Net of Amortization)</w:t>
            </w:r>
          </w:p>
        </w:tc>
        <w:tc>
          <w:tcPr>
            <w:tcW w:w="800" w:type="dxa"/>
            <w:vAlign w:val="bottom"/>
          </w:tcPr>
          <w:p>
            <w:pPr>
              <w:jc w:val="right"/>
              <w:spacing w:after="0"/>
              <w:rPr>
                <w:sz w:val="20"/>
                <w:szCs w:val="20"/>
                <w:color w:val="auto"/>
              </w:rPr>
            </w:pPr>
            <w:r>
              <w:rPr>
                <w:rFonts w:ascii="Arial" w:cs="Arial" w:eastAsia="Arial" w:hAnsi="Arial"/>
                <w:sz w:val="16"/>
                <w:szCs w:val="16"/>
                <w:color w:val="auto"/>
              </w:rPr>
              <w:t>765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627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454%</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880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(115)</w:t>
            </w:r>
          </w:p>
        </w:tc>
        <w:tc>
          <w:tcPr>
            <w:tcW w:w="3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Straightline Revenue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2,409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80" w:type="dxa"/>
            <w:vAlign w:val="bottom"/>
            <w:gridSpan w:val="2"/>
          </w:tcPr>
          <w:p>
            <w:pPr>
              <w:spacing w:after="0"/>
              <w:rPr>
                <w:sz w:val="20"/>
                <w:szCs w:val="20"/>
                <w:color w:val="auto"/>
              </w:rPr>
            </w:pPr>
            <w:r>
              <w:rPr>
                <w:rFonts w:ascii="Arial" w:cs="Arial" w:eastAsia="Arial" w:hAnsi="Arial"/>
                <w:sz w:val="16"/>
                <w:szCs w:val="16"/>
                <w:color w:val="auto"/>
              </w:rPr>
              <w:t>Plus:</w:t>
            </w:r>
          </w:p>
        </w:tc>
        <w:tc>
          <w:tcPr>
            <w:tcW w:w="4120" w:type="dxa"/>
            <w:vAlign w:val="bottom"/>
          </w:tcPr>
          <w:p>
            <w:pPr>
              <w:ind w:left="240"/>
              <w:spacing w:after="0"/>
              <w:rPr>
                <w:sz w:val="20"/>
                <w:szCs w:val="20"/>
                <w:color w:val="auto"/>
              </w:rPr>
            </w:pPr>
            <w:r>
              <w:rPr>
                <w:rFonts w:ascii="Arial" w:cs="Arial" w:eastAsia="Arial" w:hAnsi="Arial"/>
                <w:sz w:val="16"/>
                <w:szCs w:val="16"/>
                <w:color w:val="auto"/>
              </w:rPr>
              <w:t>Ground Lease Straight-line Adjustment</w:t>
            </w: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160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rPr>
              <w:t>Cash NOI</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34,333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33,374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b w:val="1"/>
                <w:bCs w:val="1"/>
                <w:color w:val="auto"/>
              </w:rPr>
              <w:t>32,069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Real Estate Revenue, net</w:t>
            </w:r>
          </w:p>
        </w:tc>
        <w:tc>
          <w:tcPr>
            <w:tcW w:w="800" w:type="dxa"/>
            <w:vAlign w:val="bottom"/>
          </w:tcPr>
          <w:p>
            <w:pPr>
              <w:jc w:val="right"/>
              <w:spacing w:after="0"/>
              <w:rPr>
                <w:sz w:val="20"/>
                <w:szCs w:val="20"/>
                <w:color w:val="auto"/>
              </w:rPr>
            </w:pPr>
            <w:r>
              <w:rPr>
                <w:rFonts w:ascii="Arial" w:cs="Arial" w:eastAsia="Arial" w:hAnsi="Arial"/>
                <w:sz w:val="16"/>
                <w:szCs w:val="16"/>
                <w:color w:val="auto"/>
              </w:rPr>
              <w:t>58,996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57,886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1,110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55,528</w:t>
            </w:r>
          </w:p>
        </w:tc>
        <w:tc>
          <w:tcPr>
            <w:tcW w:w="68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margins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GAAP NOI/Real Estate Revenue, net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63.62%</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60.87%</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38"/>
              <w:spacing w:after="0"/>
              <w:rPr>
                <w:sz w:val="20"/>
                <w:szCs w:val="20"/>
                <w:color w:val="auto"/>
              </w:rPr>
            </w:pPr>
            <w:r>
              <w:rPr>
                <w:rFonts w:ascii="Arial" w:cs="Arial" w:eastAsia="Arial" w:hAnsi="Arial"/>
                <w:sz w:val="16"/>
                <w:szCs w:val="16"/>
                <w:color w:val="auto"/>
              </w:rPr>
              <w:t>63.38%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NOI/Real Estate Revenue, net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57.66%</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57.37%</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GAAP NOI before Ground Rent/Real Estate Revenue,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net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68.97%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66.23%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8"/>
              <w:spacing w:after="0"/>
              <w:rPr>
                <w:sz w:val="20"/>
                <w:szCs w:val="20"/>
                <w:color w:val="auto"/>
              </w:rPr>
            </w:pPr>
            <w:r>
              <w:rPr>
                <w:rFonts w:ascii="Arial" w:cs="Arial" w:eastAsia="Arial" w:hAnsi="Arial"/>
                <w:sz w:val="16"/>
                <w:szCs w:val="16"/>
                <w:color w:val="auto"/>
              </w:rPr>
              <w:t>69.07%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NOI before Ground Rent/Real Estate Revenue,</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62.91%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62.77%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4700" w:type="dxa"/>
            <w:vAlign w:val="bottom"/>
            <w:gridSpan w:val="3"/>
          </w:tcPr>
          <w:p>
            <w:pPr>
              <w:spacing w:after="0"/>
              <w:rPr>
                <w:sz w:val="20"/>
                <w:szCs w:val="20"/>
                <w:color w:val="auto"/>
              </w:rPr>
            </w:pPr>
            <w:r>
              <w:rPr>
                <w:rFonts w:ascii="Arial" w:cs="Arial" w:eastAsia="Arial" w:hAnsi="Arial"/>
                <w:sz w:val="16"/>
                <w:szCs w:val="16"/>
                <w:b w:val="1"/>
                <w:bCs w:val="1"/>
                <w:color w:val="auto"/>
              </w:rPr>
              <w:t>Components of debt and fixed charges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on Fixed Rate Loans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5,718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Interest on Floating Rate Loans</w:t>
            </w:r>
          </w:p>
        </w:tc>
        <w:tc>
          <w:tcPr>
            <w:tcW w:w="800" w:type="dxa"/>
            <w:vAlign w:val="bottom"/>
          </w:tcPr>
          <w:p>
            <w:pPr>
              <w:jc w:val="right"/>
              <w:spacing w:after="0"/>
              <w:rPr>
                <w:sz w:val="20"/>
                <w:szCs w:val="20"/>
                <w:color w:val="auto"/>
              </w:rPr>
            </w:pPr>
            <w:r>
              <w:rPr>
                <w:rFonts w:ascii="Arial" w:cs="Arial" w:eastAsia="Arial" w:hAnsi="Arial"/>
                <w:sz w:val="16"/>
                <w:szCs w:val="16"/>
                <w:color w:val="auto"/>
              </w:rPr>
              <w:t>4,266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187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3,800</w:t>
            </w:r>
          </w:p>
        </w:tc>
        <w:tc>
          <w:tcPr>
            <w:tcW w:w="68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Amortization Principal Payments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1,643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Pr>
          <w:p>
            <w:pPr>
              <w:ind w:left="720"/>
              <w:spacing w:after="0"/>
              <w:rPr>
                <w:sz w:val="20"/>
                <w:szCs w:val="20"/>
                <w:color w:val="auto"/>
              </w:rPr>
            </w:pPr>
            <w:r>
              <w:rPr>
                <w:rFonts w:ascii="Arial" w:cs="Arial" w:eastAsia="Arial" w:hAnsi="Arial"/>
                <w:sz w:val="16"/>
                <w:szCs w:val="16"/>
                <w:b w:val="1"/>
                <w:bCs w:val="1"/>
                <w:color w:val="auto"/>
              </w:rPr>
              <w:t>Total Debt Service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11,177</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(136)</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b w:val="1"/>
                <w:bCs w:val="1"/>
                <w:color w:val="auto"/>
              </w:rPr>
              <w:t>11,161</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under Ground Lease Arrangements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2,999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20" w:type="dxa"/>
            <w:vAlign w:val="bottom"/>
          </w:tcPr>
          <w:p>
            <w:pPr>
              <w:ind w:left="240"/>
              <w:spacing w:after="0"/>
              <w:rPr>
                <w:sz w:val="20"/>
                <w:szCs w:val="20"/>
                <w:color w:val="auto"/>
              </w:rPr>
            </w:pPr>
            <w:r>
              <w:rPr>
                <w:rFonts w:ascii="Arial" w:cs="Arial" w:eastAsia="Arial" w:hAnsi="Arial"/>
                <w:sz w:val="16"/>
                <w:szCs w:val="16"/>
                <w:color w:val="auto"/>
              </w:rPr>
              <w:t>Preferred Stock Dividend</w:t>
            </w:r>
          </w:p>
        </w:tc>
        <w:tc>
          <w:tcPr>
            <w:tcW w:w="800" w:type="dxa"/>
            <w:vAlign w:val="bottom"/>
          </w:tcPr>
          <w:p>
            <w:pPr>
              <w:jc w:val="right"/>
              <w:spacing w:after="0"/>
              <w:rPr>
                <w:sz w:val="20"/>
                <w:szCs w:val="20"/>
                <w:color w:val="auto"/>
              </w:rPr>
            </w:pPr>
            <w:r>
              <w:rPr>
                <w:rFonts w:ascii="Arial" w:cs="Arial" w:eastAsia="Arial" w:hAnsi="Arial"/>
                <w:sz w:val="16"/>
                <w:szCs w:val="16"/>
                <w:color w:val="auto"/>
              </w:rPr>
              <w:t>2,300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2,300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12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rPr>
              <w:t>Total Fixed Charges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16,576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16,654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w:t>
            </w: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b w:val="1"/>
                <w:bCs w:val="1"/>
                <w:color w:val="auto"/>
              </w:rPr>
              <w:t>16,460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116</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70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800" w:type="dxa"/>
            <w:vAlign w:val="bottom"/>
          </w:tcPr>
          <w:p>
            <w:pPr>
              <w:jc w:val="right"/>
              <w:spacing w:after="0"/>
              <w:rPr>
                <w:sz w:val="20"/>
                <w:szCs w:val="20"/>
                <w:color w:val="auto"/>
              </w:rPr>
            </w:pPr>
            <w:r>
              <w:rPr>
                <w:rFonts w:ascii="Arial" w:cs="Arial" w:eastAsia="Arial" w:hAnsi="Arial"/>
                <w:sz w:val="16"/>
                <w:szCs w:val="16"/>
                <w:color w:val="auto"/>
              </w:rPr>
              <w:t>44,436</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39,003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42,822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Coverage Ratio</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4.50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Debt Service Coverage ratio</w:t>
            </w:r>
          </w:p>
        </w:tc>
        <w:tc>
          <w:tcPr>
            <w:tcW w:w="800" w:type="dxa"/>
            <w:vAlign w:val="bottom"/>
          </w:tcPr>
          <w:p>
            <w:pPr>
              <w:jc w:val="right"/>
              <w:spacing w:after="0"/>
              <w:rPr>
                <w:sz w:val="20"/>
                <w:szCs w:val="20"/>
                <w:color w:val="auto"/>
              </w:rPr>
            </w:pPr>
            <w:r>
              <w:rPr>
                <w:rFonts w:ascii="Arial" w:cs="Arial" w:eastAsia="Arial" w:hAnsi="Arial"/>
                <w:sz w:val="16"/>
                <w:szCs w:val="16"/>
                <w:color w:val="auto"/>
              </w:rPr>
              <w:t>3.98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3.84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Charge Coverage ratio</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2.60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-6341110</wp:posOffset>
            </wp:positionV>
            <wp:extent cx="1270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-6341110</wp:posOffset>
            </wp:positionV>
            <wp:extent cx="1270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-6341110</wp:posOffset>
            </wp:positionV>
            <wp:extent cx="1270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-6341110</wp:posOffset>
            </wp:positionV>
            <wp:extent cx="1270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-6113145</wp:posOffset>
            </wp:positionV>
            <wp:extent cx="1270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-6113145</wp:posOffset>
            </wp:positionV>
            <wp:extent cx="1270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-6113145</wp:posOffset>
            </wp:positionV>
            <wp:extent cx="1270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-6113145</wp:posOffset>
            </wp:positionV>
            <wp:extent cx="1270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-6113145</wp:posOffset>
            </wp:positionV>
            <wp:extent cx="1270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-6113145</wp:posOffset>
            </wp:positionV>
            <wp:extent cx="1270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-6113145</wp:posOffset>
            </wp:positionV>
            <wp:extent cx="1270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-6113145</wp:posOffset>
            </wp:positionV>
            <wp:extent cx="1270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-6113145</wp:posOffset>
            </wp:positionV>
            <wp:extent cx="1270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-6113145</wp:posOffset>
            </wp:positionV>
            <wp:extent cx="1270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-6113145</wp:posOffset>
            </wp:positionV>
            <wp:extent cx="1270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-6113145</wp:posOffset>
            </wp:positionV>
            <wp:extent cx="1270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-6113145</wp:posOffset>
            </wp:positionV>
            <wp:extent cx="1270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-6113145</wp:posOffset>
            </wp:positionV>
            <wp:extent cx="1270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-5845175</wp:posOffset>
            </wp:positionV>
            <wp:extent cx="1270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-5845175</wp:posOffset>
            </wp:positionV>
            <wp:extent cx="1270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-4820285</wp:posOffset>
            </wp:positionV>
            <wp:extent cx="1270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-4820285</wp:posOffset>
            </wp:positionV>
            <wp:extent cx="1270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-4820285</wp:posOffset>
            </wp:positionV>
            <wp:extent cx="1270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-4820285</wp:posOffset>
            </wp:positionV>
            <wp:extent cx="1270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-4820285</wp:posOffset>
            </wp:positionV>
            <wp:extent cx="1270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-4820285</wp:posOffset>
            </wp:positionV>
            <wp:extent cx="1270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-4820285</wp:posOffset>
            </wp:positionV>
            <wp:extent cx="1270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-4820285</wp:posOffset>
            </wp:positionV>
            <wp:extent cx="1270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-4820285</wp:posOffset>
            </wp:positionV>
            <wp:extent cx="1270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-4820285</wp:posOffset>
            </wp:positionV>
            <wp:extent cx="1270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-4820285</wp:posOffset>
            </wp:positionV>
            <wp:extent cx="1270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-4820285</wp:posOffset>
            </wp:positionV>
            <wp:extent cx="1270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-4820285</wp:posOffset>
            </wp:positionV>
            <wp:extent cx="1270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-4820285</wp:posOffset>
            </wp:positionV>
            <wp:extent cx="1270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-4426585</wp:posOffset>
            </wp:positionV>
            <wp:extent cx="1270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-4426585</wp:posOffset>
            </wp:positionV>
            <wp:extent cx="1270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-3780155</wp:posOffset>
            </wp:positionV>
            <wp:extent cx="1270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-3780155</wp:posOffset>
            </wp:positionV>
            <wp:extent cx="1270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-3780155</wp:posOffset>
            </wp:positionV>
            <wp:extent cx="1270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-3780155</wp:posOffset>
            </wp:positionV>
            <wp:extent cx="1270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-3780155</wp:posOffset>
            </wp:positionV>
            <wp:extent cx="1270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-3780155</wp:posOffset>
            </wp:positionV>
            <wp:extent cx="1270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-3780155</wp:posOffset>
            </wp:positionV>
            <wp:extent cx="1270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-3780155</wp:posOffset>
            </wp:positionV>
            <wp:extent cx="1270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-3780155</wp:posOffset>
            </wp:positionV>
            <wp:extent cx="1270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-3780155</wp:posOffset>
            </wp:positionV>
            <wp:extent cx="1270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-3780155</wp:posOffset>
            </wp:positionV>
            <wp:extent cx="1270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-3780155</wp:posOffset>
            </wp:positionV>
            <wp:extent cx="1270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-3780155</wp:posOffset>
            </wp:positionV>
            <wp:extent cx="1270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-3780155</wp:posOffset>
            </wp:positionV>
            <wp:extent cx="1270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-3260090</wp:posOffset>
            </wp:positionV>
            <wp:extent cx="1270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-3260090</wp:posOffset>
            </wp:positionV>
            <wp:extent cx="1270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-1967865</wp:posOffset>
            </wp:positionV>
            <wp:extent cx="1270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-1967865</wp:posOffset>
            </wp:positionV>
            <wp:extent cx="1270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-1447800</wp:posOffset>
            </wp:positionV>
            <wp:extent cx="1270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-1447800</wp:posOffset>
            </wp:positionV>
            <wp:extent cx="1270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-1447800</wp:posOffset>
            </wp:positionV>
            <wp:extent cx="1270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-1447800</wp:posOffset>
            </wp:positionV>
            <wp:extent cx="1270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-1447800</wp:posOffset>
            </wp:positionV>
            <wp:extent cx="1270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-1447800</wp:posOffset>
            </wp:positionV>
            <wp:extent cx="1270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-1447800</wp:posOffset>
            </wp:positionV>
            <wp:extent cx="1270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-1447800</wp:posOffset>
            </wp:positionV>
            <wp:extent cx="1270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-1447800</wp:posOffset>
            </wp:positionV>
            <wp:extent cx="1270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-1447800</wp:posOffset>
            </wp:positionV>
            <wp:extent cx="1270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-1447800</wp:posOffset>
            </wp:positionV>
            <wp:extent cx="1270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-1447800</wp:posOffset>
            </wp:positionV>
            <wp:extent cx="1270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-1447800</wp:posOffset>
            </wp:positionV>
            <wp:extent cx="1270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-1447800</wp:posOffset>
            </wp:positionV>
            <wp:extent cx="1270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-927735</wp:posOffset>
            </wp:positionV>
            <wp:extent cx="1270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-927735</wp:posOffset>
            </wp:positionV>
            <wp:extent cx="1270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-927735</wp:posOffset>
            </wp:positionV>
            <wp:extent cx="1270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-927735</wp:posOffset>
            </wp:positionV>
            <wp:extent cx="1270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-927735</wp:posOffset>
            </wp:positionV>
            <wp:extent cx="1270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-927735</wp:posOffset>
            </wp:positionV>
            <wp:extent cx="1270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-927735</wp:posOffset>
            </wp:positionV>
            <wp:extent cx="1270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-927735</wp:posOffset>
            </wp:positionV>
            <wp:extent cx="1270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-927735</wp:posOffset>
            </wp:positionV>
            <wp:extent cx="1270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-927735</wp:posOffset>
            </wp:positionV>
            <wp:extent cx="1270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-927735</wp:posOffset>
            </wp:positionV>
            <wp:extent cx="1270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-927735</wp:posOffset>
            </wp:positionV>
            <wp:extent cx="1270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-927735</wp:posOffset>
            </wp:positionV>
            <wp:extent cx="1270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-927735</wp:posOffset>
            </wp:positionV>
            <wp:extent cx="1270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-659765</wp:posOffset>
            </wp:positionV>
            <wp:extent cx="1270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-659765</wp:posOffset>
            </wp:positionV>
            <wp:extent cx="1270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-13335</wp:posOffset>
            </wp:positionV>
            <wp:extent cx="1270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0" w:right="239" w:bottom="333"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62495" cy="203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295275</wp:posOffset>
            </wp:positionV>
            <wp:extent cx="7262495" cy="203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0" w:right="239" w:bottom="333"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SELECTED FINANCIAL DATA</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2002 Same Store</w:t>
      </w:r>
    </w:p>
    <w:p>
      <w:pPr>
        <w:spacing w:after="0" w:line="233" w:lineRule="auto"/>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262495" cy="203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920" w:type="dxa"/>
            <w:vAlign w:val="bottom"/>
            <w:gridSpan w:val="6"/>
          </w:tcPr>
          <w:p>
            <w:pPr>
              <w:jc w:val="right"/>
              <w:ind w:right="160"/>
              <w:spacing w:after="0"/>
              <w:rPr>
                <w:sz w:val="20"/>
                <w:szCs w:val="20"/>
                <w:color w:val="auto"/>
              </w:rPr>
            </w:pPr>
            <w:r>
              <w:rPr>
                <w:rFonts w:ascii="Arial" w:cs="Arial" w:eastAsia="Arial" w:hAnsi="Arial"/>
                <w:sz w:val="12"/>
                <w:szCs w:val="12"/>
                <w:b w:val="1"/>
                <w:bCs w:val="1"/>
                <w:color w:val="auto"/>
              </w:rPr>
              <w:t>Three Months Ended September 30,</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Three Months Ended June 30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880" w:type="dxa"/>
            <w:vAlign w:val="bottom"/>
          </w:tcPr>
          <w:p>
            <w:pPr>
              <w:jc w:val="right"/>
              <w:ind w:right="241"/>
              <w:spacing w:after="0"/>
              <w:rPr>
                <w:sz w:val="20"/>
                <w:szCs w:val="20"/>
                <w:color w:val="auto"/>
              </w:rPr>
            </w:pPr>
            <w:r>
              <w:rPr>
                <w:rFonts w:ascii="Arial" w:cs="Arial" w:eastAsia="Arial" w:hAnsi="Arial"/>
                <w:sz w:val="12"/>
                <w:szCs w:val="12"/>
                <w:b w:val="1"/>
                <w:bCs w:val="1"/>
                <w:color w:val="auto"/>
              </w:rPr>
              <w:t>2002</w:t>
            </w:r>
          </w:p>
        </w:tc>
        <w:tc>
          <w:tcPr>
            <w:tcW w:w="200" w:type="dxa"/>
            <w:vAlign w:val="bottom"/>
          </w:tcPr>
          <w:p>
            <w:pPr>
              <w:spacing w:after="0"/>
              <w:rPr>
                <w:sz w:val="21"/>
                <w:szCs w:val="21"/>
                <w:color w:val="auto"/>
              </w:rPr>
            </w:pPr>
          </w:p>
        </w:tc>
        <w:tc>
          <w:tcPr>
            <w:tcW w:w="880" w:type="dxa"/>
            <w:vAlign w:val="bottom"/>
          </w:tcPr>
          <w:p>
            <w:pPr>
              <w:jc w:val="right"/>
              <w:ind w:right="240"/>
              <w:spacing w:after="0"/>
              <w:rPr>
                <w:sz w:val="20"/>
                <w:szCs w:val="20"/>
                <w:color w:val="auto"/>
              </w:rPr>
            </w:pPr>
            <w:r>
              <w:rPr>
                <w:rFonts w:ascii="Arial" w:cs="Arial" w:eastAsia="Arial" w:hAnsi="Arial"/>
                <w:sz w:val="12"/>
                <w:szCs w:val="12"/>
                <w:b w:val="1"/>
                <w:bCs w:val="1"/>
                <w:color w:val="auto"/>
              </w:rPr>
              <w:t>2001</w:t>
            </w:r>
          </w:p>
        </w:tc>
        <w:tc>
          <w:tcPr>
            <w:tcW w:w="200" w:type="dxa"/>
            <w:vAlign w:val="bottom"/>
          </w:tcPr>
          <w:p>
            <w:pPr>
              <w:spacing w:after="0"/>
              <w:rPr>
                <w:sz w:val="21"/>
                <w:szCs w:val="21"/>
                <w:color w:val="auto"/>
              </w:rPr>
            </w:pPr>
          </w:p>
        </w:tc>
        <w:tc>
          <w:tcPr>
            <w:tcW w:w="6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 Change</w:t>
            </w:r>
          </w:p>
        </w:tc>
        <w:tc>
          <w:tcPr>
            <w:tcW w:w="880" w:type="dxa"/>
            <w:vAlign w:val="bottom"/>
          </w:tcPr>
          <w:p>
            <w:pPr>
              <w:jc w:val="right"/>
              <w:ind w:right="241"/>
              <w:spacing w:after="0"/>
              <w:rPr>
                <w:sz w:val="20"/>
                <w:szCs w:val="20"/>
                <w:color w:val="auto"/>
              </w:rPr>
            </w:pPr>
            <w:r>
              <w:rPr>
                <w:rFonts w:ascii="Arial" w:cs="Arial" w:eastAsia="Arial" w:hAnsi="Arial"/>
                <w:sz w:val="12"/>
                <w:szCs w:val="12"/>
                <w:b w:val="1"/>
                <w:bCs w:val="1"/>
                <w:color w:val="auto"/>
              </w:rPr>
              <w:t>2002</w:t>
            </w:r>
          </w:p>
        </w:tc>
        <w:tc>
          <w:tcPr>
            <w:tcW w:w="200" w:type="dxa"/>
            <w:vAlign w:val="bottom"/>
          </w:tcPr>
          <w:p>
            <w:pPr>
              <w:spacing w:after="0"/>
              <w:rPr>
                <w:sz w:val="21"/>
                <w:szCs w:val="21"/>
                <w:color w:val="auto"/>
              </w:rPr>
            </w:pPr>
          </w:p>
        </w:tc>
        <w:tc>
          <w:tcPr>
            <w:tcW w:w="6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 Change</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7"/>
              </w:rPr>
              <w:t>Revenues</w:t>
            </w:r>
          </w:p>
        </w:tc>
        <w:tc>
          <w:tcPr>
            <w:tcW w:w="3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Rental Revenue</w:t>
            </w:r>
          </w:p>
        </w:tc>
        <w:tc>
          <w:tcPr>
            <w:tcW w:w="880" w:type="dxa"/>
            <w:vAlign w:val="bottom"/>
          </w:tcPr>
          <w:p>
            <w:pPr>
              <w:jc w:val="right"/>
              <w:spacing w:after="0"/>
              <w:rPr>
                <w:sz w:val="20"/>
                <w:szCs w:val="20"/>
                <w:color w:val="auto"/>
              </w:rPr>
            </w:pPr>
            <w:r>
              <w:rPr>
                <w:rFonts w:ascii="Arial" w:cs="Arial" w:eastAsia="Arial" w:hAnsi="Arial"/>
                <w:sz w:val="16"/>
                <w:szCs w:val="16"/>
                <w:color w:val="auto"/>
              </w:rPr>
              <w:t>41,728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40,105</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1,623</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40,857</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871</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Signage Rent</w:t>
            </w: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372</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(181)</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-49%</w:t>
            </w: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Escalation &amp; Reimbursement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Investment &amp; Other Income</w:t>
            </w:r>
          </w:p>
        </w:tc>
        <w:tc>
          <w:tcPr>
            <w:tcW w:w="880" w:type="dxa"/>
            <w:vAlign w:val="bottom"/>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665</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(403)</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-61%</w:t>
            </w:r>
          </w:p>
        </w:tc>
        <w:tc>
          <w:tcPr>
            <w:tcW w:w="880" w:type="dxa"/>
            <w:vAlign w:val="bottom"/>
          </w:tcPr>
          <w:p>
            <w:pPr>
              <w:jc w:val="right"/>
              <w:spacing w:after="0"/>
              <w:rPr>
                <w:sz w:val="20"/>
                <w:szCs w:val="20"/>
                <w:color w:val="auto"/>
              </w:rPr>
            </w:pPr>
            <w:r>
              <w:rPr>
                <w:rFonts w:ascii="Arial" w:cs="Arial" w:eastAsia="Arial" w:hAnsi="Arial"/>
                <w:sz w:val="16"/>
                <w:szCs w:val="16"/>
                <w:color w:val="auto"/>
              </w:rPr>
              <w:t>574</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(312)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48,690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47,869</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46,331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2,359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6"/>
                <w:szCs w:val="16"/>
                <w:b w:val="1"/>
                <w:bCs w:val="1"/>
                <w:color w:val="auto"/>
                <w:w w:val="88"/>
              </w:rPr>
              <w:t>Expenses</w:t>
            </w:r>
          </w:p>
        </w:tc>
        <w:tc>
          <w:tcPr>
            <w:tcW w:w="3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12,375</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Ground Rent</w:t>
            </w:r>
          </w:p>
        </w:tc>
        <w:tc>
          <w:tcPr>
            <w:tcW w:w="880" w:type="dxa"/>
            <w:vAlign w:val="bottom"/>
          </w:tcPr>
          <w:p>
            <w:pPr>
              <w:jc w:val="right"/>
              <w:spacing w:after="0"/>
              <w:rPr>
                <w:sz w:val="20"/>
                <w:szCs w:val="20"/>
                <w:color w:val="auto"/>
              </w:rPr>
            </w:pPr>
            <w:r>
              <w:rPr>
                <w:rFonts w:ascii="Arial" w:cs="Arial" w:eastAsia="Arial" w:hAnsi="Arial"/>
                <w:sz w:val="16"/>
                <w:szCs w:val="16"/>
                <w:color w:val="auto"/>
              </w:rPr>
              <w:t>3,159</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3,101</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3,159</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Real Estate Taxes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6,114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22,644</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21,589</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1,055</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20,195</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2,449</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EBITDA</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26,046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26,280</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26,136</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Interest</w:t>
            </w:r>
          </w:p>
        </w:tc>
        <w:tc>
          <w:tcPr>
            <w:tcW w:w="880" w:type="dxa"/>
            <w:vAlign w:val="bottom"/>
          </w:tcPr>
          <w:p>
            <w:pPr>
              <w:jc w:val="right"/>
              <w:spacing w:after="0"/>
              <w:rPr>
                <w:sz w:val="20"/>
                <w:szCs w:val="20"/>
                <w:color w:val="auto"/>
              </w:rPr>
            </w:pPr>
            <w:r>
              <w:rPr>
                <w:rFonts w:ascii="Arial" w:cs="Arial" w:eastAsia="Arial" w:hAnsi="Arial"/>
                <w:sz w:val="16"/>
                <w:szCs w:val="16"/>
                <w:color w:val="auto"/>
              </w:rPr>
              <w:t>6,129</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6,469</w:t>
            </w:r>
          </w:p>
        </w:tc>
        <w:tc>
          <w:tcPr>
            <w:tcW w:w="2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(340)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-5%</w:t>
            </w:r>
          </w:p>
        </w:tc>
        <w:tc>
          <w:tcPr>
            <w:tcW w:w="880" w:type="dxa"/>
            <w:vAlign w:val="bottom"/>
          </w:tcPr>
          <w:p>
            <w:pPr>
              <w:jc w:val="right"/>
              <w:spacing w:after="0"/>
              <w:rPr>
                <w:sz w:val="20"/>
                <w:szCs w:val="20"/>
                <w:color w:val="auto"/>
              </w:rPr>
            </w:pPr>
            <w:r>
              <w:rPr>
                <w:rFonts w:ascii="Arial" w:cs="Arial" w:eastAsia="Arial" w:hAnsi="Arial"/>
                <w:sz w:val="16"/>
                <w:szCs w:val="16"/>
                <w:color w:val="auto"/>
              </w:rPr>
              <w:t>6,364</w:t>
            </w:r>
          </w:p>
        </w:tc>
        <w:tc>
          <w:tcPr>
            <w:tcW w:w="2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(235)</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&amp;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Income Before Minority Interest</w:t>
            </w:r>
          </w:p>
        </w:tc>
        <w:tc>
          <w:tcPr>
            <w:tcW w:w="880" w:type="dxa"/>
            <w:vAlign w:val="bottom"/>
          </w:tcPr>
          <w:p>
            <w:pPr>
              <w:jc w:val="right"/>
              <w:spacing w:after="0"/>
              <w:rPr>
                <w:sz w:val="20"/>
                <w:szCs w:val="20"/>
                <w:color w:val="auto"/>
              </w:rPr>
            </w:pPr>
            <w:r>
              <w:rPr>
                <w:rFonts w:ascii="Arial" w:cs="Arial" w:eastAsia="Arial" w:hAnsi="Arial"/>
                <w:sz w:val="16"/>
                <w:szCs w:val="16"/>
                <w:color w:val="auto"/>
              </w:rPr>
              <w:t>12,553</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13,127</w:t>
            </w:r>
          </w:p>
        </w:tc>
        <w:tc>
          <w:tcPr>
            <w:tcW w:w="2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(574)</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-4%</w:t>
            </w:r>
          </w:p>
        </w:tc>
        <w:tc>
          <w:tcPr>
            <w:tcW w:w="880" w:type="dxa"/>
            <w:vAlign w:val="bottom"/>
          </w:tcPr>
          <w:p>
            <w:pPr>
              <w:jc w:val="right"/>
              <w:spacing w:after="0"/>
              <w:rPr>
                <w:sz w:val="20"/>
                <w:szCs w:val="20"/>
                <w:color w:val="auto"/>
              </w:rPr>
            </w:pPr>
            <w:r>
              <w:rPr>
                <w:rFonts w:ascii="Arial" w:cs="Arial" w:eastAsia="Arial" w:hAnsi="Arial"/>
                <w:sz w:val="16"/>
                <w:szCs w:val="16"/>
                <w:color w:val="auto"/>
              </w:rPr>
              <w:t>12,625</w:t>
            </w:r>
          </w:p>
        </w:tc>
        <w:tc>
          <w:tcPr>
            <w:tcW w:w="2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Real Estate Depreciation &amp;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FFO</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19,678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19,596</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19,534</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144</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Less:</w:t>
            </w: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Non-Building Revenue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-48%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700" w:type="dxa"/>
            <w:vAlign w:val="bottom"/>
            <w:gridSpan w:val="2"/>
          </w:tcPr>
          <w:p>
            <w:pPr>
              <w:spacing w:after="0"/>
              <w:rPr>
                <w:sz w:val="20"/>
                <w:szCs w:val="20"/>
                <w:color w:val="auto"/>
              </w:rPr>
            </w:pPr>
            <w:r>
              <w:rPr>
                <w:rFonts w:ascii="Arial" w:cs="Arial" w:eastAsia="Arial" w:hAnsi="Arial"/>
                <w:sz w:val="16"/>
                <w:szCs w:val="16"/>
                <w:color w:val="auto"/>
              </w:rPr>
              <w:t>Plus:</w:t>
            </w:r>
          </w:p>
        </w:tc>
        <w:tc>
          <w:tcPr>
            <w:tcW w:w="3660" w:type="dxa"/>
            <w:vAlign w:val="bottom"/>
          </w:tcPr>
          <w:p>
            <w:pPr>
              <w:ind w:left="40"/>
              <w:spacing w:after="0"/>
              <w:rPr>
                <w:sz w:val="20"/>
                <w:szCs w:val="20"/>
                <w:color w:val="auto"/>
              </w:rPr>
            </w:pPr>
            <w:r>
              <w:rPr>
                <w:rFonts w:ascii="Arial" w:cs="Arial" w:eastAsia="Arial" w:hAnsi="Arial"/>
                <w:sz w:val="16"/>
                <w:szCs w:val="16"/>
                <w:color w:val="auto"/>
              </w:rPr>
              <w:t>Reserve for Tenant Credit Loss</w:t>
            </w:r>
          </w:p>
        </w:tc>
        <w:tc>
          <w:tcPr>
            <w:tcW w:w="880" w:type="dxa"/>
            <w:vAlign w:val="bottom"/>
          </w:tcPr>
          <w:p>
            <w:pPr>
              <w:jc w:val="right"/>
              <w:spacing w:after="0"/>
              <w:rPr>
                <w:sz w:val="20"/>
                <w:szCs w:val="20"/>
                <w:color w:val="auto"/>
              </w:rPr>
            </w:pPr>
            <w:r>
              <w:rPr>
                <w:rFonts w:ascii="Arial" w:cs="Arial" w:eastAsia="Arial" w:hAnsi="Arial"/>
                <w:sz w:val="16"/>
                <w:szCs w:val="16"/>
                <w:color w:val="auto"/>
              </w:rPr>
              <w:t>686</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360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880" w:type="dxa"/>
            <w:vAlign w:val="bottom"/>
          </w:tcPr>
          <w:p>
            <w:pPr>
              <w:jc w:val="right"/>
              <w:spacing w:after="0"/>
              <w:rPr>
                <w:sz w:val="20"/>
                <w:szCs w:val="20"/>
                <w:color w:val="auto"/>
              </w:rPr>
            </w:pPr>
            <w:r>
              <w:rPr>
                <w:rFonts w:ascii="Arial" w:cs="Arial" w:eastAsia="Arial" w:hAnsi="Arial"/>
                <w:sz w:val="16"/>
                <w:szCs w:val="16"/>
                <w:color w:val="auto"/>
              </w:rPr>
              <w:t>482</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204</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6,364</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Non Real Estate Depreciation</w:t>
            </w:r>
          </w:p>
        </w:tc>
        <w:tc>
          <w:tcPr>
            <w:tcW w:w="880" w:type="dxa"/>
            <w:vAlign w:val="bottom"/>
          </w:tcPr>
          <w:p>
            <w:pPr>
              <w:jc w:val="right"/>
              <w:spacing w:after="0"/>
              <w:rPr>
                <w:sz w:val="20"/>
                <w:szCs w:val="20"/>
                <w:color w:val="auto"/>
              </w:rPr>
            </w:pPr>
            <w:r>
              <w:rPr>
                <w:rFonts w:ascii="Arial" w:cs="Arial" w:eastAsia="Arial" w:hAnsi="Arial"/>
                <w:sz w:val="16"/>
                <w:szCs w:val="16"/>
                <w:color w:val="auto"/>
              </w:rPr>
              <w:t>239</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237</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GAAP NOI</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26,499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26,162</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26,281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Cash Adjustments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Less:</w:t>
            </w: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Rent (Net of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Straightline Revenue Adjustment</w:t>
            </w:r>
          </w:p>
        </w:tc>
        <w:tc>
          <w:tcPr>
            <w:tcW w:w="880" w:type="dxa"/>
            <w:vAlign w:val="bottom"/>
          </w:tcPr>
          <w:p>
            <w:pPr>
              <w:jc w:val="right"/>
              <w:spacing w:after="0"/>
              <w:rPr>
                <w:sz w:val="20"/>
                <w:szCs w:val="20"/>
                <w:color w:val="auto"/>
              </w:rPr>
            </w:pPr>
            <w:r>
              <w:rPr>
                <w:rFonts w:ascii="Arial" w:cs="Arial" w:eastAsia="Arial" w:hAnsi="Arial"/>
                <w:sz w:val="16"/>
                <w:szCs w:val="16"/>
                <w:color w:val="auto"/>
              </w:rPr>
              <w:t>1,284</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1,459</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(175)</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880" w:type="dxa"/>
            <w:vAlign w:val="bottom"/>
          </w:tcPr>
          <w:p>
            <w:pPr>
              <w:jc w:val="right"/>
              <w:spacing w:after="0"/>
              <w:rPr>
                <w:sz w:val="20"/>
                <w:szCs w:val="20"/>
                <w:color w:val="auto"/>
              </w:rPr>
            </w:pPr>
            <w:r>
              <w:rPr>
                <w:rFonts w:ascii="Arial" w:cs="Arial" w:eastAsia="Arial" w:hAnsi="Arial"/>
                <w:sz w:val="16"/>
                <w:szCs w:val="16"/>
                <w:color w:val="auto"/>
              </w:rPr>
              <w:t>1,384</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Ground Lease Straight-line Adjustment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-63%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6"/>
                <w:szCs w:val="16"/>
                <w:b w:val="1"/>
                <w:bCs w:val="1"/>
                <w:color w:val="auto"/>
              </w:rPr>
              <w:t>Cash NOI</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24,604</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24,585</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24,445</w:t>
            </w:r>
          </w:p>
        </w:tc>
        <w:tc>
          <w:tcPr>
            <w:tcW w:w="2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159</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Margins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GAAP NOI to Real Estate Revenue, net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53.92%</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54.79%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56.54%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NOI to Real Estate Revenue, net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51.49%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52.59%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w w:val="93"/>
              </w:rPr>
              <w:t>GAAP NOI before Ground Rent/Real Estate Revenue,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net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60.35%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61.28%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63.34%</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Cash NOI before Ground Rent/Real Estate Revenue,</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44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36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366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-7712710</wp:posOffset>
            </wp:positionV>
            <wp:extent cx="1270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-7712710</wp:posOffset>
            </wp:positionV>
            <wp:extent cx="1270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-7712710</wp:posOffset>
            </wp:positionV>
            <wp:extent cx="1270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-7712710</wp:posOffset>
            </wp:positionV>
            <wp:extent cx="1270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-7484110</wp:posOffset>
            </wp:positionV>
            <wp:extent cx="1270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-7484110</wp:posOffset>
            </wp:positionV>
            <wp:extent cx="1270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-7484110</wp:posOffset>
            </wp:positionV>
            <wp:extent cx="1270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-7484110</wp:posOffset>
            </wp:positionV>
            <wp:extent cx="1270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-7484110</wp:posOffset>
            </wp:positionV>
            <wp:extent cx="1270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-7484110</wp:posOffset>
            </wp:positionV>
            <wp:extent cx="1270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-7484110</wp:posOffset>
            </wp:positionV>
            <wp:extent cx="1270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-7484110</wp:posOffset>
            </wp:positionV>
            <wp:extent cx="1270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-7484110</wp:posOffset>
            </wp:positionV>
            <wp:extent cx="1270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-7484110</wp:posOffset>
            </wp:positionV>
            <wp:extent cx="1270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-7484110</wp:posOffset>
            </wp:positionV>
            <wp:extent cx="1270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-7484110</wp:posOffset>
            </wp:positionV>
            <wp:extent cx="1270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-7484110</wp:posOffset>
            </wp:positionV>
            <wp:extent cx="1270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-7484110</wp:posOffset>
            </wp:positionV>
            <wp:extent cx="1270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-7216140</wp:posOffset>
            </wp:positionV>
            <wp:extent cx="1270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-7216140</wp:posOffset>
            </wp:positionV>
            <wp:extent cx="1270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-6443980</wp:posOffset>
            </wp:positionV>
            <wp:extent cx="1270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-6443980</wp:posOffset>
            </wp:positionV>
            <wp:extent cx="1270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-6443980</wp:posOffset>
            </wp:positionV>
            <wp:extent cx="1270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-6443980</wp:posOffset>
            </wp:positionV>
            <wp:extent cx="1270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-6443980</wp:posOffset>
            </wp:positionV>
            <wp:extent cx="1270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-6443980</wp:posOffset>
            </wp:positionV>
            <wp:extent cx="1270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-6443980</wp:posOffset>
            </wp:positionV>
            <wp:extent cx="1270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-6443980</wp:posOffset>
            </wp:positionV>
            <wp:extent cx="1270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-6443980</wp:posOffset>
            </wp:positionV>
            <wp:extent cx="1270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-6443980</wp:posOffset>
            </wp:positionV>
            <wp:extent cx="1270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-6443980</wp:posOffset>
            </wp:positionV>
            <wp:extent cx="1270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-6443980</wp:posOffset>
            </wp:positionV>
            <wp:extent cx="1270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-6443980</wp:posOffset>
            </wp:positionV>
            <wp:extent cx="1270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-6443980</wp:posOffset>
            </wp:positionV>
            <wp:extent cx="1270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-6049645</wp:posOffset>
            </wp:positionV>
            <wp:extent cx="1270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-6049645</wp:posOffset>
            </wp:positionV>
            <wp:extent cx="1270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-5529580</wp:posOffset>
            </wp:positionV>
            <wp:extent cx="1270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-5529580</wp:posOffset>
            </wp:positionV>
            <wp:extent cx="1270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-5529580</wp:posOffset>
            </wp:positionV>
            <wp:extent cx="1270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-5529580</wp:posOffset>
            </wp:positionV>
            <wp:extent cx="1270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-5529580</wp:posOffset>
            </wp:positionV>
            <wp:extent cx="1270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-5529580</wp:posOffset>
            </wp:positionV>
            <wp:extent cx="1270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-5529580</wp:posOffset>
            </wp:positionV>
            <wp:extent cx="1270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-5529580</wp:posOffset>
            </wp:positionV>
            <wp:extent cx="1270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-5529580</wp:posOffset>
            </wp:positionV>
            <wp:extent cx="1270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-5529580</wp:posOffset>
            </wp:positionV>
            <wp:extent cx="1270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-5529580</wp:posOffset>
            </wp:positionV>
            <wp:extent cx="1270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-5529580</wp:posOffset>
            </wp:positionV>
            <wp:extent cx="1270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-5529580</wp:posOffset>
            </wp:positionV>
            <wp:extent cx="1270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-5529580</wp:posOffset>
            </wp:positionV>
            <wp:extent cx="1270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-4615815</wp:posOffset>
            </wp:positionV>
            <wp:extent cx="1270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-4615815</wp:posOffset>
            </wp:positionV>
            <wp:extent cx="1270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-4615815</wp:posOffset>
            </wp:positionV>
            <wp:extent cx="1270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-4615815</wp:posOffset>
            </wp:positionV>
            <wp:extent cx="1270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-4615815</wp:posOffset>
            </wp:positionV>
            <wp:extent cx="1270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-4615815</wp:posOffset>
            </wp:positionV>
            <wp:extent cx="1270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-4615815</wp:posOffset>
            </wp:positionV>
            <wp:extent cx="1270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-4615815</wp:posOffset>
            </wp:positionV>
            <wp:extent cx="1270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-4615815</wp:posOffset>
            </wp:positionV>
            <wp:extent cx="1270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-4615815</wp:posOffset>
            </wp:positionV>
            <wp:extent cx="1270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-4615815</wp:posOffset>
            </wp:positionV>
            <wp:extent cx="12700"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-4615815</wp:posOffset>
            </wp:positionV>
            <wp:extent cx="1270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-4615815</wp:posOffset>
            </wp:positionV>
            <wp:extent cx="1270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-4615815</wp:posOffset>
            </wp:positionV>
            <wp:extent cx="12700"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-4095750</wp:posOffset>
            </wp:positionV>
            <wp:extent cx="1270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-4095750</wp:posOffset>
            </wp:positionV>
            <wp:extent cx="1270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-4095750</wp:posOffset>
            </wp:positionV>
            <wp:extent cx="1270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-4095750</wp:posOffset>
            </wp:positionV>
            <wp:extent cx="1270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-4095750</wp:posOffset>
            </wp:positionV>
            <wp:extent cx="1270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-4095750</wp:posOffset>
            </wp:positionV>
            <wp:extent cx="1270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-4095750</wp:posOffset>
            </wp:positionV>
            <wp:extent cx="1270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-4095750</wp:posOffset>
            </wp:positionV>
            <wp:extent cx="1270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-4095750</wp:posOffset>
            </wp:positionV>
            <wp:extent cx="1270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-4095750</wp:posOffset>
            </wp:positionV>
            <wp:extent cx="12700"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-4095750</wp:posOffset>
            </wp:positionV>
            <wp:extent cx="12700"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-4095750</wp:posOffset>
            </wp:positionV>
            <wp:extent cx="1270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-4095750</wp:posOffset>
            </wp:positionV>
            <wp:extent cx="12700"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-4095750</wp:posOffset>
            </wp:positionV>
            <wp:extent cx="1270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-2929255</wp:posOffset>
            </wp:positionV>
            <wp:extent cx="12700"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-2929255</wp:posOffset>
            </wp:positionV>
            <wp:extent cx="1270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-2929255</wp:posOffset>
            </wp:positionV>
            <wp:extent cx="1270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-2929255</wp:posOffset>
            </wp:positionV>
            <wp:extent cx="1270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-2929255</wp:posOffset>
            </wp:positionV>
            <wp:extent cx="12700"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-2929255</wp:posOffset>
            </wp:positionV>
            <wp:extent cx="1270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-2929255</wp:posOffset>
            </wp:positionV>
            <wp:extent cx="1270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-2929255</wp:posOffset>
            </wp:positionV>
            <wp:extent cx="1270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-2929255</wp:posOffset>
            </wp:positionV>
            <wp:extent cx="1270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-2929255</wp:posOffset>
            </wp:positionV>
            <wp:extent cx="1270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-2929255</wp:posOffset>
            </wp:positionV>
            <wp:extent cx="1270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-2929255</wp:posOffset>
            </wp:positionV>
            <wp:extent cx="1270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-2929255</wp:posOffset>
            </wp:positionV>
            <wp:extent cx="12700"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-2929255</wp:posOffset>
            </wp:positionV>
            <wp:extent cx="1270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-2535555</wp:posOffset>
            </wp:positionV>
            <wp:extent cx="1270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-2535555</wp:posOffset>
            </wp:positionV>
            <wp:extent cx="12700"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-1889125</wp:posOffset>
            </wp:positionV>
            <wp:extent cx="12700"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-1889125</wp:posOffset>
            </wp:positionV>
            <wp:extent cx="1270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-1889125</wp:posOffset>
            </wp:positionV>
            <wp:extent cx="12700"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-1889125</wp:posOffset>
            </wp:positionV>
            <wp:extent cx="12700"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-1889125</wp:posOffset>
            </wp:positionV>
            <wp:extent cx="1270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-1889125</wp:posOffset>
            </wp:positionV>
            <wp:extent cx="1270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-1889125</wp:posOffset>
            </wp:positionV>
            <wp:extent cx="12700"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-1889125</wp:posOffset>
            </wp:positionV>
            <wp:extent cx="1270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-1889125</wp:posOffset>
            </wp:positionV>
            <wp:extent cx="1270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-1889125</wp:posOffset>
            </wp:positionV>
            <wp:extent cx="1270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-1889125</wp:posOffset>
            </wp:positionV>
            <wp:extent cx="1270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-1889125</wp:posOffset>
            </wp:positionV>
            <wp:extent cx="12700"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-1889125</wp:posOffset>
            </wp:positionV>
            <wp:extent cx="12700"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-1889125</wp:posOffset>
            </wp:positionV>
            <wp:extent cx="12700"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-1494790</wp:posOffset>
            </wp:positionV>
            <wp:extent cx="12700" cy="76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-1494790</wp:posOffset>
            </wp:positionV>
            <wp:extent cx="12700" cy="76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-155575</wp:posOffset>
            </wp:positionV>
            <wp:extent cx="1270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SUMMARY SCHEDULE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rPr>
          <w:sz w:val="20"/>
          <w:szCs w:val="20"/>
          <w:color w:val="auto"/>
        </w:rPr>
      </w:pPr>
      <w:r>
        <w:rPr>
          <w:rFonts w:ascii="Arial" w:cs="Arial" w:eastAsia="Arial" w:hAnsi="Arial"/>
          <w:sz w:val="20"/>
          <w:szCs w:val="20"/>
          <w:b w:val="1"/>
          <w:bCs w:val="1"/>
          <w:color w:val="auto"/>
        </w:rPr>
        <w:t>($000's 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3360" w:type="dxa"/>
        <w:tblCellMar>
          <w:top w:w="0" w:type="dxa"/>
          <w:left w:w="0" w:type="dxa"/>
          <w:bottom w:w="0" w:type="dxa"/>
          <w:right w:w="0" w:type="dxa"/>
        </w:tblCellMar>
      </w:tblPr>
      <w:tr>
        <w:trPr>
          <w:trHeight w:val="138"/>
        </w:trPr>
        <w:tc>
          <w:tcPr>
            <w:tcW w:w="12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Principal O/S</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Fixed</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2002</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37"/>
        </w:trPr>
        <w:tc>
          <w:tcPr>
            <w:tcW w:w="126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Outstanding</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Annual</w:t>
            </w:r>
          </w:p>
        </w:tc>
        <w:tc>
          <w:tcPr>
            <w:tcW w:w="11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Principal</w:t>
            </w:r>
          </w:p>
        </w:tc>
        <w:tc>
          <w:tcPr>
            <w:tcW w:w="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Maturity</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Due at</w:t>
            </w:r>
          </w:p>
        </w:tc>
        <w:tc>
          <w:tcPr>
            <w:tcW w:w="13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Earliest Contractual</w:t>
            </w:r>
          </w:p>
        </w:tc>
      </w:tr>
      <w:tr>
        <w:trPr>
          <w:trHeight w:val="161"/>
        </w:trPr>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9/30/02</w:t>
            </w:r>
          </w:p>
        </w:tc>
        <w:tc>
          <w:tcPr>
            <w:tcW w:w="120" w:type="dxa"/>
            <w:vAlign w:val="bottom"/>
          </w:tcPr>
          <w:p>
            <w:pPr>
              <w:spacing w:after="0"/>
              <w:rPr>
                <w:sz w:val="13"/>
                <w:szCs w:val="13"/>
                <w:color w:val="auto"/>
              </w:rPr>
            </w:pPr>
          </w:p>
        </w:tc>
        <w:tc>
          <w:tcPr>
            <w:tcW w:w="680" w:type="dxa"/>
            <w:vAlign w:val="bottom"/>
          </w:tcPr>
          <w:p>
            <w:pPr>
              <w:ind w:left="260"/>
              <w:spacing w:after="0"/>
              <w:rPr>
                <w:sz w:val="20"/>
                <w:szCs w:val="20"/>
                <w:color w:val="auto"/>
              </w:rPr>
            </w:pPr>
            <w:r>
              <w:rPr>
                <w:rFonts w:ascii="Arial" w:cs="Arial" w:eastAsia="Arial" w:hAnsi="Arial"/>
                <w:sz w:val="12"/>
                <w:szCs w:val="12"/>
                <w:b w:val="1"/>
                <w:bCs w:val="1"/>
                <w:color w:val="auto"/>
                <w:w w:val="88"/>
              </w:rPr>
              <w:t>Coupon</w:t>
            </w:r>
          </w:p>
        </w:tc>
        <w:tc>
          <w:tcPr>
            <w:tcW w:w="9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Payment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Repayment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Maturity</w:t>
            </w:r>
          </w:p>
        </w:tc>
        <w:tc>
          <w:tcPr>
            <w:tcW w:w="1360" w:type="dxa"/>
            <w:vAlign w:val="bottom"/>
          </w:tcPr>
          <w:p>
            <w:pPr>
              <w:jc w:val="right"/>
              <w:spacing w:after="0"/>
              <w:rPr>
                <w:sz w:val="20"/>
                <w:szCs w:val="20"/>
                <w:color w:val="auto"/>
              </w:rPr>
            </w:pPr>
            <w:r>
              <w:rPr>
                <w:rFonts w:ascii="Arial" w:cs="Arial" w:eastAsia="Arial" w:hAnsi="Arial"/>
                <w:sz w:val="12"/>
                <w:szCs w:val="12"/>
                <w:b w:val="1"/>
                <w:bCs w:val="1"/>
                <w:color w:val="auto"/>
              </w:rPr>
              <w:t>Prepayment Date</w:t>
            </w:r>
          </w:p>
        </w:tc>
      </w:tr>
      <w:tr>
        <w:trPr>
          <w:trHeight w:val="97"/>
        </w:trPr>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-13335</wp:posOffset>
            </wp:positionV>
            <wp:extent cx="1270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-13335</wp:posOffset>
            </wp:positionV>
            <wp:extent cx="1270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-13335</wp:posOffset>
            </wp:positionV>
            <wp:extent cx="12700"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-13335</wp:posOffset>
            </wp:positionV>
            <wp:extent cx="12700"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-13335</wp:posOffset>
            </wp:positionV>
            <wp:extent cx="12700"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-13335</wp:posOffset>
            </wp:positionV>
            <wp:extent cx="12700"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-13335</wp:posOffset>
            </wp:positionV>
            <wp:extent cx="12700"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-13335</wp:posOffset>
            </wp:positionV>
            <wp:extent cx="1270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-13335</wp:posOffset>
            </wp:positionV>
            <wp:extent cx="12700"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-13335</wp:posOffset>
            </wp:positionV>
            <wp:extent cx="12700"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-13335</wp:posOffset>
            </wp:positionV>
            <wp:extent cx="12700"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-13335</wp:posOffset>
            </wp:positionV>
            <wp:extent cx="1270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-13335</wp:posOffset>
            </wp:positionV>
            <wp:extent cx="12700" cy="76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Fixed rate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7415" cy="8699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7415" cy="869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67945</wp:posOffset>
            </wp:positionV>
            <wp:extent cx="7262495" cy="203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257415" cy="14160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7415" cy="141605"/>
                    </a:xfrm>
                    <a:prstGeom prst="rect">
                      <a:avLst/>
                    </a:prstGeom>
                    <a:noFill/>
                  </pic:spPr>
                </pic:pic>
              </a:graphicData>
            </a:graphic>
          </wp:anchor>
        </w:drawing>
      </w:r>
    </w:p>
    <w:p>
      <w:pPr>
        <w:spacing w:after="0" w:line="65" w:lineRule="exact"/>
        <w:rPr>
          <w:sz w:val="20"/>
          <w:szCs w:val="20"/>
          <w:color w:val="auto"/>
        </w:rPr>
      </w:pPr>
    </w:p>
    <w:p>
      <w:pPr>
        <w:ind w:left="240"/>
        <w:spacing w:after="0"/>
        <w:tabs>
          <w:tab w:leader="none" w:pos="4200" w:val="left"/>
          <w:tab w:leader="none" w:pos="5060" w:val="left"/>
          <w:tab w:leader="none" w:pos="6700" w:val="left"/>
          <w:tab w:leader="none" w:pos="7820" w:val="left"/>
          <w:tab w:leader="none" w:pos="8580" w:val="left"/>
          <w:tab w:leader="none" w:pos="9640" w:val="left"/>
          <w:tab w:leader="none" w:pos="11140" w:val="left"/>
        </w:tabs>
        <w:rPr>
          <w:sz w:val="20"/>
          <w:szCs w:val="20"/>
          <w:color w:val="auto"/>
        </w:rPr>
      </w:pPr>
      <w:r>
        <w:rPr>
          <w:rFonts w:ascii="Arial" w:cs="Arial" w:eastAsia="Arial" w:hAnsi="Arial"/>
          <w:sz w:val="12"/>
          <w:szCs w:val="12"/>
          <w:color w:val="auto"/>
        </w:rPr>
        <w:t>673 First Avenue</w:t>
      </w:r>
      <w:r>
        <w:rPr>
          <w:sz w:val="20"/>
          <w:szCs w:val="20"/>
          <w:color w:val="auto"/>
        </w:rPr>
        <w:tab/>
      </w:r>
      <w:r>
        <w:rPr>
          <w:rFonts w:ascii="Arial" w:cs="Arial" w:eastAsia="Arial" w:hAnsi="Arial"/>
          <w:sz w:val="12"/>
          <w:szCs w:val="12"/>
          <w:color w:val="auto"/>
        </w:rPr>
        <w:t>6,529</w:t>
      </w:r>
      <w:r>
        <w:rPr>
          <w:sz w:val="20"/>
          <w:szCs w:val="20"/>
          <w:color w:val="auto"/>
        </w:rPr>
        <w:tab/>
      </w:r>
      <w:r>
        <w:rPr>
          <w:rFonts w:ascii="Arial" w:cs="Arial" w:eastAsia="Arial" w:hAnsi="Arial"/>
          <w:sz w:val="12"/>
          <w:szCs w:val="12"/>
          <w:color w:val="auto"/>
        </w:rPr>
        <w:t>9.00%</w:t>
      </w:r>
      <w:r>
        <w:rPr>
          <w:sz w:val="20"/>
          <w:szCs w:val="20"/>
          <w:color w:val="auto"/>
        </w:rPr>
        <w:tab/>
      </w:r>
      <w:r>
        <w:rPr>
          <w:rFonts w:ascii="Arial" w:cs="Arial" w:eastAsia="Arial" w:hAnsi="Arial"/>
          <w:sz w:val="12"/>
          <w:szCs w:val="12"/>
          <w:color w:val="auto"/>
        </w:rPr>
        <w:t>5,459</w:t>
      </w:r>
      <w:r>
        <w:rPr>
          <w:sz w:val="20"/>
          <w:szCs w:val="20"/>
          <w:color w:val="auto"/>
        </w:rPr>
        <w:tab/>
      </w:r>
      <w:r>
        <w:rPr>
          <w:rFonts w:ascii="Arial" w:cs="Arial" w:eastAsia="Arial" w:hAnsi="Arial"/>
          <w:sz w:val="12"/>
          <w:szCs w:val="12"/>
          <w:color w:val="auto"/>
        </w:rPr>
        <w:t>3,301</w:t>
      </w:r>
      <w:r>
        <w:rPr>
          <w:sz w:val="20"/>
          <w:szCs w:val="20"/>
          <w:color w:val="auto"/>
        </w:rPr>
        <w:tab/>
      </w:r>
      <w:r>
        <w:rPr>
          <w:rFonts w:ascii="Arial" w:cs="Arial" w:eastAsia="Arial" w:hAnsi="Arial"/>
          <w:sz w:val="12"/>
          <w:szCs w:val="12"/>
          <w:color w:val="auto"/>
        </w:rPr>
        <w:t>12/13/03</w:t>
      </w:r>
      <w:r>
        <w:rPr>
          <w:sz w:val="20"/>
          <w:szCs w:val="20"/>
          <w:color w:val="auto"/>
        </w:rPr>
        <w:tab/>
      </w:r>
      <w:r>
        <w:rPr>
          <w:rFonts w:ascii="Arial" w:cs="Arial" w:eastAsia="Arial" w:hAnsi="Arial"/>
          <w:sz w:val="12"/>
          <w:szCs w:val="12"/>
          <w:color w:val="auto"/>
        </w:rPr>
        <w:t>2,000</w:t>
      </w:r>
      <w:r>
        <w:rPr>
          <w:sz w:val="20"/>
          <w:szCs w:val="20"/>
          <w:color w:val="auto"/>
        </w:rPr>
        <w:tab/>
      </w:r>
      <w:r>
        <w:rPr>
          <w:rFonts w:ascii="Arial" w:cs="Arial" w:eastAsia="Arial" w:hAnsi="Arial"/>
          <w:sz w:val="10"/>
          <w:szCs w:val="10"/>
          <w:color w:val="auto"/>
        </w:rPr>
        <w:t>Open</w:t>
      </w:r>
    </w:p>
    <w:p>
      <w:pPr>
        <w:sectPr>
          <w:pgSz w:w="11900" w:h="16838" w:orient="portrait"/>
          <w:cols w:equalWidth="0" w:num="1">
            <w:col w:w="11420"/>
          </w:cols>
          <w:pgMar w:left="240" w:top="114" w:right="239" w:bottom="0" w:gutter="0" w:footer="0" w:header="0"/>
        </w:sectPr>
      </w:pPr>
    </w:p>
    <w:bookmarkStart w:id="14" w:name="page15"/>
    <w:bookmarkEnd w:id="14"/>
    <w:tbl>
      <w:tblPr>
        <w:tblLayout w:type="fixed"/>
        <w:tblInd w:w="1"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50 West 23rd Street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21,000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7.33%</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8/1/07</w:t>
            </w:r>
          </w:p>
        </w:tc>
        <w:tc>
          <w:tcPr>
            <w:tcW w:w="100" w:type="dxa"/>
            <w:vAlign w:val="bottom"/>
          </w:tcPr>
          <w:p>
            <w:pPr>
              <w:spacing w:after="0"/>
              <w:rPr>
                <w:sz w:val="13"/>
                <w:szCs w:val="13"/>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19,234</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Aug-01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CIBC (against 1414 Ave. of Americas and 70 W. 36th St.)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7.90%</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5/1/09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12,196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Apr-03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711 Third Avenue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8.13%</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2"/>
                <w:szCs w:val="12"/>
                <w:color w:val="auto"/>
              </w:rPr>
              <w:t>373</w:t>
            </w:r>
          </w:p>
        </w:tc>
        <w:tc>
          <w:tcPr>
            <w:tcW w:w="10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9/10/05</w:t>
            </w:r>
          </w:p>
        </w:tc>
        <w:tc>
          <w:tcPr>
            <w:tcW w:w="10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47,247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Jun-04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w w:val="95"/>
              </w:rPr>
              <w:t>555 West 57th Street (Libor collar of 6.10% — 6.58% +</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200bps)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68,423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8.10%</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676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11/4/04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66,959</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420 Lexington Avenue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123,508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8.44%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2"/>
                <w:szCs w:val="12"/>
                <w:color w:val="auto"/>
              </w:rPr>
              <w:t>1,693</w:t>
            </w:r>
          </w:p>
        </w:tc>
        <w:tc>
          <w:tcPr>
            <w:tcW w:w="10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11/1/10</w:t>
            </w:r>
          </w:p>
        </w:tc>
        <w:tc>
          <w:tcPr>
            <w:tcW w:w="10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104,406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317 Madison (Libor Swap of 4.01% + 180bps)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5.81%</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8/20/04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875 Bridgeport Avenue, CT (1031 exchange asset)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14,840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8.32%</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1,273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20"/>
                <w:szCs w:val="20"/>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5/10/25</w:t>
            </w:r>
          </w:p>
        </w:tc>
        <w:tc>
          <w:tcPr>
            <w:tcW w:w="100" w:type="dxa"/>
            <w:vAlign w:val="bottom"/>
          </w:tcPr>
          <w:p>
            <w:pPr>
              <w:spacing w:after="0"/>
              <w:rPr>
                <w:sz w:val="20"/>
                <w:szCs w:val="20"/>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5,466</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920"/>
              <w:spacing w:after="0"/>
              <w:rPr>
                <w:sz w:val="20"/>
                <w:szCs w:val="20"/>
                <w:color w:val="auto"/>
              </w:rPr>
            </w:pPr>
            <w:r>
              <w:rPr>
                <w:rFonts w:ascii="Arial" w:cs="Arial" w:eastAsia="Arial" w:hAnsi="Arial"/>
                <w:sz w:val="12"/>
                <w:szCs w:val="12"/>
                <w:b w:val="1"/>
                <w:bCs w:val="1"/>
                <w:color w:val="auto"/>
                <w:w w:val="93"/>
              </w:rPr>
              <w:t>Total Fixed Rate Secured Debt/Wtd Avg</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373,622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7.78%</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36,887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6,416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Floating rate Debt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0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Secured floating rate debt</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Structured Finance Loan (Libor + 100bp)</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2.81%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11/1/02</w:t>
            </w:r>
          </w:p>
        </w:tc>
        <w:tc>
          <w:tcPr>
            <w:tcW w:w="10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22,178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Nov-02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Secured Line of Credit (Libor + 150bps)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3.37%</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12/22/04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30,931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60" w:type="dxa"/>
            <w:vAlign w:val="bottom"/>
            <w:gridSpan w:val="6"/>
          </w:tcPr>
          <w:p>
            <w:pPr>
              <w:ind w:left="920"/>
              <w:spacing w:after="0"/>
              <w:rPr>
                <w:sz w:val="20"/>
                <w:szCs w:val="20"/>
                <w:color w:val="auto"/>
              </w:rPr>
            </w:pPr>
            <w:r>
              <w:rPr>
                <w:rFonts w:ascii="Arial" w:cs="Arial" w:eastAsia="Arial" w:hAnsi="Arial"/>
                <w:sz w:val="12"/>
                <w:szCs w:val="12"/>
                <w:b w:val="1"/>
                <w:bCs w:val="1"/>
                <w:color w:val="auto"/>
              </w:rPr>
              <w:t>Total Floating Rate Secured Debt/Wtd Avg</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53,109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b w:val="1"/>
                <w:bCs w:val="1"/>
                <w:color w:val="auto"/>
              </w:rPr>
              <w:t>3.14%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Unsecured floating rate debt</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Senior Unsecured Line of Credit (Libor + 150 bps)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143,000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color w:val="auto"/>
              </w:rPr>
              <w:t>3.35%</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6/27/03</w:t>
            </w:r>
          </w:p>
        </w:tc>
        <w:tc>
          <w:tcPr>
            <w:tcW w:w="10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143,000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60" w:type="dxa"/>
            <w:vAlign w:val="bottom"/>
            <w:gridSpan w:val="6"/>
            <w:shd w:val="clear" w:color="auto" w:fill="CCEEFF"/>
          </w:tcPr>
          <w:p>
            <w:pPr>
              <w:ind w:left="920"/>
              <w:spacing w:after="0" w:line="124" w:lineRule="exact"/>
              <w:rPr>
                <w:sz w:val="20"/>
                <w:szCs w:val="20"/>
                <w:color w:val="auto"/>
              </w:rPr>
            </w:pPr>
            <w:r>
              <w:rPr>
                <w:rFonts w:ascii="Arial" w:cs="Arial" w:eastAsia="Arial" w:hAnsi="Arial"/>
                <w:sz w:val="12"/>
                <w:szCs w:val="12"/>
                <w:b w:val="1"/>
                <w:bCs w:val="1"/>
                <w:color w:val="auto"/>
              </w:rPr>
              <w:t>Total Floating Rate Unsecured Debt/Wtd</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920"/>
              <w:spacing w:after="0"/>
              <w:rPr>
                <w:sz w:val="20"/>
                <w:szCs w:val="20"/>
                <w:color w:val="auto"/>
              </w:rPr>
            </w:pPr>
            <w:r>
              <w:rPr>
                <w:rFonts w:ascii="Arial" w:cs="Arial" w:eastAsia="Arial" w:hAnsi="Arial"/>
                <w:sz w:val="12"/>
                <w:szCs w:val="12"/>
                <w:b w:val="1"/>
                <w:bCs w:val="1"/>
                <w:color w:val="auto"/>
              </w:rPr>
              <w:t>Avg</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143,000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3.35%</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4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Total Floating Rate Debt Outstanding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196,109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ind w:left="160"/>
              <w:spacing w:after="0" w:line="137" w:lineRule="exact"/>
              <w:rPr>
                <w:sz w:val="20"/>
                <w:szCs w:val="20"/>
                <w:color w:val="auto"/>
              </w:rPr>
            </w:pPr>
            <w:r>
              <w:rPr>
                <w:rFonts w:ascii="Arial" w:cs="Arial" w:eastAsia="Arial" w:hAnsi="Arial"/>
                <w:sz w:val="12"/>
                <w:szCs w:val="12"/>
                <w:b w:val="1"/>
                <w:bCs w:val="1"/>
                <w:color w:val="auto"/>
              </w:rPr>
              <w:t>3.29%</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920"/>
              <w:spacing w:after="0"/>
              <w:rPr>
                <w:sz w:val="20"/>
                <w:szCs w:val="20"/>
                <w:color w:val="auto"/>
              </w:rPr>
            </w:pPr>
            <w:r>
              <w:rPr>
                <w:rFonts w:ascii="Arial" w:cs="Arial" w:eastAsia="Arial" w:hAnsi="Arial"/>
                <w:sz w:val="12"/>
                <w:szCs w:val="12"/>
                <w:b w:val="1"/>
                <w:bCs w:val="1"/>
                <w:color w:val="auto"/>
              </w:rPr>
              <w:t>Total Debt/Wtd Avg</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569,731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6.24%</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rPr>
                <w:sz w:val="20"/>
                <w:szCs w:val="20"/>
                <w:color w:val="auto"/>
              </w:rPr>
            </w:pPr>
            <w:r>
              <w:rPr>
                <w:rFonts w:ascii="Arial" w:cs="Arial" w:eastAsia="Arial" w:hAnsi="Arial"/>
                <w:sz w:val="12"/>
                <w:szCs w:val="12"/>
                <w:b w:val="1"/>
                <w:bCs w:val="1"/>
                <w:color w:val="auto"/>
              </w:rPr>
              <w:t>Weighted Average Balance &amp; Interest Rate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588,853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6.15%</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808080"/>
            </w:tcBorders>
            <w:gridSpan w:val="2"/>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59"/>
        </w:trPr>
        <w:tc>
          <w:tcPr>
            <w:tcW w:w="3060" w:type="dxa"/>
            <w:vAlign w:val="bottom"/>
            <w:gridSpan w:val="3"/>
          </w:tcPr>
          <w:p>
            <w:pPr>
              <w:spacing w:after="0"/>
              <w:rPr>
                <w:sz w:val="20"/>
                <w:szCs w:val="20"/>
                <w:color w:val="auto"/>
              </w:rPr>
            </w:pPr>
            <w:r>
              <w:rPr>
                <w:rFonts w:ascii="Arial" w:cs="Arial" w:eastAsia="Arial" w:hAnsi="Arial"/>
                <w:sz w:val="22"/>
                <w:szCs w:val="22"/>
                <w:b w:val="1"/>
                <w:bCs w:val="1"/>
                <w:color w:val="auto"/>
                <w:w w:val="92"/>
              </w:rPr>
              <w:t>Summary of Joint Venture Debt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gridSpan w:val="3"/>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780" w:type="dxa"/>
            <w:vAlign w:val="bottom"/>
            <w:gridSpan w:val="5"/>
          </w:tcPr>
          <w:p>
            <w:pPr>
              <w:ind w:left="900"/>
              <w:spacing w:after="0"/>
              <w:rPr>
                <w:sz w:val="20"/>
                <w:szCs w:val="20"/>
                <w:color w:val="auto"/>
              </w:rPr>
            </w:pPr>
            <w:r>
              <w:rPr>
                <w:rFonts w:ascii="Arial" w:cs="Arial" w:eastAsia="Arial" w:hAnsi="Arial"/>
                <w:sz w:val="12"/>
                <w:szCs w:val="12"/>
                <w:b w:val="1"/>
                <w:bCs w:val="1"/>
                <w:color w:val="auto"/>
              </w:rPr>
              <w:t>Principal O/S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4"/>
            <w:vMerge w:val="restart"/>
          </w:tcPr>
          <w:p>
            <w:pPr>
              <w:jc w:val="right"/>
              <w:ind w:right="120"/>
              <w:spacing w:after="0"/>
              <w:rPr>
                <w:sz w:val="20"/>
                <w:szCs w:val="20"/>
                <w:color w:val="auto"/>
              </w:rPr>
            </w:pPr>
            <w:r>
              <w:rPr>
                <w:rFonts w:ascii="Arial" w:cs="Arial" w:eastAsia="Arial" w:hAnsi="Arial"/>
                <w:sz w:val="12"/>
                <w:szCs w:val="12"/>
                <w:b w:val="1"/>
                <w:bCs w:val="1"/>
                <w:color w:val="auto"/>
              </w:rPr>
              <w:t>Fixed</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2002</w:t>
            </w:r>
          </w:p>
        </w:tc>
        <w:tc>
          <w:tcPr>
            <w:tcW w:w="10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right"/>
              <w:ind w:right="120"/>
              <w:spacing w:after="0" w:line="137" w:lineRule="exact"/>
              <w:rPr>
                <w:sz w:val="20"/>
                <w:szCs w:val="20"/>
                <w:color w:val="auto"/>
              </w:rPr>
            </w:pPr>
            <w:r>
              <w:rPr>
                <w:rFonts w:ascii="Arial" w:cs="Arial" w:eastAsia="Arial" w:hAnsi="Arial"/>
                <w:sz w:val="12"/>
                <w:szCs w:val="12"/>
                <w:b w:val="1"/>
                <w:bCs w:val="1"/>
                <w:color w:val="auto"/>
              </w:rPr>
              <w:t>Annual</w:t>
            </w:r>
          </w:p>
        </w:tc>
        <w:tc>
          <w:tcPr>
            <w:tcW w:w="1120" w:type="dxa"/>
            <w:vAlign w:val="bottom"/>
            <w:gridSpan w:val="3"/>
          </w:tcPr>
          <w:p>
            <w:pPr>
              <w:jc w:val="right"/>
              <w:ind w:right="100"/>
              <w:spacing w:after="0" w:line="137" w:lineRule="exact"/>
              <w:rPr>
                <w:sz w:val="20"/>
                <w:szCs w:val="20"/>
                <w:color w:val="auto"/>
              </w:rPr>
            </w:pPr>
            <w:r>
              <w:rPr>
                <w:rFonts w:ascii="Arial" w:cs="Arial" w:eastAsia="Arial" w:hAnsi="Arial"/>
                <w:sz w:val="12"/>
                <w:szCs w:val="12"/>
                <w:b w:val="1"/>
                <w:bCs w:val="1"/>
                <w:color w:val="auto"/>
              </w:rPr>
              <w:t>Principal</w:t>
            </w:r>
          </w:p>
        </w:tc>
        <w:tc>
          <w:tcPr>
            <w:tcW w:w="900" w:type="dxa"/>
            <w:vAlign w:val="bottom"/>
            <w:gridSpan w:val="2"/>
          </w:tcPr>
          <w:p>
            <w:pPr>
              <w:jc w:val="right"/>
              <w:ind w:right="100"/>
              <w:spacing w:after="0" w:line="137" w:lineRule="exact"/>
              <w:rPr>
                <w:sz w:val="20"/>
                <w:szCs w:val="20"/>
                <w:color w:val="auto"/>
              </w:rPr>
            </w:pPr>
            <w:r>
              <w:rPr>
                <w:rFonts w:ascii="Arial" w:cs="Arial" w:eastAsia="Arial" w:hAnsi="Arial"/>
                <w:sz w:val="12"/>
                <w:szCs w:val="12"/>
                <w:b w:val="1"/>
                <w:bCs w:val="1"/>
                <w:color w:val="auto"/>
              </w:rPr>
              <w:t>Maturity</w:t>
            </w:r>
          </w:p>
        </w:tc>
        <w:tc>
          <w:tcPr>
            <w:tcW w:w="9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Due at</w:t>
            </w:r>
          </w:p>
        </w:tc>
        <w:tc>
          <w:tcPr>
            <w:tcW w:w="12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Earliest 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80" w:type="dxa"/>
            <w:vAlign w:val="bottom"/>
            <w:gridSpan w:val="5"/>
          </w:tcPr>
          <w:p>
            <w:pPr>
              <w:ind w:left="540"/>
              <w:spacing w:after="0"/>
              <w:rPr>
                <w:sz w:val="20"/>
                <w:szCs w:val="20"/>
                <w:color w:val="auto"/>
              </w:rPr>
            </w:pPr>
            <w:r>
              <w:rPr>
                <w:rFonts w:ascii="Arial" w:cs="Arial" w:eastAsia="Arial" w:hAnsi="Arial"/>
                <w:sz w:val="12"/>
                <w:szCs w:val="12"/>
                <w:b w:val="1"/>
                <w:bCs w:val="1"/>
                <w:color w:val="auto"/>
              </w:rPr>
              <w:t>Gross Principal</w:t>
            </w:r>
          </w:p>
        </w:tc>
        <w:tc>
          <w:tcPr>
            <w:tcW w:w="104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SLG Share</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ind w:left="260"/>
              <w:spacing w:after="0"/>
              <w:rPr>
                <w:sz w:val="20"/>
                <w:szCs w:val="20"/>
                <w:color w:val="auto"/>
              </w:rPr>
            </w:pPr>
            <w:r>
              <w:rPr>
                <w:rFonts w:ascii="Arial" w:cs="Arial" w:eastAsia="Arial" w:hAnsi="Arial"/>
                <w:sz w:val="12"/>
                <w:szCs w:val="12"/>
                <w:b w:val="1"/>
                <w:bCs w:val="1"/>
                <w:color w:val="auto"/>
              </w:rPr>
              <w:t>Coupon</w:t>
            </w:r>
          </w:p>
        </w:tc>
        <w:tc>
          <w:tcPr>
            <w:tcW w:w="92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Payment</w:t>
            </w:r>
          </w:p>
        </w:tc>
        <w:tc>
          <w:tcPr>
            <w:tcW w:w="11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Repayment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Maturity</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Prepayment Date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gridSpan w:val="3"/>
          </w:tcPr>
          <w:p>
            <w:pPr>
              <w:spacing w:after="0"/>
              <w:rPr>
                <w:sz w:val="8"/>
                <w:szCs w:val="8"/>
                <w:color w:val="auto"/>
              </w:rPr>
            </w:pPr>
          </w:p>
        </w:tc>
        <w:tc>
          <w:tcPr>
            <w:tcW w:w="600" w:type="dxa"/>
            <w:vAlign w:val="bottom"/>
            <w:gridSpan w:val="2"/>
          </w:tcPr>
          <w:p>
            <w:pPr>
              <w:spacing w:after="0"/>
              <w:rPr>
                <w:sz w:val="8"/>
                <w:szCs w:val="8"/>
                <w:color w:val="auto"/>
              </w:rPr>
            </w:pPr>
          </w:p>
        </w:tc>
        <w:tc>
          <w:tcPr>
            <w:tcW w:w="800" w:type="dxa"/>
            <w:vAlign w:val="bottom"/>
            <w:gridSpan w:val="2"/>
          </w:tcPr>
          <w:p>
            <w:pPr>
              <w:spacing w:after="0"/>
              <w:rPr>
                <w:sz w:val="8"/>
                <w:szCs w:val="8"/>
                <w:color w:val="auto"/>
              </w:rPr>
            </w:pPr>
          </w:p>
        </w:tc>
        <w:tc>
          <w:tcPr>
            <w:tcW w:w="8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180 Madison JV</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31,793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15,865</w:t>
            </w:r>
          </w:p>
        </w:tc>
        <w:tc>
          <w:tcPr>
            <w:tcW w:w="1400" w:type="dxa"/>
            <w:vAlign w:val="bottom"/>
            <w:gridSpan w:val="4"/>
            <w:shd w:val="clear" w:color="auto" w:fill="CCEEFF"/>
          </w:tcPr>
          <w:p>
            <w:pPr>
              <w:ind w:left="1060"/>
              <w:spacing w:after="0"/>
              <w:rPr>
                <w:sz w:val="20"/>
                <w:szCs w:val="20"/>
                <w:color w:val="auto"/>
              </w:rPr>
            </w:pPr>
            <w:r>
              <w:rPr>
                <w:rFonts w:ascii="Arial" w:cs="Arial" w:eastAsia="Arial" w:hAnsi="Arial"/>
                <w:sz w:val="12"/>
                <w:szCs w:val="12"/>
                <w:color w:val="auto"/>
                <w:w w:val="93"/>
              </w:rPr>
              <w:t>7.81%</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2,765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12/1/05</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30,778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gridSpan w:val="2"/>
          </w:tcPr>
          <w:p>
            <w:pPr>
              <w:ind w:left="220"/>
              <w:spacing w:after="0" w:line="128" w:lineRule="exact"/>
              <w:rPr>
                <w:sz w:val="20"/>
                <w:szCs w:val="20"/>
                <w:color w:val="auto"/>
              </w:rPr>
            </w:pPr>
            <w:r>
              <w:rPr>
                <w:rFonts w:ascii="Arial" w:cs="Arial" w:eastAsia="Arial" w:hAnsi="Arial"/>
                <w:sz w:val="12"/>
                <w:szCs w:val="12"/>
                <w:color w:val="auto"/>
              </w:rPr>
              <w:t>1250 Broadway (Libor Swap of</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4.03% + 250bp) (1)</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85,000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2"/>
                <w:szCs w:val="12"/>
                <w:color w:val="auto"/>
              </w:rPr>
              <w:t>46,750</w:t>
            </w:r>
          </w:p>
        </w:tc>
        <w:tc>
          <w:tcPr>
            <w:tcW w:w="1400" w:type="dxa"/>
            <w:vAlign w:val="bottom"/>
            <w:gridSpan w:val="4"/>
          </w:tcPr>
          <w:p>
            <w:pPr>
              <w:ind w:left="1060"/>
              <w:spacing w:after="0"/>
              <w:rPr>
                <w:sz w:val="20"/>
                <w:szCs w:val="20"/>
                <w:color w:val="auto"/>
              </w:rPr>
            </w:pPr>
            <w:r>
              <w:rPr>
                <w:rFonts w:ascii="Arial" w:cs="Arial" w:eastAsia="Arial" w:hAnsi="Arial"/>
                <w:sz w:val="12"/>
                <w:szCs w:val="12"/>
                <w:color w:val="auto"/>
                <w:w w:val="93"/>
              </w:rPr>
              <w:t>6.53%</w:t>
            </w:r>
          </w:p>
        </w:tc>
        <w:tc>
          <w:tcPr>
            <w:tcW w:w="920" w:type="dxa"/>
            <w:vAlign w:val="bottom"/>
            <w:gridSpan w:val="4"/>
          </w:tcPr>
          <w:p>
            <w:pPr>
              <w:jc w:val="right"/>
              <w:ind w:right="120"/>
              <w:spacing w:after="0"/>
              <w:rPr>
                <w:sz w:val="20"/>
                <w:szCs w:val="20"/>
                <w:color w:val="auto"/>
              </w:rPr>
            </w:pPr>
            <w:r>
              <w:rPr>
                <w:rFonts w:ascii="Arial" w:cs="Arial" w:eastAsia="Arial" w:hAnsi="Arial"/>
                <w:sz w:val="12"/>
                <w:szCs w:val="12"/>
                <w:color w:val="auto"/>
              </w:rPr>
              <w:t>5,551</w:t>
            </w:r>
          </w:p>
        </w:tc>
        <w:tc>
          <w:tcPr>
            <w:tcW w:w="88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10/1/04</w:t>
            </w:r>
          </w:p>
        </w:tc>
        <w:tc>
          <w:tcPr>
            <w:tcW w:w="800" w:type="dxa"/>
            <w:vAlign w:val="bottom"/>
          </w:tcPr>
          <w:p>
            <w:pPr>
              <w:jc w:val="right"/>
              <w:spacing w:after="0"/>
              <w:rPr>
                <w:sz w:val="20"/>
                <w:szCs w:val="20"/>
                <w:color w:val="auto"/>
              </w:rPr>
            </w:pPr>
            <w:r>
              <w:rPr>
                <w:rFonts w:ascii="Arial" w:cs="Arial" w:eastAsia="Arial" w:hAnsi="Arial"/>
                <w:sz w:val="12"/>
                <w:szCs w:val="12"/>
                <w:color w:val="auto"/>
              </w:rPr>
              <w:t>85,000</w:t>
            </w: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rPr>
              <w:t>1515 Broadway (Libor + 191 bps)</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(2)</w:t>
            </w:r>
          </w:p>
        </w:tc>
        <w:tc>
          <w:tcPr>
            <w:tcW w:w="9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2"/>
              </w:rPr>
              <w:t>335,000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184,250</w:t>
            </w:r>
          </w:p>
        </w:tc>
        <w:tc>
          <w:tcPr>
            <w:tcW w:w="1400" w:type="dxa"/>
            <w:vAlign w:val="bottom"/>
            <w:gridSpan w:val="4"/>
            <w:shd w:val="clear" w:color="auto" w:fill="CCEEFF"/>
          </w:tcPr>
          <w:p>
            <w:pPr>
              <w:ind w:left="1060"/>
              <w:spacing w:after="0"/>
              <w:rPr>
                <w:sz w:val="20"/>
                <w:szCs w:val="20"/>
                <w:color w:val="auto"/>
              </w:rPr>
            </w:pPr>
            <w:r>
              <w:rPr>
                <w:rFonts w:ascii="Arial" w:cs="Arial" w:eastAsia="Arial" w:hAnsi="Arial"/>
                <w:sz w:val="12"/>
                <w:szCs w:val="12"/>
                <w:color w:val="auto"/>
                <w:w w:val="93"/>
              </w:rPr>
              <w:t>4.05%</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5/14/04</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184,250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321 W 44th JV (Libor + 250bps)</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22,000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2"/>
                <w:szCs w:val="12"/>
                <w:color w:val="auto"/>
              </w:rPr>
              <w:t>7,700</w:t>
            </w:r>
          </w:p>
        </w:tc>
        <w:tc>
          <w:tcPr>
            <w:tcW w:w="1400" w:type="dxa"/>
            <w:vAlign w:val="bottom"/>
            <w:gridSpan w:val="4"/>
          </w:tcPr>
          <w:p>
            <w:pPr>
              <w:ind w:left="1060"/>
              <w:spacing w:after="0"/>
              <w:rPr>
                <w:sz w:val="20"/>
                <w:szCs w:val="20"/>
                <w:color w:val="auto"/>
              </w:rPr>
            </w:pPr>
            <w:r>
              <w:rPr>
                <w:rFonts w:ascii="Arial" w:cs="Arial" w:eastAsia="Arial" w:hAnsi="Arial"/>
                <w:sz w:val="12"/>
                <w:szCs w:val="12"/>
                <w:color w:val="auto"/>
                <w:w w:val="93"/>
              </w:rPr>
              <w:t>4.33%</w:t>
            </w:r>
          </w:p>
        </w:tc>
        <w:tc>
          <w:tcPr>
            <w:tcW w:w="92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4/30/03</w:t>
            </w:r>
          </w:p>
        </w:tc>
        <w:tc>
          <w:tcPr>
            <w:tcW w:w="800" w:type="dxa"/>
            <w:vAlign w:val="bottom"/>
          </w:tcPr>
          <w:p>
            <w:pPr>
              <w:jc w:val="right"/>
              <w:spacing w:after="0"/>
              <w:rPr>
                <w:sz w:val="20"/>
                <w:szCs w:val="20"/>
                <w:color w:val="auto"/>
              </w:rPr>
            </w:pPr>
            <w:r>
              <w:rPr>
                <w:rFonts w:ascii="Arial" w:cs="Arial" w:eastAsia="Arial" w:hAnsi="Arial"/>
                <w:sz w:val="12"/>
                <w:szCs w:val="12"/>
                <w:color w:val="auto"/>
              </w:rPr>
              <w:t>7,700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1 Park Avenue (Libor + 150 bps)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2"/>
              </w:rPr>
              <w:t>150,000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82,500</w:t>
            </w:r>
          </w:p>
        </w:tc>
        <w:tc>
          <w:tcPr>
            <w:tcW w:w="1400" w:type="dxa"/>
            <w:vAlign w:val="bottom"/>
            <w:gridSpan w:val="4"/>
            <w:shd w:val="clear" w:color="auto" w:fill="CCEEFF"/>
          </w:tcPr>
          <w:p>
            <w:pPr>
              <w:ind w:left="1060"/>
              <w:spacing w:after="0"/>
              <w:rPr>
                <w:sz w:val="20"/>
                <w:szCs w:val="20"/>
                <w:color w:val="auto"/>
              </w:rPr>
            </w:pPr>
            <w:r>
              <w:rPr>
                <w:rFonts w:ascii="Arial" w:cs="Arial" w:eastAsia="Arial" w:hAnsi="Arial"/>
                <w:sz w:val="12"/>
                <w:szCs w:val="12"/>
                <w:color w:val="auto"/>
                <w:w w:val="93"/>
              </w:rPr>
              <w:t>3.31%</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1/10/04</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40" w:type="dxa"/>
            <w:vAlign w:val="bottom"/>
            <w:gridSpan w:val="2"/>
          </w:tcPr>
          <w:p>
            <w:pPr>
              <w:ind w:left="220"/>
              <w:spacing w:after="0"/>
              <w:rPr>
                <w:sz w:val="20"/>
                <w:szCs w:val="20"/>
                <w:color w:val="auto"/>
              </w:rPr>
            </w:pPr>
            <w:r>
              <w:rPr>
                <w:rFonts w:ascii="Arial" w:cs="Arial" w:eastAsia="Arial" w:hAnsi="Arial"/>
                <w:sz w:val="12"/>
                <w:szCs w:val="12"/>
                <w:color w:val="auto"/>
              </w:rPr>
              <w:t>100 Park Avenue JV</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92"/>
              </w:rPr>
              <w:t>119,134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2"/>
                <w:szCs w:val="12"/>
                <w:color w:val="auto"/>
              </w:rPr>
              <w:t>59,448</w:t>
            </w:r>
          </w:p>
        </w:tc>
        <w:tc>
          <w:tcPr>
            <w:tcW w:w="1400" w:type="dxa"/>
            <w:vAlign w:val="bottom"/>
            <w:gridSpan w:val="4"/>
          </w:tcPr>
          <w:p>
            <w:pPr>
              <w:ind w:left="1060"/>
              <w:spacing w:after="0"/>
              <w:rPr>
                <w:sz w:val="20"/>
                <w:szCs w:val="20"/>
                <w:color w:val="auto"/>
              </w:rPr>
            </w:pPr>
            <w:r>
              <w:rPr>
                <w:rFonts w:ascii="Arial" w:cs="Arial" w:eastAsia="Arial" w:hAnsi="Arial"/>
                <w:sz w:val="12"/>
                <w:szCs w:val="12"/>
                <w:color w:val="auto"/>
                <w:w w:val="93"/>
              </w:rPr>
              <w:t>8.00%</w:t>
            </w:r>
          </w:p>
        </w:tc>
        <w:tc>
          <w:tcPr>
            <w:tcW w:w="920" w:type="dxa"/>
            <w:vAlign w:val="bottom"/>
            <w:gridSpan w:val="4"/>
          </w:tcPr>
          <w:p>
            <w:pPr>
              <w:jc w:val="right"/>
              <w:ind w:right="120"/>
              <w:spacing w:after="0"/>
              <w:rPr>
                <w:sz w:val="20"/>
                <w:szCs w:val="20"/>
                <w:color w:val="auto"/>
              </w:rPr>
            </w:pPr>
            <w:r>
              <w:rPr>
                <w:rFonts w:ascii="Arial" w:cs="Arial" w:eastAsia="Arial" w:hAnsi="Arial"/>
                <w:sz w:val="12"/>
                <w:szCs w:val="12"/>
                <w:color w:val="auto"/>
              </w:rPr>
              <w:t>10,617</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883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9/1/10</w:t>
            </w:r>
          </w:p>
        </w:tc>
        <w:tc>
          <w:tcPr>
            <w:tcW w:w="800" w:type="dxa"/>
            <w:vAlign w:val="bottom"/>
          </w:tcPr>
          <w:p>
            <w:pPr>
              <w:jc w:val="right"/>
              <w:spacing w:after="0"/>
              <w:rPr>
                <w:sz w:val="20"/>
                <w:szCs w:val="20"/>
                <w:color w:val="auto"/>
              </w:rPr>
            </w:pPr>
            <w:r>
              <w:rPr>
                <w:rFonts w:ascii="Arial" w:cs="Arial" w:eastAsia="Arial" w:hAnsi="Arial"/>
                <w:sz w:val="12"/>
                <w:szCs w:val="12"/>
                <w:color w:val="auto"/>
              </w:rPr>
              <w:t>107,488</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Open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40" w:type="dxa"/>
            <w:vAlign w:val="bottom"/>
            <w:gridSpan w:val="2"/>
            <w:shd w:val="clear" w:color="auto" w:fill="CCEEFF"/>
          </w:tcPr>
          <w:p>
            <w:pPr>
              <w:ind w:left="920"/>
              <w:spacing w:after="0" w:line="124" w:lineRule="exact"/>
              <w:rPr>
                <w:sz w:val="20"/>
                <w:szCs w:val="20"/>
                <w:color w:val="auto"/>
              </w:rPr>
            </w:pPr>
            <w:r>
              <w:rPr>
                <w:rFonts w:ascii="Arial" w:cs="Arial" w:eastAsia="Arial" w:hAnsi="Arial"/>
                <w:sz w:val="12"/>
                <w:szCs w:val="12"/>
                <w:b w:val="1"/>
                <w:bCs w:val="1"/>
                <w:color w:val="auto"/>
              </w:rPr>
              <w:t>Total Joint Venture</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920"/>
              <w:spacing w:after="0"/>
              <w:rPr>
                <w:sz w:val="20"/>
                <w:szCs w:val="20"/>
                <w:color w:val="auto"/>
              </w:rPr>
            </w:pPr>
            <w:r>
              <w:rPr>
                <w:rFonts w:ascii="Arial" w:cs="Arial" w:eastAsia="Arial" w:hAnsi="Arial"/>
                <w:sz w:val="12"/>
                <w:szCs w:val="12"/>
                <w:b w:val="1"/>
                <w:bCs w:val="1"/>
                <w:color w:val="auto"/>
              </w:rPr>
              <w:t>Debt/Wtd Avg</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742,928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396,513</w:t>
            </w:r>
          </w:p>
        </w:tc>
        <w:tc>
          <w:tcPr>
            <w:tcW w:w="1400" w:type="dxa"/>
            <w:vAlign w:val="bottom"/>
            <w:gridSpan w:val="4"/>
            <w:shd w:val="clear" w:color="auto" w:fill="CCEEFF"/>
          </w:tcPr>
          <w:p>
            <w:pPr>
              <w:ind w:left="1060"/>
              <w:spacing w:after="0"/>
              <w:rPr>
                <w:sz w:val="20"/>
                <w:szCs w:val="20"/>
                <w:color w:val="auto"/>
              </w:rPr>
            </w:pPr>
            <w:r>
              <w:rPr>
                <w:rFonts w:ascii="Arial" w:cs="Arial" w:eastAsia="Arial" w:hAnsi="Arial"/>
                <w:sz w:val="12"/>
                <w:szCs w:val="12"/>
                <w:b w:val="1"/>
                <w:bCs w:val="1"/>
                <w:color w:val="auto"/>
                <w:w w:val="93"/>
              </w:rPr>
              <w:t>4.94%</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18,932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1,161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spacing w:after="0"/>
              <w:rPr>
                <w:sz w:val="20"/>
                <w:szCs w:val="20"/>
                <w:color w:val="auto"/>
              </w:rPr>
            </w:pPr>
            <w:r>
              <w:rPr>
                <w:rFonts w:ascii="Arial" w:cs="Arial" w:eastAsia="Arial" w:hAnsi="Arial"/>
                <w:sz w:val="12"/>
                <w:szCs w:val="12"/>
                <w:b w:val="1"/>
                <w:bCs w:val="1"/>
                <w:color w:val="auto"/>
              </w:rPr>
              <w:t>Weighted Average Balance &amp;</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060" w:type="dxa"/>
            <w:vAlign w:val="bottom"/>
            <w:gridSpan w:val="3"/>
          </w:tcPr>
          <w:p>
            <w:pPr>
              <w:spacing w:after="0"/>
              <w:rPr>
                <w:sz w:val="20"/>
                <w:szCs w:val="20"/>
                <w:color w:val="auto"/>
              </w:rPr>
            </w:pPr>
            <w:r>
              <w:rPr>
                <w:rFonts w:ascii="Arial" w:cs="Arial" w:eastAsia="Arial" w:hAnsi="Arial"/>
                <w:sz w:val="12"/>
                <w:szCs w:val="12"/>
                <w:b w:val="1"/>
                <w:bCs w:val="1"/>
                <w:color w:val="auto"/>
              </w:rPr>
              <w:t>Interest Rate with SLG JV debt</w:t>
            </w:r>
          </w:p>
        </w:tc>
        <w:tc>
          <w:tcPr>
            <w:tcW w:w="42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985,408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5.74%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-4702175</wp:posOffset>
            </wp:positionV>
            <wp:extent cx="12700" cy="76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-4702175</wp:posOffset>
            </wp:positionV>
            <wp:extent cx="12700"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-4702175</wp:posOffset>
            </wp:positionV>
            <wp:extent cx="1270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-4702175</wp:posOffset>
            </wp:positionV>
            <wp:extent cx="1270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-4702175</wp:posOffset>
            </wp:positionV>
            <wp:extent cx="1270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-4702175</wp:posOffset>
            </wp:positionV>
            <wp:extent cx="1270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-4702175</wp:posOffset>
            </wp:positionV>
            <wp:extent cx="12700"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-4702175</wp:posOffset>
            </wp:positionV>
            <wp:extent cx="1270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-4331970</wp:posOffset>
            </wp:positionV>
            <wp:extent cx="1270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-4331970</wp:posOffset>
            </wp:positionV>
            <wp:extent cx="12700"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-3819525</wp:posOffset>
            </wp:positionV>
            <wp:extent cx="12700"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-3819525</wp:posOffset>
            </wp:positionV>
            <wp:extent cx="12700"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-3819525</wp:posOffset>
            </wp:positionV>
            <wp:extent cx="12700"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-3819525</wp:posOffset>
            </wp:positionV>
            <wp:extent cx="12700"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-2905760</wp:posOffset>
            </wp:positionV>
            <wp:extent cx="1270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-2905760</wp:posOffset>
            </wp:positionV>
            <wp:extent cx="12700"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-2677160</wp:posOffset>
            </wp:positionV>
            <wp:extent cx="12700"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-2677160</wp:posOffset>
            </wp:positionV>
            <wp:extent cx="1270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-2243455</wp:posOffset>
            </wp:positionV>
            <wp:extent cx="12700" cy="76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-2243455</wp:posOffset>
            </wp:positionV>
            <wp:extent cx="1270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-2015490</wp:posOffset>
            </wp:positionV>
            <wp:extent cx="12700"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-2015490</wp:posOffset>
            </wp:positionV>
            <wp:extent cx="1270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-1699895</wp:posOffset>
            </wp:positionV>
            <wp:extent cx="12700"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-1699895</wp:posOffset>
            </wp:positionV>
            <wp:extent cx="1270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-1699895</wp:posOffset>
            </wp:positionV>
            <wp:extent cx="12700"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-1699895</wp:posOffset>
            </wp:positionV>
            <wp:extent cx="12700"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-1699895</wp:posOffset>
            </wp:positionV>
            <wp:extent cx="1270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-1699895</wp:posOffset>
            </wp:positionV>
            <wp:extent cx="12700" cy="76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-1699895</wp:posOffset>
            </wp:positionV>
            <wp:extent cx="12700"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-1699895</wp:posOffset>
            </wp:positionV>
            <wp:extent cx="12700"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-1699895</wp:posOffset>
            </wp:positionV>
            <wp:extent cx="12700"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-1699895</wp:posOffset>
            </wp:positionV>
            <wp:extent cx="12700"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-1699895</wp:posOffset>
            </wp:positionV>
            <wp:extent cx="12700"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-1699895</wp:posOffset>
            </wp:positionV>
            <wp:extent cx="12700"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-1699895</wp:posOffset>
            </wp:positionV>
            <wp:extent cx="1270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-1699895</wp:posOffset>
            </wp:positionV>
            <wp:extent cx="1270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-1699895</wp:posOffset>
            </wp:positionV>
            <wp:extent cx="12700"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-1699895</wp:posOffset>
            </wp:positionV>
            <wp:extent cx="12700"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-643890</wp:posOffset>
            </wp:positionV>
            <wp:extent cx="12700"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-643890</wp:posOffset>
            </wp:positionV>
            <wp:extent cx="1270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-643890</wp:posOffset>
            </wp:positionV>
            <wp:extent cx="1270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-643890</wp:posOffset>
            </wp:positionV>
            <wp:extent cx="12700"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-643890</wp:posOffset>
            </wp:positionV>
            <wp:extent cx="1270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-643890</wp:posOffset>
            </wp:positionV>
            <wp:extent cx="12700"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-643890</wp:posOffset>
            </wp:positionV>
            <wp:extent cx="12700"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-643890</wp:posOffset>
            </wp:positionV>
            <wp:extent cx="12700"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-643890</wp:posOffset>
            </wp:positionV>
            <wp:extent cx="12700"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-643890</wp:posOffset>
            </wp:positionV>
            <wp:extent cx="1270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-328930</wp:posOffset>
            </wp:positionV>
            <wp:extent cx="1270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-328930</wp:posOffset>
            </wp:positionV>
            <wp:extent cx="12700"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-13335</wp:posOffset>
            </wp:positionV>
            <wp:extent cx="12700"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37" w:lineRule="exact"/>
        <w:rPr>
          <w:sz w:val="20"/>
          <w:szCs w:val="20"/>
          <w:color w:val="auto"/>
        </w:rPr>
      </w:pPr>
    </w:p>
    <w:p>
      <w:pPr>
        <w:ind w:left="501" w:hanging="501"/>
        <w:spacing w:after="0"/>
        <w:tabs>
          <w:tab w:leader="none" w:pos="501" w:val="left"/>
        </w:tabs>
        <w:numPr>
          <w:ilvl w:val="0"/>
          <w:numId w:val="9"/>
        </w:numPr>
        <w:rPr>
          <w:rFonts w:ascii="Arial" w:cs="Arial" w:eastAsia="Arial" w:hAnsi="Arial"/>
          <w:sz w:val="25"/>
          <w:szCs w:val="25"/>
          <w:color w:val="auto"/>
          <w:vertAlign w:val="subscript"/>
        </w:rPr>
      </w:pPr>
      <w:r>
        <w:rPr>
          <w:rFonts w:ascii="Arial" w:cs="Arial" w:eastAsia="Arial" w:hAnsi="Arial"/>
          <w:sz w:val="12"/>
          <w:szCs w:val="12"/>
          <w:color w:val="auto"/>
        </w:rPr>
        <w:t>Swap on 1250 mortgage executed on SLG portion only through January 11, 2005.</w:t>
      </w:r>
    </w:p>
    <w:p>
      <w:pPr>
        <w:ind w:left="501" w:hanging="501"/>
        <w:spacing w:after="0" w:line="191" w:lineRule="auto"/>
        <w:tabs>
          <w:tab w:leader="none" w:pos="501" w:val="left"/>
        </w:tabs>
        <w:numPr>
          <w:ilvl w:val="0"/>
          <w:numId w:val="9"/>
        </w:numPr>
        <w:rPr>
          <w:rFonts w:ascii="Arial" w:cs="Arial" w:eastAsia="Arial" w:hAnsi="Arial"/>
          <w:sz w:val="16"/>
          <w:szCs w:val="16"/>
          <w:color w:val="auto"/>
          <w:vertAlign w:val="subscript"/>
        </w:rPr>
      </w:pPr>
      <w:r>
        <w:rPr>
          <w:rFonts w:ascii="Arial" w:cs="Arial" w:eastAsia="Arial" w:hAnsi="Arial"/>
          <w:sz w:val="10"/>
          <w:szCs w:val="10"/>
          <w:color w:val="auto"/>
        </w:rPr>
        <w:t>Spread on 1515 is weighted for first mortgage and mezzanine pieces. In August 2002 a swap at a Libor of 2.29% was placed on $100mm of SL Green's share of debt.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SUMMARY OF GROUND LEASE ARRANGEMENTS</w:t>
      </w:r>
    </w:p>
    <w:p>
      <w:pPr>
        <w:spacing w:after="0" w:line="2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Consolidated Statement (REIT)</w:t>
      </w:r>
    </w:p>
    <w:p>
      <w:pPr>
        <w:ind w:left="1"/>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ind w:right="258"/>
              <w:spacing w:after="0"/>
              <w:rPr>
                <w:sz w:val="20"/>
                <w:szCs w:val="20"/>
                <w:color w:val="auto"/>
              </w:rPr>
            </w:pPr>
            <w:r>
              <w:rPr>
                <w:rFonts w:ascii="Arial" w:cs="Arial" w:eastAsia="Arial" w:hAnsi="Arial"/>
                <w:sz w:val="12"/>
                <w:szCs w:val="12"/>
                <w:b w:val="1"/>
                <w:bCs w:val="1"/>
                <w:color w:val="auto"/>
              </w:rPr>
              <w:t>2002 Scheduled</w:t>
            </w:r>
          </w:p>
        </w:tc>
        <w:tc>
          <w:tcPr>
            <w:tcW w:w="12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2003 Scheduled</w:t>
            </w:r>
          </w:p>
        </w:tc>
        <w:tc>
          <w:tcPr>
            <w:tcW w:w="1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2004 Scheduled</w:t>
            </w:r>
          </w:p>
        </w:tc>
        <w:tc>
          <w:tcPr>
            <w:tcW w:w="1460" w:type="dxa"/>
            <w:vAlign w:val="bottom"/>
          </w:tcPr>
          <w:p>
            <w:pPr>
              <w:jc w:val="right"/>
              <w:ind w:right="244"/>
              <w:spacing w:after="0"/>
              <w:rPr>
                <w:sz w:val="20"/>
                <w:szCs w:val="20"/>
                <w:color w:val="auto"/>
              </w:rPr>
            </w:pPr>
            <w:r>
              <w:rPr>
                <w:rFonts w:ascii="Arial" w:cs="Arial" w:eastAsia="Arial" w:hAnsi="Arial"/>
                <w:sz w:val="12"/>
                <w:szCs w:val="12"/>
                <w:b w:val="1"/>
                <w:bCs w:val="1"/>
                <w:color w:val="auto"/>
              </w:rPr>
              <w:t>2005 Scheduled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Deferred Land</w:t>
            </w:r>
          </w:p>
        </w:tc>
        <w:tc>
          <w:tcPr>
            <w:tcW w:w="1120" w:type="dxa"/>
            <w:vAlign w:val="bottom"/>
            <w:gridSpan w:val="2"/>
          </w:tcPr>
          <w:p>
            <w:pPr>
              <w:ind w:left="260"/>
              <w:spacing w:after="0"/>
              <w:rPr>
                <w:sz w:val="20"/>
                <w:szCs w:val="20"/>
                <w:color w:val="auto"/>
              </w:rPr>
            </w:pPr>
            <w:r>
              <w:rPr>
                <w:rFonts w:ascii="Arial" w:cs="Arial" w:eastAsia="Arial" w:hAnsi="Arial"/>
                <w:sz w:val="12"/>
                <w:szCs w:val="12"/>
                <w:b w:val="1"/>
                <w:bCs w:val="1"/>
                <w:color w:val="auto"/>
              </w:rPr>
              <w:t>Year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Property</w:t>
            </w:r>
          </w:p>
        </w:tc>
        <w:tc>
          <w:tcPr>
            <w:tcW w:w="120" w:type="dxa"/>
            <w:vAlign w:val="bottom"/>
          </w:tcPr>
          <w:p>
            <w:pPr>
              <w:spacing w:after="0"/>
              <w:rPr>
                <w:sz w:val="13"/>
                <w:szCs w:val="13"/>
                <w:color w:val="auto"/>
              </w:rPr>
            </w:pPr>
          </w:p>
        </w:tc>
        <w:tc>
          <w:tcPr>
            <w:tcW w:w="1480" w:type="dxa"/>
            <w:vAlign w:val="bottom"/>
          </w:tcPr>
          <w:p>
            <w:pPr>
              <w:jc w:val="right"/>
              <w:ind w:right="298"/>
              <w:spacing w:after="0"/>
              <w:rPr>
                <w:sz w:val="20"/>
                <w:szCs w:val="20"/>
                <w:color w:val="auto"/>
              </w:rPr>
            </w:pPr>
            <w:r>
              <w:rPr>
                <w:rFonts w:ascii="Arial" w:cs="Arial" w:eastAsia="Arial" w:hAnsi="Arial"/>
                <w:sz w:val="12"/>
                <w:szCs w:val="12"/>
                <w:b w:val="1"/>
                <w:bCs w:val="1"/>
                <w:color w:val="auto"/>
              </w:rPr>
              <w:t>Cash Payment</w:t>
            </w:r>
          </w:p>
        </w:tc>
        <w:tc>
          <w:tcPr>
            <w:tcW w:w="1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Cash Payment</w:t>
            </w:r>
          </w:p>
        </w:tc>
        <w:tc>
          <w:tcPr>
            <w:tcW w:w="1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1"/>
              </w:rPr>
              <w:t>Cash Payment</w:t>
            </w:r>
          </w:p>
        </w:tc>
        <w:tc>
          <w:tcPr>
            <w:tcW w:w="1460" w:type="dxa"/>
            <w:vAlign w:val="bottom"/>
          </w:tcPr>
          <w:p>
            <w:pPr>
              <w:jc w:val="right"/>
              <w:ind w:right="264"/>
              <w:spacing w:after="0"/>
              <w:rPr>
                <w:sz w:val="20"/>
                <w:szCs w:val="20"/>
                <w:color w:val="auto"/>
              </w:rPr>
            </w:pPr>
            <w:r>
              <w:rPr>
                <w:rFonts w:ascii="Arial" w:cs="Arial" w:eastAsia="Arial" w:hAnsi="Arial"/>
                <w:sz w:val="12"/>
                <w:szCs w:val="12"/>
                <w:b w:val="1"/>
                <w:bCs w:val="1"/>
                <w:color w:val="auto"/>
              </w:rPr>
              <w:t>Cash Payment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Lease Obligations (1)</w:t>
            </w:r>
          </w:p>
        </w:tc>
        <w:tc>
          <w:tcPr>
            <w:tcW w:w="1120" w:type="dxa"/>
            <w:vAlign w:val="bottom"/>
            <w:gridSpan w:val="2"/>
          </w:tcPr>
          <w:p>
            <w:pPr>
              <w:ind w:left="220"/>
              <w:spacing w:after="0"/>
              <w:rPr>
                <w:sz w:val="20"/>
                <w:szCs w:val="20"/>
                <w:color w:val="auto"/>
              </w:rPr>
            </w:pPr>
            <w:r>
              <w:rPr>
                <w:rFonts w:ascii="Arial" w:cs="Arial" w:eastAsia="Arial" w:hAnsi="Arial"/>
                <w:sz w:val="12"/>
                <w:szCs w:val="12"/>
                <w:b w:val="1"/>
                <w:bCs w:val="1"/>
                <w:color w:val="auto"/>
              </w:rPr>
              <w:t>Maturity</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620" w:type="dxa"/>
            <w:vAlign w:val="bottom"/>
            <w:gridSpan w:val="3"/>
          </w:tcPr>
          <w:p>
            <w:pPr>
              <w:spacing w:after="0"/>
              <w:rPr>
                <w:sz w:val="20"/>
                <w:szCs w:val="20"/>
                <w:color w:val="auto"/>
              </w:rPr>
            </w:pPr>
            <w:r>
              <w:rPr>
                <w:rFonts w:ascii="Arial" w:cs="Arial" w:eastAsia="Arial" w:hAnsi="Arial"/>
                <w:sz w:val="16"/>
                <w:szCs w:val="16"/>
                <w:color w:val="auto"/>
              </w:rPr>
              <w:t>673 First Avenue</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3,010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3,010</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3,108</w:t>
            </w:r>
          </w:p>
        </w:tc>
        <w:tc>
          <w:tcPr>
            <w:tcW w:w="2180" w:type="dxa"/>
            <w:vAlign w:val="bottom"/>
            <w:gridSpan w:val="4"/>
          </w:tcPr>
          <w:p>
            <w:pPr>
              <w:jc w:val="right"/>
              <w:ind w:right="20"/>
              <w:spacing w:after="0"/>
              <w:rPr>
                <w:sz w:val="20"/>
                <w:szCs w:val="20"/>
                <w:color w:val="auto"/>
              </w:rPr>
            </w:pPr>
            <w:r>
              <w:rPr>
                <w:rFonts w:ascii="Arial" w:cs="Arial" w:eastAsia="Arial" w:hAnsi="Arial"/>
                <w:sz w:val="16"/>
                <w:szCs w:val="16"/>
                <w:color w:val="auto"/>
              </w:rPr>
              <w:t>12,901</w:t>
            </w:r>
          </w:p>
        </w:tc>
        <w:tc>
          <w:tcPr>
            <w:tcW w:w="100" w:type="dxa"/>
            <w:vAlign w:val="bottom"/>
          </w:tcPr>
          <w:p>
            <w:pPr>
              <w:spacing w:after="0"/>
              <w:rPr>
                <w:sz w:val="24"/>
                <w:szCs w:val="24"/>
                <w:color w:val="auto"/>
              </w:rPr>
            </w:pPr>
          </w:p>
        </w:tc>
        <w:tc>
          <w:tcPr>
            <w:tcW w:w="900" w:type="dxa"/>
            <w:vAlign w:val="bottom"/>
          </w:tcPr>
          <w:p>
            <w:pPr>
              <w:ind w:left="580"/>
              <w:spacing w:after="0"/>
              <w:rPr>
                <w:sz w:val="20"/>
                <w:szCs w:val="20"/>
                <w:color w:val="auto"/>
              </w:rPr>
            </w:pPr>
            <w:r>
              <w:rPr>
                <w:rFonts w:ascii="Arial" w:cs="Arial" w:eastAsia="Arial" w:hAnsi="Arial"/>
                <w:sz w:val="16"/>
                <w:szCs w:val="16"/>
                <w:color w:val="auto"/>
                <w:w w:val="84"/>
              </w:rPr>
              <w:t>2037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1140 Avenue of</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Americas (2)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w w:val="94"/>
              </w:rPr>
              <w:t>2016(3)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w w:val="99"/>
              </w:rPr>
              <w:t>420 Lexington Avenue</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7,074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7,074</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7,074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80"/>
              <w:spacing w:after="0"/>
              <w:rPr>
                <w:sz w:val="20"/>
                <w:szCs w:val="20"/>
                <w:color w:val="auto"/>
              </w:rPr>
            </w:pPr>
            <w:r>
              <w:rPr>
                <w:rFonts w:ascii="Arial" w:cs="Arial" w:eastAsia="Arial" w:hAnsi="Arial"/>
                <w:sz w:val="16"/>
                <w:szCs w:val="16"/>
                <w:color w:val="auto"/>
                <w:w w:val="94"/>
              </w:rPr>
              <w:t>2008(4)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711 Third Avenue (2)</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21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4"/>
              </w:rPr>
              <w:t>2032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11,982</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11,982</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11,982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12,080</w:t>
            </w:r>
          </w:p>
        </w:tc>
        <w:tc>
          <w:tcPr>
            <w:tcW w:w="2180" w:type="dxa"/>
            <w:vAlign w:val="bottom"/>
            <w:gridSpan w:val="4"/>
          </w:tcPr>
          <w:p>
            <w:pPr>
              <w:jc w:val="right"/>
              <w:ind w:right="20"/>
              <w:spacing w:after="0"/>
              <w:rPr>
                <w:sz w:val="20"/>
                <w:szCs w:val="20"/>
                <w:color w:val="auto"/>
              </w:rPr>
            </w:pPr>
            <w:r>
              <w:rPr>
                <w:rFonts w:ascii="Arial" w:cs="Arial" w:eastAsia="Arial" w:hAnsi="Arial"/>
                <w:sz w:val="16"/>
                <w:szCs w:val="16"/>
                <w:color w:val="auto"/>
              </w:rPr>
              <w:t>14,466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Capitalized Lease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620" w:type="dxa"/>
            <w:vAlign w:val="bottom"/>
            <w:gridSpan w:val="3"/>
          </w:tcPr>
          <w:p>
            <w:pPr>
              <w:spacing w:after="0"/>
              <w:rPr>
                <w:sz w:val="20"/>
                <w:szCs w:val="20"/>
                <w:color w:val="auto"/>
              </w:rPr>
            </w:pPr>
            <w:r>
              <w:rPr>
                <w:rFonts w:ascii="Arial" w:cs="Arial" w:eastAsia="Arial" w:hAnsi="Arial"/>
                <w:sz w:val="16"/>
                <w:szCs w:val="16"/>
                <w:color w:val="auto"/>
              </w:rPr>
              <w:t>673 First Avenue</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1,290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1,322</w:t>
            </w:r>
          </w:p>
        </w:tc>
        <w:tc>
          <w:tcPr>
            <w:tcW w:w="2180" w:type="dxa"/>
            <w:vAlign w:val="bottom"/>
            <w:gridSpan w:val="4"/>
          </w:tcPr>
          <w:p>
            <w:pPr>
              <w:jc w:val="right"/>
              <w:ind w:right="20"/>
              <w:spacing w:after="0"/>
              <w:rPr>
                <w:sz w:val="20"/>
                <w:szCs w:val="20"/>
                <w:color w:val="auto"/>
              </w:rPr>
            </w:pPr>
            <w:r>
              <w:rPr>
                <w:rFonts w:ascii="Arial" w:cs="Arial" w:eastAsia="Arial" w:hAnsi="Arial"/>
                <w:sz w:val="16"/>
                <w:szCs w:val="16"/>
                <w:color w:val="auto"/>
              </w:rPr>
              <w:t>15,895</w:t>
            </w:r>
          </w:p>
        </w:tc>
        <w:tc>
          <w:tcPr>
            <w:tcW w:w="100" w:type="dxa"/>
            <w:vAlign w:val="bottom"/>
          </w:tcPr>
          <w:p>
            <w:pPr>
              <w:spacing w:after="0"/>
              <w:rPr>
                <w:sz w:val="24"/>
                <w:szCs w:val="24"/>
                <w:color w:val="auto"/>
              </w:rPr>
            </w:pPr>
          </w:p>
        </w:tc>
        <w:tc>
          <w:tcPr>
            <w:tcW w:w="900" w:type="dxa"/>
            <w:vAlign w:val="bottom"/>
          </w:tcPr>
          <w:p>
            <w:pPr>
              <w:ind w:left="580"/>
              <w:spacing w:after="0"/>
              <w:rPr>
                <w:sz w:val="20"/>
                <w:szCs w:val="20"/>
                <w:color w:val="auto"/>
              </w:rPr>
            </w:pPr>
            <w:r>
              <w:rPr>
                <w:rFonts w:ascii="Arial" w:cs="Arial" w:eastAsia="Arial" w:hAnsi="Arial"/>
                <w:sz w:val="16"/>
                <w:szCs w:val="16"/>
                <w:color w:val="auto"/>
                <w:w w:val="84"/>
              </w:rPr>
              <w:t>2037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-2298700</wp:posOffset>
            </wp:positionV>
            <wp:extent cx="1270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-2298700</wp:posOffset>
            </wp:positionV>
            <wp:extent cx="1270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-2298700</wp:posOffset>
            </wp:positionV>
            <wp:extent cx="1270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-2298700</wp:posOffset>
            </wp:positionV>
            <wp:extent cx="12700"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-2298700</wp:posOffset>
            </wp:positionV>
            <wp:extent cx="1270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-2298700</wp:posOffset>
            </wp:positionV>
            <wp:extent cx="1270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-2298700</wp:posOffset>
            </wp:positionV>
            <wp:extent cx="12700"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-2298700</wp:posOffset>
            </wp:positionV>
            <wp:extent cx="12700"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-2298700</wp:posOffset>
            </wp:positionV>
            <wp:extent cx="12700" cy="76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-2298700</wp:posOffset>
            </wp:positionV>
            <wp:extent cx="12700" cy="76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-2298700</wp:posOffset>
            </wp:positionV>
            <wp:extent cx="12700" cy="762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-2298700</wp:posOffset>
            </wp:positionV>
            <wp:extent cx="12700" cy="76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-2298700</wp:posOffset>
            </wp:positionV>
            <wp:extent cx="12700" cy="76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-2298700</wp:posOffset>
            </wp:positionV>
            <wp:extent cx="12700" cy="76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-2030730</wp:posOffset>
            </wp:positionV>
            <wp:extent cx="12700"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-2030730</wp:posOffset>
            </wp:positionV>
            <wp:extent cx="12700"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-1006475</wp:posOffset>
            </wp:positionV>
            <wp:extent cx="1270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-1006475</wp:posOffset>
            </wp:positionV>
            <wp:extent cx="12700" cy="762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-1006475</wp:posOffset>
            </wp:positionV>
            <wp:extent cx="1270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-1006475</wp:posOffset>
            </wp:positionV>
            <wp:extent cx="12700"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-1006475</wp:posOffset>
            </wp:positionV>
            <wp:extent cx="12700"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-1006475</wp:posOffset>
            </wp:positionV>
            <wp:extent cx="12700" cy="762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-1006475</wp:posOffset>
            </wp:positionV>
            <wp:extent cx="12700"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-1006475</wp:posOffset>
            </wp:positionV>
            <wp:extent cx="1270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-1006475</wp:posOffset>
            </wp:positionV>
            <wp:extent cx="12700"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-1006475</wp:posOffset>
            </wp:positionV>
            <wp:extent cx="12700"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-1006475</wp:posOffset>
            </wp:positionV>
            <wp:extent cx="12700" cy="76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-1006475</wp:posOffset>
            </wp:positionV>
            <wp:extent cx="12700" cy="76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-728980</wp:posOffset>
            </wp:positionV>
            <wp:extent cx="12700" cy="3619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-728980</wp:posOffset>
            </wp:positionV>
            <wp:extent cx="12700" cy="3619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-728980</wp:posOffset>
            </wp:positionV>
            <wp:extent cx="12700" cy="3619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-728980</wp:posOffset>
            </wp:positionV>
            <wp:extent cx="12700" cy="3619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-728980</wp:posOffset>
            </wp:positionV>
            <wp:extent cx="12700" cy="3619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-728980</wp:posOffset>
            </wp:positionV>
            <wp:extent cx="12700" cy="3619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-728980</wp:posOffset>
            </wp:positionV>
            <wp:extent cx="12700" cy="3619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-728980</wp:posOffset>
            </wp:positionV>
            <wp:extent cx="12700" cy="3619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-728980</wp:posOffset>
            </wp:positionV>
            <wp:extent cx="12700" cy="3619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-728980</wp:posOffset>
            </wp:positionV>
            <wp:extent cx="12700" cy="3619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-728980</wp:posOffset>
            </wp:positionV>
            <wp:extent cx="12700" cy="3619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-728980</wp:posOffset>
            </wp:positionV>
            <wp:extent cx="12700" cy="3619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-439420</wp:posOffset>
            </wp:positionV>
            <wp:extent cx="12700" cy="76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-439420</wp:posOffset>
            </wp:positionV>
            <wp:extent cx="12700"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-177800</wp:posOffset>
            </wp:positionV>
            <wp:extent cx="12700" cy="3619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-177800</wp:posOffset>
            </wp:positionV>
            <wp:extent cx="12700" cy="3619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-177800</wp:posOffset>
            </wp:positionV>
            <wp:extent cx="12700" cy="3619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-177800</wp:posOffset>
            </wp:positionV>
            <wp:extent cx="12700" cy="3619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-177800</wp:posOffset>
            </wp:positionV>
            <wp:extent cx="12700" cy="3619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-177800</wp:posOffset>
            </wp:positionV>
            <wp:extent cx="12700" cy="3619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-177800</wp:posOffset>
            </wp:positionV>
            <wp:extent cx="12700" cy="3619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-177800</wp:posOffset>
            </wp:positionV>
            <wp:extent cx="12700" cy="3619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-177800</wp:posOffset>
            </wp:positionV>
            <wp:extent cx="12700" cy="3619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-177800</wp:posOffset>
            </wp:positionV>
            <wp:extent cx="12700" cy="3619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-177800</wp:posOffset>
            </wp:positionV>
            <wp:extent cx="12700" cy="3619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-177800</wp:posOffset>
            </wp:positionV>
            <wp:extent cx="12700" cy="3619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1"/>
          </w:cols>
          <w:pgMar w:left="239" w:top="131" w:right="239" w:bottom="0" w:gutter="0" w:footer="0" w:header="0"/>
        </w:sectPr>
      </w:pPr>
    </w:p>
    <w:p>
      <w:pPr>
        <w:spacing w:after="0" w:line="198" w:lineRule="exact"/>
        <w:rPr>
          <w:sz w:val="20"/>
          <w:szCs w:val="20"/>
          <w:color w:val="auto"/>
        </w:rPr>
      </w:pPr>
    </w:p>
    <w:p>
      <w:pPr>
        <w:ind w:left="501" w:hanging="501"/>
        <w:spacing w:after="0"/>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 the balance sheet at September 30, 2002.</w:t>
      </w:r>
    </w:p>
    <w:p>
      <w:pPr>
        <w:sectPr>
          <w:pgSz w:w="11900" w:h="16838" w:orient="portrait"/>
          <w:cols w:equalWidth="0" w:num="1">
            <w:col w:w="11421"/>
          </w:cols>
          <w:pgMar w:left="239" w:top="131" w:right="239" w:bottom="0" w:gutter="0" w:footer="0" w:header="0"/>
          <w:type w:val="continuous"/>
        </w:sectPr>
      </w:pPr>
    </w:p>
    <w:bookmarkStart w:id="15" w:name="page16"/>
    <w:bookmarkEnd w:id="15"/>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ground leases are classified as operating leases and, therefore, do not appear on the balance sheet as an obligation.</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a unilateral option to extend the ground lease for an additional 50 years to 2066.</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renewal at the Company's option through 2029.</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portion payable to SL Green as owner of 50% leasehold.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STRUCTURED FINANCE</w:t>
      </w:r>
    </w:p>
    <w:p>
      <w:pPr>
        <w:spacing w:after="0" w:line="3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Assets</w:t>
            </w:r>
          </w:p>
        </w:tc>
        <w:tc>
          <w:tcPr>
            <w:tcW w:w="1720" w:type="dxa"/>
            <w:vAlign w:val="bottom"/>
          </w:tcPr>
          <w:p>
            <w:pPr>
              <w:jc w:val="right"/>
              <w:ind w:right="425"/>
              <w:spacing w:after="0"/>
              <w:rPr>
                <w:sz w:val="20"/>
                <w:szCs w:val="20"/>
                <w:color w:val="auto"/>
              </w:rPr>
            </w:pPr>
            <w:r>
              <w:rPr>
                <w:rFonts w:ascii="Arial" w:cs="Arial" w:eastAsia="Arial" w:hAnsi="Arial"/>
                <w:sz w:val="12"/>
                <w:szCs w:val="12"/>
                <w:b w:val="1"/>
                <w:bCs w:val="1"/>
                <w:color w:val="auto"/>
              </w:rPr>
              <w:t>Wtd Average</w:t>
            </w:r>
          </w:p>
        </w:tc>
        <w:tc>
          <w:tcPr>
            <w:tcW w:w="240" w:type="dxa"/>
            <w:vAlign w:val="bottom"/>
          </w:tcPr>
          <w:p>
            <w:pPr>
              <w:spacing w:after="0"/>
              <w:rPr>
                <w:sz w:val="12"/>
                <w:szCs w:val="12"/>
                <w:color w:val="auto"/>
              </w:rPr>
            </w:pPr>
          </w:p>
        </w:tc>
        <w:tc>
          <w:tcPr>
            <w:tcW w:w="2620" w:type="dxa"/>
            <w:vAlign w:val="bottom"/>
            <w:gridSpan w:val="2"/>
          </w:tcPr>
          <w:p>
            <w:pPr>
              <w:jc w:val="center"/>
              <w:ind w:right="1000"/>
              <w:spacing w:after="0"/>
              <w:rPr>
                <w:sz w:val="20"/>
                <w:szCs w:val="20"/>
                <w:color w:val="auto"/>
              </w:rPr>
            </w:pPr>
            <w:r>
              <w:rPr>
                <w:rFonts w:ascii="Arial" w:cs="Arial" w:eastAsia="Arial" w:hAnsi="Arial"/>
                <w:sz w:val="12"/>
                <w:szCs w:val="12"/>
                <w:b w:val="1"/>
                <w:bCs w:val="1"/>
                <w:color w:val="auto"/>
                <w:w w:val="95"/>
              </w:rPr>
              <w:t>Wtd Average</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Current</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Libor</w:t>
            </w:r>
          </w:p>
        </w:tc>
      </w:tr>
      <w:tr>
        <w:trPr>
          <w:trHeight w:val="161"/>
        </w:trPr>
        <w:tc>
          <w:tcPr>
            <w:tcW w:w="1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Outstanding</w:t>
            </w:r>
          </w:p>
        </w:tc>
        <w:tc>
          <w:tcPr>
            <w:tcW w:w="1720" w:type="dxa"/>
            <w:vAlign w:val="bottom"/>
          </w:tcPr>
          <w:p>
            <w:pPr>
              <w:jc w:val="right"/>
              <w:ind w:right="205"/>
              <w:spacing w:after="0"/>
              <w:rPr>
                <w:sz w:val="20"/>
                <w:szCs w:val="20"/>
                <w:color w:val="auto"/>
              </w:rPr>
            </w:pPr>
            <w:r>
              <w:rPr>
                <w:rFonts w:ascii="Arial" w:cs="Arial" w:eastAsia="Arial" w:hAnsi="Arial"/>
                <w:sz w:val="12"/>
                <w:szCs w:val="12"/>
                <w:b w:val="1"/>
                <w:bCs w:val="1"/>
                <w:color w:val="auto"/>
              </w:rPr>
              <w:t>Assets during quarter</w:t>
            </w:r>
          </w:p>
        </w:tc>
        <w:tc>
          <w:tcPr>
            <w:tcW w:w="240" w:type="dxa"/>
            <w:vAlign w:val="bottom"/>
          </w:tcPr>
          <w:p>
            <w:pPr>
              <w:spacing w:after="0"/>
              <w:rPr>
                <w:sz w:val="13"/>
                <w:szCs w:val="13"/>
                <w:color w:val="auto"/>
              </w:rPr>
            </w:pPr>
          </w:p>
        </w:tc>
        <w:tc>
          <w:tcPr>
            <w:tcW w:w="262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98"/>
              </w:rPr>
              <w:t>Yield during quarter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Yield</w:t>
            </w:r>
          </w:p>
        </w:tc>
        <w:tc>
          <w:tcPr>
            <w:tcW w:w="1240" w:type="dxa"/>
            <w:vAlign w:val="bottom"/>
            <w:gridSpan w:val="2"/>
          </w:tcPr>
          <w:p>
            <w:pPr>
              <w:ind w:left="100"/>
              <w:spacing w:after="0"/>
              <w:rPr>
                <w:sz w:val="20"/>
                <w:szCs w:val="20"/>
                <w:color w:val="auto"/>
              </w:rPr>
            </w:pPr>
            <w:r>
              <w:rPr>
                <w:rFonts w:ascii="Arial" w:cs="Arial" w:eastAsia="Arial" w:hAnsi="Arial"/>
                <w:sz w:val="12"/>
                <w:szCs w:val="12"/>
                <w:b w:val="1"/>
                <w:bCs w:val="1"/>
                <w:color w:val="auto"/>
              </w:rPr>
              <w:t>Rate</w:t>
            </w:r>
          </w:p>
        </w:tc>
      </w:tr>
      <w:tr>
        <w:trPr>
          <w:trHeight w:val="97"/>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r>
      <w:tr>
        <w:trPr>
          <w:trHeight w:val="95"/>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9/30/01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157,901</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114,248</w:t>
            </w:r>
          </w:p>
        </w:tc>
        <w:tc>
          <w:tcPr>
            <w:tcW w:w="2860" w:type="dxa"/>
            <w:vAlign w:val="bottom"/>
            <w:gridSpan w:val="3"/>
            <w:shd w:val="clear" w:color="auto" w:fill="CCEEFF"/>
          </w:tcPr>
          <w:p>
            <w:pPr>
              <w:ind w:left="1480"/>
              <w:spacing w:after="0"/>
              <w:rPr>
                <w:sz w:val="20"/>
                <w:szCs w:val="20"/>
                <w:color w:val="auto"/>
              </w:rPr>
            </w:pPr>
            <w:r>
              <w:rPr>
                <w:rFonts w:ascii="Arial" w:cs="Arial" w:eastAsia="Arial" w:hAnsi="Arial"/>
                <w:sz w:val="16"/>
                <w:szCs w:val="16"/>
                <w:color w:val="auto"/>
              </w:rPr>
              <w:t>16.50%</w:t>
            </w: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14.88%</w:t>
            </w: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3.73%</w:t>
            </w:r>
          </w:p>
        </w:tc>
      </w:tr>
      <w:tr>
        <w:trPr>
          <w:trHeight w:val="199"/>
        </w:trPr>
        <w:tc>
          <w:tcPr>
            <w:tcW w:w="2760" w:type="dxa"/>
            <w:vAlign w:val="bottom"/>
            <w:gridSpan w:val="2"/>
          </w:tcPr>
          <w:p>
            <w:pPr>
              <w:jc w:val="right"/>
              <w:ind w:right="159"/>
              <w:spacing w:after="0"/>
              <w:rPr>
                <w:sz w:val="20"/>
                <w:szCs w:val="20"/>
                <w:color w:val="auto"/>
              </w:rPr>
            </w:pPr>
            <w:r>
              <w:rPr>
                <w:rFonts w:ascii="Arial" w:cs="Arial" w:eastAsia="Arial" w:hAnsi="Arial"/>
                <w:sz w:val="16"/>
                <w:szCs w:val="16"/>
                <w:color w:val="auto"/>
              </w:rPr>
              <w:t>Originations/Accretion (1)</w:t>
            </w:r>
          </w:p>
        </w:tc>
        <w:tc>
          <w:tcPr>
            <w:tcW w:w="1020" w:type="dxa"/>
            <w:vAlign w:val="bottom"/>
          </w:tcPr>
          <w:p>
            <w:pPr>
              <w:jc w:val="right"/>
              <w:spacing w:after="0"/>
              <w:rPr>
                <w:sz w:val="20"/>
                <w:szCs w:val="20"/>
                <w:color w:val="auto"/>
              </w:rPr>
            </w:pPr>
            <w:r>
              <w:rPr>
                <w:rFonts w:ascii="Arial" w:cs="Arial" w:eastAsia="Arial" w:hAnsi="Arial"/>
                <w:sz w:val="16"/>
                <w:szCs w:val="16"/>
                <w:color w:val="auto"/>
              </w:rPr>
              <w:t>30,468</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Preferred Equity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15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Redemptions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01"/>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95"/>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12/31/01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188,370</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178,248</w:t>
            </w:r>
          </w:p>
        </w:tc>
        <w:tc>
          <w:tcPr>
            <w:tcW w:w="2860" w:type="dxa"/>
            <w:vAlign w:val="bottom"/>
            <w:gridSpan w:val="3"/>
            <w:shd w:val="clear" w:color="auto" w:fill="CCEEFF"/>
          </w:tcPr>
          <w:p>
            <w:pPr>
              <w:ind w:left="1480"/>
              <w:spacing w:after="0"/>
              <w:rPr>
                <w:sz w:val="20"/>
                <w:szCs w:val="20"/>
                <w:color w:val="auto"/>
              </w:rPr>
            </w:pPr>
            <w:r>
              <w:rPr>
                <w:rFonts w:ascii="Arial" w:cs="Arial" w:eastAsia="Arial" w:hAnsi="Arial"/>
                <w:sz w:val="16"/>
                <w:szCs w:val="16"/>
                <w:color w:val="auto"/>
              </w:rPr>
              <w:t>12.86%</w:t>
            </w: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12.72%</w:t>
            </w: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2.09%</w:t>
            </w:r>
          </w:p>
        </w:tc>
      </w:tr>
      <w:tr>
        <w:trPr>
          <w:trHeight w:val="396"/>
        </w:trPr>
        <w:tc>
          <w:tcPr>
            <w:tcW w:w="2760" w:type="dxa"/>
            <w:vAlign w:val="bottom"/>
            <w:gridSpan w:val="2"/>
          </w:tcPr>
          <w:p>
            <w:pPr>
              <w:jc w:val="right"/>
              <w:ind w:right="159"/>
              <w:spacing w:after="0"/>
              <w:rPr>
                <w:sz w:val="20"/>
                <w:szCs w:val="20"/>
                <w:color w:val="auto"/>
              </w:rPr>
            </w:pPr>
            <w:r>
              <w:rPr>
                <w:rFonts w:ascii="Arial" w:cs="Arial" w:eastAsia="Arial" w:hAnsi="Arial"/>
                <w:sz w:val="16"/>
                <w:szCs w:val="16"/>
                <w:color w:val="auto"/>
              </w:rPr>
              <w:t>Originations/Accretion (1)</w:t>
            </w:r>
          </w:p>
        </w:tc>
        <w:tc>
          <w:tcPr>
            <w:tcW w:w="1020" w:type="dxa"/>
            <w:vAlign w:val="bottom"/>
          </w:tcPr>
          <w:p>
            <w:pPr>
              <w:jc w:val="right"/>
              <w:spacing w:after="0"/>
              <w:rPr>
                <w:sz w:val="20"/>
                <w:szCs w:val="20"/>
                <w:color w:val="auto"/>
              </w:rPr>
            </w:pPr>
            <w:r>
              <w:rPr>
                <w:rFonts w:ascii="Arial" w:cs="Arial" w:eastAsia="Arial" w:hAnsi="Arial"/>
                <w:sz w:val="16"/>
                <w:szCs w:val="16"/>
                <w:color w:val="auto"/>
              </w:rPr>
              <w:t>860</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Preferred Equity</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15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Redemptions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01"/>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95"/>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3/31/02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189,120</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188,644</w:t>
            </w:r>
          </w:p>
        </w:tc>
        <w:tc>
          <w:tcPr>
            <w:tcW w:w="2860" w:type="dxa"/>
            <w:vAlign w:val="bottom"/>
            <w:gridSpan w:val="3"/>
            <w:shd w:val="clear" w:color="auto" w:fill="CCEEFF"/>
          </w:tcPr>
          <w:p>
            <w:pPr>
              <w:ind w:left="1480"/>
              <w:spacing w:after="0"/>
              <w:rPr>
                <w:sz w:val="20"/>
                <w:szCs w:val="20"/>
                <w:color w:val="auto"/>
              </w:rPr>
            </w:pPr>
            <w:r>
              <w:rPr>
                <w:rFonts w:ascii="Arial" w:cs="Arial" w:eastAsia="Arial" w:hAnsi="Arial"/>
                <w:sz w:val="16"/>
                <w:szCs w:val="16"/>
                <w:color w:val="auto"/>
              </w:rPr>
              <w:t>12.63%</w:t>
            </w: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12.82%</w:t>
            </w: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1.88%</w:t>
            </w:r>
          </w:p>
        </w:tc>
      </w:tr>
      <w:tr>
        <w:trPr>
          <w:trHeight w:val="396"/>
        </w:trPr>
        <w:tc>
          <w:tcPr>
            <w:tcW w:w="2760" w:type="dxa"/>
            <w:vAlign w:val="bottom"/>
            <w:gridSpan w:val="2"/>
          </w:tcPr>
          <w:p>
            <w:pPr>
              <w:jc w:val="right"/>
              <w:ind w:right="159"/>
              <w:spacing w:after="0"/>
              <w:rPr>
                <w:sz w:val="20"/>
                <w:szCs w:val="20"/>
                <w:color w:val="auto"/>
              </w:rPr>
            </w:pPr>
            <w:r>
              <w:rPr>
                <w:rFonts w:ascii="Arial" w:cs="Arial" w:eastAsia="Arial" w:hAnsi="Arial"/>
                <w:sz w:val="16"/>
                <w:szCs w:val="16"/>
                <w:color w:val="auto"/>
              </w:rPr>
              <w:t>Originations/Accretion (1)</w:t>
            </w:r>
          </w:p>
        </w:tc>
        <w:tc>
          <w:tcPr>
            <w:tcW w:w="1020" w:type="dxa"/>
            <w:vAlign w:val="bottom"/>
          </w:tcPr>
          <w:p>
            <w:pPr>
              <w:jc w:val="right"/>
              <w:spacing w:after="0"/>
              <w:rPr>
                <w:sz w:val="20"/>
                <w:szCs w:val="20"/>
                <w:color w:val="auto"/>
              </w:rPr>
            </w:pPr>
            <w:r>
              <w:rPr>
                <w:rFonts w:ascii="Arial" w:cs="Arial" w:eastAsia="Arial" w:hAnsi="Arial"/>
                <w:sz w:val="16"/>
                <w:szCs w:val="16"/>
                <w:color w:val="auto"/>
              </w:rPr>
              <w:t>20,300</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Preferred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15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Redemptions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(20,172)</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01"/>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95"/>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6/30/02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195,248</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175,907</w:t>
            </w:r>
          </w:p>
        </w:tc>
        <w:tc>
          <w:tcPr>
            <w:tcW w:w="2860" w:type="dxa"/>
            <w:vAlign w:val="bottom"/>
            <w:gridSpan w:val="3"/>
            <w:shd w:val="clear" w:color="auto" w:fill="CCEEFF"/>
          </w:tcPr>
          <w:p>
            <w:pPr>
              <w:ind w:left="1480"/>
              <w:spacing w:after="0"/>
              <w:rPr>
                <w:sz w:val="20"/>
                <w:szCs w:val="20"/>
                <w:color w:val="auto"/>
              </w:rPr>
            </w:pPr>
            <w:r>
              <w:rPr>
                <w:rFonts w:ascii="Arial" w:cs="Arial" w:eastAsia="Arial" w:hAnsi="Arial"/>
                <w:sz w:val="16"/>
                <w:szCs w:val="16"/>
                <w:color w:val="auto"/>
              </w:rPr>
              <w:t>12.65%</w:t>
            </w: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12.67%</w:t>
            </w: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1.86%</w:t>
            </w:r>
          </w:p>
        </w:tc>
      </w:tr>
      <w:tr>
        <w:trPr>
          <w:trHeight w:val="396"/>
        </w:trPr>
        <w:tc>
          <w:tcPr>
            <w:tcW w:w="2760" w:type="dxa"/>
            <w:vAlign w:val="bottom"/>
            <w:gridSpan w:val="2"/>
          </w:tcPr>
          <w:p>
            <w:pPr>
              <w:jc w:val="right"/>
              <w:ind w:right="159"/>
              <w:spacing w:after="0"/>
              <w:rPr>
                <w:sz w:val="20"/>
                <w:szCs w:val="20"/>
                <w:color w:val="auto"/>
              </w:rPr>
            </w:pPr>
            <w:r>
              <w:rPr>
                <w:rFonts w:ascii="Arial" w:cs="Arial" w:eastAsia="Arial" w:hAnsi="Arial"/>
                <w:sz w:val="16"/>
                <w:szCs w:val="16"/>
                <w:color w:val="auto"/>
              </w:rPr>
              <w:t>Originations/Accretion (1)</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9"/>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Preferred Equity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6"/>
        </w:trPr>
        <w:tc>
          <w:tcPr>
            <w:tcW w:w="15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Redemptions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(539)</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01"/>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95"/>
        </w:trPr>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36"/>
        </w:trPr>
        <w:tc>
          <w:tcPr>
            <w:tcW w:w="27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9/30/02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194,709</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194,709</w:t>
            </w:r>
          </w:p>
        </w:tc>
        <w:tc>
          <w:tcPr>
            <w:tcW w:w="2860" w:type="dxa"/>
            <w:vAlign w:val="bottom"/>
            <w:gridSpan w:val="3"/>
            <w:shd w:val="clear" w:color="auto" w:fill="CCEEFF"/>
          </w:tcPr>
          <w:p>
            <w:pPr>
              <w:ind w:left="1480"/>
              <w:spacing w:after="0" w:line="236" w:lineRule="exact"/>
              <w:rPr>
                <w:sz w:val="20"/>
                <w:szCs w:val="20"/>
                <w:color w:val="auto"/>
              </w:rPr>
            </w:pPr>
            <w:r>
              <w:rPr>
                <w:rFonts w:ascii="Arial" w:cs="Arial" w:eastAsia="Arial" w:hAnsi="Arial"/>
                <w:sz w:val="14"/>
                <w:szCs w:val="14"/>
                <w:color w:val="auto"/>
              </w:rPr>
              <w:t>12.45</w:t>
            </w:r>
            <w:r>
              <w:rPr>
                <w:rFonts w:ascii="Arial" w:cs="Arial" w:eastAsia="Arial" w:hAnsi="Arial"/>
                <w:sz w:val="27"/>
                <w:szCs w:val="27"/>
                <w:color w:val="auto"/>
                <w:vertAlign w:val="subscript"/>
              </w:rPr>
              <w:t>%</w:t>
            </w:r>
            <w:r>
              <w:rPr>
                <w:rFonts w:ascii="Arial" w:cs="Arial" w:eastAsia="Arial" w:hAnsi="Arial"/>
                <w:sz w:val="22"/>
                <w:szCs w:val="22"/>
                <w:color w:val="auto"/>
                <w:vertAlign w:val="superscript"/>
              </w:rPr>
              <w:t>2</w:t>
            </w:r>
          </w:p>
        </w:tc>
        <w:tc>
          <w:tcPr>
            <w:tcW w:w="1580" w:type="dxa"/>
            <w:vAlign w:val="bottom"/>
            <w:gridSpan w:val="2"/>
            <w:shd w:val="clear" w:color="auto" w:fill="CCEEFF"/>
          </w:tcPr>
          <w:p>
            <w:pPr>
              <w:ind w:left="200"/>
              <w:spacing w:after="0" w:line="236" w:lineRule="exact"/>
              <w:rPr>
                <w:sz w:val="20"/>
                <w:szCs w:val="20"/>
                <w:color w:val="auto"/>
              </w:rPr>
            </w:pPr>
            <w:r>
              <w:rPr>
                <w:rFonts w:ascii="Arial" w:cs="Arial" w:eastAsia="Arial" w:hAnsi="Arial"/>
                <w:sz w:val="14"/>
                <w:szCs w:val="14"/>
                <w:color w:val="auto"/>
              </w:rPr>
              <w:t>12.40</w:t>
            </w:r>
            <w:r>
              <w:rPr>
                <w:rFonts w:ascii="Arial" w:cs="Arial" w:eastAsia="Arial" w:hAnsi="Arial"/>
                <w:sz w:val="27"/>
                <w:szCs w:val="27"/>
                <w:color w:val="auto"/>
                <w:vertAlign w:val="subscript"/>
              </w:rPr>
              <w:t>%</w:t>
            </w:r>
            <w:r>
              <w:rPr>
                <w:rFonts w:ascii="Arial" w:cs="Arial" w:eastAsia="Arial" w:hAnsi="Arial"/>
                <w:sz w:val="22"/>
                <w:szCs w:val="22"/>
                <w:color w:val="auto"/>
                <w:vertAlign w:val="superscript"/>
              </w:rPr>
              <w:t>3</w:t>
            </w:r>
          </w:p>
        </w:tc>
        <w:tc>
          <w:tcPr>
            <w:tcW w:w="124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4"/>
                <w:szCs w:val="14"/>
                <w:color w:val="auto"/>
              </w:rPr>
              <w:t>1.82</w:t>
            </w:r>
            <w:r>
              <w:rPr>
                <w:rFonts w:ascii="Arial" w:cs="Arial" w:eastAsia="Arial" w:hAnsi="Arial"/>
                <w:sz w:val="27"/>
                <w:szCs w:val="27"/>
                <w:color w:val="auto"/>
                <w:vertAlign w:val="subscript"/>
              </w:rPr>
              <w:t>%</w:t>
            </w:r>
            <w:r>
              <w:rPr>
                <w:rFonts w:ascii="Arial" w:cs="Arial" w:eastAsia="Arial" w:hAnsi="Arial"/>
                <w:sz w:val="22"/>
                <w:szCs w:val="22"/>
                <w:color w:val="auto"/>
                <w:vertAlign w:val="superscript"/>
              </w:rPr>
              <w:t>4</w:t>
            </w:r>
          </w:p>
        </w:tc>
      </w:tr>
      <w:tr>
        <w:trPr>
          <w:trHeight w:val="108"/>
        </w:trPr>
        <w:tc>
          <w:tcPr>
            <w:tcW w:w="1520" w:type="dxa"/>
            <w:vAlign w:val="bottom"/>
            <w:tcBorders>
              <w:bottom w:val="single" w:sz="8" w:color="808080"/>
            </w:tcBorders>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-3268345</wp:posOffset>
            </wp:positionV>
            <wp:extent cx="12700" cy="76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-3268345</wp:posOffset>
            </wp:positionV>
            <wp:extent cx="12700"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-3268345</wp:posOffset>
            </wp:positionV>
            <wp:extent cx="12700" cy="76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-3268345</wp:posOffset>
            </wp:positionV>
            <wp:extent cx="12700" cy="762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-3268345</wp:posOffset>
            </wp:positionV>
            <wp:extent cx="12700" cy="762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-3268345</wp:posOffset>
            </wp:positionV>
            <wp:extent cx="12700"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-3268345</wp:posOffset>
            </wp:positionV>
            <wp:extent cx="12700" cy="76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-3268345</wp:posOffset>
            </wp:positionV>
            <wp:extent cx="12700"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-3268345</wp:posOffset>
            </wp:positionV>
            <wp:extent cx="12700" cy="762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-3268345</wp:posOffset>
            </wp:positionV>
            <wp:extent cx="12700" cy="762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-2621915</wp:posOffset>
            </wp:positionV>
            <wp:extent cx="12700" cy="762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-2621915</wp:posOffset>
            </wp:positionV>
            <wp:extent cx="12700" cy="76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-1849755</wp:posOffset>
            </wp:positionV>
            <wp:extent cx="12700" cy="76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-1849755</wp:posOffset>
            </wp:positionV>
            <wp:extent cx="12700" cy="762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-1077595</wp:posOffset>
            </wp:positionV>
            <wp:extent cx="12700" cy="76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-1077595</wp:posOffset>
            </wp:positionV>
            <wp:extent cx="12700" cy="76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-305435</wp:posOffset>
            </wp:positionV>
            <wp:extent cx="12700" cy="76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-305435</wp:posOffset>
            </wp:positionV>
            <wp:extent cx="12700" cy="76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91" w:lineRule="exact"/>
        <w:rPr>
          <w:sz w:val="20"/>
          <w:szCs w:val="20"/>
          <w:color w:val="auto"/>
        </w:rPr>
      </w:pPr>
    </w:p>
    <w:p>
      <w:pPr>
        <w:ind w:left="501" w:hanging="501"/>
        <w:spacing w:after="0"/>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Accretion includes original issue discounts and compounding investment income.</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September 30, 2002, net of seller financing, the weighted yield is 11.36%.</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September 30, 2002, net of seller financing, the current yield is 11.31%.</w:t>
      </w:r>
    </w:p>
    <w:p>
      <w:pPr>
        <w:spacing w:after="0" w:line="237" w:lineRule="exact"/>
        <w:rPr>
          <w:rFonts w:ascii="Arial" w:cs="Arial" w:eastAsia="Arial" w:hAnsi="Arial"/>
          <w:sz w:val="16"/>
          <w:szCs w:val="16"/>
          <w:color w:val="auto"/>
        </w:rPr>
      </w:pPr>
    </w:p>
    <w:p>
      <w:pPr>
        <w:ind w:left="5641" w:right="4560" w:hanging="5641"/>
        <w:spacing w:after="0" w:line="546" w:lineRule="auto"/>
        <w:tabs>
          <w:tab w:leader="none" w:pos="5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quarter end $102mm of assets have fixed index rates. The weighted average base rate is 4.05%.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62495" cy="203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118110</wp:posOffset>
            </wp:positionV>
            <wp:extent cx="7262495" cy="2032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STRUCTURED FINANCE</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($000's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62495" cy="2032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9"/>
              </w:rPr>
              <w:t>Quarter End Balance</w:t>
            </w:r>
            <w:r>
              <w:rPr>
                <w:rFonts w:ascii="Arial" w:cs="Arial" w:eastAsia="Arial" w:hAnsi="Arial"/>
                <w:sz w:val="20"/>
                <w:szCs w:val="20"/>
                <w:b w:val="1"/>
                <w:bCs w:val="1"/>
                <w:color w:val="auto"/>
                <w:w w:val="99"/>
                <w:vertAlign w:val="superscript"/>
              </w:rPr>
              <w:t>(1)</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Wtd Average</w:t>
            </w:r>
          </w:p>
        </w:tc>
        <w:tc>
          <w:tcPr>
            <w:tcW w:w="12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Current</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808080"/>
            </w:tcBorders>
          </w:tcPr>
          <w:p>
            <w:pPr>
              <w:spacing w:after="0"/>
              <w:rPr>
                <w:sz w:val="20"/>
                <w:szCs w:val="20"/>
                <w:color w:val="auto"/>
              </w:rPr>
            </w:pPr>
            <w:r>
              <w:rPr>
                <w:rFonts w:ascii="Arial" w:cs="Arial" w:eastAsia="Arial" w:hAnsi="Arial"/>
                <w:sz w:val="12"/>
                <w:szCs w:val="12"/>
                <w:b w:val="1"/>
                <w:bCs w:val="1"/>
                <w:color w:val="auto"/>
              </w:rPr>
              <w:t>Type of Investment</w:t>
            </w:r>
          </w:p>
        </w:tc>
        <w:tc>
          <w:tcPr>
            <w:tcW w:w="240" w:type="dxa"/>
            <w:vAlign w:val="bottom"/>
          </w:tcPr>
          <w:p>
            <w:pPr>
              <w:spacing w:after="0"/>
              <w:rPr>
                <w:sz w:val="22"/>
                <w:szCs w:val="22"/>
                <w:color w:val="auto"/>
              </w:rPr>
            </w:pPr>
          </w:p>
        </w:tc>
        <w:tc>
          <w:tcPr>
            <w:tcW w:w="1480" w:type="dxa"/>
            <w:vAlign w:val="bottom"/>
            <w:tcBorders>
              <w:bottom w:val="single" w:sz="8" w:color="808080"/>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Borders>
              <w:bottom w:val="single" w:sz="8" w:color="808080"/>
            </w:tcBorders>
          </w:tcPr>
          <w:p>
            <w:pPr>
              <w:ind w:left="120"/>
              <w:spacing w:after="0"/>
              <w:rPr>
                <w:sz w:val="20"/>
                <w:szCs w:val="20"/>
                <w:color w:val="auto"/>
              </w:rPr>
            </w:pPr>
            <w:r>
              <w:rPr>
                <w:rFonts w:ascii="Arial" w:cs="Arial" w:eastAsia="Arial" w:hAnsi="Arial"/>
                <w:sz w:val="12"/>
                <w:szCs w:val="12"/>
                <w:b w:val="1"/>
                <w:bCs w:val="1"/>
                <w:color w:val="auto"/>
              </w:rPr>
              <w:t>Senior Financing</w:t>
            </w:r>
          </w:p>
        </w:tc>
        <w:tc>
          <w:tcPr>
            <w:tcW w:w="220" w:type="dxa"/>
            <w:vAlign w:val="bottom"/>
          </w:tcPr>
          <w:p>
            <w:pPr>
              <w:spacing w:after="0"/>
              <w:rPr>
                <w:sz w:val="22"/>
                <w:szCs w:val="2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w w:val="93"/>
              </w:rPr>
              <w:t>Exposure Psf</w:t>
            </w:r>
          </w:p>
        </w:tc>
        <w:tc>
          <w:tcPr>
            <w:tcW w:w="220" w:type="dxa"/>
            <w:vAlign w:val="bottom"/>
          </w:tcPr>
          <w:p>
            <w:pPr>
              <w:spacing w:after="0"/>
              <w:rPr>
                <w:sz w:val="22"/>
                <w:szCs w:val="22"/>
                <w:color w:val="auto"/>
              </w:rPr>
            </w:pPr>
          </w:p>
        </w:tc>
        <w:tc>
          <w:tcPr>
            <w:tcW w:w="194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w w:val="96"/>
              </w:rPr>
              <w:t>Yield during quarter</w:t>
            </w:r>
          </w:p>
        </w:tc>
        <w:tc>
          <w:tcPr>
            <w:tcW w:w="1260" w:type="dxa"/>
            <w:vAlign w:val="bottom"/>
          </w:tcPr>
          <w:p>
            <w:pPr>
              <w:spacing w:after="0"/>
              <w:rPr>
                <w:sz w:val="22"/>
                <w:szCs w:val="22"/>
                <w:color w:val="auto"/>
              </w:rPr>
            </w:pPr>
          </w:p>
        </w:tc>
        <w:tc>
          <w:tcPr>
            <w:tcW w:w="68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w w:val="97"/>
              </w:rPr>
              <w:t>Yield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-13335</wp:posOffset>
            </wp:positionV>
            <wp:extent cx="12700" cy="762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-13335</wp:posOffset>
            </wp:positionV>
            <wp:extent cx="12700"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-13335</wp:posOffset>
            </wp:positionV>
            <wp:extent cx="12700" cy="76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-13335</wp:posOffset>
            </wp:positionV>
            <wp:extent cx="12700" cy="762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-13335</wp:posOffset>
            </wp:positionV>
            <wp:extent cx="12700"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-13335</wp:posOffset>
            </wp:positionV>
            <wp:extent cx="12700" cy="762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-13335</wp:posOffset>
            </wp:positionV>
            <wp:extent cx="12700" cy="76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-13335</wp:posOffset>
            </wp:positionV>
            <wp:extent cx="12700" cy="762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-13335</wp:posOffset>
            </wp:positionV>
            <wp:extent cx="12700"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-13335</wp:posOffset>
            </wp:positionV>
            <wp:extent cx="12700" cy="762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-13335</wp:posOffset>
            </wp:positionV>
            <wp:extent cx="12700" cy="762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75" w:lineRule="exact"/>
        <w:rPr>
          <w:sz w:val="20"/>
          <w:szCs w:val="20"/>
          <w:color w:val="auto"/>
        </w:rPr>
      </w:pPr>
    </w:p>
    <w:tbl>
      <w:tblPr>
        <w:tblLayout w:type="fixed"/>
        <w:tblInd w:w="1" w:type="dxa"/>
        <w:tblCellMar>
          <w:top w:w="0" w:type="dxa"/>
          <w:left w:w="0" w:type="dxa"/>
          <w:bottom w:w="0" w:type="dxa"/>
          <w:right w:w="0" w:type="dxa"/>
        </w:tblCellMar>
      </w:tblPr>
      <w:tr>
        <w:trPr>
          <w:trHeight w:val="409"/>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Junior Mortgage</w:t>
            </w:r>
          </w:p>
        </w:tc>
        <w:tc>
          <w:tcPr>
            <w:tcW w:w="17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r>
      <w:tr>
        <w:trPr>
          <w:trHeight w:val="211"/>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Participation</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$42,649</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$245,277</w:t>
            </w:r>
          </w:p>
        </w:tc>
        <w:tc>
          <w:tcPr>
            <w:tcW w:w="158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$126</w:t>
            </w:r>
          </w:p>
        </w:tc>
        <w:tc>
          <w:tcPr>
            <w:tcW w:w="22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13.88%</w:t>
            </w:r>
          </w:p>
        </w:tc>
        <w:tc>
          <w:tcPr>
            <w:tcW w:w="2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13.50%</w:t>
            </w:r>
          </w:p>
        </w:tc>
      </w:tr>
      <w:tr>
        <w:trPr>
          <w:trHeight w:val="421"/>
        </w:trPr>
        <w:tc>
          <w:tcPr>
            <w:tcW w:w="2380" w:type="dxa"/>
            <w:vAlign w:val="bottom"/>
          </w:tcPr>
          <w:p>
            <w:pPr>
              <w:spacing w:after="0"/>
              <w:rPr>
                <w:sz w:val="20"/>
                <w:szCs w:val="20"/>
                <w:color w:val="auto"/>
              </w:rPr>
            </w:pPr>
            <w:r>
              <w:rPr>
                <w:rFonts w:ascii="Arial" w:cs="Arial" w:eastAsia="Arial" w:hAnsi="Arial"/>
                <w:sz w:val="16"/>
                <w:szCs w:val="16"/>
                <w:b w:val="1"/>
                <w:bCs w:val="1"/>
                <w:color w:val="auto"/>
              </w:rPr>
              <w:t>Mezzanine Debt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$74,644</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$267,600</w:t>
            </w:r>
          </w:p>
        </w:tc>
        <w:tc>
          <w:tcPr>
            <w:tcW w:w="1580" w:type="dxa"/>
            <w:vAlign w:val="bottom"/>
          </w:tcPr>
          <w:p>
            <w:pPr>
              <w:jc w:val="right"/>
              <w:ind w:right="819"/>
              <w:spacing w:after="0"/>
              <w:rPr>
                <w:sz w:val="20"/>
                <w:szCs w:val="20"/>
                <w:color w:val="auto"/>
              </w:rPr>
            </w:pPr>
            <w:r>
              <w:rPr>
                <w:rFonts w:ascii="Arial" w:cs="Arial" w:eastAsia="Arial" w:hAnsi="Arial"/>
                <w:sz w:val="16"/>
                <w:szCs w:val="16"/>
                <w:color w:val="auto"/>
              </w:rPr>
              <w:t>$206</w:t>
            </w:r>
          </w:p>
        </w:tc>
        <w:tc>
          <w:tcPr>
            <w:tcW w:w="2200" w:type="dxa"/>
            <w:vAlign w:val="bottom"/>
          </w:tcPr>
          <w:p>
            <w:pPr>
              <w:ind w:left="900"/>
              <w:spacing w:after="0"/>
              <w:rPr>
                <w:sz w:val="20"/>
                <w:szCs w:val="20"/>
                <w:color w:val="auto"/>
              </w:rPr>
            </w:pPr>
            <w:r>
              <w:rPr>
                <w:rFonts w:ascii="Arial" w:cs="Arial" w:eastAsia="Arial" w:hAnsi="Arial"/>
                <w:sz w:val="16"/>
                <w:szCs w:val="16"/>
                <w:color w:val="auto"/>
              </w:rPr>
              <w:t>12.50%</w:t>
            </w:r>
          </w:p>
        </w:tc>
        <w:tc>
          <w:tcPr>
            <w:tcW w:w="2240" w:type="dxa"/>
            <w:vAlign w:val="bottom"/>
          </w:tcPr>
          <w:p>
            <w:pPr>
              <w:ind w:left="640"/>
              <w:spacing w:after="0"/>
              <w:rPr>
                <w:sz w:val="20"/>
                <w:szCs w:val="20"/>
                <w:color w:val="auto"/>
              </w:rPr>
            </w:pPr>
            <w:r>
              <w:rPr>
                <w:rFonts w:ascii="Arial" w:cs="Arial" w:eastAsia="Arial" w:hAnsi="Arial"/>
                <w:sz w:val="16"/>
                <w:szCs w:val="16"/>
                <w:color w:val="auto"/>
              </w:rPr>
              <w:t>12.78%</w:t>
            </w:r>
          </w:p>
        </w:tc>
      </w:tr>
      <w:tr>
        <w:trPr>
          <w:trHeight w:val="423"/>
        </w:trPr>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Preferred Equity</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$77,416</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$369,500</w:t>
            </w:r>
          </w:p>
        </w:tc>
        <w:tc>
          <w:tcPr>
            <w:tcW w:w="158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$181</w:t>
            </w:r>
          </w:p>
        </w:tc>
        <w:tc>
          <w:tcPr>
            <w:tcW w:w="22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13.08%</w:t>
            </w:r>
          </w:p>
        </w:tc>
        <w:tc>
          <w:tcPr>
            <w:tcW w:w="2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13.09%</w:t>
            </w:r>
          </w:p>
        </w:tc>
      </w:tr>
      <w:tr>
        <w:trPr>
          <w:trHeight w:val="542"/>
        </w:trPr>
        <w:tc>
          <w:tcPr>
            <w:tcW w:w="2380" w:type="dxa"/>
            <w:vAlign w:val="bottom"/>
          </w:tcPr>
          <w:p>
            <w:pPr>
              <w:ind w:left="240"/>
              <w:spacing w:after="0"/>
              <w:rPr>
                <w:sz w:val="20"/>
                <w:szCs w:val="20"/>
                <w:color w:val="auto"/>
              </w:rPr>
            </w:pPr>
            <w:r>
              <w:rPr>
                <w:rFonts w:ascii="Arial" w:cs="Arial" w:eastAsia="Arial" w:hAnsi="Arial"/>
                <w:sz w:val="16"/>
                <w:szCs w:val="16"/>
                <w:b w:val="1"/>
                <w:bCs w:val="1"/>
                <w:color w:val="auto"/>
              </w:rPr>
              <w:t>Balance as of 9/30/02</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$194,709</w:t>
            </w:r>
          </w:p>
        </w:tc>
        <w:tc>
          <w:tcPr>
            <w:tcW w:w="1320" w:type="dxa"/>
            <w:vAlign w:val="bottom"/>
          </w:tcPr>
          <w:p>
            <w:pPr>
              <w:jc w:val="right"/>
              <w:ind w:right="259"/>
              <w:spacing w:after="0"/>
              <w:rPr>
                <w:sz w:val="20"/>
                <w:szCs w:val="20"/>
                <w:color w:val="auto"/>
              </w:rPr>
            </w:pPr>
            <w:r>
              <w:rPr>
                <w:rFonts w:ascii="Arial" w:cs="Arial" w:eastAsia="Arial" w:hAnsi="Arial"/>
                <w:sz w:val="16"/>
                <w:szCs w:val="16"/>
                <w:b w:val="1"/>
                <w:bCs w:val="1"/>
                <w:color w:val="auto"/>
              </w:rPr>
              <w:t>$882,377</w:t>
            </w:r>
          </w:p>
        </w:tc>
        <w:tc>
          <w:tcPr>
            <w:tcW w:w="1580" w:type="dxa"/>
            <w:vAlign w:val="bottom"/>
          </w:tcPr>
          <w:p>
            <w:pPr>
              <w:jc w:val="right"/>
              <w:ind w:right="819"/>
              <w:spacing w:after="0"/>
              <w:rPr>
                <w:sz w:val="20"/>
                <w:szCs w:val="20"/>
                <w:color w:val="auto"/>
              </w:rPr>
            </w:pPr>
            <w:r>
              <w:rPr>
                <w:rFonts w:ascii="Arial" w:cs="Arial" w:eastAsia="Arial" w:hAnsi="Arial"/>
                <w:sz w:val="16"/>
                <w:szCs w:val="16"/>
                <w:b w:val="1"/>
                <w:bCs w:val="1"/>
                <w:color w:val="auto"/>
              </w:rPr>
              <w:t>$179</w:t>
            </w:r>
          </w:p>
        </w:tc>
        <w:tc>
          <w:tcPr>
            <w:tcW w:w="2200" w:type="dxa"/>
            <w:vAlign w:val="bottom"/>
          </w:tcPr>
          <w:p>
            <w:pPr>
              <w:ind w:left="900"/>
              <w:spacing w:after="0"/>
              <w:rPr>
                <w:sz w:val="20"/>
                <w:szCs w:val="20"/>
                <w:color w:val="auto"/>
              </w:rPr>
            </w:pPr>
            <w:r>
              <w:rPr>
                <w:rFonts w:ascii="Arial" w:cs="Arial" w:eastAsia="Arial" w:hAnsi="Arial"/>
                <w:sz w:val="16"/>
                <w:szCs w:val="16"/>
                <w:b w:val="1"/>
                <w:bCs w:val="1"/>
                <w:color w:val="auto"/>
              </w:rPr>
              <w:t>12.45%</w:t>
            </w:r>
            <w:r>
              <w:rPr>
                <w:rFonts w:ascii="Arial" w:cs="Arial" w:eastAsia="Arial" w:hAnsi="Arial"/>
                <w:sz w:val="26"/>
                <w:szCs w:val="26"/>
                <w:b w:val="1"/>
                <w:bCs w:val="1"/>
                <w:color w:val="auto"/>
                <w:vertAlign w:val="superscript"/>
              </w:rPr>
              <w:t>(2)</w:t>
            </w:r>
          </w:p>
        </w:tc>
        <w:tc>
          <w:tcPr>
            <w:tcW w:w="2240" w:type="dxa"/>
            <w:vAlign w:val="bottom"/>
          </w:tcPr>
          <w:p>
            <w:pPr>
              <w:ind w:left="640"/>
              <w:spacing w:after="0"/>
              <w:rPr>
                <w:sz w:val="20"/>
                <w:szCs w:val="20"/>
                <w:color w:val="auto"/>
              </w:rPr>
            </w:pPr>
            <w:r>
              <w:rPr>
                <w:rFonts w:ascii="Arial" w:cs="Arial" w:eastAsia="Arial" w:hAnsi="Arial"/>
                <w:sz w:val="16"/>
                <w:szCs w:val="16"/>
                <w:b w:val="1"/>
                <w:bCs w:val="1"/>
                <w:color w:val="auto"/>
              </w:rPr>
              <w:t>12.40%</w:t>
            </w:r>
            <w:r>
              <w:rPr>
                <w:rFonts w:ascii="Arial" w:cs="Arial" w:eastAsia="Arial" w:hAnsi="Arial"/>
                <w:sz w:val="26"/>
                <w:szCs w:val="26"/>
                <w:b w:val="1"/>
                <w:bCs w:val="1"/>
                <w:color w:val="auto"/>
                <w:vertAlign w:val="superscript"/>
              </w:rPr>
              <w:t>(3)</w:t>
            </w:r>
          </w:p>
        </w:tc>
      </w:tr>
    </w:tbl>
    <w:p>
      <w:pPr>
        <w:spacing w:after="0" w:line="200" w:lineRule="exact"/>
        <w:rPr>
          <w:sz w:val="20"/>
          <w:szCs w:val="20"/>
          <w:color w:val="auto"/>
        </w:rPr>
      </w:pPr>
    </w:p>
    <w:p>
      <w:pPr>
        <w:sectPr>
          <w:pgSz w:w="11900" w:h="16838" w:orient="portrait"/>
          <w:cols w:equalWidth="0" w:num="1">
            <w:col w:w="11421"/>
          </w:cols>
          <w:pgMar w:left="239" w:top="143" w:right="239" w:bottom="14" w:gutter="0" w:footer="0" w:header="0"/>
        </w:sectPr>
      </w:pP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Structured Finance Maturity Profile</w:t>
      </w:r>
    </w:p>
    <w:p>
      <w:pPr>
        <w:sectPr>
          <w:pgSz w:w="11900" w:h="16838" w:orient="portrait"/>
          <w:cols w:equalWidth="0" w:num="1">
            <w:col w:w="11421"/>
          </w:cols>
          <w:pgMar w:left="239" w:top="143" w:right="239" w:bottom="14"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1426210</wp:posOffset>
            </wp:positionV>
            <wp:extent cx="966470" cy="203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966470" cy="20320"/>
                    </a:xfrm>
                    <a:prstGeom prst="rect">
                      <a:avLst/>
                    </a:prstGeom>
                    <a:noFill/>
                  </pic:spPr>
                </pic:pic>
              </a:graphicData>
            </a:graphic>
          </wp:anchor>
        </w:drawing>
        <w:drawing>
          <wp:anchor simplePos="0" relativeHeight="251657728" behindDoc="1" locked="0" layoutInCell="0" allowOverlap="1">
            <wp:simplePos x="0" y="0"/>
            <wp:positionH relativeFrom="page">
              <wp:posOffset>1381125</wp:posOffset>
            </wp:positionH>
            <wp:positionV relativeFrom="page">
              <wp:posOffset>88900</wp:posOffset>
            </wp:positionV>
            <wp:extent cx="5043170" cy="1181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clrChange>
                        <a:clrFrom>
                          <a:srgbClr val="FFFFFF"/>
                        </a:clrFrom>
                        <a:clrTo>
                          <a:srgbClr val="FFFFFF">
                            <a:alpha val="0"/>
                          </a:srgbClr>
                        </a:clrTo>
                      </a:clrChange>
                      <a:extLst>
                        <a:ext uri="{28A0092B-C50C-407E-A947-70E740481C1C}"/>
                      </a:extLst>
                    </a:blip>
                    <a:srcRect/>
                    <a:stretch>
                      <a:fillRect/>
                    </a:stretch>
                  </pic:blipFill>
                  <pic:spPr bwMode="auto">
                    <a:xfrm>
                      <a:off x="0" y="0"/>
                      <a:ext cx="5043170" cy="118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Most investments are indexed to Libor and are prepayable at dates prior to maturity subject to certain prepayment penalties or fees.</w:t>
      </w:r>
    </w:p>
    <w:p>
      <w:pPr>
        <w:spacing w:after="0" w:line="39" w:lineRule="exact"/>
        <w:rPr>
          <w:rFonts w:ascii="Arial" w:cs="Arial" w:eastAsia="Arial" w:hAnsi="Arial"/>
          <w:sz w:val="16"/>
          <w:szCs w:val="16"/>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September 30, 2002, net of seller financing, the weighted yield is 11.36%.</w:t>
      </w:r>
    </w:p>
    <w:p>
      <w:pPr>
        <w:spacing w:after="0" w:line="26" w:lineRule="exact"/>
        <w:rPr>
          <w:rFonts w:ascii="Arial" w:cs="Arial" w:eastAsia="Arial" w:hAnsi="Arial"/>
          <w:sz w:val="16"/>
          <w:szCs w:val="16"/>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September 30, 2002, net of seller financing, the current yield is 11.31%.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62495" cy="2032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auto"/>
              </w:rPr>
              <w:t>Leased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w w:val="91"/>
              </w:rPr>
              <w:t>Annualized Rent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100"/>
              <w:spacing w:after="0" w:line="137" w:lineRule="exact"/>
              <w:rPr>
                <w:sz w:val="20"/>
                <w:szCs w:val="20"/>
                <w:color w:val="auto"/>
              </w:rPr>
            </w:pPr>
            <w:r>
              <w:rPr>
                <w:rFonts w:ascii="Arial" w:cs="Arial" w:eastAsia="Arial" w:hAnsi="Arial"/>
                <w:sz w:val="12"/>
                <w:szCs w:val="12"/>
                <w:b w:val="1"/>
                <w:bCs w:val="1"/>
                <w:color w:val="auto"/>
                <w:w w:val="90"/>
              </w:rPr>
              <w:t>Rentable</w:t>
            </w:r>
          </w:p>
        </w:tc>
        <w:tc>
          <w:tcPr>
            <w:tcW w:w="560" w:type="dxa"/>
            <w:vAlign w:val="bottom"/>
            <w:gridSpan w:val="2"/>
            <w:vMerge w:val="restart"/>
          </w:tcPr>
          <w:p>
            <w:pPr>
              <w:jc w:val="center"/>
              <w:ind w:right="100"/>
              <w:spacing w:after="0" w:line="137" w:lineRule="exact"/>
              <w:rPr>
                <w:sz w:val="20"/>
                <w:szCs w:val="20"/>
                <w:color w:val="auto"/>
              </w:rPr>
            </w:pPr>
            <w:r>
              <w:rPr>
                <w:rFonts w:ascii="Arial" w:cs="Arial" w:eastAsia="Arial" w:hAnsi="Arial"/>
                <w:sz w:val="12"/>
                <w:szCs w:val="12"/>
                <w:b w:val="1"/>
                <w:bCs w:val="1"/>
                <w:color w:val="auto"/>
                <w:w w:val="90"/>
              </w:rPr>
              <w:t>Total</w:t>
            </w:r>
          </w:p>
        </w:tc>
        <w:tc>
          <w:tcPr>
            <w:tcW w:w="5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right"/>
              <w:ind w:right="320"/>
              <w:spacing w:after="0" w:line="137" w:lineRule="exact"/>
              <w:rPr>
                <w:sz w:val="20"/>
                <w:szCs w:val="20"/>
                <w:color w:val="auto"/>
              </w:rPr>
            </w:pPr>
            <w:r>
              <w:rPr>
                <w:rFonts w:ascii="Arial" w:cs="Arial" w:eastAsia="Arial" w:hAnsi="Arial"/>
                <w:sz w:val="12"/>
                <w:szCs w:val="12"/>
                <w:b w:val="1"/>
                <w:bCs w:val="1"/>
                <w:color w:val="auto"/>
              </w:rPr>
              <w:t>Annualized</w:t>
            </w:r>
          </w:p>
        </w:tc>
        <w:tc>
          <w:tcPr>
            <w:tcW w:w="44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restart"/>
          </w:tcPr>
          <w:p>
            <w:pPr>
              <w:jc w:val="right"/>
              <w:ind w:right="78"/>
              <w:spacing w:after="0" w:line="137"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Properties</w:t>
            </w:r>
          </w:p>
        </w:tc>
        <w:tc>
          <w:tcPr>
            <w:tcW w:w="100" w:type="dxa"/>
            <w:vAlign w:val="bottom"/>
          </w:tcPr>
          <w:p>
            <w:pPr>
              <w:spacing w:after="0"/>
              <w:rPr>
                <w:sz w:val="13"/>
                <w:szCs w:val="13"/>
                <w:color w:val="auto"/>
              </w:rPr>
            </w:pPr>
          </w:p>
        </w:tc>
        <w:tc>
          <w:tcPr>
            <w:tcW w:w="1420" w:type="dxa"/>
            <w:vAlign w:val="bottom"/>
          </w:tcPr>
          <w:p>
            <w:pPr>
              <w:ind w:left="420"/>
              <w:spacing w:after="0"/>
              <w:rPr>
                <w:sz w:val="20"/>
                <w:szCs w:val="20"/>
                <w:color w:val="auto"/>
              </w:rPr>
            </w:pPr>
            <w:r>
              <w:rPr>
                <w:rFonts w:ascii="Arial" w:cs="Arial" w:eastAsia="Arial" w:hAnsi="Arial"/>
                <w:sz w:val="12"/>
                <w:szCs w:val="12"/>
                <w:b w:val="1"/>
                <w:bCs w:val="1"/>
                <w:color w:val="auto"/>
              </w:rPr>
              <w:t>Submarket</w:t>
            </w:r>
          </w:p>
        </w:tc>
        <w:tc>
          <w:tcPr>
            <w:tcW w:w="100" w:type="dxa"/>
            <w:vAlign w:val="bottom"/>
          </w:tcPr>
          <w:p>
            <w:pPr>
              <w:spacing w:after="0"/>
              <w:rPr>
                <w:sz w:val="13"/>
                <w:szCs w:val="13"/>
                <w:color w:val="auto"/>
              </w:rPr>
            </w:pPr>
          </w:p>
        </w:tc>
        <w:tc>
          <w:tcPr>
            <w:tcW w:w="1340" w:type="dxa"/>
            <w:vAlign w:val="bottom"/>
          </w:tcPr>
          <w:p>
            <w:pPr>
              <w:ind w:left="380"/>
              <w:spacing w:after="0"/>
              <w:rPr>
                <w:sz w:val="20"/>
                <w:szCs w:val="20"/>
                <w:color w:val="auto"/>
              </w:rPr>
            </w:pPr>
            <w:r>
              <w:rPr>
                <w:rFonts w:ascii="Arial" w:cs="Arial" w:eastAsia="Arial" w:hAnsi="Arial"/>
                <w:sz w:val="12"/>
                <w:szCs w:val="12"/>
                <w:b w:val="1"/>
                <w:bCs w:val="1"/>
                <w:color w:val="auto"/>
              </w:rPr>
              <w:t>Ownership</w:t>
            </w:r>
          </w:p>
        </w:tc>
        <w:tc>
          <w:tcPr>
            <w:tcW w:w="14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Sq. Feet</w:t>
            </w:r>
          </w:p>
        </w:tc>
        <w:tc>
          <w:tcPr>
            <w:tcW w:w="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Sq. Feet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Sep-02</w:t>
            </w:r>
          </w:p>
        </w:tc>
        <w:tc>
          <w:tcPr>
            <w:tcW w:w="560" w:type="dxa"/>
            <w:vAlign w:val="bottom"/>
          </w:tcPr>
          <w:p>
            <w:pPr>
              <w:jc w:val="right"/>
              <w:ind w:right="38"/>
              <w:spacing w:after="0"/>
              <w:rPr>
                <w:sz w:val="20"/>
                <w:szCs w:val="20"/>
                <w:color w:val="auto"/>
              </w:rPr>
            </w:pPr>
            <w:r>
              <w:rPr>
                <w:rFonts w:ascii="Arial" w:cs="Arial" w:eastAsia="Arial" w:hAnsi="Arial"/>
                <w:sz w:val="12"/>
                <w:szCs w:val="12"/>
                <w:b w:val="1"/>
                <w:bCs w:val="1"/>
                <w:color w:val="auto"/>
              </w:rPr>
              <w:t>Jun-02</w:t>
            </w:r>
          </w:p>
        </w:tc>
        <w:tc>
          <w:tcPr>
            <w:tcW w:w="100" w:type="dxa"/>
            <w:vAlign w:val="bottom"/>
          </w:tcPr>
          <w:p>
            <w:pPr>
              <w:spacing w:after="0"/>
              <w:rPr>
                <w:sz w:val="13"/>
                <w:szCs w:val="13"/>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auto"/>
              </w:rPr>
              <w:t>Mar-02</w:t>
            </w:r>
          </w:p>
        </w:tc>
        <w:tc>
          <w:tcPr>
            <w:tcW w:w="1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Dec-01</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Sep-01</w:t>
            </w:r>
          </w:p>
        </w:tc>
        <w:tc>
          <w:tcPr>
            <w:tcW w:w="11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Rent ($'s)</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100%</w:t>
            </w:r>
          </w:p>
        </w:tc>
        <w:tc>
          <w:tcPr>
            <w:tcW w:w="12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SLG</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Tenants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180" w:type="dxa"/>
            <w:vAlign w:val="bottom"/>
            <w:gridSpan w:val="3"/>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PROPERTIES 100% OWNED</w:t>
            </w: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line="124" w:lineRule="exact"/>
              <w:rPr>
                <w:sz w:val="20"/>
                <w:szCs w:val="20"/>
                <w:color w:val="auto"/>
              </w:rPr>
            </w:pPr>
            <w:r>
              <w:rPr>
                <w:rFonts w:ascii="Arial" w:cs="Arial" w:eastAsia="Arial" w:hAnsi="Arial"/>
                <w:sz w:val="12"/>
                <w:szCs w:val="12"/>
                <w:b w:val="1"/>
                <w:bCs w:val="1"/>
                <w:color w:val="auto"/>
              </w:rPr>
              <w:t>"Same</w:t>
            </w: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Store"</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673 First</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Grand Central South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Leasehold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99.8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13,186,509</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rPr>
              <w:t>470 Park</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color w:val="auto"/>
                <w:w w:val="93"/>
              </w:rPr>
              <w:t>Park Avenue South/ Flatiron</w:t>
            </w:r>
          </w:p>
        </w:tc>
        <w:tc>
          <w:tcPr>
            <w:tcW w:w="100" w:type="dxa"/>
            <w:vAlign w:val="bottom"/>
          </w:tcPr>
          <w:p>
            <w:pPr>
              <w:spacing w:after="0"/>
              <w:rPr>
                <w:sz w:val="11"/>
                <w:szCs w:val="11"/>
                <w:color w:val="auto"/>
              </w:rPr>
            </w:pPr>
          </w:p>
        </w:tc>
        <w:tc>
          <w:tcPr>
            <w:tcW w:w="1340" w:type="dxa"/>
            <w:vAlign w:val="bottom"/>
          </w:tcPr>
          <w:p>
            <w:pPr>
              <w:spacing w:after="0" w:line="128" w:lineRule="exact"/>
              <w:rPr>
                <w:sz w:val="20"/>
                <w:szCs w:val="20"/>
                <w:color w:val="auto"/>
              </w:rPr>
            </w:pPr>
            <w:r>
              <w:rPr>
                <w:rFonts w:ascii="Arial" w:cs="Arial" w:eastAsia="Arial" w:hAnsi="Arial"/>
                <w:sz w:val="12"/>
                <w:szCs w:val="12"/>
                <w:color w:val="auto"/>
              </w:rPr>
              <w:t>Fee Interest</w:t>
            </w: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260,000</w:t>
            </w: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2</w:t>
            </w:r>
          </w:p>
        </w:tc>
        <w:tc>
          <w:tcPr>
            <w:tcW w:w="100" w:type="dxa"/>
            <w:vAlign w:val="bottom"/>
          </w:tcPr>
          <w:p>
            <w:pPr>
              <w:spacing w:after="0"/>
              <w:rPr>
                <w:sz w:val="11"/>
                <w:szCs w:val="11"/>
                <w:color w:val="auto"/>
              </w:rPr>
            </w:pPr>
          </w:p>
        </w:tc>
        <w:tc>
          <w:tcPr>
            <w:tcW w:w="68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99.3</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99.3</w:t>
            </w:r>
          </w:p>
        </w:tc>
        <w:tc>
          <w:tcPr>
            <w:tcW w:w="6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98.8</w:t>
            </w:r>
          </w:p>
        </w:tc>
        <w:tc>
          <w:tcPr>
            <w:tcW w:w="80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rPr>
              <w:t>99.4</w:t>
            </w:r>
          </w:p>
        </w:tc>
        <w:tc>
          <w:tcPr>
            <w:tcW w:w="68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99.4</w:t>
            </w:r>
          </w:p>
        </w:tc>
        <w:tc>
          <w:tcPr>
            <w:tcW w:w="112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7,710,093</w:t>
            </w: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4</w:t>
            </w:r>
          </w:p>
        </w:tc>
        <w:tc>
          <w:tcPr>
            <w:tcW w:w="56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rPr>
              <w:t>3</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7"/>
        </w:trPr>
        <w:tc>
          <w:tcPr>
            <w:tcW w:w="680" w:type="dxa"/>
            <w:vAlign w:val="bottom"/>
            <w:gridSpan w:val="2"/>
          </w:tcPr>
          <w:p>
            <w:pPr>
              <w:spacing w:after="0" w:line="137" w:lineRule="exact"/>
              <w:rPr>
                <w:sz w:val="20"/>
                <w:szCs w:val="20"/>
                <w:color w:val="auto"/>
              </w:rPr>
            </w:pPr>
            <w:r>
              <w:rPr>
                <w:rFonts w:ascii="Arial" w:cs="Arial" w:eastAsia="Arial" w:hAnsi="Arial"/>
                <w:sz w:val="12"/>
                <w:szCs w:val="12"/>
                <w:color w:val="auto"/>
              </w:rPr>
              <w:t>Avenue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South</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70 W. 36th</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Street</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Garment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98.5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3,808,428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w w:val="90"/>
              </w:rPr>
              <w:t>1414 Avenue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0" w:type="dxa"/>
            <w:vAlign w:val="bottom"/>
            <w:gridSpan w:val="2"/>
          </w:tcPr>
          <w:p>
            <w:pPr>
              <w:spacing w:after="0" w:line="137" w:lineRule="exact"/>
              <w:rPr>
                <w:sz w:val="20"/>
                <w:szCs w:val="20"/>
                <w:color w:val="auto"/>
              </w:rPr>
            </w:pPr>
            <w:r>
              <w:rPr>
                <w:rFonts w:ascii="Arial" w:cs="Arial" w:eastAsia="Arial" w:hAnsi="Arial"/>
                <w:sz w:val="12"/>
                <w:szCs w:val="12"/>
                <w:color w:val="auto"/>
              </w:rPr>
              <w:t>of the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Americas</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Rockefeller Center</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Fee Interest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111,000</w:t>
            </w:r>
          </w:p>
        </w:tc>
        <w:tc>
          <w:tcPr>
            <w:tcW w:w="4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96.5</w:t>
            </w:r>
          </w:p>
        </w:tc>
        <w:tc>
          <w:tcPr>
            <w:tcW w:w="560" w:type="dxa"/>
            <w:vAlign w:val="bottom"/>
          </w:tcPr>
          <w:p>
            <w:pPr>
              <w:jc w:val="right"/>
              <w:spacing w:after="0"/>
              <w:rPr>
                <w:sz w:val="20"/>
                <w:szCs w:val="20"/>
                <w:color w:val="auto"/>
              </w:rPr>
            </w:pPr>
            <w:r>
              <w:rPr>
                <w:rFonts w:ascii="Arial" w:cs="Arial" w:eastAsia="Arial" w:hAnsi="Arial"/>
                <w:sz w:val="12"/>
                <w:szCs w:val="12"/>
                <w:color w:val="auto"/>
              </w:rPr>
              <w:t>97.6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97.6</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96.2</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97.6</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4,231,343</w:t>
            </w: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1</w:t>
            </w:r>
          </w:p>
        </w:tc>
        <w:tc>
          <w:tcPr>
            <w:tcW w:w="560" w:type="dxa"/>
            <w:vAlign w:val="bottom"/>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1372</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Broadway</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Garment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508,000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99.3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13,343,728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w w:val="90"/>
              </w:rPr>
              <w:t>1140 Avenue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0" w:type="dxa"/>
            <w:vAlign w:val="bottom"/>
            <w:gridSpan w:val="2"/>
          </w:tcPr>
          <w:p>
            <w:pPr>
              <w:spacing w:after="0" w:line="137" w:lineRule="exact"/>
              <w:rPr>
                <w:sz w:val="20"/>
                <w:szCs w:val="20"/>
                <w:color w:val="auto"/>
              </w:rPr>
            </w:pPr>
            <w:r>
              <w:rPr>
                <w:rFonts w:ascii="Arial" w:cs="Arial" w:eastAsia="Arial" w:hAnsi="Arial"/>
                <w:sz w:val="12"/>
                <w:szCs w:val="12"/>
                <w:color w:val="auto"/>
              </w:rPr>
              <w:t>of the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Americas</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Rockefeller Center</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Leasehold Interest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191,000</w:t>
            </w: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95.5</w:t>
            </w:r>
          </w:p>
        </w:tc>
        <w:tc>
          <w:tcPr>
            <w:tcW w:w="560" w:type="dxa"/>
            <w:vAlign w:val="bottom"/>
          </w:tcPr>
          <w:p>
            <w:pPr>
              <w:jc w:val="right"/>
              <w:spacing w:after="0"/>
              <w:rPr>
                <w:sz w:val="20"/>
                <w:szCs w:val="20"/>
                <w:color w:val="auto"/>
              </w:rPr>
            </w:pPr>
            <w:r>
              <w:rPr>
                <w:rFonts w:ascii="Arial" w:cs="Arial" w:eastAsia="Arial" w:hAnsi="Arial"/>
                <w:sz w:val="12"/>
                <w:szCs w:val="12"/>
                <w:color w:val="auto"/>
              </w:rPr>
              <w:t>95.5</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95.5</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95.5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7,183,965</w:t>
            </w:r>
          </w:p>
        </w:tc>
        <w:tc>
          <w:tcPr>
            <w:tcW w:w="440" w:type="dxa"/>
            <w:vAlign w:val="bottom"/>
          </w:tcPr>
          <w:p>
            <w:pPr>
              <w:jc w:val="right"/>
              <w:spacing w:after="0"/>
              <w:rPr>
                <w:sz w:val="20"/>
                <w:szCs w:val="20"/>
                <w:color w:val="auto"/>
              </w:rPr>
            </w:pPr>
            <w:r>
              <w:rPr>
                <w:rFonts w:ascii="Arial" w:cs="Arial" w:eastAsia="Arial" w:hAnsi="Arial"/>
                <w:sz w:val="12"/>
                <w:szCs w:val="12"/>
                <w:color w:val="auto"/>
              </w:rPr>
              <w:t>4</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3</w:t>
            </w:r>
          </w:p>
        </w:tc>
        <w:tc>
          <w:tcPr>
            <w:tcW w:w="56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1466</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Broadway</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Times Square</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289,000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86.2</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88.9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9,231,236</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rPr>
              <w:t>420</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0" w:type="dxa"/>
            <w:vAlign w:val="bottom"/>
            <w:gridSpan w:val="2"/>
          </w:tcPr>
          <w:p>
            <w:pPr>
              <w:spacing w:after="0" w:line="137" w:lineRule="exact"/>
              <w:rPr>
                <w:sz w:val="20"/>
                <w:szCs w:val="20"/>
                <w:color w:val="auto"/>
              </w:rPr>
            </w:pPr>
            <w:r>
              <w:rPr>
                <w:rFonts w:ascii="Arial" w:cs="Arial" w:eastAsia="Arial" w:hAnsi="Arial"/>
                <w:sz w:val="12"/>
                <w:szCs w:val="12"/>
                <w:color w:val="auto"/>
              </w:rPr>
              <w:t>Lexington</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0" w:type="dxa"/>
            <w:vAlign w:val="bottom"/>
            <w:gridSpan w:val="2"/>
          </w:tcPr>
          <w:p>
            <w:pPr>
              <w:spacing w:after="0" w:line="137" w:lineRule="exact"/>
              <w:rPr>
                <w:sz w:val="20"/>
                <w:szCs w:val="20"/>
                <w:color w:val="auto"/>
              </w:rPr>
            </w:pPr>
            <w:r>
              <w:rPr>
                <w:rFonts w:ascii="Arial" w:cs="Arial" w:eastAsia="Arial" w:hAnsi="Arial"/>
                <w:sz w:val="12"/>
                <w:szCs w:val="12"/>
                <w:color w:val="auto"/>
              </w:rPr>
              <w:t>Ave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(Graybar)</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Grand Central North</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Operating Sublease</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1,188,000</w:t>
            </w:r>
          </w:p>
        </w:tc>
        <w:tc>
          <w:tcPr>
            <w:tcW w:w="4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93.2</w:t>
            </w:r>
          </w:p>
        </w:tc>
        <w:tc>
          <w:tcPr>
            <w:tcW w:w="560" w:type="dxa"/>
            <w:vAlign w:val="bottom"/>
          </w:tcPr>
          <w:p>
            <w:pPr>
              <w:jc w:val="right"/>
              <w:spacing w:after="0"/>
              <w:rPr>
                <w:sz w:val="20"/>
                <w:szCs w:val="20"/>
                <w:color w:val="auto"/>
              </w:rPr>
            </w:pPr>
            <w:r>
              <w:rPr>
                <w:rFonts w:ascii="Arial" w:cs="Arial" w:eastAsia="Arial" w:hAnsi="Arial"/>
                <w:sz w:val="12"/>
                <w:szCs w:val="12"/>
                <w:color w:val="auto"/>
              </w:rPr>
              <w:t>95.8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94.0</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94.8</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97.1</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44,364,095</w:t>
            </w:r>
          </w:p>
        </w:tc>
        <w:tc>
          <w:tcPr>
            <w:tcW w:w="440" w:type="dxa"/>
            <w:vAlign w:val="bottom"/>
          </w:tcPr>
          <w:p>
            <w:pPr>
              <w:jc w:val="right"/>
              <w:spacing w:after="0"/>
              <w:rPr>
                <w:sz w:val="20"/>
                <w:szCs w:val="20"/>
                <w:color w:val="auto"/>
              </w:rPr>
            </w:pPr>
            <w:r>
              <w:rPr>
                <w:rFonts w:ascii="Arial" w:cs="Arial" w:eastAsia="Arial" w:hAnsi="Arial"/>
                <w:sz w:val="12"/>
                <w:szCs w:val="12"/>
                <w:color w:val="auto"/>
              </w:rPr>
              <w:t>22</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15</w:t>
            </w:r>
          </w:p>
        </w:tc>
        <w:tc>
          <w:tcPr>
            <w:tcW w:w="560" w:type="dxa"/>
            <w:vAlign w:val="bottom"/>
          </w:tcPr>
          <w:p>
            <w:pPr>
              <w:jc w:val="right"/>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440 Ninth</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Garment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339,000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86.7</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91.1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7,591,587</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rPr>
              <w:t>711 Third</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Grand Central North</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Operating Sublease</w:t>
            </w:r>
          </w:p>
        </w:tc>
        <w:tc>
          <w:tcPr>
            <w:tcW w:w="140" w:type="dxa"/>
            <w:vAlign w:val="bottom"/>
          </w:tcPr>
          <w:p>
            <w:pPr>
              <w:jc w:val="right"/>
              <w:spacing w:after="0"/>
              <w:rPr>
                <w:sz w:val="20"/>
                <w:szCs w:val="20"/>
                <w:color w:val="auto"/>
              </w:rPr>
            </w:pPr>
            <w:r>
              <w:rPr>
                <w:rFonts w:ascii="Arial" w:cs="Arial" w:eastAsia="Arial" w:hAnsi="Arial"/>
                <w:sz w:val="12"/>
                <w:szCs w:val="12"/>
                <w:color w:val="auto"/>
                <w:w w:val="81"/>
              </w:rPr>
              <w:t>(1)</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524,000</w:t>
            </w:r>
          </w:p>
        </w:tc>
        <w:tc>
          <w:tcPr>
            <w:tcW w:w="4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560" w:type="dxa"/>
            <w:vAlign w:val="bottom"/>
          </w:tcPr>
          <w:p>
            <w:pPr>
              <w:jc w:val="right"/>
              <w:spacing w:after="0"/>
              <w:rPr>
                <w:sz w:val="20"/>
                <w:szCs w:val="20"/>
                <w:color w:val="auto"/>
              </w:rPr>
            </w:pPr>
            <w:r>
              <w:rPr>
                <w:rFonts w:ascii="Arial" w:cs="Arial" w:eastAsia="Arial" w:hAnsi="Arial"/>
                <w:sz w:val="12"/>
                <w:szCs w:val="12"/>
                <w:color w:val="auto"/>
              </w:rPr>
              <w:t>100.0</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100.0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18,935,484</w:t>
            </w:r>
          </w:p>
        </w:tc>
        <w:tc>
          <w:tcPr>
            <w:tcW w:w="440" w:type="dxa"/>
            <w:vAlign w:val="bottom"/>
          </w:tcPr>
          <w:p>
            <w:pPr>
              <w:jc w:val="right"/>
              <w:spacing w:after="0"/>
              <w:rPr>
                <w:sz w:val="20"/>
                <w:szCs w:val="20"/>
                <w:color w:val="auto"/>
              </w:rPr>
            </w:pPr>
            <w:r>
              <w:rPr>
                <w:rFonts w:ascii="Arial" w:cs="Arial" w:eastAsia="Arial" w:hAnsi="Arial"/>
                <w:sz w:val="12"/>
                <w:szCs w:val="12"/>
                <w:color w:val="auto"/>
              </w:rPr>
              <w:t>9</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7</w:t>
            </w:r>
          </w:p>
        </w:tc>
        <w:tc>
          <w:tcPr>
            <w:tcW w:w="56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555 West</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57th</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Midtown West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941,000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19,781,922</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w w:val="93"/>
              </w:rPr>
              <w:t>286 Madison</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Grand Central South</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Fee Interest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112,000</w:t>
            </w:r>
          </w:p>
        </w:tc>
        <w:tc>
          <w:tcPr>
            <w:tcW w:w="4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92.6</w:t>
            </w:r>
          </w:p>
        </w:tc>
        <w:tc>
          <w:tcPr>
            <w:tcW w:w="560" w:type="dxa"/>
            <w:vAlign w:val="bottom"/>
          </w:tcPr>
          <w:p>
            <w:pPr>
              <w:jc w:val="right"/>
              <w:spacing w:after="0"/>
              <w:rPr>
                <w:sz w:val="20"/>
                <w:szCs w:val="20"/>
                <w:color w:val="auto"/>
              </w:rPr>
            </w:pPr>
            <w:r>
              <w:rPr>
                <w:rFonts w:ascii="Arial" w:cs="Arial" w:eastAsia="Arial" w:hAnsi="Arial"/>
                <w:sz w:val="12"/>
                <w:szCs w:val="12"/>
                <w:color w:val="auto"/>
              </w:rPr>
              <w:t>94.7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97.9</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100.0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98.7</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3,321,546</w:t>
            </w: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1</w:t>
            </w:r>
          </w:p>
        </w:tc>
        <w:tc>
          <w:tcPr>
            <w:tcW w:w="560" w:type="dxa"/>
            <w:vAlign w:val="bottom"/>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3"/>
              </w:rPr>
              <w:t>290 Madison</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Grand Central South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1,334,952</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tcPr>
          <w:p>
            <w:pPr>
              <w:spacing w:after="0" w:line="128" w:lineRule="exact"/>
              <w:rPr>
                <w:sz w:val="20"/>
                <w:szCs w:val="20"/>
                <w:color w:val="auto"/>
              </w:rPr>
            </w:pPr>
            <w:r>
              <w:rPr>
                <w:rFonts w:ascii="Arial" w:cs="Arial" w:eastAsia="Arial" w:hAnsi="Arial"/>
                <w:sz w:val="12"/>
                <w:szCs w:val="12"/>
                <w:color w:val="auto"/>
                <w:w w:val="93"/>
              </w:rPr>
              <w:t>292 Madison</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Grand Central South</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Fee Interest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187,000</w:t>
            </w: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99.7</w:t>
            </w:r>
          </w:p>
        </w:tc>
        <w:tc>
          <w:tcPr>
            <w:tcW w:w="560" w:type="dxa"/>
            <w:vAlign w:val="bottom"/>
          </w:tcPr>
          <w:p>
            <w:pPr>
              <w:jc w:val="right"/>
              <w:spacing w:after="0"/>
              <w:rPr>
                <w:sz w:val="20"/>
                <w:szCs w:val="20"/>
                <w:color w:val="auto"/>
              </w:rPr>
            </w:pPr>
            <w:r>
              <w:rPr>
                <w:rFonts w:ascii="Arial" w:cs="Arial" w:eastAsia="Arial" w:hAnsi="Arial"/>
                <w:sz w:val="12"/>
                <w:szCs w:val="12"/>
                <w:color w:val="auto"/>
              </w:rPr>
              <w:t>99.7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98.3</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100.0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6,521,351</w:t>
            </w:r>
          </w:p>
        </w:tc>
        <w:tc>
          <w:tcPr>
            <w:tcW w:w="440" w:type="dxa"/>
            <w:vAlign w:val="bottom"/>
          </w:tcPr>
          <w:p>
            <w:pPr>
              <w:jc w:val="right"/>
              <w:spacing w:after="0"/>
              <w:rPr>
                <w:sz w:val="20"/>
                <w:szCs w:val="20"/>
                <w:color w:val="auto"/>
              </w:rPr>
            </w:pPr>
            <w:r>
              <w:rPr>
                <w:rFonts w:ascii="Arial" w:cs="Arial" w:eastAsia="Arial" w:hAnsi="Arial"/>
                <w:sz w:val="12"/>
                <w:szCs w:val="12"/>
                <w:color w:val="auto"/>
              </w:rPr>
              <w:t>3</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2</w:t>
            </w:r>
          </w:p>
        </w:tc>
        <w:tc>
          <w:tcPr>
            <w:tcW w:w="560" w:type="dxa"/>
            <w:vAlign w:val="bottom"/>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17 Battery</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w w:val="89"/>
              </w:rPr>
              <w:t>Place—North</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World Trade/ Battery</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419,000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9,607,437</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180" w:type="dxa"/>
            <w:vAlign w:val="bottom"/>
            <w:gridSpan w:val="3"/>
          </w:tcPr>
          <w:p>
            <w:pPr>
              <w:ind w:left="520"/>
              <w:spacing w:after="0"/>
              <w:rPr>
                <w:sz w:val="20"/>
                <w:szCs w:val="20"/>
                <w:color w:val="auto"/>
              </w:rPr>
            </w:pPr>
            <w:r>
              <w:rPr>
                <w:rFonts w:ascii="Arial" w:cs="Arial" w:eastAsia="Arial" w:hAnsi="Arial"/>
                <w:sz w:val="12"/>
                <w:szCs w:val="12"/>
                <w:b w:val="1"/>
                <w:bCs w:val="1"/>
                <w:color w:val="auto"/>
              </w:rPr>
              <w:t>Subtotal/Weighted Average</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5,679,000</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50</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96.9</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96.8</w:t>
            </w: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96.5</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97.4</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97.7</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170,153,676</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83</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58</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609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2001</w:t>
            </w: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8"/>
              </w:rPr>
              <w:t>Acquisitions</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2"/>
                <w:szCs w:val="12"/>
                <w:color w:val="auto"/>
                <w:w w:val="95"/>
              </w:rPr>
              <w:t>317 Madison</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Avenue</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Grand Central</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Fee Interest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450,000</w:t>
            </w:r>
          </w:p>
        </w:tc>
        <w:tc>
          <w:tcPr>
            <w:tcW w:w="4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94.3</w:t>
            </w:r>
          </w:p>
        </w:tc>
        <w:tc>
          <w:tcPr>
            <w:tcW w:w="560" w:type="dxa"/>
            <w:vAlign w:val="bottom"/>
          </w:tcPr>
          <w:p>
            <w:pPr>
              <w:jc w:val="right"/>
              <w:spacing w:after="0"/>
              <w:rPr>
                <w:sz w:val="20"/>
                <w:szCs w:val="20"/>
                <w:color w:val="auto"/>
              </w:rPr>
            </w:pPr>
            <w:r>
              <w:rPr>
                <w:rFonts w:ascii="Arial" w:cs="Arial" w:eastAsia="Arial" w:hAnsi="Arial"/>
                <w:sz w:val="12"/>
                <w:szCs w:val="12"/>
                <w:color w:val="auto"/>
              </w:rPr>
              <w:t>94.5</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94.0</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94.6</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95.7</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13,109,606</w:t>
            </w:r>
          </w:p>
        </w:tc>
        <w:tc>
          <w:tcPr>
            <w:tcW w:w="440" w:type="dxa"/>
            <w:vAlign w:val="bottom"/>
          </w:tcPr>
          <w:p>
            <w:pPr>
              <w:jc w:val="right"/>
              <w:spacing w:after="0"/>
              <w:rPr>
                <w:sz w:val="20"/>
                <w:szCs w:val="20"/>
                <w:color w:val="auto"/>
              </w:rPr>
            </w:pPr>
            <w:r>
              <w:rPr>
                <w:rFonts w:ascii="Arial" w:cs="Arial" w:eastAsia="Arial" w:hAnsi="Arial"/>
                <w:sz w:val="12"/>
                <w:szCs w:val="12"/>
                <w:color w:val="auto"/>
              </w:rPr>
              <w:t>6</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5</w:t>
            </w:r>
          </w:p>
        </w:tc>
        <w:tc>
          <w:tcPr>
            <w:tcW w:w="56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1370</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Broadway</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Garment</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255,000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97.3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7,238,265</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180" w:type="dxa"/>
            <w:vAlign w:val="bottom"/>
            <w:gridSpan w:val="3"/>
          </w:tcPr>
          <w:p>
            <w:pPr>
              <w:ind w:left="520"/>
              <w:spacing w:after="0"/>
              <w:rPr>
                <w:sz w:val="20"/>
                <w:szCs w:val="20"/>
                <w:color w:val="auto"/>
              </w:rPr>
            </w:pPr>
            <w:r>
              <w:rPr>
                <w:rFonts w:ascii="Arial" w:cs="Arial" w:eastAsia="Arial" w:hAnsi="Arial"/>
                <w:sz w:val="12"/>
                <w:szCs w:val="12"/>
                <w:b w:val="1"/>
                <w:bCs w:val="1"/>
                <w:color w:val="auto"/>
              </w:rPr>
              <w:t>Subtotal/Weighted Average</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705,000</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6</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93.6</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93.7</w:t>
            </w: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95.4</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95.6</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96.9</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20,347,871</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10</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8</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130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w w:val="87"/>
              </w:rPr>
              <w:t>Adjustments</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2"/>
                <w:szCs w:val="12"/>
                <w:color w:val="auto"/>
              </w:rPr>
              <w:t>50 W. 23rd</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6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520" w:type="dxa"/>
            <w:vAlign w:val="bottom"/>
            <w:gridSpan w:val="2"/>
          </w:tcPr>
          <w:p>
            <w:pPr>
              <w:ind w:left="100"/>
              <w:spacing w:after="0"/>
              <w:rPr>
                <w:sz w:val="20"/>
                <w:szCs w:val="20"/>
                <w:color w:val="auto"/>
              </w:rPr>
            </w:pPr>
            <w:r>
              <w:rPr>
                <w:rFonts w:ascii="Arial" w:cs="Arial" w:eastAsia="Arial" w:hAnsi="Arial"/>
                <w:sz w:val="12"/>
                <w:szCs w:val="12"/>
                <w:color w:val="auto"/>
              </w:rPr>
              <w:t>Chelsea</w:t>
            </w:r>
          </w:p>
        </w:tc>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Fee Interest</w:t>
            </w:r>
          </w:p>
        </w:tc>
        <w:tc>
          <w:tcPr>
            <w:tcW w:w="1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333,000</w:t>
            </w:r>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97.2</w:t>
            </w:r>
          </w:p>
        </w:tc>
        <w:tc>
          <w:tcPr>
            <w:tcW w:w="560" w:type="dxa"/>
            <w:vAlign w:val="bottom"/>
          </w:tcPr>
          <w:p>
            <w:pPr>
              <w:jc w:val="right"/>
              <w:spacing w:after="0"/>
              <w:rPr>
                <w:sz w:val="20"/>
                <w:szCs w:val="20"/>
                <w:color w:val="auto"/>
              </w:rPr>
            </w:pPr>
            <w:r>
              <w:rPr>
                <w:rFonts w:ascii="Arial" w:cs="Arial" w:eastAsia="Arial" w:hAnsi="Arial"/>
                <w:sz w:val="12"/>
                <w:szCs w:val="12"/>
                <w:color w:val="auto"/>
              </w:rPr>
              <w:t>97.2</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97.2</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99.2</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99.2</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7,863,541</w:t>
            </w:r>
          </w:p>
        </w:tc>
        <w:tc>
          <w:tcPr>
            <w:tcW w:w="440" w:type="dxa"/>
            <w:vAlign w:val="bottom"/>
          </w:tcPr>
          <w:p>
            <w:pPr>
              <w:jc w:val="right"/>
              <w:spacing w:after="0"/>
              <w:rPr>
                <w:sz w:val="20"/>
                <w:szCs w:val="20"/>
                <w:color w:val="auto"/>
              </w:rPr>
            </w:pPr>
            <w:r>
              <w:rPr>
                <w:rFonts w:ascii="Arial" w:cs="Arial" w:eastAsia="Arial" w:hAnsi="Arial"/>
                <w:sz w:val="12"/>
                <w:szCs w:val="12"/>
                <w:color w:val="auto"/>
              </w:rPr>
              <w:t>4</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3</w:t>
            </w:r>
          </w:p>
        </w:tc>
        <w:tc>
          <w:tcPr>
            <w:tcW w:w="56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110 East</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42nd Street</w:t>
            </w: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Grand Central</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Fee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181,000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99.9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5,899,719</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180" w:type="dxa"/>
            <w:vAlign w:val="bottom"/>
            <w:gridSpan w:val="3"/>
          </w:tcPr>
          <w:p>
            <w:pPr>
              <w:ind w:left="520"/>
              <w:spacing w:after="0"/>
              <w:rPr>
                <w:sz w:val="20"/>
                <w:szCs w:val="20"/>
                <w:color w:val="auto"/>
              </w:rPr>
            </w:pPr>
            <w:r>
              <w:rPr>
                <w:rFonts w:ascii="Arial" w:cs="Arial" w:eastAsia="Arial" w:hAnsi="Arial"/>
                <w:sz w:val="12"/>
                <w:szCs w:val="12"/>
                <w:b w:val="1"/>
                <w:bCs w:val="1"/>
                <w:color w:val="auto"/>
              </w:rPr>
              <w:t>Subtotal/Weighted Average</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514,000</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97.4</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97.4</w:t>
            </w: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98.1</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99.4</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99.4</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13,763,260</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7</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5</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42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20" w:type="dxa"/>
            <w:vAlign w:val="bottom"/>
            <w:gridSpan w:val="5"/>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Total/Weighted Average Properties 100% Owned</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6,898,000</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60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96.6</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96.5</w:t>
            </w:r>
          </w:p>
        </w:tc>
        <w:tc>
          <w:tcPr>
            <w:tcW w:w="6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96.6</w:t>
            </w:r>
          </w:p>
        </w:tc>
        <w:tc>
          <w:tcPr>
            <w:tcW w:w="80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97.4</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97.7</w:t>
            </w:r>
          </w:p>
        </w:tc>
        <w:tc>
          <w:tcPr>
            <w:tcW w:w="11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204,264,807</w:t>
            </w: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100</w:t>
            </w:r>
          </w:p>
        </w:tc>
        <w:tc>
          <w:tcPr>
            <w:tcW w:w="56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71</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781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PROPERTIES &lt;100% OWNED</w:t>
            </w: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00" w:type="dxa"/>
            <w:vAlign w:val="bottom"/>
            <w:gridSpan w:val="4"/>
          </w:tcPr>
          <w:p>
            <w:pPr>
              <w:spacing w:after="0"/>
              <w:rPr>
                <w:sz w:val="20"/>
                <w:szCs w:val="20"/>
                <w:color w:val="auto"/>
              </w:rPr>
            </w:pPr>
            <w:r>
              <w:rPr>
                <w:rFonts w:ascii="Arial" w:cs="Arial" w:eastAsia="Arial" w:hAnsi="Arial"/>
                <w:sz w:val="12"/>
                <w:szCs w:val="12"/>
                <w:b w:val="1"/>
                <w:bCs w:val="1"/>
                <w:color w:val="auto"/>
              </w:rPr>
              <w:t>Unconsolidated</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-6167755</wp:posOffset>
            </wp:positionV>
            <wp:extent cx="12700" cy="76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-6167755</wp:posOffset>
            </wp:positionV>
            <wp:extent cx="12700" cy="76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-6167755</wp:posOffset>
            </wp:positionV>
            <wp:extent cx="12700" cy="762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-6167755</wp:posOffset>
            </wp:positionV>
            <wp:extent cx="12700" cy="762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-5939790</wp:posOffset>
            </wp:positionV>
            <wp:extent cx="12700" cy="76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-5939790</wp:posOffset>
            </wp:positionV>
            <wp:extent cx="12700" cy="76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-5939790</wp:posOffset>
            </wp:positionV>
            <wp:extent cx="12700" cy="76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-5939790</wp:posOffset>
            </wp:positionV>
            <wp:extent cx="12700" cy="762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-5939790</wp:posOffset>
            </wp:positionV>
            <wp:extent cx="12700" cy="76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-5939790</wp:posOffset>
            </wp:positionV>
            <wp:extent cx="12700" cy="762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-5939790</wp:posOffset>
            </wp:positionV>
            <wp:extent cx="12700" cy="762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-5939790</wp:posOffset>
            </wp:positionV>
            <wp:extent cx="12700" cy="76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-5939790</wp:posOffset>
            </wp:positionV>
            <wp:extent cx="12700" cy="76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-5939790</wp:posOffset>
            </wp:positionV>
            <wp:extent cx="12700" cy="762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-5939790</wp:posOffset>
            </wp:positionV>
            <wp:extent cx="12700" cy="762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-5939790</wp:posOffset>
            </wp:positionV>
            <wp:extent cx="12700" cy="76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2298700</wp:posOffset>
            </wp:positionH>
            <wp:positionV relativeFrom="paragraph">
              <wp:posOffset>-5939790</wp:posOffset>
            </wp:positionV>
            <wp:extent cx="12700" cy="76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-5939790</wp:posOffset>
            </wp:positionV>
            <wp:extent cx="12700" cy="76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-5939790</wp:posOffset>
            </wp:positionV>
            <wp:extent cx="12700" cy="762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-5939790</wp:posOffset>
            </wp:positionV>
            <wp:extent cx="12700" cy="762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-5939790</wp:posOffset>
            </wp:positionV>
            <wp:extent cx="12700" cy="762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-5939790</wp:posOffset>
            </wp:positionV>
            <wp:extent cx="12700" cy="762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-5939790</wp:posOffset>
            </wp:positionV>
            <wp:extent cx="12700" cy="762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-5939790</wp:posOffset>
            </wp:positionV>
            <wp:extent cx="12700" cy="762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-5939790</wp:posOffset>
            </wp:positionV>
            <wp:extent cx="12700" cy="762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-5939790</wp:posOffset>
            </wp:positionV>
            <wp:extent cx="12700" cy="76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-5939790</wp:posOffset>
            </wp:positionV>
            <wp:extent cx="12700" cy="762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-5939790</wp:posOffset>
            </wp:positionV>
            <wp:extent cx="12700" cy="762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-5939790</wp:posOffset>
            </wp:positionV>
            <wp:extent cx="12700" cy="762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-5939790</wp:posOffset>
            </wp:positionV>
            <wp:extent cx="12700" cy="762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-5939790</wp:posOffset>
            </wp:positionV>
            <wp:extent cx="12700" cy="76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-5939790</wp:posOffset>
            </wp:positionV>
            <wp:extent cx="12700" cy="762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-5537835</wp:posOffset>
            </wp:positionV>
            <wp:extent cx="12700" cy="762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-5537835</wp:posOffset>
            </wp:positionV>
            <wp:extent cx="12700" cy="762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-2362200</wp:posOffset>
            </wp:positionV>
            <wp:extent cx="12700" cy="762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-2362200</wp:posOffset>
            </wp:positionV>
            <wp:extent cx="12700" cy="76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-2362200</wp:posOffset>
            </wp:positionV>
            <wp:extent cx="12700" cy="762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-2362200</wp:posOffset>
            </wp:positionV>
            <wp:extent cx="12700" cy="762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-2362200</wp:posOffset>
            </wp:positionV>
            <wp:extent cx="12700" cy="762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-2362200</wp:posOffset>
            </wp:positionV>
            <wp:extent cx="12700" cy="762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-2362200</wp:posOffset>
            </wp:positionV>
            <wp:extent cx="12700" cy="76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-2362200</wp:posOffset>
            </wp:positionV>
            <wp:extent cx="12700" cy="762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-2362200</wp:posOffset>
            </wp:positionV>
            <wp:extent cx="12700" cy="762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-2362200</wp:posOffset>
            </wp:positionV>
            <wp:extent cx="12700" cy="762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-2362200</wp:posOffset>
            </wp:positionV>
            <wp:extent cx="12700" cy="762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-2362200</wp:posOffset>
            </wp:positionV>
            <wp:extent cx="12700" cy="762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-2362200</wp:posOffset>
            </wp:positionV>
            <wp:extent cx="12700" cy="762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-2362200</wp:posOffset>
            </wp:positionV>
            <wp:extent cx="12700" cy="762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-2362200</wp:posOffset>
            </wp:positionV>
            <wp:extent cx="12700" cy="762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-2362200</wp:posOffset>
            </wp:positionV>
            <wp:extent cx="12700" cy="762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-2362200</wp:posOffset>
            </wp:positionV>
            <wp:extent cx="12700" cy="762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-2362200</wp:posOffset>
            </wp:positionV>
            <wp:extent cx="12700" cy="762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-2362200</wp:posOffset>
            </wp:positionV>
            <wp:extent cx="12700" cy="762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-2362200</wp:posOffset>
            </wp:positionV>
            <wp:extent cx="12700" cy="762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-2362200</wp:posOffset>
            </wp:positionV>
            <wp:extent cx="12700" cy="762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-2362200</wp:posOffset>
            </wp:positionV>
            <wp:extent cx="12700" cy="762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-1905000</wp:posOffset>
            </wp:positionV>
            <wp:extent cx="12700" cy="762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-1905000</wp:posOffset>
            </wp:positionV>
            <wp:extent cx="12700" cy="762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-1416050</wp:posOffset>
            </wp:positionV>
            <wp:extent cx="12700" cy="762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-1416050</wp:posOffset>
            </wp:positionV>
            <wp:extent cx="12700" cy="762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-1416050</wp:posOffset>
            </wp:positionV>
            <wp:extent cx="12700" cy="762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-1416050</wp:posOffset>
            </wp:positionV>
            <wp:extent cx="12700" cy="762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-1416050</wp:posOffset>
            </wp:positionV>
            <wp:extent cx="12700" cy="762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-1416050</wp:posOffset>
            </wp:positionV>
            <wp:extent cx="12700" cy="762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-1416050</wp:posOffset>
            </wp:positionV>
            <wp:extent cx="12700" cy="762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-1416050</wp:posOffset>
            </wp:positionV>
            <wp:extent cx="12700" cy="76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-1416050</wp:posOffset>
            </wp:positionV>
            <wp:extent cx="12700" cy="762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-1416050</wp:posOffset>
            </wp:positionV>
            <wp:extent cx="12700" cy="762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-1416050</wp:posOffset>
            </wp:positionV>
            <wp:extent cx="12700" cy="762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-1416050</wp:posOffset>
            </wp:positionV>
            <wp:extent cx="12700" cy="762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-1416050</wp:posOffset>
            </wp:positionV>
            <wp:extent cx="12700" cy="762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-1416050</wp:posOffset>
            </wp:positionV>
            <wp:extent cx="12700" cy="762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-1416050</wp:posOffset>
            </wp:positionV>
            <wp:extent cx="12700" cy="762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-1416050</wp:posOffset>
            </wp:positionV>
            <wp:extent cx="12700" cy="76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-1416050</wp:posOffset>
            </wp:positionV>
            <wp:extent cx="12700" cy="762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-1416050</wp:posOffset>
            </wp:positionV>
            <wp:extent cx="12700" cy="762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-1416050</wp:posOffset>
            </wp:positionV>
            <wp:extent cx="12700" cy="762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-1416050</wp:posOffset>
            </wp:positionV>
            <wp:extent cx="12700" cy="762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-1416050</wp:posOffset>
            </wp:positionV>
            <wp:extent cx="12700" cy="762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-1416050</wp:posOffset>
            </wp:positionV>
            <wp:extent cx="12700" cy="762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-1045845</wp:posOffset>
            </wp:positionV>
            <wp:extent cx="12700" cy="762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-1045845</wp:posOffset>
            </wp:positionV>
            <wp:extent cx="12700" cy="762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-557530</wp:posOffset>
            </wp:positionV>
            <wp:extent cx="12700" cy="762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-557530</wp:posOffset>
            </wp:positionV>
            <wp:extent cx="12700" cy="762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-557530</wp:posOffset>
            </wp:positionV>
            <wp:extent cx="12700" cy="762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-557530</wp:posOffset>
            </wp:positionV>
            <wp:extent cx="12700" cy="762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-557530</wp:posOffset>
            </wp:positionV>
            <wp:extent cx="12700" cy="762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-557530</wp:posOffset>
            </wp:positionV>
            <wp:extent cx="12700" cy="762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-557530</wp:posOffset>
            </wp:positionV>
            <wp:extent cx="12700" cy="762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-557530</wp:posOffset>
            </wp:positionV>
            <wp:extent cx="12700" cy="762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-557530</wp:posOffset>
            </wp:positionV>
            <wp:extent cx="12700" cy="76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-557530</wp:posOffset>
            </wp:positionV>
            <wp:extent cx="12700" cy="76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-557530</wp:posOffset>
            </wp:positionV>
            <wp:extent cx="12700" cy="762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-557530</wp:posOffset>
            </wp:positionV>
            <wp:extent cx="12700" cy="762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-557530</wp:posOffset>
            </wp:positionV>
            <wp:extent cx="12700" cy="762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-557530</wp:posOffset>
            </wp:positionV>
            <wp:extent cx="12700" cy="762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-557530</wp:posOffset>
            </wp:positionV>
            <wp:extent cx="12700" cy="762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-557530</wp:posOffset>
            </wp:positionV>
            <wp:extent cx="12700" cy="762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-557530</wp:posOffset>
            </wp:positionV>
            <wp:extent cx="12700" cy="762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-557530</wp:posOffset>
            </wp:positionV>
            <wp:extent cx="12700" cy="762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-557530</wp:posOffset>
            </wp:positionV>
            <wp:extent cx="12700" cy="762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-557530</wp:posOffset>
            </wp:positionV>
            <wp:extent cx="12700" cy="762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-557530</wp:posOffset>
            </wp:positionV>
            <wp:extent cx="12700" cy="762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-557530</wp:posOffset>
            </wp:positionV>
            <wp:extent cx="12700" cy="762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67" w:lineRule="exact"/>
        <w:rPr>
          <w:sz w:val="20"/>
          <w:szCs w:val="20"/>
          <w:color w:val="auto"/>
        </w:rPr>
      </w:pPr>
    </w:p>
    <w:p>
      <w:pPr>
        <w:ind w:left="221" w:hanging="221"/>
        <w:spacing w:after="0"/>
        <w:tabs>
          <w:tab w:leader="none" w:pos="221"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Madison</w:t>
      </w:r>
    </w:p>
    <w:p>
      <w:pPr>
        <w:spacing w:after="0" w:line="8" w:lineRule="exact"/>
        <w:rPr>
          <w:rFonts w:ascii="Arial" w:cs="Arial" w:eastAsia="Arial" w:hAnsi="Arial"/>
          <w:sz w:val="12"/>
          <w:szCs w:val="12"/>
          <w:color w:val="auto"/>
        </w:rPr>
      </w:pPr>
    </w:p>
    <w:p>
      <w:pPr>
        <w:ind w:left="1"/>
        <w:spacing w:after="0" w:line="237" w:lineRule="auto"/>
        <w:rPr>
          <w:rFonts w:ascii="Arial" w:cs="Arial" w:eastAsia="Arial" w:hAnsi="Arial"/>
          <w:sz w:val="12"/>
          <w:szCs w:val="12"/>
          <w:color w:val="auto"/>
        </w:rPr>
      </w:pPr>
      <w:r>
        <w:rPr>
          <w:rFonts w:ascii="Arial" w:cs="Arial" w:eastAsia="Arial" w:hAnsi="Arial"/>
          <w:sz w:val="12"/>
          <w:szCs w:val="12"/>
          <w:color w:val="auto"/>
        </w:rPr>
        <w:t>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257415" cy="26035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57415" cy="26035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27"/>
        </w:trPr>
        <w:tc>
          <w:tcPr>
            <w:tcW w:w="640" w:type="dxa"/>
            <w:vAlign w:val="bottom"/>
          </w:tcPr>
          <w:p>
            <w:pPr>
              <w:spacing w:after="0" w:line="127" w:lineRule="exact"/>
              <w:rPr>
                <w:sz w:val="20"/>
                <w:szCs w:val="20"/>
                <w:color w:val="auto"/>
              </w:rPr>
            </w:pPr>
            <w:r>
              <w:rPr>
                <w:rFonts w:ascii="Arial" w:cs="Arial" w:eastAsia="Arial" w:hAnsi="Arial"/>
                <w:sz w:val="12"/>
                <w:szCs w:val="12"/>
                <w:color w:val="auto"/>
              </w:rPr>
              <w:t>50%</w:t>
            </w:r>
          </w:p>
        </w:tc>
        <w:tc>
          <w:tcPr>
            <w:tcW w:w="1420" w:type="dxa"/>
            <w:vAlign w:val="bottom"/>
          </w:tcPr>
          <w:p>
            <w:pPr>
              <w:ind w:left="140"/>
              <w:spacing w:after="0" w:line="127" w:lineRule="exact"/>
              <w:rPr>
                <w:sz w:val="20"/>
                <w:szCs w:val="20"/>
                <w:color w:val="auto"/>
              </w:rPr>
            </w:pPr>
            <w:r>
              <w:rPr>
                <w:rFonts w:ascii="Arial" w:cs="Arial" w:eastAsia="Arial" w:hAnsi="Arial"/>
                <w:sz w:val="12"/>
                <w:szCs w:val="12"/>
                <w:color w:val="auto"/>
              </w:rPr>
              <w:t>Grand Central South</w:t>
            </w:r>
          </w:p>
        </w:tc>
        <w:tc>
          <w:tcPr>
            <w:tcW w:w="1640" w:type="dxa"/>
            <w:vAlign w:val="bottom"/>
          </w:tcPr>
          <w:p>
            <w:pPr>
              <w:ind w:left="240"/>
              <w:spacing w:after="0" w:line="127" w:lineRule="exact"/>
              <w:rPr>
                <w:sz w:val="20"/>
                <w:szCs w:val="20"/>
                <w:color w:val="auto"/>
              </w:rPr>
            </w:pPr>
            <w:r>
              <w:rPr>
                <w:rFonts w:ascii="Arial" w:cs="Arial" w:eastAsia="Arial" w:hAnsi="Arial"/>
                <w:sz w:val="12"/>
                <w:szCs w:val="12"/>
                <w:color w:val="auto"/>
              </w:rPr>
              <w:t>Fee Interest</w:t>
            </w:r>
          </w:p>
        </w:tc>
        <w:tc>
          <w:tcPr>
            <w:tcW w:w="1220" w:type="dxa"/>
            <w:vAlign w:val="bottom"/>
          </w:tcPr>
          <w:p>
            <w:pPr>
              <w:jc w:val="right"/>
              <w:ind w:right="178"/>
              <w:spacing w:after="0" w:line="127" w:lineRule="exact"/>
              <w:rPr>
                <w:sz w:val="20"/>
                <w:szCs w:val="20"/>
                <w:color w:val="auto"/>
              </w:rPr>
            </w:pPr>
            <w:r>
              <w:rPr>
                <w:rFonts w:ascii="Arial" w:cs="Arial" w:eastAsia="Arial" w:hAnsi="Arial"/>
                <w:sz w:val="12"/>
                <w:szCs w:val="12"/>
                <w:color w:val="auto"/>
              </w:rPr>
              <w:t>265,000</w:t>
            </w:r>
          </w:p>
        </w:tc>
        <w:tc>
          <w:tcPr>
            <w:tcW w:w="540" w:type="dxa"/>
            <w:vAlign w:val="bottom"/>
          </w:tcPr>
          <w:p>
            <w:pPr>
              <w:jc w:val="right"/>
              <w:ind w:right="158"/>
              <w:spacing w:after="0" w:line="127" w:lineRule="exact"/>
              <w:rPr>
                <w:sz w:val="20"/>
                <w:szCs w:val="20"/>
                <w:color w:val="auto"/>
              </w:rPr>
            </w:pPr>
            <w:r>
              <w:rPr>
                <w:rFonts w:ascii="Arial" w:cs="Arial" w:eastAsia="Arial" w:hAnsi="Arial"/>
                <w:sz w:val="12"/>
                <w:szCs w:val="12"/>
                <w:color w:val="auto"/>
              </w:rPr>
              <w:t>2</w:t>
            </w:r>
          </w:p>
        </w:tc>
        <w:tc>
          <w:tcPr>
            <w:tcW w:w="680" w:type="dxa"/>
            <w:vAlign w:val="bottom"/>
          </w:tcPr>
          <w:p>
            <w:pPr>
              <w:jc w:val="right"/>
              <w:ind w:right="178"/>
              <w:spacing w:after="0" w:line="127" w:lineRule="exact"/>
              <w:rPr>
                <w:sz w:val="20"/>
                <w:szCs w:val="20"/>
                <w:color w:val="auto"/>
              </w:rPr>
            </w:pPr>
            <w:r>
              <w:rPr>
                <w:rFonts w:ascii="Arial" w:cs="Arial" w:eastAsia="Arial" w:hAnsi="Arial"/>
                <w:sz w:val="12"/>
                <w:szCs w:val="12"/>
                <w:color w:val="auto"/>
              </w:rPr>
              <w:t>82.1</w:t>
            </w:r>
          </w:p>
        </w:tc>
        <w:tc>
          <w:tcPr>
            <w:tcW w:w="660" w:type="dxa"/>
            <w:vAlign w:val="bottom"/>
          </w:tcPr>
          <w:p>
            <w:pPr>
              <w:jc w:val="right"/>
              <w:ind w:right="158"/>
              <w:spacing w:after="0" w:line="127" w:lineRule="exact"/>
              <w:rPr>
                <w:sz w:val="20"/>
                <w:szCs w:val="20"/>
                <w:color w:val="auto"/>
              </w:rPr>
            </w:pPr>
            <w:r>
              <w:rPr>
                <w:rFonts w:ascii="Arial" w:cs="Arial" w:eastAsia="Arial" w:hAnsi="Arial"/>
                <w:sz w:val="12"/>
                <w:szCs w:val="12"/>
                <w:color w:val="auto"/>
              </w:rPr>
              <w:t>87.3</w:t>
            </w:r>
          </w:p>
        </w:tc>
        <w:tc>
          <w:tcPr>
            <w:tcW w:w="700" w:type="dxa"/>
            <w:vAlign w:val="bottom"/>
          </w:tcPr>
          <w:p>
            <w:pPr>
              <w:jc w:val="right"/>
              <w:ind w:right="178"/>
              <w:spacing w:after="0" w:line="127" w:lineRule="exact"/>
              <w:rPr>
                <w:sz w:val="20"/>
                <w:szCs w:val="20"/>
                <w:color w:val="auto"/>
              </w:rPr>
            </w:pPr>
            <w:r>
              <w:rPr>
                <w:rFonts w:ascii="Arial" w:cs="Arial" w:eastAsia="Arial" w:hAnsi="Arial"/>
                <w:sz w:val="12"/>
                <w:szCs w:val="12"/>
                <w:color w:val="auto"/>
              </w:rPr>
              <w:t>89.7</w:t>
            </w:r>
          </w:p>
        </w:tc>
        <w:tc>
          <w:tcPr>
            <w:tcW w:w="680" w:type="dxa"/>
            <w:vAlign w:val="bottom"/>
          </w:tcPr>
          <w:p>
            <w:pPr>
              <w:jc w:val="right"/>
              <w:ind w:right="178"/>
              <w:spacing w:after="0" w:line="127" w:lineRule="exact"/>
              <w:rPr>
                <w:sz w:val="20"/>
                <w:szCs w:val="20"/>
                <w:color w:val="auto"/>
              </w:rPr>
            </w:pPr>
            <w:r>
              <w:rPr>
                <w:rFonts w:ascii="Arial" w:cs="Arial" w:eastAsia="Arial" w:hAnsi="Arial"/>
                <w:sz w:val="12"/>
                <w:szCs w:val="12"/>
                <w:color w:val="auto"/>
              </w:rPr>
              <w:t>92.8</w:t>
            </w:r>
          </w:p>
        </w:tc>
        <w:tc>
          <w:tcPr>
            <w:tcW w:w="720" w:type="dxa"/>
            <w:vAlign w:val="bottom"/>
          </w:tcPr>
          <w:p>
            <w:pPr>
              <w:jc w:val="right"/>
              <w:ind w:right="218"/>
              <w:spacing w:after="0" w:line="127" w:lineRule="exact"/>
              <w:rPr>
                <w:sz w:val="20"/>
                <w:szCs w:val="20"/>
                <w:color w:val="auto"/>
              </w:rPr>
            </w:pPr>
            <w:r>
              <w:rPr>
                <w:rFonts w:ascii="Arial" w:cs="Arial" w:eastAsia="Arial" w:hAnsi="Arial"/>
                <w:sz w:val="12"/>
                <w:szCs w:val="12"/>
                <w:color w:val="auto"/>
              </w:rPr>
              <w:t>89.5</w:t>
            </w:r>
          </w:p>
        </w:tc>
        <w:tc>
          <w:tcPr>
            <w:tcW w:w="1080" w:type="dxa"/>
            <w:vAlign w:val="bottom"/>
          </w:tcPr>
          <w:p>
            <w:pPr>
              <w:jc w:val="right"/>
              <w:ind w:right="178"/>
              <w:spacing w:after="0" w:line="127" w:lineRule="exact"/>
              <w:rPr>
                <w:sz w:val="20"/>
                <w:szCs w:val="20"/>
                <w:color w:val="auto"/>
              </w:rPr>
            </w:pPr>
            <w:r>
              <w:rPr>
                <w:rFonts w:ascii="Arial" w:cs="Arial" w:eastAsia="Arial" w:hAnsi="Arial"/>
                <w:sz w:val="12"/>
                <w:szCs w:val="12"/>
                <w:color w:val="auto"/>
              </w:rPr>
              <w:t>6,941,258</w:t>
            </w:r>
          </w:p>
        </w:tc>
        <w:tc>
          <w:tcPr>
            <w:tcW w:w="480" w:type="dxa"/>
            <w:vAlign w:val="bottom"/>
          </w:tcPr>
          <w:p>
            <w:pPr>
              <w:jc w:val="right"/>
              <w:ind w:right="98"/>
              <w:spacing w:after="0" w:line="127" w:lineRule="exact"/>
              <w:rPr>
                <w:sz w:val="20"/>
                <w:szCs w:val="20"/>
                <w:color w:val="auto"/>
              </w:rPr>
            </w:pPr>
            <w:r>
              <w:rPr>
                <w:rFonts w:ascii="Arial" w:cs="Arial" w:eastAsia="Arial" w:hAnsi="Arial"/>
                <w:sz w:val="12"/>
                <w:szCs w:val="12"/>
                <w:color w:val="auto"/>
              </w:rPr>
              <w:t>1</w:t>
            </w:r>
          </w:p>
        </w:tc>
        <w:tc>
          <w:tcPr>
            <w:tcW w:w="960" w:type="dxa"/>
            <w:vAlign w:val="bottom"/>
          </w:tcPr>
          <w:p>
            <w:pPr>
              <w:jc w:val="right"/>
              <w:ind w:right="618"/>
              <w:spacing w:after="0" w:line="127" w:lineRule="exact"/>
              <w:rPr>
                <w:sz w:val="20"/>
                <w:szCs w:val="20"/>
                <w:color w:val="auto"/>
              </w:rPr>
            </w:pPr>
            <w:r>
              <w:rPr>
                <w:rFonts w:ascii="Arial" w:cs="Arial" w:eastAsia="Arial" w:hAnsi="Arial"/>
                <w:sz w:val="12"/>
                <w:szCs w:val="12"/>
                <w:color w:val="auto"/>
              </w:rPr>
              <w:t>50</w:t>
            </w:r>
          </w:p>
        </w:tc>
      </w:tr>
      <w:tr>
        <w:trPr>
          <w:trHeight w:val="137"/>
        </w:trPr>
        <w:tc>
          <w:tcPr>
            <w:tcW w:w="640" w:type="dxa"/>
            <w:vAlign w:val="bottom"/>
          </w:tcPr>
          <w:p>
            <w:pPr>
              <w:spacing w:after="0" w:line="137" w:lineRule="exact"/>
              <w:rPr>
                <w:sz w:val="20"/>
                <w:szCs w:val="20"/>
                <w:color w:val="auto"/>
              </w:rPr>
            </w:pPr>
            <w:r>
              <w:rPr>
                <w:rFonts w:ascii="Arial" w:cs="Arial" w:eastAsia="Arial" w:hAnsi="Arial"/>
                <w:sz w:val="12"/>
                <w:szCs w:val="12"/>
                <w:color w:val="auto"/>
              </w:rPr>
              <w:t>1 Park</w:t>
            </w:r>
          </w:p>
        </w:tc>
        <w:tc>
          <w:tcPr>
            <w:tcW w:w="1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7"/>
        </w:trPr>
        <w:tc>
          <w:tcPr>
            <w:tcW w:w="640" w:type="dxa"/>
            <w:vAlign w:val="bottom"/>
          </w:tcPr>
          <w:p>
            <w:pPr>
              <w:spacing w:after="0" w:line="137" w:lineRule="exact"/>
              <w:rPr>
                <w:sz w:val="20"/>
                <w:szCs w:val="20"/>
                <w:color w:val="auto"/>
              </w:rPr>
            </w:pPr>
            <w:r>
              <w:rPr>
                <w:rFonts w:ascii="Arial" w:cs="Arial" w:eastAsia="Arial" w:hAnsi="Arial"/>
                <w:sz w:val="12"/>
                <w:szCs w:val="12"/>
                <w:color w:val="auto"/>
              </w:rPr>
              <w:t>Avenue—</w:t>
            </w:r>
          </w:p>
        </w:tc>
        <w:tc>
          <w:tcPr>
            <w:tcW w:w="1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5"/>
        </w:trPr>
        <w:tc>
          <w:tcPr>
            <w:tcW w:w="640" w:type="dxa"/>
            <w:vAlign w:val="bottom"/>
          </w:tcPr>
          <w:p>
            <w:pPr>
              <w:spacing w:after="0"/>
              <w:rPr>
                <w:sz w:val="20"/>
                <w:szCs w:val="20"/>
                <w:color w:val="auto"/>
              </w:rPr>
            </w:pPr>
            <w:r>
              <w:rPr>
                <w:rFonts w:ascii="Arial" w:cs="Arial" w:eastAsia="Arial" w:hAnsi="Arial"/>
                <w:sz w:val="12"/>
                <w:szCs w:val="12"/>
                <w:color w:val="auto"/>
              </w:rPr>
              <w:t>55%</w:t>
            </w:r>
          </w:p>
        </w:tc>
        <w:tc>
          <w:tcPr>
            <w:tcW w:w="1420" w:type="dxa"/>
            <w:vAlign w:val="bottom"/>
          </w:tcPr>
          <w:p>
            <w:pPr>
              <w:ind w:left="140"/>
              <w:spacing w:after="0"/>
              <w:rPr>
                <w:sz w:val="20"/>
                <w:szCs w:val="20"/>
                <w:color w:val="auto"/>
              </w:rPr>
            </w:pPr>
            <w:r>
              <w:rPr>
                <w:rFonts w:ascii="Arial" w:cs="Arial" w:eastAsia="Arial" w:hAnsi="Arial"/>
                <w:sz w:val="12"/>
                <w:szCs w:val="12"/>
                <w:color w:val="auto"/>
              </w:rPr>
              <w:t>Grand Central South</w:t>
            </w:r>
          </w:p>
        </w:tc>
        <w:tc>
          <w:tcPr>
            <w:tcW w:w="1640" w:type="dxa"/>
            <w:vAlign w:val="bottom"/>
          </w:tcPr>
          <w:p>
            <w:pPr>
              <w:ind w:left="240"/>
              <w:spacing w:after="0"/>
              <w:rPr>
                <w:sz w:val="20"/>
                <w:szCs w:val="20"/>
                <w:color w:val="auto"/>
              </w:rPr>
            </w:pPr>
            <w:r>
              <w:rPr>
                <w:rFonts w:ascii="Arial" w:cs="Arial" w:eastAsia="Arial" w:hAnsi="Arial"/>
                <w:sz w:val="12"/>
                <w:szCs w:val="12"/>
                <w:color w:val="auto"/>
              </w:rPr>
              <w:t>Various Interests</w:t>
            </w:r>
          </w:p>
        </w:tc>
        <w:tc>
          <w:tcPr>
            <w:tcW w:w="1220" w:type="dxa"/>
            <w:vAlign w:val="bottom"/>
          </w:tcPr>
          <w:p>
            <w:pPr>
              <w:jc w:val="right"/>
              <w:ind w:right="178"/>
              <w:spacing w:after="0"/>
              <w:rPr>
                <w:sz w:val="20"/>
                <w:szCs w:val="20"/>
                <w:color w:val="auto"/>
              </w:rPr>
            </w:pPr>
            <w:r>
              <w:rPr>
                <w:rFonts w:ascii="Arial" w:cs="Arial" w:eastAsia="Arial" w:hAnsi="Arial"/>
                <w:sz w:val="12"/>
                <w:szCs w:val="12"/>
                <w:color w:val="auto"/>
              </w:rPr>
              <w:t>913,000</w:t>
            </w:r>
          </w:p>
        </w:tc>
        <w:tc>
          <w:tcPr>
            <w:tcW w:w="540" w:type="dxa"/>
            <w:vAlign w:val="bottom"/>
          </w:tcPr>
          <w:p>
            <w:pPr>
              <w:jc w:val="right"/>
              <w:ind w:right="158"/>
              <w:spacing w:after="0"/>
              <w:rPr>
                <w:sz w:val="20"/>
                <w:szCs w:val="20"/>
                <w:color w:val="auto"/>
              </w:rPr>
            </w:pPr>
            <w:r>
              <w:rPr>
                <w:rFonts w:ascii="Arial" w:cs="Arial" w:eastAsia="Arial" w:hAnsi="Arial"/>
                <w:sz w:val="12"/>
                <w:szCs w:val="12"/>
                <w:color w:val="auto"/>
              </w:rPr>
              <w:t>8</w:t>
            </w:r>
          </w:p>
        </w:tc>
        <w:tc>
          <w:tcPr>
            <w:tcW w:w="680" w:type="dxa"/>
            <w:vAlign w:val="bottom"/>
          </w:tcPr>
          <w:p>
            <w:pPr>
              <w:jc w:val="right"/>
              <w:ind w:right="178"/>
              <w:spacing w:after="0"/>
              <w:rPr>
                <w:sz w:val="20"/>
                <w:szCs w:val="20"/>
                <w:color w:val="auto"/>
              </w:rPr>
            </w:pPr>
            <w:r>
              <w:rPr>
                <w:rFonts w:ascii="Arial" w:cs="Arial" w:eastAsia="Arial" w:hAnsi="Arial"/>
                <w:sz w:val="12"/>
                <w:szCs w:val="12"/>
                <w:color w:val="auto"/>
              </w:rPr>
              <w:t>98.6</w:t>
            </w:r>
          </w:p>
        </w:tc>
        <w:tc>
          <w:tcPr>
            <w:tcW w:w="660" w:type="dxa"/>
            <w:vAlign w:val="bottom"/>
          </w:tcPr>
          <w:p>
            <w:pPr>
              <w:jc w:val="right"/>
              <w:ind w:right="158"/>
              <w:spacing w:after="0"/>
              <w:rPr>
                <w:sz w:val="20"/>
                <w:szCs w:val="20"/>
                <w:color w:val="auto"/>
              </w:rPr>
            </w:pPr>
            <w:r>
              <w:rPr>
                <w:rFonts w:ascii="Arial" w:cs="Arial" w:eastAsia="Arial" w:hAnsi="Arial"/>
                <w:sz w:val="12"/>
                <w:szCs w:val="12"/>
                <w:color w:val="auto"/>
              </w:rPr>
              <w:t>98.4</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98.3</w:t>
            </w:r>
          </w:p>
        </w:tc>
        <w:tc>
          <w:tcPr>
            <w:tcW w:w="680" w:type="dxa"/>
            <w:vAlign w:val="bottom"/>
          </w:tcPr>
          <w:p>
            <w:pPr>
              <w:jc w:val="right"/>
              <w:ind w:right="178"/>
              <w:spacing w:after="0"/>
              <w:rPr>
                <w:sz w:val="20"/>
                <w:szCs w:val="20"/>
                <w:color w:val="auto"/>
              </w:rPr>
            </w:pPr>
            <w:r>
              <w:rPr>
                <w:rFonts w:ascii="Arial" w:cs="Arial" w:eastAsia="Arial" w:hAnsi="Arial"/>
                <w:sz w:val="12"/>
                <w:szCs w:val="12"/>
                <w:color w:val="auto"/>
              </w:rPr>
              <w:t>98.3</w:t>
            </w:r>
          </w:p>
        </w:tc>
        <w:tc>
          <w:tcPr>
            <w:tcW w:w="720" w:type="dxa"/>
            <w:vAlign w:val="bottom"/>
          </w:tcPr>
          <w:p>
            <w:pPr>
              <w:jc w:val="right"/>
              <w:ind w:right="218"/>
              <w:spacing w:after="0"/>
              <w:rPr>
                <w:sz w:val="20"/>
                <w:szCs w:val="20"/>
                <w:color w:val="auto"/>
              </w:rPr>
            </w:pPr>
            <w:r>
              <w:rPr>
                <w:rFonts w:ascii="Arial" w:cs="Arial" w:eastAsia="Arial" w:hAnsi="Arial"/>
                <w:sz w:val="12"/>
                <w:szCs w:val="12"/>
                <w:color w:val="auto"/>
              </w:rPr>
              <w:t>97.7</w:t>
            </w:r>
          </w:p>
        </w:tc>
        <w:tc>
          <w:tcPr>
            <w:tcW w:w="1080" w:type="dxa"/>
            <w:vAlign w:val="bottom"/>
          </w:tcPr>
          <w:p>
            <w:pPr>
              <w:jc w:val="right"/>
              <w:ind w:right="178"/>
              <w:spacing w:after="0"/>
              <w:rPr>
                <w:sz w:val="20"/>
                <w:szCs w:val="20"/>
                <w:color w:val="auto"/>
              </w:rPr>
            </w:pPr>
            <w:r>
              <w:rPr>
                <w:rFonts w:ascii="Arial" w:cs="Arial" w:eastAsia="Arial" w:hAnsi="Arial"/>
                <w:sz w:val="12"/>
                <w:szCs w:val="12"/>
                <w:color w:val="auto"/>
              </w:rPr>
              <w:t>32,919,493</w:t>
            </w:r>
          </w:p>
        </w:tc>
        <w:tc>
          <w:tcPr>
            <w:tcW w:w="480" w:type="dxa"/>
            <w:vAlign w:val="bottom"/>
          </w:tcPr>
          <w:p>
            <w:pPr>
              <w:jc w:val="right"/>
              <w:ind w:right="98"/>
              <w:spacing w:after="0"/>
              <w:rPr>
                <w:sz w:val="20"/>
                <w:szCs w:val="20"/>
                <w:color w:val="auto"/>
              </w:rPr>
            </w:pPr>
            <w:r>
              <w:rPr>
                <w:rFonts w:ascii="Arial" w:cs="Arial" w:eastAsia="Arial" w:hAnsi="Arial"/>
                <w:sz w:val="12"/>
                <w:szCs w:val="12"/>
                <w:color w:val="auto"/>
              </w:rPr>
              <w:t>6</w:t>
            </w:r>
          </w:p>
        </w:tc>
        <w:tc>
          <w:tcPr>
            <w:tcW w:w="960" w:type="dxa"/>
            <w:vAlign w:val="bottom"/>
          </w:tcPr>
          <w:p>
            <w:pPr>
              <w:jc w:val="right"/>
              <w:ind w:right="618"/>
              <w:spacing w:after="0"/>
              <w:rPr>
                <w:sz w:val="20"/>
                <w:szCs w:val="20"/>
                <w:color w:val="auto"/>
              </w:rPr>
            </w:pPr>
            <w:r>
              <w:rPr>
                <w:rFonts w:ascii="Arial" w:cs="Arial" w:eastAsia="Arial" w:hAnsi="Arial"/>
                <w:sz w:val="12"/>
                <w:szCs w:val="12"/>
                <w:color w:val="auto"/>
              </w:rPr>
              <w:t>18</w:t>
            </w:r>
          </w:p>
        </w:tc>
      </w:tr>
      <w:tr>
        <w:trPr>
          <w:trHeight w:val="167"/>
        </w:trPr>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1250</w:t>
            </w:r>
          </w:p>
        </w:tc>
        <w:tc>
          <w:tcPr>
            <w:tcW w:w="14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Penn Station</w:t>
            </w:r>
          </w:p>
        </w:tc>
        <w:tc>
          <w:tcPr>
            <w:tcW w:w="1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Fee Interest</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670,000</w:t>
            </w:r>
          </w:p>
        </w:tc>
        <w:tc>
          <w:tcPr>
            <w:tcW w:w="54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99.3</w:t>
            </w:r>
          </w:p>
        </w:tc>
        <w:tc>
          <w:tcPr>
            <w:tcW w:w="6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99.3</w:t>
            </w:r>
          </w:p>
        </w:tc>
        <w:tc>
          <w:tcPr>
            <w:tcW w:w="7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99.5</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99.5</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rPr>
              <w:t>99.5</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19,245,914</w:t>
            </w:r>
          </w:p>
        </w:tc>
        <w:tc>
          <w:tcPr>
            <w:tcW w:w="4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4</w:t>
            </w:r>
          </w:p>
        </w:tc>
        <w:tc>
          <w:tcPr>
            <w:tcW w:w="960" w:type="dxa"/>
            <w:vAlign w:val="bottom"/>
            <w:shd w:val="clear" w:color="auto" w:fill="CCEEFF"/>
          </w:tcPr>
          <w:p>
            <w:pPr>
              <w:jc w:val="right"/>
              <w:ind w:right="618"/>
              <w:spacing w:after="0"/>
              <w:rPr>
                <w:sz w:val="20"/>
                <w:szCs w:val="20"/>
                <w:color w:val="auto"/>
              </w:rPr>
            </w:pPr>
            <w:r>
              <w:rPr>
                <w:rFonts w:ascii="Arial" w:cs="Arial" w:eastAsia="Arial" w:hAnsi="Arial"/>
                <w:sz w:val="12"/>
                <w:szCs w:val="12"/>
                <w:color w:val="auto"/>
              </w:rPr>
              <w:t>27</w:t>
            </w:r>
          </w:p>
        </w:tc>
      </w:tr>
    </w:tbl>
    <w:p>
      <w:pPr>
        <w:sectPr>
          <w:pgSz w:w="11900" w:h="16900" w:orient="portrait"/>
          <w:cols w:equalWidth="0" w:num="1">
            <w:col w:w="11421"/>
          </w:cols>
          <w:pgMar w:left="239" w:top="1440" w:right="239" w:bottom="0" w:gutter="0" w:footer="0" w:header="0"/>
        </w:sectPr>
      </w:pPr>
    </w:p>
    <w:bookmarkStart w:id="17" w:name="page18"/>
    <w:bookmarkEnd w:id="17"/>
    <w:p>
      <w:pPr>
        <w:spacing w:after="0" w:line="89" w:lineRule="exact"/>
        <w:rPr>
          <w:sz w:val="20"/>
          <w:szCs w:val="20"/>
          <w:color w:val="auto"/>
        </w:rPr>
      </w:pPr>
    </w:p>
    <w:p>
      <w:pPr>
        <w:ind w:left="1"/>
        <w:spacing w:after="0"/>
        <w:rPr>
          <w:sz w:val="20"/>
          <w:szCs w:val="20"/>
          <w:color w:val="auto"/>
        </w:rPr>
      </w:pPr>
      <w:r>
        <w:rPr>
          <w:rFonts w:ascii="Arial" w:cs="Arial" w:eastAsia="Arial" w:hAnsi="Arial"/>
          <w:sz w:val="12"/>
          <w:szCs w:val="12"/>
          <w:color w:val="auto"/>
        </w:rPr>
        <w:t>Broadway—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57415" cy="1733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57415" cy="173355"/>
                    </a:xfrm>
                    <a:prstGeom prst="rect">
                      <a:avLst/>
                    </a:prstGeom>
                    <a:noFill/>
                  </pic:spPr>
                </pic:pic>
              </a:graphicData>
            </a:graphic>
          </wp:anchor>
        </w:drawing>
      </w:r>
    </w:p>
    <w:p>
      <w:pPr>
        <w:ind w:left="1"/>
        <w:spacing w:after="0"/>
        <w:rPr>
          <w:sz w:val="20"/>
          <w:szCs w:val="20"/>
          <w:color w:val="auto"/>
        </w:rPr>
      </w:pPr>
      <w:r>
        <w:rPr>
          <w:rFonts w:ascii="Arial" w:cs="Arial" w:eastAsia="Arial" w:hAnsi="Arial"/>
          <w:sz w:val="12"/>
          <w:szCs w:val="12"/>
          <w:color w:val="auto"/>
        </w:rPr>
        <w:t>55%</w:t>
      </w:r>
    </w:p>
    <w:tbl>
      <w:tblPr>
        <w:tblLayout w:type="fixed"/>
        <w:tblInd w:w="1" w:type="dxa"/>
        <w:tblCellMar>
          <w:top w:w="0" w:type="dxa"/>
          <w:left w:w="0" w:type="dxa"/>
          <w:bottom w:w="0" w:type="dxa"/>
          <w:right w:w="0" w:type="dxa"/>
        </w:tblCellMar>
      </w:tblPr>
      <w:tr>
        <w:trPr>
          <w:trHeight w:val="127"/>
        </w:trPr>
        <w:tc>
          <w:tcPr>
            <w:tcW w:w="600" w:type="dxa"/>
            <w:vAlign w:val="bottom"/>
            <w:gridSpan w:val="2"/>
          </w:tcPr>
          <w:p>
            <w:pPr>
              <w:spacing w:after="0" w:line="127" w:lineRule="exact"/>
              <w:rPr>
                <w:sz w:val="20"/>
                <w:szCs w:val="20"/>
                <w:color w:val="auto"/>
              </w:rPr>
            </w:pPr>
            <w:r>
              <w:rPr>
                <w:rFonts w:ascii="Arial" w:cs="Arial" w:eastAsia="Arial" w:hAnsi="Arial"/>
                <w:sz w:val="12"/>
                <w:szCs w:val="12"/>
                <w:color w:val="auto"/>
              </w:rPr>
              <w:t>100 Park</w:t>
            </w:r>
          </w:p>
        </w:tc>
        <w:tc>
          <w:tcPr>
            <w:tcW w:w="1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00" w:type="dxa"/>
            <w:vAlign w:val="bottom"/>
            <w:gridSpan w:val="2"/>
          </w:tcPr>
          <w:p>
            <w:pPr>
              <w:spacing w:after="0" w:line="137" w:lineRule="exact"/>
              <w:rPr>
                <w:sz w:val="20"/>
                <w:szCs w:val="20"/>
                <w:color w:val="auto"/>
              </w:rPr>
            </w:pPr>
            <w:r>
              <w:rPr>
                <w:rFonts w:ascii="Arial" w:cs="Arial" w:eastAsia="Arial" w:hAnsi="Arial"/>
                <w:sz w:val="12"/>
                <w:szCs w:val="12"/>
                <w:color w:val="auto"/>
              </w:rPr>
              <w:t>Avenue—</w:t>
            </w:r>
          </w:p>
        </w:tc>
        <w:tc>
          <w:tcPr>
            <w:tcW w:w="1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00" w:type="dxa"/>
            <w:vAlign w:val="bottom"/>
            <w:gridSpan w:val="2"/>
          </w:tcPr>
          <w:p>
            <w:pPr>
              <w:spacing w:after="0"/>
              <w:rPr>
                <w:sz w:val="20"/>
                <w:szCs w:val="20"/>
                <w:color w:val="auto"/>
              </w:rPr>
            </w:pPr>
            <w:r>
              <w:rPr>
                <w:rFonts w:ascii="Arial" w:cs="Arial" w:eastAsia="Arial" w:hAnsi="Arial"/>
                <w:sz w:val="12"/>
                <w:szCs w:val="12"/>
                <w:color w:val="auto"/>
              </w:rPr>
              <w:t>50%</w:t>
            </w:r>
          </w:p>
        </w:tc>
        <w:tc>
          <w:tcPr>
            <w:tcW w:w="1440" w:type="dxa"/>
            <w:vAlign w:val="bottom"/>
          </w:tcPr>
          <w:p>
            <w:pPr>
              <w:ind w:left="180"/>
              <w:spacing w:after="0"/>
              <w:rPr>
                <w:sz w:val="20"/>
                <w:szCs w:val="20"/>
                <w:color w:val="auto"/>
              </w:rPr>
            </w:pPr>
            <w:r>
              <w:rPr>
                <w:rFonts w:ascii="Arial" w:cs="Arial" w:eastAsia="Arial" w:hAnsi="Arial"/>
                <w:sz w:val="12"/>
                <w:szCs w:val="12"/>
                <w:color w:val="auto"/>
              </w:rPr>
              <w:t>Grand Central South</w:t>
            </w:r>
          </w:p>
        </w:tc>
        <w:tc>
          <w:tcPr>
            <w:tcW w:w="1480" w:type="dxa"/>
            <w:vAlign w:val="bottom"/>
          </w:tcPr>
          <w:p>
            <w:pPr>
              <w:ind w:left="260"/>
              <w:spacing w:after="0"/>
              <w:rPr>
                <w:sz w:val="20"/>
                <w:szCs w:val="20"/>
                <w:color w:val="auto"/>
              </w:rPr>
            </w:pPr>
            <w:r>
              <w:rPr>
                <w:rFonts w:ascii="Arial" w:cs="Arial" w:eastAsia="Arial" w:hAnsi="Arial"/>
                <w:sz w:val="12"/>
                <w:szCs w:val="12"/>
                <w:color w:val="auto"/>
              </w:rPr>
              <w:t>Fee Interest</w:t>
            </w:r>
          </w:p>
        </w:tc>
        <w:tc>
          <w:tcPr>
            <w:tcW w:w="1360" w:type="dxa"/>
            <w:vAlign w:val="bottom"/>
          </w:tcPr>
          <w:p>
            <w:pPr>
              <w:jc w:val="right"/>
              <w:ind w:right="138"/>
              <w:spacing w:after="0"/>
              <w:rPr>
                <w:sz w:val="20"/>
                <w:szCs w:val="20"/>
                <w:color w:val="auto"/>
              </w:rPr>
            </w:pPr>
            <w:r>
              <w:rPr>
                <w:rFonts w:ascii="Arial" w:cs="Arial" w:eastAsia="Arial" w:hAnsi="Arial"/>
                <w:sz w:val="12"/>
                <w:szCs w:val="12"/>
                <w:color w:val="auto"/>
              </w:rPr>
              <w:t>834,000</w:t>
            </w:r>
          </w:p>
        </w:tc>
        <w:tc>
          <w:tcPr>
            <w:tcW w:w="560" w:type="dxa"/>
            <w:vAlign w:val="bottom"/>
          </w:tcPr>
          <w:p>
            <w:pPr>
              <w:jc w:val="right"/>
              <w:ind w:right="138"/>
              <w:spacing w:after="0"/>
              <w:rPr>
                <w:sz w:val="20"/>
                <w:szCs w:val="20"/>
                <w:color w:val="auto"/>
              </w:rPr>
            </w:pPr>
            <w:r>
              <w:rPr>
                <w:rFonts w:ascii="Arial" w:cs="Arial" w:eastAsia="Arial" w:hAnsi="Arial"/>
                <w:sz w:val="12"/>
                <w:szCs w:val="12"/>
                <w:color w:val="auto"/>
              </w:rPr>
              <w:t>7</w:t>
            </w:r>
          </w:p>
        </w:tc>
        <w:tc>
          <w:tcPr>
            <w:tcW w:w="660" w:type="dxa"/>
            <w:vAlign w:val="bottom"/>
          </w:tcPr>
          <w:p>
            <w:pPr>
              <w:ind w:left="180"/>
              <w:spacing w:after="0"/>
              <w:rPr>
                <w:sz w:val="20"/>
                <w:szCs w:val="20"/>
                <w:color w:val="auto"/>
              </w:rPr>
            </w:pPr>
            <w:r>
              <w:rPr>
                <w:rFonts w:ascii="Arial" w:cs="Arial" w:eastAsia="Arial" w:hAnsi="Arial"/>
                <w:sz w:val="12"/>
                <w:szCs w:val="12"/>
                <w:color w:val="auto"/>
              </w:rPr>
              <w:t>100.0</w:t>
            </w:r>
          </w:p>
        </w:tc>
        <w:tc>
          <w:tcPr>
            <w:tcW w:w="68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68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100.0</w:t>
            </w:r>
          </w:p>
        </w:tc>
        <w:tc>
          <w:tcPr>
            <w:tcW w:w="720" w:type="dxa"/>
            <w:vAlign w:val="bottom"/>
          </w:tcPr>
          <w:p>
            <w:pPr>
              <w:jc w:val="right"/>
              <w:ind w:right="218"/>
              <w:spacing w:after="0"/>
              <w:rPr>
                <w:sz w:val="20"/>
                <w:szCs w:val="20"/>
                <w:color w:val="auto"/>
              </w:rPr>
            </w:pPr>
            <w:r>
              <w:rPr>
                <w:rFonts w:ascii="Arial" w:cs="Arial" w:eastAsia="Arial" w:hAnsi="Arial"/>
                <w:sz w:val="12"/>
                <w:szCs w:val="12"/>
                <w:color w:val="auto"/>
              </w:rPr>
              <w:t>97.2</w:t>
            </w:r>
          </w:p>
        </w:tc>
        <w:tc>
          <w:tcPr>
            <w:tcW w:w="1060" w:type="dxa"/>
            <w:vAlign w:val="bottom"/>
          </w:tcPr>
          <w:p>
            <w:pPr>
              <w:jc w:val="right"/>
              <w:ind w:right="158"/>
              <w:spacing w:after="0"/>
              <w:rPr>
                <w:sz w:val="20"/>
                <w:szCs w:val="20"/>
                <w:color w:val="auto"/>
              </w:rPr>
            </w:pPr>
            <w:r>
              <w:rPr>
                <w:rFonts w:ascii="Arial" w:cs="Arial" w:eastAsia="Arial" w:hAnsi="Arial"/>
                <w:sz w:val="12"/>
                <w:szCs w:val="12"/>
                <w:color w:val="auto"/>
              </w:rPr>
              <w:t>29,787,247</w:t>
            </w:r>
          </w:p>
        </w:tc>
        <w:tc>
          <w:tcPr>
            <w:tcW w:w="500" w:type="dxa"/>
            <w:vAlign w:val="bottom"/>
          </w:tcPr>
          <w:p>
            <w:pPr>
              <w:jc w:val="right"/>
              <w:ind w:right="98"/>
              <w:spacing w:after="0"/>
              <w:rPr>
                <w:sz w:val="20"/>
                <w:szCs w:val="20"/>
                <w:color w:val="auto"/>
              </w:rPr>
            </w:pPr>
            <w:r>
              <w:rPr>
                <w:rFonts w:ascii="Arial" w:cs="Arial" w:eastAsia="Arial" w:hAnsi="Arial"/>
                <w:sz w:val="12"/>
                <w:szCs w:val="12"/>
                <w:color w:val="auto"/>
              </w:rPr>
              <w:t>5</w:t>
            </w:r>
          </w:p>
        </w:tc>
        <w:tc>
          <w:tcPr>
            <w:tcW w:w="960" w:type="dxa"/>
            <w:vAlign w:val="bottom"/>
          </w:tcPr>
          <w:p>
            <w:pPr>
              <w:jc w:val="right"/>
              <w:ind w:right="618"/>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6"/>
                <w:szCs w:val="16"/>
                <w:color w:val="auto"/>
              </w:rPr>
              <w:t>25</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1440" w:type="dxa"/>
            <w:vAlign w:val="bottom"/>
            <w:tcBorders>
              <w:top w:val="single" w:sz="8" w:color="808080"/>
            </w:tcBorders>
          </w:tcPr>
          <w:p>
            <w:pPr>
              <w:spacing w:after="0"/>
              <w:rPr>
                <w:sz w:val="8"/>
                <w:szCs w:val="8"/>
                <w:color w:val="auto"/>
              </w:rPr>
            </w:pPr>
          </w:p>
        </w:tc>
        <w:tc>
          <w:tcPr>
            <w:tcW w:w="1480" w:type="dxa"/>
            <w:vAlign w:val="bottom"/>
            <w:tcBorders>
              <w:top w:val="single" w:sz="8" w:color="808080"/>
            </w:tcBorders>
          </w:tcPr>
          <w:p>
            <w:pPr>
              <w:spacing w:after="0"/>
              <w:rPr>
                <w:sz w:val="8"/>
                <w:szCs w:val="8"/>
                <w:color w:val="auto"/>
              </w:rPr>
            </w:pPr>
          </w:p>
        </w:tc>
        <w:tc>
          <w:tcPr>
            <w:tcW w:w="1360" w:type="dxa"/>
            <w:vAlign w:val="bottom"/>
            <w:tcBorders>
              <w:top w:val="single" w:sz="8" w:color="808080"/>
            </w:tcBorders>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5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1515</w:t>
            </w:r>
          </w:p>
        </w:tc>
        <w:tc>
          <w:tcPr>
            <w:tcW w:w="14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Broadway</w:t>
            </w:r>
          </w:p>
        </w:tc>
        <w:tc>
          <w:tcPr>
            <w:tcW w:w="14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2"/>
                <w:szCs w:val="12"/>
                <w:color w:val="auto"/>
              </w:rPr>
              <w:t>—55%</w:t>
            </w:r>
          </w:p>
        </w:tc>
        <w:tc>
          <w:tcPr>
            <w:tcW w:w="1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Times Square</w:t>
            </w:r>
          </w:p>
        </w:tc>
        <w:tc>
          <w:tcPr>
            <w:tcW w:w="1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Fee Interest</w:t>
            </w: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1,750,000</w:t>
            </w:r>
          </w:p>
        </w:tc>
        <w:tc>
          <w:tcPr>
            <w:tcW w:w="56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15</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2"/>
                <w:szCs w:val="12"/>
                <w:color w:val="auto"/>
              </w:rPr>
              <w:t>98.3</w:t>
            </w:r>
          </w:p>
        </w:tc>
        <w:tc>
          <w:tcPr>
            <w:tcW w:w="6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98.5</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61,471,396</w:t>
            </w:r>
          </w:p>
        </w:tc>
        <w:tc>
          <w:tcPr>
            <w:tcW w:w="5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12</w:t>
            </w:r>
          </w:p>
        </w:tc>
        <w:tc>
          <w:tcPr>
            <w:tcW w:w="960" w:type="dxa"/>
            <w:vAlign w:val="bottom"/>
            <w:shd w:val="clear" w:color="auto" w:fill="CCEEFF"/>
          </w:tcPr>
          <w:p>
            <w:pPr>
              <w:jc w:val="right"/>
              <w:ind w:right="618"/>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-334010</wp:posOffset>
            </wp:positionV>
            <wp:extent cx="12700" cy="762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-334010</wp:posOffset>
            </wp:positionV>
            <wp:extent cx="12700" cy="762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ind w:left="221" w:hanging="221"/>
        <w:spacing w:after="0"/>
        <w:tabs>
          <w:tab w:leader="none" w:pos="221"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West</w:t>
      </w:r>
    </w:p>
    <w:p>
      <w:pPr>
        <w:ind w:left="1"/>
        <w:spacing w:after="0" w:line="237" w:lineRule="auto"/>
        <w:rPr>
          <w:rFonts w:ascii="Arial" w:cs="Arial" w:eastAsia="Arial" w:hAnsi="Arial"/>
          <w:sz w:val="12"/>
          <w:szCs w:val="12"/>
          <w:color w:val="auto"/>
        </w:rPr>
      </w:pPr>
      <w:r>
        <w:rPr>
          <w:rFonts w:ascii="Arial" w:cs="Arial" w:eastAsia="Arial" w:hAnsi="Arial"/>
          <w:sz w:val="12"/>
          <w:szCs w:val="12"/>
          <w:color w:val="auto"/>
        </w:rPr>
        <w:t>44th Street</w:t>
      </w:r>
    </w:p>
    <w:tbl>
      <w:tblPr>
        <w:tblLayout w:type="fixed"/>
        <w:tblInd w:w="1" w:type="dxa"/>
        <w:tblCellMar>
          <w:top w:w="0" w:type="dxa"/>
          <w:left w:w="0" w:type="dxa"/>
          <w:bottom w:w="0" w:type="dxa"/>
          <w:right w:w="0" w:type="dxa"/>
        </w:tblCellMar>
      </w:tblPr>
      <w:tr>
        <w:trPr>
          <w:trHeight w:val="157"/>
        </w:trPr>
        <w:tc>
          <w:tcPr>
            <w:tcW w:w="380" w:type="dxa"/>
            <w:vAlign w:val="bottom"/>
          </w:tcPr>
          <w:p>
            <w:pPr>
              <w:spacing w:after="0"/>
              <w:rPr>
                <w:sz w:val="20"/>
                <w:szCs w:val="20"/>
                <w:color w:val="auto"/>
              </w:rPr>
            </w:pPr>
            <w:r>
              <w:rPr>
                <w:rFonts w:ascii="Arial" w:cs="Arial" w:eastAsia="Arial" w:hAnsi="Arial"/>
                <w:sz w:val="12"/>
                <w:szCs w:val="12"/>
                <w:color w:val="auto"/>
                <w:w w:val="99"/>
              </w:rPr>
              <w:t>—35%</w:t>
            </w:r>
          </w:p>
        </w:tc>
        <w:tc>
          <w:tcPr>
            <w:tcW w:w="1680" w:type="dxa"/>
            <w:vAlign w:val="bottom"/>
            <w:gridSpan w:val="2"/>
          </w:tcPr>
          <w:p>
            <w:pPr>
              <w:ind w:left="300"/>
              <w:spacing w:after="0"/>
              <w:rPr>
                <w:sz w:val="20"/>
                <w:szCs w:val="20"/>
                <w:color w:val="auto"/>
              </w:rPr>
            </w:pPr>
            <w:r>
              <w:rPr>
                <w:rFonts w:ascii="Arial" w:cs="Arial" w:eastAsia="Arial" w:hAnsi="Arial"/>
                <w:sz w:val="12"/>
                <w:szCs w:val="12"/>
                <w:color w:val="auto"/>
              </w:rPr>
              <w:t>Times Square</w:t>
            </w:r>
          </w:p>
        </w:tc>
        <w:tc>
          <w:tcPr>
            <w:tcW w:w="1680" w:type="dxa"/>
            <w:vAlign w:val="bottom"/>
          </w:tcPr>
          <w:p>
            <w:pPr>
              <w:ind w:left="200"/>
              <w:spacing w:after="0"/>
              <w:rPr>
                <w:sz w:val="20"/>
                <w:szCs w:val="20"/>
                <w:color w:val="auto"/>
              </w:rPr>
            </w:pPr>
            <w:r>
              <w:rPr>
                <w:rFonts w:ascii="Arial" w:cs="Arial" w:eastAsia="Arial" w:hAnsi="Arial"/>
                <w:sz w:val="12"/>
                <w:szCs w:val="12"/>
                <w:color w:val="auto"/>
              </w:rPr>
              <w:t>Fee Interest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203,000</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90.2</w:t>
            </w:r>
          </w:p>
        </w:tc>
        <w:tc>
          <w:tcPr>
            <w:tcW w:w="560" w:type="dxa"/>
            <w:vAlign w:val="bottom"/>
          </w:tcPr>
          <w:p>
            <w:pPr>
              <w:jc w:val="right"/>
              <w:spacing w:after="0"/>
              <w:rPr>
                <w:sz w:val="20"/>
                <w:szCs w:val="20"/>
                <w:color w:val="auto"/>
              </w:rPr>
            </w:pPr>
            <w:r>
              <w:rPr>
                <w:rFonts w:ascii="Arial" w:cs="Arial" w:eastAsia="Arial" w:hAnsi="Arial"/>
                <w:sz w:val="12"/>
                <w:szCs w:val="12"/>
                <w:color w:val="auto"/>
              </w:rPr>
              <w:t>97.7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97.4</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97.2</w:t>
            </w:r>
          </w:p>
        </w:tc>
        <w:tc>
          <w:tcPr>
            <w:tcW w:w="580" w:type="dxa"/>
            <w:vAlign w:val="bottom"/>
          </w:tcPr>
          <w:p>
            <w:pPr>
              <w:jc w:val="right"/>
              <w:spacing w:after="0"/>
              <w:rPr>
                <w:sz w:val="20"/>
                <w:szCs w:val="20"/>
                <w:color w:val="auto"/>
              </w:rPr>
            </w:pPr>
            <w:r>
              <w:rPr>
                <w:rFonts w:ascii="Arial" w:cs="Arial" w:eastAsia="Arial" w:hAnsi="Arial"/>
                <w:sz w:val="12"/>
                <w:szCs w:val="12"/>
                <w:color w:val="auto"/>
              </w:rPr>
              <w:t>97.5</w:t>
            </w:r>
          </w:p>
        </w:tc>
        <w:tc>
          <w:tcPr>
            <w:tcW w:w="1240" w:type="dxa"/>
            <w:vAlign w:val="bottom"/>
            <w:gridSpan w:val="3"/>
          </w:tcPr>
          <w:p>
            <w:pPr>
              <w:jc w:val="right"/>
              <w:ind w:right="120"/>
              <w:spacing w:after="0"/>
              <w:rPr>
                <w:sz w:val="20"/>
                <w:szCs w:val="20"/>
                <w:color w:val="auto"/>
              </w:rPr>
            </w:pPr>
            <w:r>
              <w:rPr>
                <w:rFonts w:ascii="Arial" w:cs="Arial" w:eastAsia="Arial" w:hAnsi="Arial"/>
                <w:sz w:val="12"/>
                <w:szCs w:val="12"/>
                <w:color w:val="auto"/>
              </w:rPr>
              <w:t>4,338,182</w:t>
            </w:r>
          </w:p>
        </w:tc>
        <w:tc>
          <w:tcPr>
            <w:tcW w:w="440" w:type="dxa"/>
            <w:vAlign w:val="bottom"/>
          </w:tcPr>
          <w:p>
            <w:pPr>
              <w:jc w:val="right"/>
              <w:spacing w:after="0"/>
              <w:rPr>
                <w:sz w:val="20"/>
                <w:szCs w:val="20"/>
                <w:color w:val="auto"/>
              </w:rPr>
            </w:pPr>
            <w:r>
              <w:rPr>
                <w:rFonts w:ascii="Arial" w:cs="Arial" w:eastAsia="Arial" w:hAnsi="Arial"/>
                <w:sz w:val="12"/>
                <w:szCs w:val="12"/>
                <w:color w:val="auto"/>
              </w:rPr>
              <w:t>1</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27</w:t>
            </w:r>
          </w:p>
        </w:tc>
        <w:tc>
          <w:tcPr>
            <w:tcW w:w="560" w:type="dxa"/>
            <w:vAlign w:val="bottom"/>
          </w:tcPr>
          <w:p>
            <w:pPr>
              <w:spacing w:after="0"/>
              <w:rPr>
                <w:sz w:val="13"/>
                <w:szCs w:val="13"/>
                <w:color w:val="auto"/>
              </w:rPr>
            </w:pPr>
          </w:p>
        </w:tc>
      </w:tr>
      <w:tr>
        <w:trPr>
          <w:trHeight w:val="87"/>
        </w:trPr>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r>
      <w:tr>
        <w:trPr>
          <w:trHeight w:val="95"/>
        </w:trPr>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23"/>
        </w:trPr>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Subtotal/Weighted Average</w:t>
            </w:r>
          </w:p>
        </w:tc>
        <w:tc>
          <w:tcPr>
            <w:tcW w:w="1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4,635,000</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97.5</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98.1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98.4</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97.1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154,703,490</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177</w:t>
            </w:r>
          </w:p>
        </w:tc>
        <w:tc>
          <w:tcPr>
            <w:tcW w:w="560" w:type="dxa"/>
            <w:vAlign w:val="bottom"/>
            <w:shd w:val="clear" w:color="auto" w:fill="CCEEFF"/>
          </w:tcPr>
          <w:p>
            <w:pPr>
              <w:spacing w:after="0"/>
              <w:rPr>
                <w:sz w:val="19"/>
                <w:szCs w:val="19"/>
                <w:color w:val="auto"/>
              </w:rPr>
            </w:pPr>
          </w:p>
        </w:tc>
      </w:tr>
      <w:tr>
        <w:trPr>
          <w:trHeight w:val="108"/>
        </w:trPr>
        <w:tc>
          <w:tcPr>
            <w:tcW w:w="152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3"/>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32"/>
        </w:trPr>
        <w:tc>
          <w:tcPr>
            <w:tcW w:w="2060" w:type="dxa"/>
            <w:vAlign w:val="bottom"/>
            <w:gridSpan w:val="3"/>
          </w:tcPr>
          <w:p>
            <w:pPr>
              <w:spacing w:after="0"/>
              <w:rPr>
                <w:sz w:val="20"/>
                <w:szCs w:val="20"/>
                <w:color w:val="auto"/>
              </w:rPr>
            </w:pPr>
            <w:r>
              <w:rPr>
                <w:rFonts w:ascii="Arial" w:cs="Arial" w:eastAsia="Arial" w:hAnsi="Arial"/>
                <w:sz w:val="12"/>
                <w:szCs w:val="12"/>
                <w:b w:val="1"/>
                <w:bCs w:val="1"/>
                <w:color w:val="auto"/>
              </w:rPr>
              <w:t>Grand Total/Weighted Average</w:t>
            </w:r>
          </w:p>
        </w:tc>
        <w:tc>
          <w:tcPr>
            <w:tcW w:w="16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11,533,000</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97.0</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97.2</w:t>
            </w: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97.0</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97.7</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97.5</w:t>
            </w:r>
          </w:p>
        </w:tc>
        <w:tc>
          <w:tcPr>
            <w:tcW w:w="12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358,968,297</w:t>
            </w:r>
          </w:p>
        </w:tc>
        <w:tc>
          <w:tcPr>
            <w:tcW w:w="440" w:type="dxa"/>
            <w:vAlign w:val="bottom"/>
          </w:tcPr>
          <w:p>
            <w:pPr>
              <w:spacing w:after="0"/>
              <w:rPr>
                <w:sz w:val="20"/>
                <w:szCs w:val="20"/>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958</w:t>
            </w:r>
          </w:p>
        </w:tc>
        <w:tc>
          <w:tcPr>
            <w:tcW w:w="560" w:type="dxa"/>
            <w:vAlign w:val="bottom"/>
          </w:tcPr>
          <w:p>
            <w:pPr>
              <w:spacing w:after="0"/>
              <w:rPr>
                <w:sz w:val="20"/>
                <w:szCs w:val="20"/>
                <w:color w:val="auto"/>
              </w:rPr>
            </w:pPr>
          </w:p>
        </w:tc>
      </w:tr>
      <w:tr>
        <w:trPr>
          <w:trHeight w:val="137"/>
        </w:trPr>
        <w:tc>
          <w:tcPr>
            <w:tcW w:w="374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Grand Total—SLG share of Annualized Rent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286,610,937</w:t>
            </w: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100</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08"/>
        </w:trPr>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03"/>
        </w:trPr>
        <w:tc>
          <w:tcPr>
            <w:tcW w:w="38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-754380</wp:posOffset>
            </wp:positionV>
            <wp:extent cx="12700" cy="762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-754380</wp:posOffset>
            </wp:positionV>
            <wp:extent cx="12700" cy="762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-754380</wp:posOffset>
            </wp:positionV>
            <wp:extent cx="12700" cy="762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-754380</wp:posOffset>
            </wp:positionV>
            <wp:extent cx="12700" cy="762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-754380</wp:posOffset>
            </wp:positionV>
            <wp:extent cx="12700" cy="762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-754380</wp:posOffset>
            </wp:positionV>
            <wp:extent cx="12700" cy="762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-754380</wp:posOffset>
            </wp:positionV>
            <wp:extent cx="12700" cy="762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-754380</wp:posOffset>
            </wp:positionV>
            <wp:extent cx="12700" cy="762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-754380</wp:posOffset>
            </wp:positionV>
            <wp:extent cx="12700" cy="762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-754380</wp:posOffset>
            </wp:positionV>
            <wp:extent cx="12700" cy="762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-754380</wp:posOffset>
            </wp:positionV>
            <wp:extent cx="12700" cy="762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-754380</wp:posOffset>
            </wp:positionV>
            <wp:extent cx="12700" cy="762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-754380</wp:posOffset>
            </wp:positionV>
            <wp:extent cx="12700" cy="762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-754380</wp:posOffset>
            </wp:positionV>
            <wp:extent cx="12700" cy="762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-754380</wp:posOffset>
            </wp:positionV>
            <wp:extent cx="12700" cy="762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-754380</wp:posOffset>
            </wp:positionV>
            <wp:extent cx="12700" cy="762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-754380</wp:posOffset>
            </wp:positionV>
            <wp:extent cx="12700" cy="762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-754380</wp:posOffset>
            </wp:positionV>
            <wp:extent cx="12700" cy="762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-754380</wp:posOffset>
            </wp:positionV>
            <wp:extent cx="12700" cy="762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-754380</wp:posOffset>
            </wp:positionV>
            <wp:extent cx="12700" cy="762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-754380</wp:posOffset>
            </wp:positionV>
            <wp:extent cx="12700" cy="762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-754380</wp:posOffset>
            </wp:positionV>
            <wp:extent cx="12700" cy="762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-470535</wp:posOffset>
            </wp:positionV>
            <wp:extent cx="12700" cy="762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-470535</wp:posOffset>
            </wp:positionV>
            <wp:extent cx="12700" cy="76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wp:posOffset>
            </wp:positionV>
            <wp:extent cx="12700" cy="762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20" w:type="dxa"/>
            <w:vAlign w:val="bottom"/>
            <w:vMerge w:val="restart"/>
          </w:tcPr>
          <w:p>
            <w:pPr>
              <w:jc w:val="right"/>
              <w:ind w:right="118"/>
              <w:spacing w:after="0"/>
              <w:rPr>
                <w:sz w:val="20"/>
                <w:szCs w:val="20"/>
                <w:color w:val="auto"/>
              </w:rPr>
            </w:pPr>
            <w:r>
              <w:rPr>
                <w:rFonts w:ascii="Arial" w:cs="Arial" w:eastAsia="Arial" w:hAnsi="Arial"/>
                <w:sz w:val="12"/>
                <w:szCs w:val="12"/>
                <w:color w:val="auto"/>
                <w:w w:val="81"/>
              </w:rPr>
              <w:t>(1)</w:t>
            </w:r>
          </w:p>
        </w:tc>
        <w:tc>
          <w:tcPr>
            <w:tcW w:w="5480" w:type="dxa"/>
            <w:vAlign w:val="bottom"/>
          </w:tcPr>
          <w:p>
            <w:pPr>
              <w:jc w:val="right"/>
              <w:ind w:right="2989"/>
              <w:spacing w:after="0"/>
              <w:rPr>
                <w:sz w:val="20"/>
                <w:szCs w:val="20"/>
                <w:color w:val="auto"/>
              </w:rPr>
            </w:pPr>
            <w:r>
              <w:rPr>
                <w:rFonts w:ascii="Arial" w:cs="Arial" w:eastAsia="Arial" w:hAnsi="Arial"/>
                <w:sz w:val="12"/>
                <w:szCs w:val="12"/>
                <w:color w:val="auto"/>
              </w:rPr>
              <w:t>Including Ownership of 50% in Building Fee</w:t>
            </w:r>
          </w:p>
        </w:tc>
        <w:tc>
          <w:tcPr>
            <w:tcW w:w="0" w:type="dxa"/>
            <w:vAlign w:val="bottom"/>
          </w:tcPr>
          <w:p>
            <w:pPr>
              <w:spacing w:after="0"/>
              <w:rPr>
                <w:sz w:val="1"/>
                <w:szCs w:val="1"/>
                <w:color w:val="auto"/>
              </w:rPr>
            </w:pPr>
          </w:p>
        </w:tc>
      </w:tr>
      <w:tr>
        <w:trPr>
          <w:trHeight w:val="50"/>
        </w:trPr>
        <w:tc>
          <w:tcPr>
            <w:tcW w:w="320" w:type="dxa"/>
            <w:vAlign w:val="bottom"/>
            <w:vMerge w:val="continue"/>
          </w:tcPr>
          <w:p>
            <w:pPr>
              <w:spacing w:after="0"/>
              <w:rPr>
                <w:sz w:val="4"/>
                <w:szCs w:val="4"/>
                <w:color w:val="auto"/>
              </w:rPr>
            </w:pPr>
          </w:p>
        </w:tc>
        <w:tc>
          <w:tcPr>
            <w:tcW w:w="5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320" w:type="dxa"/>
            <w:vAlign w:val="bottom"/>
          </w:tcPr>
          <w:p>
            <w:pPr>
              <w:spacing w:after="0"/>
              <w:rPr>
                <w:sz w:val="24"/>
                <w:szCs w:val="24"/>
                <w:color w:val="auto"/>
              </w:rPr>
            </w:pPr>
          </w:p>
        </w:tc>
        <w:tc>
          <w:tcPr>
            <w:tcW w:w="54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62495" cy="2032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266700</wp:posOffset>
            </wp:positionV>
            <wp:extent cx="7262495" cy="2032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LARGEST TENANTS BY SQUARE FEET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247650</wp:posOffset>
            </wp:positionV>
            <wp:extent cx="7262495" cy="2032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Wholly Owned Portfolio + Allocated JV Properties</w:t>
      </w: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 of</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40"/>
              <w:spacing w:after="0" w:line="137" w:lineRule="exact"/>
              <w:rPr>
                <w:sz w:val="20"/>
                <w:szCs w:val="20"/>
                <w:color w:val="auto"/>
              </w:rPr>
            </w:pPr>
            <w:r>
              <w:rPr>
                <w:rFonts w:ascii="Arial" w:cs="Arial" w:eastAsia="Arial" w:hAnsi="Arial"/>
                <w:sz w:val="12"/>
                <w:szCs w:val="12"/>
                <w:b w:val="1"/>
                <w:bCs w:val="1"/>
                <w:color w:val="auto"/>
                <w:w w:val="97"/>
              </w:rPr>
              <w:t>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rPr>
              <w:t>% of</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Arial" w:cs="Arial" w:eastAsia="Arial" w:hAnsi="Arial"/>
                <w:sz w:val="12"/>
                <w:szCs w:val="12"/>
                <w:b w:val="1"/>
                <w:bCs w:val="1"/>
                <w:color w:val="auto"/>
                <w:w w:val="94"/>
              </w:rPr>
              <w:t>SLG Share of</w:t>
            </w:r>
          </w:p>
        </w:tc>
        <w:tc>
          <w:tcPr>
            <w:tcW w:w="92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94"/>
              </w:rPr>
              <w:t>SLG Share of</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8"/>
              </w:rPr>
              <w:t>Lease</w:t>
            </w:r>
          </w:p>
        </w:tc>
        <w:tc>
          <w:tcPr>
            <w:tcW w:w="100" w:type="dxa"/>
            <w:vAlign w:val="bottom"/>
          </w:tcPr>
          <w:p>
            <w:pPr>
              <w:spacing w:after="0"/>
              <w:rPr>
                <w:sz w:val="11"/>
                <w:szCs w:val="11"/>
                <w:color w:val="auto"/>
              </w:rPr>
            </w:pPr>
          </w:p>
        </w:tc>
        <w:tc>
          <w:tcPr>
            <w:tcW w:w="960" w:type="dxa"/>
            <w:vAlign w:val="bottom"/>
            <w:gridSpan w:val="2"/>
          </w:tcPr>
          <w:p>
            <w:pPr>
              <w:jc w:val="center"/>
              <w:ind w:right="40"/>
              <w:spacing w:after="0" w:line="137" w:lineRule="exact"/>
              <w:rPr>
                <w:sz w:val="20"/>
                <w:szCs w:val="20"/>
                <w:color w:val="auto"/>
              </w:rPr>
            </w:pPr>
            <w:r>
              <w:rPr>
                <w:rFonts w:ascii="Arial" w:cs="Arial" w:eastAsia="Arial" w:hAnsi="Arial"/>
                <w:sz w:val="12"/>
                <w:szCs w:val="12"/>
                <w:b w:val="1"/>
                <w:bCs w:val="1"/>
                <w:color w:val="auto"/>
                <w:w w:val="86"/>
              </w:rPr>
              <w:t>Leased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257"/>
              <w:spacing w:after="0" w:line="137" w:lineRule="exact"/>
              <w:rPr>
                <w:sz w:val="20"/>
                <w:szCs w:val="20"/>
                <w:color w:val="auto"/>
              </w:rPr>
            </w:pPr>
            <w:r>
              <w:rPr>
                <w:rFonts w:ascii="Arial" w:cs="Arial" w:eastAsia="Arial" w:hAnsi="Arial"/>
                <w:sz w:val="12"/>
                <w:szCs w:val="12"/>
                <w:b w:val="1"/>
                <w:bCs w:val="1"/>
                <w:color w:val="auto"/>
              </w:rPr>
              <w:t>Annualized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398"/>
              <w:spacing w:after="0" w:line="137" w:lineRule="exact"/>
              <w:rPr>
                <w:sz w:val="20"/>
                <w:szCs w:val="20"/>
                <w:color w:val="auto"/>
              </w:rPr>
            </w:pPr>
            <w:r>
              <w:rPr>
                <w:rFonts w:ascii="Arial" w:cs="Arial" w:eastAsia="Arial" w:hAnsi="Arial"/>
                <w:sz w:val="12"/>
                <w:szCs w:val="12"/>
                <w:b w:val="1"/>
                <w:bCs w:val="1"/>
                <w:color w:val="auto"/>
              </w:rPr>
              <w:t>PSF</w:t>
            </w: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96"/>
              </w:rPr>
              <w:t>Annualized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Arial" w:cs="Arial" w:eastAsia="Arial" w:hAnsi="Arial"/>
                <w:sz w:val="12"/>
                <w:szCs w:val="12"/>
                <w:b w:val="1"/>
                <w:bCs w:val="1"/>
                <w:color w:val="auto"/>
                <w:w w:val="93"/>
              </w:rPr>
              <w:t>Annualized</w:t>
            </w:r>
          </w:p>
        </w:tc>
        <w:tc>
          <w:tcPr>
            <w:tcW w:w="92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93"/>
              </w:rPr>
              <w:t>Annualized</w:t>
            </w:r>
          </w:p>
        </w:tc>
        <w:tc>
          <w:tcPr>
            <w:tcW w:w="0" w:type="dxa"/>
            <w:vAlign w:val="bottom"/>
          </w:tcPr>
          <w:p>
            <w:pPr>
              <w:spacing w:after="0"/>
              <w:rPr>
                <w:sz w:val="1"/>
                <w:szCs w:val="1"/>
                <w:color w:val="auto"/>
              </w:rPr>
            </w:pPr>
          </w:p>
        </w:tc>
      </w:tr>
      <w:tr>
        <w:trPr>
          <w:trHeight w:val="161"/>
        </w:trPr>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Tenant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ind w:left="400"/>
              <w:spacing w:after="0"/>
              <w:rPr>
                <w:sz w:val="20"/>
                <w:szCs w:val="20"/>
                <w:color w:val="auto"/>
              </w:rPr>
            </w:pPr>
            <w:r>
              <w:rPr>
                <w:rFonts w:ascii="Arial" w:cs="Arial" w:eastAsia="Arial" w:hAnsi="Arial"/>
                <w:sz w:val="12"/>
                <w:szCs w:val="12"/>
                <w:b w:val="1"/>
                <w:bCs w:val="1"/>
                <w:color w:val="auto"/>
              </w:rPr>
              <w:t>Property</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100" w:type="dxa"/>
            <w:vAlign w:val="bottom"/>
          </w:tcPr>
          <w:p>
            <w:pPr>
              <w:spacing w:after="0"/>
              <w:rPr>
                <w:sz w:val="13"/>
                <w:szCs w:val="13"/>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3"/>
              </w:rPr>
              <w:t>Square Feet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37"/>
              <w:spacing w:after="0"/>
              <w:rPr>
                <w:sz w:val="20"/>
                <w:szCs w:val="20"/>
                <w:color w:val="auto"/>
              </w:rPr>
            </w:pPr>
            <w:r>
              <w:rPr>
                <w:rFonts w:ascii="Arial" w:cs="Arial" w:eastAsia="Arial" w:hAnsi="Arial"/>
                <w:sz w:val="12"/>
                <w:szCs w:val="12"/>
                <w:b w:val="1"/>
                <w:bCs w:val="1"/>
                <w:color w:val="auto"/>
              </w:rPr>
              <w:t>Rent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98"/>
              <w:spacing w:after="0"/>
              <w:rPr>
                <w:sz w:val="20"/>
                <w:szCs w:val="20"/>
                <w:color w:val="auto"/>
              </w:rPr>
            </w:pPr>
            <w:r>
              <w:rPr>
                <w:rFonts w:ascii="Arial" w:cs="Arial" w:eastAsia="Arial" w:hAnsi="Arial"/>
                <w:sz w:val="12"/>
                <w:szCs w:val="12"/>
                <w:b w:val="1"/>
                <w:bCs w:val="1"/>
                <w:color w:val="auto"/>
              </w:rPr>
              <w:t>Annualized</w:t>
            </w:r>
          </w:p>
        </w:tc>
        <w:tc>
          <w:tcPr>
            <w:tcW w:w="1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Rent</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Rent($)</w:t>
            </w: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Rent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40" w:type="dxa"/>
            <w:vAlign w:val="bottom"/>
            <w:tcBorders>
              <w:bottom w:val="single" w:sz="8" w:color="808080"/>
            </w:tcBorders>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14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Viacom International, Inc.</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1515 Broadway</w:t>
            </w:r>
          </w:p>
        </w:tc>
        <w:tc>
          <w:tcPr>
            <w:tcW w:w="1140" w:type="dxa"/>
            <w:vAlign w:val="bottom"/>
            <w:gridSpan w:val="2"/>
            <w:shd w:val="clear" w:color="auto" w:fill="CCEEFF"/>
          </w:tcPr>
          <w:p>
            <w:pPr>
              <w:jc w:val="center"/>
              <w:ind w:left="58"/>
              <w:spacing w:after="0" w:line="128" w:lineRule="exact"/>
              <w:rPr>
                <w:sz w:val="20"/>
                <w:szCs w:val="20"/>
                <w:color w:val="auto"/>
              </w:rPr>
            </w:pPr>
            <w:r>
              <w:rPr>
                <w:rFonts w:ascii="Arial" w:cs="Arial" w:eastAsia="Arial" w:hAnsi="Arial"/>
                <w:sz w:val="12"/>
                <w:szCs w:val="12"/>
                <w:color w:val="auto"/>
                <w:w w:val="92"/>
              </w:rPr>
              <w:t>2002, 2004, 2006,</w:t>
            </w:r>
          </w:p>
        </w:tc>
        <w:tc>
          <w:tcPr>
            <w:tcW w:w="106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1,279,779</w:t>
            </w:r>
          </w:p>
        </w:tc>
        <w:tc>
          <w:tcPr>
            <w:tcW w:w="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51,443,388</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40.20</w:t>
            </w:r>
          </w:p>
        </w:tc>
        <w:tc>
          <w:tcPr>
            <w:tcW w:w="114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14.3%</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28,293,863</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4"/>
              </w:rPr>
              <w:t>2008, 2009, 2013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The City of New York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17 Battery Place</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2012</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325,664</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5,701,920</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17.51</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1.6%</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5,701,920</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Visting Nurse Services</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1250 Broadway</w:t>
            </w:r>
          </w:p>
        </w:tc>
        <w:tc>
          <w:tcPr>
            <w:tcW w:w="1140" w:type="dxa"/>
            <w:vAlign w:val="bottom"/>
            <w:gridSpan w:val="2"/>
            <w:shd w:val="clear" w:color="auto" w:fill="CCEEFF"/>
          </w:tcPr>
          <w:p>
            <w:pPr>
              <w:jc w:val="center"/>
              <w:ind w:left="38"/>
              <w:spacing w:after="0" w:line="128" w:lineRule="exact"/>
              <w:rPr>
                <w:sz w:val="20"/>
                <w:szCs w:val="20"/>
                <w:color w:val="auto"/>
              </w:rPr>
            </w:pPr>
            <w:r>
              <w:rPr>
                <w:rFonts w:ascii="Arial" w:cs="Arial" w:eastAsia="Arial" w:hAnsi="Arial"/>
                <w:sz w:val="12"/>
                <w:szCs w:val="12"/>
                <w:color w:val="auto"/>
                <w:w w:val="94"/>
              </w:rPr>
              <w:t>2002, 2005, 2006</w:t>
            </w:r>
          </w:p>
        </w:tc>
        <w:tc>
          <w:tcPr>
            <w:tcW w:w="106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254,323</w:t>
            </w:r>
          </w:p>
        </w:tc>
        <w:tc>
          <w:tcPr>
            <w:tcW w:w="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7,019,184</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27.60</w:t>
            </w:r>
          </w:p>
        </w:tc>
        <w:tc>
          <w:tcPr>
            <w:tcW w:w="114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2.0%</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3,860,551</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w w:val="94"/>
              </w:rPr>
              <w:t>&amp; 2011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BMW of Manhattan, Inc.</w:t>
            </w:r>
          </w:p>
        </w:tc>
        <w:tc>
          <w:tcPr>
            <w:tcW w:w="320" w:type="dxa"/>
            <w:vAlign w:val="bottom"/>
            <w:gridSpan w:val="3"/>
          </w:tcPr>
          <w:p>
            <w:pPr>
              <w:ind w:left="120"/>
              <w:spacing w:after="0" w:line="137" w:lineRule="exact"/>
              <w:rPr>
                <w:sz w:val="20"/>
                <w:szCs w:val="20"/>
                <w:color w:val="auto"/>
              </w:rPr>
            </w:pPr>
            <w:r>
              <w:rPr>
                <w:rFonts w:ascii="Arial" w:cs="Arial" w:eastAsia="Arial" w:hAnsi="Arial"/>
                <w:sz w:val="12"/>
                <w:szCs w:val="12"/>
                <w:color w:val="auto"/>
                <w:w w:val="89"/>
              </w:rPr>
              <w:t>555</w:t>
            </w:r>
          </w:p>
        </w:tc>
        <w:tc>
          <w:tcPr>
            <w:tcW w:w="1480" w:type="dxa"/>
            <w:vAlign w:val="bottom"/>
          </w:tcPr>
          <w:p>
            <w:pPr>
              <w:ind w:left="20"/>
              <w:spacing w:after="0" w:line="137" w:lineRule="exact"/>
              <w:rPr>
                <w:sz w:val="20"/>
                <w:szCs w:val="20"/>
                <w:color w:val="auto"/>
              </w:rPr>
            </w:pPr>
            <w:r>
              <w:rPr>
                <w:rFonts w:ascii="Arial" w:cs="Arial" w:eastAsia="Arial" w:hAnsi="Arial"/>
                <w:sz w:val="12"/>
                <w:szCs w:val="12"/>
                <w:color w:val="auto"/>
              </w:rPr>
              <w:t>West 57th Street</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2012</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227,782</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3,072,360</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13.49</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3,072,360</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Philip Morris Managament</w:t>
            </w:r>
          </w:p>
        </w:tc>
        <w:tc>
          <w:tcPr>
            <w:tcW w:w="320" w:type="dxa"/>
            <w:vAlign w:val="bottom"/>
            <w:gridSpan w:val="3"/>
            <w:shd w:val="clear" w:color="auto" w:fill="CCEEFF"/>
          </w:tcPr>
          <w:p>
            <w:pPr>
              <w:ind w:left="120"/>
              <w:spacing w:after="0" w:line="128" w:lineRule="exact"/>
              <w:rPr>
                <w:sz w:val="20"/>
                <w:szCs w:val="20"/>
                <w:color w:val="auto"/>
              </w:rPr>
            </w:pPr>
            <w:r>
              <w:rPr>
                <w:rFonts w:ascii="Arial" w:cs="Arial" w:eastAsia="Arial" w:hAnsi="Arial"/>
                <w:sz w:val="12"/>
                <w:szCs w:val="12"/>
                <w:color w:val="auto"/>
                <w:w w:val="89"/>
              </w:rPr>
              <w:t>100</w:t>
            </w:r>
          </w:p>
        </w:tc>
        <w:tc>
          <w:tcPr>
            <w:tcW w:w="14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Park Avenue</w:t>
            </w:r>
          </w:p>
        </w:tc>
        <w:tc>
          <w:tcPr>
            <w:tcW w:w="1140" w:type="dxa"/>
            <w:vAlign w:val="bottom"/>
            <w:gridSpan w:val="2"/>
            <w:shd w:val="clear" w:color="auto" w:fill="CCEEFF"/>
          </w:tcPr>
          <w:p>
            <w:pPr>
              <w:jc w:val="center"/>
              <w:ind w:left="38"/>
              <w:spacing w:after="0" w:line="128" w:lineRule="exact"/>
              <w:rPr>
                <w:sz w:val="20"/>
                <w:szCs w:val="20"/>
                <w:color w:val="auto"/>
              </w:rPr>
            </w:pPr>
            <w:r>
              <w:rPr>
                <w:rFonts w:ascii="Arial" w:cs="Arial" w:eastAsia="Arial" w:hAnsi="Arial"/>
                <w:sz w:val="12"/>
                <w:szCs w:val="12"/>
                <w:color w:val="auto"/>
                <w:w w:val="89"/>
              </w:rPr>
              <w:t>2007</w:t>
            </w:r>
          </w:p>
        </w:tc>
        <w:tc>
          <w:tcPr>
            <w:tcW w:w="106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175,887</w:t>
            </w:r>
          </w:p>
        </w:tc>
        <w:tc>
          <w:tcPr>
            <w:tcW w:w="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6,553,824</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37.26</w:t>
            </w:r>
          </w:p>
        </w:tc>
        <w:tc>
          <w:tcPr>
            <w:tcW w:w="114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3,270,358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2"/>
                <w:szCs w:val="12"/>
                <w:color w:val="auto"/>
              </w:rPr>
              <w:t>Corp</w:t>
            </w: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tcPr>
          <w:p>
            <w:pPr>
              <w:spacing w:after="0" w:line="128" w:lineRule="exact"/>
              <w:rPr>
                <w:sz w:val="20"/>
                <w:szCs w:val="20"/>
                <w:color w:val="auto"/>
              </w:rPr>
            </w:pPr>
            <w:r>
              <w:rPr>
                <w:rFonts w:ascii="Arial" w:cs="Arial" w:eastAsia="Arial" w:hAnsi="Arial"/>
                <w:sz w:val="12"/>
                <w:szCs w:val="12"/>
                <w:color w:val="auto"/>
              </w:rPr>
              <w:t>City University of New</w:t>
            </w:r>
          </w:p>
        </w:tc>
        <w:tc>
          <w:tcPr>
            <w:tcW w:w="320" w:type="dxa"/>
            <w:vAlign w:val="bottom"/>
            <w:gridSpan w:val="3"/>
          </w:tcPr>
          <w:p>
            <w:pPr>
              <w:ind w:left="120"/>
              <w:spacing w:after="0" w:line="128" w:lineRule="exact"/>
              <w:rPr>
                <w:sz w:val="20"/>
                <w:szCs w:val="20"/>
                <w:color w:val="auto"/>
              </w:rPr>
            </w:pPr>
            <w:r>
              <w:rPr>
                <w:rFonts w:ascii="Arial" w:cs="Arial" w:eastAsia="Arial" w:hAnsi="Arial"/>
                <w:sz w:val="12"/>
                <w:szCs w:val="12"/>
                <w:color w:val="auto"/>
                <w:w w:val="89"/>
              </w:rPr>
              <w:t>555</w:t>
            </w:r>
          </w:p>
        </w:tc>
        <w:tc>
          <w:tcPr>
            <w:tcW w:w="1480" w:type="dxa"/>
            <w:vAlign w:val="bottom"/>
          </w:tcPr>
          <w:p>
            <w:pPr>
              <w:ind w:left="20"/>
              <w:spacing w:after="0" w:line="128" w:lineRule="exact"/>
              <w:rPr>
                <w:sz w:val="20"/>
                <w:szCs w:val="20"/>
                <w:color w:val="auto"/>
              </w:rPr>
            </w:pPr>
            <w:r>
              <w:rPr>
                <w:rFonts w:ascii="Arial" w:cs="Arial" w:eastAsia="Arial" w:hAnsi="Arial"/>
                <w:sz w:val="12"/>
                <w:szCs w:val="12"/>
                <w:color w:val="auto"/>
              </w:rPr>
              <w:t>West 57th Street</w:t>
            </w:r>
          </w:p>
        </w:tc>
        <w:tc>
          <w:tcPr>
            <w:tcW w:w="1140" w:type="dxa"/>
            <w:vAlign w:val="bottom"/>
            <w:gridSpan w:val="2"/>
          </w:tcPr>
          <w:p>
            <w:pPr>
              <w:jc w:val="center"/>
              <w:ind w:left="38"/>
              <w:spacing w:after="0" w:line="128" w:lineRule="exact"/>
              <w:rPr>
                <w:sz w:val="20"/>
                <w:szCs w:val="20"/>
                <w:color w:val="auto"/>
              </w:rPr>
            </w:pPr>
            <w:r>
              <w:rPr>
                <w:rFonts w:ascii="Arial" w:cs="Arial" w:eastAsia="Arial" w:hAnsi="Arial"/>
                <w:sz w:val="12"/>
                <w:szCs w:val="12"/>
                <w:color w:val="auto"/>
                <w:w w:val="95"/>
              </w:rPr>
              <w:t>2010, 2011, &amp; 2015</w:t>
            </w:r>
          </w:p>
        </w:tc>
        <w:tc>
          <w:tcPr>
            <w:tcW w:w="106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171,732</w:t>
            </w:r>
          </w:p>
        </w:tc>
        <w:tc>
          <w:tcPr>
            <w:tcW w:w="1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28" w:lineRule="exact"/>
              <w:rPr>
                <w:sz w:val="20"/>
                <w:szCs w:val="20"/>
                <w:color w:val="auto"/>
              </w:rPr>
            </w:pPr>
            <w:r>
              <w:rPr>
                <w:rFonts w:ascii="Arial" w:cs="Arial" w:eastAsia="Arial" w:hAnsi="Arial"/>
                <w:sz w:val="12"/>
                <w:szCs w:val="12"/>
                <w:color w:val="auto"/>
              </w:rPr>
              <w:t>4,681,716</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28" w:lineRule="exact"/>
              <w:rPr>
                <w:sz w:val="20"/>
                <w:szCs w:val="20"/>
                <w:color w:val="auto"/>
              </w:rPr>
            </w:pPr>
            <w:r>
              <w:rPr>
                <w:rFonts w:ascii="Arial" w:cs="Arial" w:eastAsia="Arial" w:hAnsi="Arial"/>
                <w:sz w:val="12"/>
                <w:szCs w:val="12"/>
                <w:color w:val="auto"/>
              </w:rPr>
              <w:t>27.26</w:t>
            </w:r>
          </w:p>
        </w:tc>
        <w:tc>
          <w:tcPr>
            <w:tcW w:w="1140" w:type="dxa"/>
            <w:vAlign w:val="bottom"/>
            <w:gridSpan w:val="3"/>
          </w:tcPr>
          <w:p>
            <w:pPr>
              <w:jc w:val="right"/>
              <w:ind w:right="20"/>
              <w:spacing w:after="0" w:line="128" w:lineRule="exact"/>
              <w:rPr>
                <w:sz w:val="20"/>
                <w:szCs w:val="20"/>
                <w:color w:val="auto"/>
              </w:rPr>
            </w:pPr>
            <w:r>
              <w:rPr>
                <w:rFonts w:ascii="Arial" w:cs="Arial" w:eastAsia="Arial" w:hAnsi="Arial"/>
                <w:sz w:val="12"/>
                <w:szCs w:val="12"/>
                <w:color w:val="auto"/>
              </w:rPr>
              <w:t>1.3%</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28" w:lineRule="exact"/>
              <w:rPr>
                <w:sz w:val="20"/>
                <w:szCs w:val="20"/>
                <w:color w:val="auto"/>
              </w:rPr>
            </w:pPr>
            <w:r>
              <w:rPr>
                <w:rFonts w:ascii="Arial" w:cs="Arial" w:eastAsia="Arial" w:hAnsi="Arial"/>
                <w:sz w:val="12"/>
                <w:szCs w:val="12"/>
                <w:color w:val="auto"/>
              </w:rPr>
              <w:t>4,681,716</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5"/>
        </w:trPr>
        <w:tc>
          <w:tcPr>
            <w:tcW w:w="1460" w:type="dxa"/>
            <w:vAlign w:val="bottom"/>
            <w:gridSpan w:val="3"/>
          </w:tcPr>
          <w:p>
            <w:pPr>
              <w:spacing w:after="0"/>
              <w:rPr>
                <w:sz w:val="20"/>
                <w:szCs w:val="20"/>
                <w:color w:val="auto"/>
              </w:rPr>
            </w:pPr>
            <w:r>
              <w:rPr>
                <w:rFonts w:ascii="Arial" w:cs="Arial" w:eastAsia="Arial" w:hAnsi="Arial"/>
                <w:sz w:val="12"/>
                <w:szCs w:val="12"/>
                <w:color w:val="auto"/>
              </w:rPr>
              <w:t>York-CUNY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J&amp;W Seligman &amp; Co., Inc.</w:t>
            </w:r>
          </w:p>
        </w:tc>
        <w:tc>
          <w:tcPr>
            <w:tcW w:w="320" w:type="dxa"/>
            <w:vAlign w:val="bottom"/>
            <w:gridSpan w:val="3"/>
            <w:shd w:val="clear" w:color="auto" w:fill="CCEEFF"/>
          </w:tcPr>
          <w:p>
            <w:pPr>
              <w:ind w:left="120"/>
              <w:spacing w:after="0" w:line="137" w:lineRule="exact"/>
              <w:rPr>
                <w:sz w:val="20"/>
                <w:szCs w:val="20"/>
                <w:color w:val="auto"/>
              </w:rPr>
            </w:pPr>
            <w:r>
              <w:rPr>
                <w:rFonts w:ascii="Arial" w:cs="Arial" w:eastAsia="Arial" w:hAnsi="Arial"/>
                <w:sz w:val="12"/>
                <w:szCs w:val="12"/>
                <w:color w:val="auto"/>
                <w:w w:val="89"/>
              </w:rPr>
              <w:t>100</w:t>
            </w:r>
          </w:p>
        </w:tc>
        <w:tc>
          <w:tcPr>
            <w:tcW w:w="14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Park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2009</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168,390</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5,306,280</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31.51</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1.5%</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2,647,834</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C.B.S., Inc.</w:t>
            </w:r>
          </w:p>
        </w:tc>
        <w:tc>
          <w:tcPr>
            <w:tcW w:w="320" w:type="dxa"/>
            <w:vAlign w:val="bottom"/>
            <w:gridSpan w:val="3"/>
          </w:tcPr>
          <w:p>
            <w:pPr>
              <w:ind w:left="120"/>
              <w:spacing w:after="0" w:line="137" w:lineRule="exact"/>
              <w:rPr>
                <w:sz w:val="20"/>
                <w:szCs w:val="20"/>
                <w:color w:val="auto"/>
              </w:rPr>
            </w:pPr>
            <w:r>
              <w:rPr>
                <w:rFonts w:ascii="Arial" w:cs="Arial" w:eastAsia="Arial" w:hAnsi="Arial"/>
                <w:sz w:val="12"/>
                <w:szCs w:val="12"/>
                <w:color w:val="auto"/>
                <w:w w:val="89"/>
              </w:rPr>
              <w:t>555</w:t>
            </w:r>
          </w:p>
        </w:tc>
        <w:tc>
          <w:tcPr>
            <w:tcW w:w="1480" w:type="dxa"/>
            <w:vAlign w:val="bottom"/>
          </w:tcPr>
          <w:p>
            <w:pPr>
              <w:ind w:left="20"/>
              <w:spacing w:after="0" w:line="137" w:lineRule="exact"/>
              <w:rPr>
                <w:sz w:val="20"/>
                <w:szCs w:val="20"/>
                <w:color w:val="auto"/>
              </w:rPr>
            </w:pPr>
            <w:r>
              <w:rPr>
                <w:rFonts w:ascii="Arial" w:cs="Arial" w:eastAsia="Arial" w:hAnsi="Arial"/>
                <w:sz w:val="12"/>
                <w:szCs w:val="12"/>
                <w:color w:val="auto"/>
              </w:rPr>
              <w:t>West 57th Street</w:t>
            </w:r>
          </w:p>
        </w:tc>
        <w:tc>
          <w:tcPr>
            <w:tcW w:w="1140" w:type="dxa"/>
            <w:vAlign w:val="bottom"/>
            <w:gridSpan w:val="2"/>
          </w:tcPr>
          <w:p>
            <w:pPr>
              <w:jc w:val="center"/>
              <w:ind w:left="58"/>
              <w:spacing w:after="0" w:line="137" w:lineRule="exact"/>
              <w:rPr>
                <w:sz w:val="20"/>
                <w:szCs w:val="20"/>
                <w:color w:val="auto"/>
              </w:rPr>
            </w:pPr>
            <w:r>
              <w:rPr>
                <w:rFonts w:ascii="Arial" w:cs="Arial" w:eastAsia="Arial" w:hAnsi="Arial"/>
                <w:sz w:val="12"/>
                <w:szCs w:val="12"/>
                <w:color w:val="auto"/>
                <w:w w:val="96"/>
              </w:rPr>
              <w:t>2003 &amp; 2010</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165,214</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3,341,724</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20.23</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3,341,724</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Segal Company</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 Park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2009</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157,944</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5,548,140</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35.13</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1.5%</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3,051,477</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Loews Corp</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1 Park Avenue</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2002</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155,765</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6,818,880</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43.78</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1.9%</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3,750,384</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Metro North Commuter</w:t>
            </w:r>
          </w:p>
        </w:tc>
        <w:tc>
          <w:tcPr>
            <w:tcW w:w="320" w:type="dxa"/>
            <w:vAlign w:val="bottom"/>
            <w:gridSpan w:val="3"/>
            <w:shd w:val="clear" w:color="auto" w:fill="CCEEFF"/>
          </w:tcPr>
          <w:p>
            <w:pPr>
              <w:ind w:left="120"/>
              <w:spacing w:after="0" w:line="128" w:lineRule="exact"/>
              <w:rPr>
                <w:sz w:val="20"/>
                <w:szCs w:val="20"/>
                <w:color w:val="auto"/>
              </w:rPr>
            </w:pPr>
            <w:r>
              <w:rPr>
                <w:rFonts w:ascii="Arial" w:cs="Arial" w:eastAsia="Arial" w:hAnsi="Arial"/>
                <w:sz w:val="12"/>
                <w:szCs w:val="12"/>
                <w:color w:val="auto"/>
                <w:w w:val="89"/>
              </w:rPr>
              <w:t>420</w:t>
            </w:r>
          </w:p>
        </w:tc>
        <w:tc>
          <w:tcPr>
            <w:tcW w:w="14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Lexington Avenue</w:t>
            </w:r>
          </w:p>
        </w:tc>
        <w:tc>
          <w:tcPr>
            <w:tcW w:w="1140" w:type="dxa"/>
            <w:vAlign w:val="bottom"/>
            <w:gridSpan w:val="2"/>
            <w:shd w:val="clear" w:color="auto" w:fill="CCEEFF"/>
          </w:tcPr>
          <w:p>
            <w:pPr>
              <w:jc w:val="center"/>
              <w:ind w:left="58"/>
              <w:spacing w:after="0" w:line="128" w:lineRule="exact"/>
              <w:rPr>
                <w:sz w:val="20"/>
                <w:szCs w:val="20"/>
                <w:color w:val="auto"/>
              </w:rPr>
            </w:pPr>
            <w:r>
              <w:rPr>
                <w:rFonts w:ascii="Arial" w:cs="Arial" w:eastAsia="Arial" w:hAnsi="Arial"/>
                <w:sz w:val="12"/>
                <w:szCs w:val="12"/>
                <w:color w:val="auto"/>
                <w:w w:val="96"/>
              </w:rPr>
              <w:t>2008 &amp; 2016</w:t>
            </w:r>
          </w:p>
        </w:tc>
        <w:tc>
          <w:tcPr>
            <w:tcW w:w="106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134,687</w:t>
            </w:r>
          </w:p>
        </w:tc>
        <w:tc>
          <w:tcPr>
            <w:tcW w:w="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3,928,716</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29.17</w:t>
            </w:r>
          </w:p>
        </w:tc>
        <w:tc>
          <w:tcPr>
            <w:tcW w:w="114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3,928,716</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Railroad Co.</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tcPr>
          <w:p>
            <w:pPr>
              <w:spacing w:after="0" w:line="128" w:lineRule="exact"/>
              <w:rPr>
                <w:sz w:val="20"/>
                <w:szCs w:val="20"/>
                <w:color w:val="auto"/>
              </w:rPr>
            </w:pPr>
            <w:r>
              <w:rPr>
                <w:rFonts w:ascii="Arial" w:cs="Arial" w:eastAsia="Arial" w:hAnsi="Arial"/>
                <w:sz w:val="12"/>
                <w:szCs w:val="12"/>
                <w:color w:val="auto"/>
              </w:rPr>
              <w:t>St. Luke's Roosevelt</w:t>
            </w:r>
          </w:p>
        </w:tc>
        <w:tc>
          <w:tcPr>
            <w:tcW w:w="320" w:type="dxa"/>
            <w:vAlign w:val="bottom"/>
            <w:gridSpan w:val="3"/>
          </w:tcPr>
          <w:p>
            <w:pPr>
              <w:ind w:left="120"/>
              <w:spacing w:after="0" w:line="128" w:lineRule="exact"/>
              <w:rPr>
                <w:sz w:val="20"/>
                <w:szCs w:val="20"/>
                <w:color w:val="auto"/>
              </w:rPr>
            </w:pPr>
            <w:r>
              <w:rPr>
                <w:rFonts w:ascii="Arial" w:cs="Arial" w:eastAsia="Arial" w:hAnsi="Arial"/>
                <w:sz w:val="12"/>
                <w:szCs w:val="12"/>
                <w:color w:val="auto"/>
                <w:w w:val="89"/>
              </w:rPr>
              <w:t>555</w:t>
            </w:r>
          </w:p>
        </w:tc>
        <w:tc>
          <w:tcPr>
            <w:tcW w:w="1480" w:type="dxa"/>
            <w:vAlign w:val="bottom"/>
          </w:tcPr>
          <w:p>
            <w:pPr>
              <w:ind w:left="20"/>
              <w:spacing w:after="0" w:line="128" w:lineRule="exact"/>
              <w:rPr>
                <w:sz w:val="20"/>
                <w:szCs w:val="20"/>
                <w:color w:val="auto"/>
              </w:rPr>
            </w:pPr>
            <w:r>
              <w:rPr>
                <w:rFonts w:ascii="Arial" w:cs="Arial" w:eastAsia="Arial" w:hAnsi="Arial"/>
                <w:sz w:val="12"/>
                <w:szCs w:val="12"/>
                <w:color w:val="auto"/>
              </w:rPr>
              <w:t>West 57th Street</w:t>
            </w:r>
          </w:p>
        </w:tc>
        <w:tc>
          <w:tcPr>
            <w:tcW w:w="1140" w:type="dxa"/>
            <w:vAlign w:val="bottom"/>
            <w:gridSpan w:val="2"/>
          </w:tcPr>
          <w:p>
            <w:pPr>
              <w:jc w:val="center"/>
              <w:ind w:left="38"/>
              <w:spacing w:after="0" w:line="128" w:lineRule="exact"/>
              <w:rPr>
                <w:sz w:val="20"/>
                <w:szCs w:val="20"/>
                <w:color w:val="auto"/>
              </w:rPr>
            </w:pPr>
            <w:r>
              <w:rPr>
                <w:rFonts w:ascii="Arial" w:cs="Arial" w:eastAsia="Arial" w:hAnsi="Arial"/>
                <w:sz w:val="12"/>
                <w:szCs w:val="12"/>
                <w:color w:val="auto"/>
                <w:w w:val="89"/>
              </w:rPr>
              <w:t>2014</w:t>
            </w:r>
          </w:p>
        </w:tc>
        <w:tc>
          <w:tcPr>
            <w:tcW w:w="106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133,700</w:t>
            </w:r>
          </w:p>
        </w:tc>
        <w:tc>
          <w:tcPr>
            <w:tcW w:w="1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28" w:lineRule="exact"/>
              <w:rPr>
                <w:sz w:val="20"/>
                <w:szCs w:val="20"/>
                <w:color w:val="auto"/>
              </w:rPr>
            </w:pPr>
            <w:r>
              <w:rPr>
                <w:rFonts w:ascii="Arial" w:cs="Arial" w:eastAsia="Arial" w:hAnsi="Arial"/>
                <w:sz w:val="12"/>
                <w:szCs w:val="12"/>
                <w:color w:val="auto"/>
              </w:rPr>
              <w:t>3,205,656</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28" w:lineRule="exact"/>
              <w:rPr>
                <w:sz w:val="20"/>
                <w:szCs w:val="20"/>
                <w:color w:val="auto"/>
              </w:rPr>
            </w:pPr>
            <w:r>
              <w:rPr>
                <w:rFonts w:ascii="Arial" w:cs="Arial" w:eastAsia="Arial" w:hAnsi="Arial"/>
                <w:sz w:val="12"/>
                <w:szCs w:val="12"/>
                <w:color w:val="auto"/>
              </w:rPr>
              <w:t>23.98</w:t>
            </w:r>
          </w:p>
        </w:tc>
        <w:tc>
          <w:tcPr>
            <w:tcW w:w="1140" w:type="dxa"/>
            <w:vAlign w:val="bottom"/>
            <w:gridSpan w:val="3"/>
          </w:tcPr>
          <w:p>
            <w:pPr>
              <w:jc w:val="right"/>
              <w:ind w:right="20"/>
              <w:spacing w:after="0" w:line="128" w:lineRule="exact"/>
              <w:rPr>
                <w:sz w:val="20"/>
                <w:szCs w:val="20"/>
                <w:color w:val="auto"/>
              </w:rPr>
            </w:pPr>
            <w:r>
              <w:rPr>
                <w:rFonts w:ascii="Arial" w:cs="Arial" w:eastAsia="Arial" w:hAnsi="Arial"/>
                <w:sz w:val="12"/>
                <w:szCs w:val="12"/>
                <w:color w:val="auto"/>
              </w:rPr>
              <w:t>0.9%</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28" w:lineRule="exact"/>
              <w:rPr>
                <w:sz w:val="20"/>
                <w:szCs w:val="20"/>
                <w:color w:val="auto"/>
              </w:rPr>
            </w:pPr>
            <w:r>
              <w:rPr>
                <w:rFonts w:ascii="Arial" w:cs="Arial" w:eastAsia="Arial" w:hAnsi="Arial"/>
                <w:sz w:val="12"/>
                <w:szCs w:val="12"/>
                <w:color w:val="auto"/>
              </w:rPr>
              <w:t>3,205,656</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5"/>
        </w:trPr>
        <w:tc>
          <w:tcPr>
            <w:tcW w:w="480" w:type="dxa"/>
            <w:vAlign w:val="bottom"/>
            <w:gridSpan w:val="2"/>
          </w:tcPr>
          <w:p>
            <w:pPr>
              <w:spacing w:after="0"/>
              <w:rPr>
                <w:sz w:val="20"/>
                <w:szCs w:val="20"/>
                <w:color w:val="auto"/>
              </w:rPr>
            </w:pPr>
            <w:r>
              <w:rPr>
                <w:rFonts w:ascii="Arial" w:cs="Arial" w:eastAsia="Arial" w:hAnsi="Arial"/>
                <w:sz w:val="12"/>
                <w:szCs w:val="12"/>
                <w:color w:val="auto"/>
              </w:rPr>
              <w:t>Hospital</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w w:val="95"/>
              </w:rPr>
              <w:t>Minskoff/Nederlander JV (1)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1515 Broadway</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2024</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102,452</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210,000</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2.05</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0.1%</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115,500</w:t>
            </w: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Ross Stores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1372 Broadway</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2010</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101,741</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2,745,348</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26.98</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0.8%</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2,745,348</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Ketchum, Inc.</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711 Third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2015</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100,876</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4,218,456</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41.82</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4,218,456</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CHF Industries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1 Park Avenue</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2005</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100,000</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3,396,600</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33.97</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1,868,130</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92"/>
              </w:rPr>
              <w:t>Coty Inc.</w:t>
            </w: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 Park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2015</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100,000</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3,668,352</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36.68</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1.0%</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2,017,594</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tcPr>
          <w:p>
            <w:pPr>
              <w:spacing w:after="0" w:line="128" w:lineRule="exact"/>
              <w:rPr>
                <w:sz w:val="20"/>
                <w:szCs w:val="20"/>
                <w:color w:val="auto"/>
              </w:rPr>
            </w:pPr>
            <w:r>
              <w:rPr>
                <w:rFonts w:ascii="Arial" w:cs="Arial" w:eastAsia="Arial" w:hAnsi="Arial"/>
                <w:sz w:val="12"/>
                <w:szCs w:val="12"/>
                <w:color w:val="auto"/>
              </w:rPr>
              <w:t>New York Presbyterian</w:t>
            </w:r>
          </w:p>
        </w:tc>
        <w:tc>
          <w:tcPr>
            <w:tcW w:w="320" w:type="dxa"/>
            <w:vAlign w:val="bottom"/>
            <w:gridSpan w:val="3"/>
          </w:tcPr>
          <w:p>
            <w:pPr>
              <w:ind w:left="120"/>
              <w:spacing w:after="0" w:line="128" w:lineRule="exact"/>
              <w:rPr>
                <w:sz w:val="20"/>
                <w:szCs w:val="20"/>
                <w:color w:val="auto"/>
              </w:rPr>
            </w:pPr>
            <w:r>
              <w:rPr>
                <w:rFonts w:ascii="Arial" w:cs="Arial" w:eastAsia="Arial" w:hAnsi="Arial"/>
                <w:sz w:val="12"/>
                <w:szCs w:val="12"/>
                <w:color w:val="auto"/>
                <w:w w:val="89"/>
              </w:rPr>
              <w:t>555</w:t>
            </w:r>
          </w:p>
        </w:tc>
        <w:tc>
          <w:tcPr>
            <w:tcW w:w="1480" w:type="dxa"/>
            <w:vAlign w:val="bottom"/>
          </w:tcPr>
          <w:p>
            <w:pPr>
              <w:ind w:left="20"/>
              <w:spacing w:after="0" w:line="128" w:lineRule="exact"/>
              <w:rPr>
                <w:sz w:val="20"/>
                <w:szCs w:val="20"/>
                <w:color w:val="auto"/>
              </w:rPr>
            </w:pPr>
            <w:r>
              <w:rPr>
                <w:rFonts w:ascii="Arial" w:cs="Arial" w:eastAsia="Arial" w:hAnsi="Arial"/>
                <w:sz w:val="12"/>
                <w:szCs w:val="12"/>
                <w:color w:val="auto"/>
                <w:w w:val="95"/>
              </w:rPr>
              <w:t>West 57th Street &amp; 673 First</w:t>
            </w:r>
          </w:p>
        </w:tc>
        <w:tc>
          <w:tcPr>
            <w:tcW w:w="1140" w:type="dxa"/>
            <w:vAlign w:val="bottom"/>
            <w:gridSpan w:val="2"/>
          </w:tcPr>
          <w:p>
            <w:pPr>
              <w:jc w:val="center"/>
              <w:ind w:left="58"/>
              <w:spacing w:after="0" w:line="128" w:lineRule="exact"/>
              <w:rPr>
                <w:sz w:val="20"/>
                <w:szCs w:val="20"/>
                <w:color w:val="auto"/>
              </w:rPr>
            </w:pPr>
            <w:r>
              <w:rPr>
                <w:rFonts w:ascii="Arial" w:cs="Arial" w:eastAsia="Arial" w:hAnsi="Arial"/>
                <w:sz w:val="12"/>
                <w:szCs w:val="12"/>
                <w:color w:val="auto"/>
                <w:w w:val="96"/>
              </w:rPr>
              <w:t>2006 &amp; 2009</w:t>
            </w:r>
          </w:p>
        </w:tc>
        <w:tc>
          <w:tcPr>
            <w:tcW w:w="106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99,650</w:t>
            </w:r>
          </w:p>
        </w:tc>
        <w:tc>
          <w:tcPr>
            <w:tcW w:w="1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28" w:lineRule="exact"/>
              <w:rPr>
                <w:sz w:val="20"/>
                <w:szCs w:val="20"/>
                <w:color w:val="auto"/>
              </w:rPr>
            </w:pPr>
            <w:r>
              <w:rPr>
                <w:rFonts w:ascii="Arial" w:cs="Arial" w:eastAsia="Arial" w:hAnsi="Arial"/>
                <w:sz w:val="12"/>
                <w:szCs w:val="12"/>
                <w:color w:val="auto"/>
              </w:rPr>
              <w:t>2,723,268</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28" w:lineRule="exact"/>
              <w:rPr>
                <w:sz w:val="20"/>
                <w:szCs w:val="20"/>
                <w:color w:val="auto"/>
              </w:rPr>
            </w:pPr>
            <w:r>
              <w:rPr>
                <w:rFonts w:ascii="Arial" w:cs="Arial" w:eastAsia="Arial" w:hAnsi="Arial"/>
                <w:sz w:val="12"/>
                <w:szCs w:val="12"/>
                <w:color w:val="auto"/>
              </w:rPr>
              <w:t>27.33</w:t>
            </w:r>
          </w:p>
        </w:tc>
        <w:tc>
          <w:tcPr>
            <w:tcW w:w="1140" w:type="dxa"/>
            <w:vAlign w:val="bottom"/>
            <w:gridSpan w:val="3"/>
          </w:tcPr>
          <w:p>
            <w:pPr>
              <w:jc w:val="right"/>
              <w:ind w:right="20"/>
              <w:spacing w:after="0" w:line="128" w:lineRule="exact"/>
              <w:rPr>
                <w:sz w:val="20"/>
                <w:szCs w:val="20"/>
                <w:color w:val="auto"/>
              </w:rPr>
            </w:pPr>
            <w:r>
              <w:rPr>
                <w:rFonts w:ascii="Arial" w:cs="Arial" w:eastAsia="Arial" w:hAnsi="Arial"/>
                <w:sz w:val="12"/>
                <w:szCs w:val="12"/>
                <w:color w:val="auto"/>
              </w:rPr>
              <w:t>0.8%</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28" w:lineRule="exact"/>
              <w:rPr>
                <w:sz w:val="20"/>
                <w:szCs w:val="20"/>
                <w:color w:val="auto"/>
              </w:rPr>
            </w:pPr>
            <w:r>
              <w:rPr>
                <w:rFonts w:ascii="Arial" w:cs="Arial" w:eastAsia="Arial" w:hAnsi="Arial"/>
                <w:sz w:val="12"/>
                <w:szCs w:val="12"/>
                <w:color w:val="auto"/>
              </w:rPr>
              <w:t>2,723,268</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5"/>
        </w:trPr>
        <w:tc>
          <w:tcPr>
            <w:tcW w:w="480" w:type="dxa"/>
            <w:vAlign w:val="bottom"/>
            <w:gridSpan w:val="2"/>
          </w:tcPr>
          <w:p>
            <w:pPr>
              <w:spacing w:after="0"/>
              <w:rPr>
                <w:sz w:val="20"/>
                <w:szCs w:val="20"/>
                <w:color w:val="auto"/>
              </w:rPr>
            </w:pPr>
            <w:r>
              <w:rPr>
                <w:rFonts w:ascii="Arial" w:cs="Arial" w:eastAsia="Arial" w:hAnsi="Arial"/>
                <w:sz w:val="12"/>
                <w:szCs w:val="12"/>
                <w:color w:val="auto"/>
              </w:rPr>
              <w:t>Hospital</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2"/>
          </w:tcPr>
          <w:p>
            <w:pPr>
              <w:spacing w:after="0"/>
              <w:rPr>
                <w:sz w:val="20"/>
                <w:szCs w:val="20"/>
                <w:color w:val="auto"/>
              </w:rPr>
            </w:pPr>
            <w:r>
              <w:rPr>
                <w:rFonts w:ascii="Arial" w:cs="Arial" w:eastAsia="Arial" w:hAnsi="Arial"/>
                <w:sz w:val="12"/>
                <w:szCs w:val="12"/>
                <w:color w:val="auto"/>
              </w:rPr>
              <w:t>Avenue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MCI/Worldcom</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17 Battery Place,</w:t>
            </w:r>
          </w:p>
        </w:tc>
        <w:tc>
          <w:tcPr>
            <w:tcW w:w="1140" w:type="dxa"/>
            <w:vAlign w:val="bottom"/>
            <w:gridSpan w:val="2"/>
            <w:shd w:val="clear" w:color="auto" w:fill="CCEEFF"/>
          </w:tcPr>
          <w:p>
            <w:pPr>
              <w:jc w:val="center"/>
              <w:ind w:left="58"/>
              <w:spacing w:after="0" w:line="128" w:lineRule="exact"/>
              <w:rPr>
                <w:sz w:val="20"/>
                <w:szCs w:val="20"/>
                <w:color w:val="auto"/>
              </w:rPr>
            </w:pPr>
            <w:r>
              <w:rPr>
                <w:rFonts w:ascii="Arial" w:cs="Arial" w:eastAsia="Arial" w:hAnsi="Arial"/>
                <w:sz w:val="12"/>
                <w:szCs w:val="12"/>
                <w:color w:val="auto"/>
                <w:w w:val="96"/>
              </w:rPr>
              <w:t>2004 &amp; 2006</w:t>
            </w:r>
          </w:p>
        </w:tc>
        <w:tc>
          <w:tcPr>
            <w:tcW w:w="106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93,025</w:t>
            </w:r>
          </w:p>
        </w:tc>
        <w:tc>
          <w:tcPr>
            <w:tcW w:w="1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3,299,316</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35.47</w:t>
            </w:r>
          </w:p>
        </w:tc>
        <w:tc>
          <w:tcPr>
            <w:tcW w:w="114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0.9%</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2,362,688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110 E 42nd St,</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&amp; 100 Park Avenue</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Ann Taylor Inc.</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1372 Broadway</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2010</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93,020</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2,672,472</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28.73</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0.7%</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2,672,472</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w w:val="98"/>
              </w:rPr>
              <w:t>Crain Communications Inc.</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711 Third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2009</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90,531</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3,263,172</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36.04</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3,263,172</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Information Builders Inc</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1250 Broadway</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2003</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88,571</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2,063,784</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23.30</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0.6%</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1,135,081</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w w:val="96"/>
              </w:rPr>
              <w:t>Advanstar Communications</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 Park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89"/>
              </w:rPr>
              <w:t>2010</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85,284</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2,915,352</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34.18</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1,603,444</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40" w:type="dxa"/>
            <w:vAlign w:val="bottom"/>
            <w:gridSpan w:val="2"/>
          </w:tcPr>
          <w:p>
            <w:pPr>
              <w:spacing w:after="0" w:line="137" w:lineRule="exact"/>
              <w:rPr>
                <w:sz w:val="20"/>
                <w:szCs w:val="20"/>
                <w:color w:val="auto"/>
              </w:rPr>
            </w:pPr>
            <w:r>
              <w:rPr>
                <w:rFonts w:ascii="Arial" w:cs="Arial" w:eastAsia="Arial" w:hAnsi="Arial"/>
                <w:sz w:val="12"/>
                <w:szCs w:val="12"/>
                <w:color w:val="auto"/>
              </w:rPr>
              <w:t>Parade Publications, Inc.</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line="137" w:lineRule="exact"/>
              <w:rPr>
                <w:sz w:val="20"/>
                <w:szCs w:val="20"/>
                <w:color w:val="auto"/>
              </w:rPr>
            </w:pPr>
            <w:r>
              <w:rPr>
                <w:rFonts w:ascii="Arial" w:cs="Arial" w:eastAsia="Arial" w:hAnsi="Arial"/>
                <w:sz w:val="12"/>
                <w:szCs w:val="12"/>
                <w:color w:val="auto"/>
              </w:rPr>
              <w:t>711 Third Avenue</w:t>
            </w:r>
          </w:p>
        </w:tc>
        <w:tc>
          <w:tcPr>
            <w:tcW w:w="1140" w:type="dxa"/>
            <w:vAlign w:val="bottom"/>
            <w:gridSpan w:val="2"/>
          </w:tcPr>
          <w:p>
            <w:pPr>
              <w:jc w:val="center"/>
              <w:ind w:left="38"/>
              <w:spacing w:after="0" w:line="137" w:lineRule="exact"/>
              <w:rPr>
                <w:sz w:val="20"/>
                <w:szCs w:val="20"/>
                <w:color w:val="auto"/>
              </w:rPr>
            </w:pPr>
            <w:r>
              <w:rPr>
                <w:rFonts w:ascii="Arial" w:cs="Arial" w:eastAsia="Arial" w:hAnsi="Arial"/>
                <w:sz w:val="12"/>
                <w:szCs w:val="12"/>
                <w:color w:val="auto"/>
                <w:w w:val="89"/>
              </w:rPr>
              <w:t>2010</w:t>
            </w:r>
          </w:p>
        </w:tc>
        <w:tc>
          <w:tcPr>
            <w:tcW w:w="10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82,444</w:t>
            </w:r>
          </w:p>
        </w:tc>
        <w:tc>
          <w:tcPr>
            <w:tcW w:w="1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tcPr>
          <w:p>
            <w:pPr>
              <w:jc w:val="right"/>
              <w:spacing w:after="0" w:line="137" w:lineRule="exact"/>
              <w:rPr>
                <w:sz w:val="20"/>
                <w:szCs w:val="20"/>
                <w:color w:val="auto"/>
              </w:rPr>
            </w:pPr>
            <w:r>
              <w:rPr>
                <w:rFonts w:ascii="Arial" w:cs="Arial" w:eastAsia="Arial" w:hAnsi="Arial"/>
                <w:sz w:val="12"/>
                <w:szCs w:val="12"/>
                <w:color w:val="auto"/>
              </w:rPr>
              <w:t>1,978,656</w:t>
            </w: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2"/>
                <w:szCs w:val="12"/>
                <w:color w:val="auto"/>
              </w:rPr>
              <w:t>24.00</w:t>
            </w:r>
          </w:p>
        </w:tc>
        <w:tc>
          <w:tcPr>
            <w:tcW w:w="11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0.6%</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7" w:lineRule="exact"/>
              <w:rPr>
                <w:sz w:val="20"/>
                <w:szCs w:val="20"/>
                <w:color w:val="auto"/>
              </w:rPr>
            </w:pPr>
            <w:r>
              <w:rPr>
                <w:rFonts w:ascii="Arial" w:cs="Arial" w:eastAsia="Arial" w:hAnsi="Arial"/>
                <w:sz w:val="12"/>
                <w:szCs w:val="12"/>
                <w:color w:val="auto"/>
              </w:rPr>
              <w:t>1,978,656</w:t>
            </w:r>
          </w:p>
        </w:tc>
        <w:tc>
          <w:tcPr>
            <w:tcW w:w="120" w:type="dxa"/>
            <w:vAlign w:val="bottom"/>
          </w:tcPr>
          <w:p>
            <w:pPr>
              <w:spacing w:after="0"/>
              <w:rPr>
                <w:sz w:val="11"/>
                <w:szCs w:val="11"/>
                <w:color w:val="auto"/>
              </w:rPr>
            </w:pPr>
          </w:p>
        </w:tc>
        <w:tc>
          <w:tcPr>
            <w:tcW w:w="9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98"/>
              </w:rPr>
              <w:t>UNICEF</w:t>
            </w:r>
          </w:p>
        </w:tc>
        <w:tc>
          <w:tcPr>
            <w:tcW w:w="9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ind w:left="120"/>
              <w:spacing w:after="0" w:line="137" w:lineRule="exact"/>
              <w:rPr>
                <w:sz w:val="20"/>
                <w:szCs w:val="20"/>
                <w:color w:val="auto"/>
              </w:rPr>
            </w:pPr>
            <w:r>
              <w:rPr>
                <w:rFonts w:ascii="Arial" w:cs="Arial" w:eastAsia="Arial" w:hAnsi="Arial"/>
                <w:sz w:val="12"/>
                <w:szCs w:val="12"/>
                <w:color w:val="auto"/>
                <w:w w:val="89"/>
              </w:rPr>
              <w:t>673</w:t>
            </w:r>
          </w:p>
        </w:tc>
        <w:tc>
          <w:tcPr>
            <w:tcW w:w="148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First Avenue</w:t>
            </w:r>
          </w:p>
        </w:tc>
        <w:tc>
          <w:tcPr>
            <w:tcW w:w="1140" w:type="dxa"/>
            <w:vAlign w:val="bottom"/>
            <w:gridSpan w:val="2"/>
            <w:shd w:val="clear" w:color="auto" w:fill="CCEEFF"/>
          </w:tcPr>
          <w:p>
            <w:pPr>
              <w:jc w:val="center"/>
              <w:ind w:left="38"/>
              <w:spacing w:after="0" w:line="137" w:lineRule="exact"/>
              <w:rPr>
                <w:sz w:val="20"/>
                <w:szCs w:val="20"/>
                <w:color w:val="auto"/>
              </w:rPr>
            </w:pPr>
            <w:r>
              <w:rPr>
                <w:rFonts w:ascii="Arial" w:cs="Arial" w:eastAsia="Arial" w:hAnsi="Arial"/>
                <w:sz w:val="12"/>
                <w:szCs w:val="12"/>
                <w:color w:val="auto"/>
                <w:w w:val="95"/>
              </w:rPr>
              <w:t>2003, 2012, &amp; 2013</w:t>
            </w: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81,100</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2,666,268</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32.88</w:t>
            </w:r>
          </w:p>
        </w:tc>
        <w:tc>
          <w:tcPr>
            <w:tcW w:w="114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0.7%</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2,666,268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80" w:type="dxa"/>
            <w:vAlign w:val="bottom"/>
            <w:gridSpan w:val="5"/>
          </w:tcPr>
          <w:p>
            <w:pPr>
              <w:ind w:left="94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4,569,561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142,442,832</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31.17</w:t>
            </w:r>
          </w:p>
        </w:tc>
        <w:tc>
          <w:tcPr>
            <w:tcW w:w="1300" w:type="dxa"/>
            <w:vAlign w:val="bottom"/>
            <w:gridSpan w:val="4"/>
          </w:tcPr>
          <w:p>
            <w:pPr>
              <w:jc w:val="right"/>
              <w:ind w:right="48"/>
              <w:spacing w:after="0"/>
              <w:rPr>
                <w:sz w:val="20"/>
                <w:szCs w:val="20"/>
                <w:color w:val="auto"/>
              </w:rPr>
            </w:pPr>
            <w:r>
              <w:rPr>
                <w:rFonts w:ascii="Arial" w:cs="Arial" w:eastAsia="Arial" w:hAnsi="Arial"/>
                <w:sz w:val="12"/>
                <w:szCs w:val="12"/>
                <w:b w:val="1"/>
                <w:bCs w:val="1"/>
                <w:color w:val="auto"/>
              </w:rPr>
              <w:t>39.7%$</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98,176,636</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34.3%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40" w:type="dxa"/>
            <w:vAlign w:val="bottom"/>
            <w:gridSpan w:val="6"/>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Wholly Owned Portfolio + Allocated JV Properties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2"/>
                <w:szCs w:val="12"/>
                <w:b w:val="1"/>
                <w:bCs w:val="1"/>
                <w:color w:val="auto"/>
              </w:rPr>
              <w:t>11,533,000</w:t>
            </w:r>
          </w:p>
        </w:tc>
        <w:tc>
          <w:tcPr>
            <w:tcW w:w="14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b w:val="1"/>
                <w:bCs w:val="1"/>
                <w:color w:val="auto"/>
              </w:rPr>
              <w:t>$</w:t>
            </w:r>
          </w:p>
        </w:tc>
        <w:tc>
          <w:tcPr>
            <w:tcW w:w="1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358,968,297</w:t>
            </w:r>
          </w:p>
        </w:tc>
        <w:tc>
          <w:tcPr>
            <w:tcW w:w="2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31.13</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286,610,937</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74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2"/>
        </w:trPr>
        <w:tc>
          <w:tcPr>
            <w:tcW w:w="480" w:type="dxa"/>
            <w:vAlign w:val="bottom"/>
            <w:gridSpan w:val="2"/>
          </w:tcPr>
          <w:p>
            <w:pPr>
              <w:spacing w:after="0"/>
              <w:rPr>
                <w:sz w:val="20"/>
                <w:szCs w:val="20"/>
                <w:color w:val="auto"/>
              </w:rPr>
            </w:pPr>
            <w:r>
              <w:rPr>
                <w:rFonts w:ascii="Arial" w:cs="Arial" w:eastAsia="Arial" w:hAnsi="Arial"/>
                <w:sz w:val="12"/>
                <w:szCs w:val="12"/>
                <w:color w:val="auto"/>
              </w:rPr>
              <w:t>(1)</w:t>
            </w:r>
          </w:p>
        </w:tc>
        <w:tc>
          <w:tcPr>
            <w:tcW w:w="2780" w:type="dxa"/>
            <w:vAlign w:val="bottom"/>
            <w:gridSpan w:val="5"/>
          </w:tcPr>
          <w:p>
            <w:pPr>
              <w:ind w:left="20"/>
              <w:spacing w:after="0"/>
              <w:rPr>
                <w:sz w:val="20"/>
                <w:szCs w:val="20"/>
                <w:color w:val="auto"/>
              </w:rPr>
            </w:pPr>
            <w:r>
              <w:rPr>
                <w:rFonts w:ascii="Arial" w:cs="Arial" w:eastAsia="Arial" w:hAnsi="Arial"/>
                <w:sz w:val="12"/>
                <w:szCs w:val="12"/>
                <w:color w:val="auto"/>
              </w:rPr>
              <w:t>Minskoff/Nederlander JV pays percentage rent.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897"/>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-4142740</wp:posOffset>
            </wp:positionV>
            <wp:extent cx="12700" cy="762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-4142740</wp:posOffset>
            </wp:positionV>
            <wp:extent cx="12700" cy="762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-4142740</wp:posOffset>
            </wp:positionV>
            <wp:extent cx="12700" cy="762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-4142740</wp:posOffset>
            </wp:positionV>
            <wp:extent cx="12700" cy="762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-4142740</wp:posOffset>
            </wp:positionV>
            <wp:extent cx="12700" cy="762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-4142740</wp:posOffset>
            </wp:positionV>
            <wp:extent cx="12700" cy="762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-4142740</wp:posOffset>
            </wp:positionV>
            <wp:extent cx="12700" cy="762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-4142740</wp:posOffset>
            </wp:positionV>
            <wp:extent cx="12700" cy="762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-4142740</wp:posOffset>
            </wp:positionV>
            <wp:extent cx="12700" cy="762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-4142740</wp:posOffset>
            </wp:positionV>
            <wp:extent cx="12700" cy="762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-4142740</wp:posOffset>
            </wp:positionV>
            <wp:extent cx="12700" cy="762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-4142740</wp:posOffset>
            </wp:positionV>
            <wp:extent cx="12700" cy="762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5718810</wp:posOffset>
            </wp:positionH>
            <wp:positionV relativeFrom="paragraph">
              <wp:posOffset>-4142740</wp:posOffset>
            </wp:positionV>
            <wp:extent cx="12700" cy="762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-4142740</wp:posOffset>
            </wp:positionV>
            <wp:extent cx="12700" cy="762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6585585</wp:posOffset>
            </wp:positionH>
            <wp:positionV relativeFrom="paragraph">
              <wp:posOffset>-4142740</wp:posOffset>
            </wp:positionV>
            <wp:extent cx="12700" cy="762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-4142740</wp:posOffset>
            </wp:positionV>
            <wp:extent cx="12700" cy="762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-4142740</wp:posOffset>
            </wp:positionV>
            <wp:extent cx="12700" cy="762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6664325</wp:posOffset>
            </wp:positionH>
            <wp:positionV relativeFrom="paragraph">
              <wp:posOffset>-4142740</wp:posOffset>
            </wp:positionV>
            <wp:extent cx="12700" cy="762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-1054100</wp:posOffset>
            </wp:positionV>
            <wp:extent cx="12700" cy="762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-1054100</wp:posOffset>
            </wp:positionV>
            <wp:extent cx="12700" cy="762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-1054100</wp:posOffset>
            </wp:positionV>
            <wp:extent cx="12700" cy="762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-1054100</wp:posOffset>
            </wp:positionV>
            <wp:extent cx="12700" cy="762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-1054100</wp:posOffset>
            </wp:positionV>
            <wp:extent cx="12700" cy="762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-1054100</wp:posOffset>
            </wp:positionV>
            <wp:extent cx="12700" cy="762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-1054100</wp:posOffset>
            </wp:positionV>
            <wp:extent cx="12700" cy="762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-1054100</wp:posOffset>
            </wp:positionV>
            <wp:extent cx="12700" cy="762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-1054100</wp:posOffset>
            </wp:positionV>
            <wp:extent cx="12700" cy="762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-1054100</wp:posOffset>
            </wp:positionV>
            <wp:extent cx="12700" cy="762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5718810</wp:posOffset>
            </wp:positionH>
            <wp:positionV relativeFrom="paragraph">
              <wp:posOffset>-1054100</wp:posOffset>
            </wp:positionV>
            <wp:extent cx="12700" cy="762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-1054100</wp:posOffset>
            </wp:positionV>
            <wp:extent cx="12700" cy="762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6585585</wp:posOffset>
            </wp:positionH>
            <wp:positionV relativeFrom="paragraph">
              <wp:posOffset>-1054100</wp:posOffset>
            </wp:positionV>
            <wp:extent cx="12700" cy="762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-1054100</wp:posOffset>
            </wp:positionV>
            <wp:extent cx="12700" cy="762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-1054100</wp:posOffset>
            </wp:positionV>
            <wp:extent cx="12700" cy="762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6664325</wp:posOffset>
            </wp:positionH>
            <wp:positionV relativeFrom="paragraph">
              <wp:posOffset>-1054100</wp:posOffset>
            </wp:positionV>
            <wp:extent cx="12700" cy="762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-738505</wp:posOffset>
            </wp:positionV>
            <wp:extent cx="12700" cy="762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-738505</wp:posOffset>
            </wp:positionV>
            <wp:extent cx="12700" cy="762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wp:posOffset>
            </wp:positionV>
            <wp:extent cx="12700" cy="762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THIRD QUARTER—2002 LEASING ACTIVITY</w:t>
      </w:r>
    </w:p>
    <w:p>
      <w:pPr>
        <w:spacing w:after="0" w:line="3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Leased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Activity Type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60" w:type="dxa"/>
            <w:vAlign w:val="bottom"/>
          </w:tcPr>
          <w:p>
            <w:pPr>
              <w:ind w:left="1080"/>
              <w:spacing w:after="0"/>
              <w:rPr>
                <w:sz w:val="20"/>
                <w:szCs w:val="20"/>
                <w:color w:val="auto"/>
              </w:rPr>
            </w:pPr>
            <w:r>
              <w:rPr>
                <w:rFonts w:ascii="Arial" w:cs="Arial" w:eastAsia="Arial" w:hAnsi="Arial"/>
                <w:sz w:val="12"/>
                <w:szCs w:val="12"/>
                <w:b w:val="1"/>
                <w:bCs w:val="1"/>
                <w:color w:val="auto"/>
              </w:rPr>
              <w:t>Building Address</w:t>
            </w: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 of Leases</w:t>
            </w: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Usable SF</w:t>
            </w:r>
          </w:p>
        </w:tc>
        <w:tc>
          <w:tcPr>
            <w:tcW w:w="1280" w:type="dxa"/>
            <w:vAlign w:val="bottom"/>
            <w:gridSpan w:val="2"/>
          </w:tcPr>
          <w:p>
            <w:pPr>
              <w:ind w:left="200"/>
              <w:spacing w:after="0"/>
              <w:rPr>
                <w:sz w:val="20"/>
                <w:szCs w:val="20"/>
                <w:color w:val="auto"/>
              </w:rPr>
            </w:pPr>
            <w:r>
              <w:rPr>
                <w:rFonts w:ascii="Arial" w:cs="Arial" w:eastAsia="Arial" w:hAnsi="Arial"/>
                <w:sz w:val="12"/>
                <w:szCs w:val="12"/>
                <w:b w:val="1"/>
                <w:bCs w:val="1"/>
                <w:color w:val="auto"/>
              </w:rPr>
              <w:t>Rentable SF</w:t>
            </w:r>
          </w:p>
        </w:tc>
        <w:tc>
          <w:tcPr>
            <w:tcW w:w="1780" w:type="dxa"/>
            <w:vAlign w:val="bottom"/>
            <w:gridSpan w:val="2"/>
          </w:tcPr>
          <w:p>
            <w:pPr>
              <w:ind w:left="260"/>
              <w:spacing w:after="0"/>
              <w:rPr>
                <w:sz w:val="20"/>
                <w:szCs w:val="20"/>
                <w:color w:val="auto"/>
              </w:rPr>
            </w:pPr>
            <w:r>
              <w:rPr>
                <w:rFonts w:ascii="Arial" w:cs="Arial" w:eastAsia="Arial" w:hAnsi="Arial"/>
                <w:sz w:val="12"/>
                <w:szCs w:val="12"/>
                <w:b w:val="1"/>
                <w:bCs w:val="1"/>
                <w:color w:val="auto"/>
              </w:rPr>
              <w:t>Rent/Rentable SF* ($'s)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Vacancy at 6/30/02</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337,022</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Arial" w:cs="Arial" w:eastAsia="Arial" w:hAnsi="Arial"/>
                <w:sz w:val="12"/>
                <w:szCs w:val="12"/>
                <w:b w:val="1"/>
                <w:bCs w:val="1"/>
                <w:color w:val="auto"/>
              </w:rPr>
              <w:t>Expiring Space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Office</w:t>
            </w:r>
          </w:p>
        </w:tc>
        <w:tc>
          <w:tcPr>
            <w:tcW w:w="42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w w:val="89"/>
              </w:rPr>
              <w:t>317</w:t>
            </w:r>
          </w:p>
        </w:tc>
        <w:tc>
          <w:tcPr>
            <w:tcW w:w="32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Madison Avenue</w:t>
            </w:r>
          </w:p>
        </w:tc>
        <w:tc>
          <w:tcPr>
            <w:tcW w:w="1380" w:type="dxa"/>
            <w:vAlign w:val="bottom"/>
            <w:gridSpan w:val="3"/>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9,838</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10,903</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23.97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680" w:type="dxa"/>
            <w:vAlign w:val="bottom"/>
            <w:gridSpan w:val="3"/>
          </w:tcPr>
          <w:p>
            <w:pPr>
              <w:ind w:left="220"/>
              <w:spacing w:after="0" w:line="137" w:lineRule="exact"/>
              <w:rPr>
                <w:sz w:val="20"/>
                <w:szCs w:val="20"/>
                <w:color w:val="auto"/>
              </w:rPr>
            </w:pPr>
            <w:r>
              <w:rPr>
                <w:rFonts w:ascii="Arial" w:cs="Arial" w:eastAsia="Arial" w:hAnsi="Arial"/>
                <w:sz w:val="12"/>
                <w:szCs w:val="12"/>
                <w:color w:val="auto"/>
              </w:rPr>
              <w:t>1370 Broadway</w:t>
            </w:r>
          </w:p>
        </w:tc>
        <w:tc>
          <w:tcPr>
            <w:tcW w:w="1380" w:type="dxa"/>
            <w:vAlign w:val="bottom"/>
            <w:gridSpan w:val="3"/>
          </w:tcPr>
          <w:p>
            <w:pPr>
              <w:jc w:val="right"/>
              <w:ind w:right="220"/>
              <w:spacing w:after="0" w:line="137" w:lineRule="exact"/>
              <w:rPr>
                <w:sz w:val="20"/>
                <w:szCs w:val="20"/>
                <w:color w:val="auto"/>
              </w:rPr>
            </w:pPr>
            <w:r>
              <w:rPr>
                <w:rFonts w:ascii="Arial" w:cs="Arial" w:eastAsia="Arial" w:hAnsi="Arial"/>
                <w:sz w:val="12"/>
                <w:szCs w:val="12"/>
                <w:color w:val="auto"/>
              </w:rPr>
              <w:t>3</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7,951</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8,736</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24.91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w w:val="89"/>
              </w:rPr>
              <w:t>180</w:t>
            </w:r>
          </w:p>
        </w:tc>
        <w:tc>
          <w:tcPr>
            <w:tcW w:w="32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Madison Avenue</w:t>
            </w:r>
          </w:p>
        </w:tc>
        <w:tc>
          <w:tcPr>
            <w:tcW w:w="1380" w:type="dxa"/>
            <w:vAlign w:val="bottom"/>
            <w:gridSpan w:val="3"/>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6</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7,704</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7,704</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20" w:type="dxa"/>
            <w:vAlign w:val="bottom"/>
            <w:gridSpan w:val="2"/>
          </w:tcPr>
          <w:p>
            <w:pPr>
              <w:ind w:left="220"/>
              <w:spacing w:after="0"/>
              <w:rPr>
                <w:sz w:val="20"/>
                <w:szCs w:val="20"/>
                <w:color w:val="auto"/>
              </w:rPr>
            </w:pPr>
            <w:r>
              <w:rPr>
                <w:rFonts w:ascii="Arial" w:cs="Arial" w:eastAsia="Arial" w:hAnsi="Arial"/>
                <w:sz w:val="12"/>
                <w:szCs w:val="12"/>
                <w:color w:val="auto"/>
                <w:w w:val="89"/>
              </w:rPr>
              <w:t>100</w:t>
            </w:r>
          </w:p>
        </w:tc>
        <w:tc>
          <w:tcPr>
            <w:tcW w:w="3260" w:type="dxa"/>
            <w:vAlign w:val="bottom"/>
          </w:tcPr>
          <w:p>
            <w:pPr>
              <w:ind w:left="20"/>
              <w:spacing w:after="0"/>
              <w:rPr>
                <w:sz w:val="20"/>
                <w:szCs w:val="20"/>
                <w:color w:val="auto"/>
              </w:rPr>
            </w:pPr>
            <w:r>
              <w:rPr>
                <w:rFonts w:ascii="Arial" w:cs="Arial" w:eastAsia="Arial" w:hAnsi="Arial"/>
                <w:sz w:val="12"/>
                <w:szCs w:val="12"/>
                <w:color w:val="auto"/>
              </w:rPr>
              <w:t>Park Avenue</w:t>
            </w:r>
          </w:p>
        </w:tc>
        <w:tc>
          <w:tcPr>
            <w:tcW w:w="1380" w:type="dxa"/>
            <w:vAlign w:val="bottom"/>
            <w:gridSpan w:val="3"/>
          </w:tcPr>
          <w:p>
            <w:pPr>
              <w:jc w:val="right"/>
              <w:ind w:right="220"/>
              <w:spacing w:after="0"/>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1,122</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1,189</w:t>
            </w:r>
          </w:p>
        </w:tc>
        <w:tc>
          <w:tcPr>
            <w:tcW w:w="1760" w:type="dxa"/>
            <w:vAlign w:val="bottom"/>
          </w:tcPr>
          <w:p>
            <w:pPr>
              <w:jc w:val="right"/>
              <w:spacing w:after="0"/>
              <w:rPr>
                <w:sz w:val="20"/>
                <w:szCs w:val="20"/>
                <w:color w:val="auto"/>
              </w:rPr>
            </w:pPr>
            <w:r>
              <w:rPr>
                <w:rFonts w:ascii="Arial" w:cs="Arial" w:eastAsia="Arial" w:hAnsi="Arial"/>
                <w:sz w:val="12"/>
                <w:szCs w:val="12"/>
                <w:color w:val="auto"/>
              </w:rPr>
              <w:t>52.00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-748665</wp:posOffset>
            </wp:positionV>
            <wp:extent cx="12700" cy="762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-748665</wp:posOffset>
            </wp:positionV>
            <wp:extent cx="12700" cy="762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-748665</wp:posOffset>
            </wp:positionV>
            <wp:extent cx="12700" cy="762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-748665</wp:posOffset>
            </wp:positionV>
            <wp:extent cx="12700" cy="762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-748665</wp:posOffset>
            </wp:positionV>
            <wp:extent cx="12700" cy="762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-748665</wp:posOffset>
            </wp:positionV>
            <wp:extent cx="12700" cy="762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-748665</wp:posOffset>
            </wp:positionV>
            <wp:extent cx="12700" cy="762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-748665</wp:posOffset>
            </wp:positionV>
            <wp:extent cx="12700" cy="762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-748665</wp:posOffset>
            </wp:positionV>
            <wp:extent cx="12700" cy="762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-748665</wp:posOffset>
            </wp:positionV>
            <wp:extent cx="12700" cy="762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-748665</wp:posOffset>
            </wp:positionV>
            <wp:extent cx="12700" cy="762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-748665</wp:posOffset>
            </wp:positionV>
            <wp:extent cx="12700" cy="762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-433705</wp:posOffset>
            </wp:positionV>
            <wp:extent cx="12700" cy="762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-433705</wp:posOffset>
            </wp:positionV>
            <wp:extent cx="12700" cy="762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27" w:orient="portrait"/>
          <w:cols w:equalWidth="0" w:num="1">
            <w:col w:w="11421"/>
          </w:cols>
          <w:pgMar w:left="239" w:top="131" w:right="239" w:bottom="0" w:gutter="0" w:footer="0" w:header="0"/>
        </w:sectPr>
      </w:pPr>
    </w:p>
    <w:bookmarkStart w:id="18" w:name="page19"/>
    <w:bookmarkEnd w:id="18"/>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80" w:type="dxa"/>
            <w:vAlign w:val="bottom"/>
            <w:shd w:val="clear" w:color="auto" w:fill="CCEEFF"/>
          </w:tcPr>
          <w:p>
            <w:pPr>
              <w:ind w:left="2280"/>
              <w:spacing w:after="0"/>
              <w:rPr>
                <w:sz w:val="20"/>
                <w:szCs w:val="20"/>
                <w:color w:val="auto"/>
              </w:rPr>
            </w:pPr>
            <w:r>
              <w:rPr>
                <w:rFonts w:ascii="Arial" w:cs="Arial" w:eastAsia="Arial" w:hAnsi="Arial"/>
                <w:sz w:val="12"/>
                <w:szCs w:val="12"/>
                <w:color w:val="auto"/>
              </w:rPr>
              <w:t>286 Madison Avenue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3,174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3,960</w:t>
            </w: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292 Madison</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10,113</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10,113</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20.00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1414 Ave of Americas</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1,120</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2,351</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41.10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110 East 42nd Street</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1,358</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1,941</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38.80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321 W. 44th Street</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16,395</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19,698</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1466 Broadway</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6</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7,232</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8,368</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33.38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420 Lexington Avenue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12</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46,067</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50,113</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27.99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80" w:type="dxa"/>
            <w:vAlign w:val="bottom"/>
          </w:tcPr>
          <w:p>
            <w:pPr>
              <w:ind w:left="2280"/>
              <w:spacing w:after="0"/>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39</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112,074</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125,076</w:t>
            </w:r>
          </w:p>
        </w:tc>
        <w:tc>
          <w:tcPr>
            <w:tcW w:w="17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26.22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Retail</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1515 Broadway</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4,000</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4,000</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121.00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1372 Broadway</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710</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645</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39.14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80" w:type="dxa"/>
            <w:vAlign w:val="bottom"/>
          </w:tcPr>
          <w:p>
            <w:pPr>
              <w:ind w:left="2280"/>
              <w:spacing w:after="0"/>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4,710</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4,645</w:t>
            </w:r>
          </w:p>
        </w:tc>
        <w:tc>
          <w:tcPr>
            <w:tcW w:w="17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109.63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Move Outs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6000" w:type="dxa"/>
            <w:vAlign w:val="bottom"/>
            <w:gridSpan w:val="2"/>
          </w:tcPr>
          <w:p>
            <w:pPr>
              <w:spacing w:after="0"/>
              <w:rPr>
                <w:sz w:val="20"/>
                <w:szCs w:val="20"/>
                <w:color w:val="auto"/>
              </w:rPr>
            </w:pPr>
            <w:r>
              <w:rPr>
                <w:rFonts w:ascii="Arial" w:cs="Arial" w:eastAsia="Arial" w:hAnsi="Arial"/>
                <w:sz w:val="12"/>
                <w:szCs w:val="12"/>
                <w:color w:val="auto"/>
              </w:rPr>
              <w:t>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1 Park Avenue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16,205</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20,462</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180 Madison Avenue</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2</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5,186</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5,186</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29.46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100 Park Avenue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7,745</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9,776</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555 West 57th Street</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5,043</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5,400</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20.00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70 West 36th Street</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7,879</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10,000</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color w:val="auto"/>
              </w:rPr>
              <w:t>1372 Broadway</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33,685</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42,685</w:t>
            </w:r>
          </w:p>
        </w:tc>
        <w:tc>
          <w:tcPr>
            <w:tcW w:w="1760" w:type="dxa"/>
            <w:vAlign w:val="bottom"/>
          </w:tcPr>
          <w:p>
            <w:pPr>
              <w:jc w:val="right"/>
              <w:spacing w:after="0" w:line="137" w:lineRule="exact"/>
              <w:rPr>
                <w:sz w:val="20"/>
                <w:szCs w:val="20"/>
                <w:color w:val="auto"/>
              </w:rPr>
            </w:pPr>
            <w:r>
              <w:rPr>
                <w:rFonts w:ascii="Arial" w:cs="Arial" w:eastAsia="Arial" w:hAnsi="Arial"/>
                <w:sz w:val="12"/>
                <w:szCs w:val="12"/>
                <w:color w:val="auto"/>
              </w:rPr>
              <w:t>22.09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1466 Broadway</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3</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590</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759</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48.68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80" w:type="dxa"/>
            <w:vAlign w:val="bottom"/>
          </w:tcPr>
          <w:p>
            <w:pPr>
              <w:ind w:left="2280"/>
              <w:spacing w:after="0"/>
              <w:rPr>
                <w:sz w:val="20"/>
                <w:szCs w:val="20"/>
                <w:color w:val="auto"/>
              </w:rPr>
            </w:pPr>
            <w:r>
              <w:rPr>
                <w:rFonts w:ascii="Arial" w:cs="Arial" w:eastAsia="Arial" w:hAnsi="Arial"/>
                <w:sz w:val="12"/>
                <w:szCs w:val="12"/>
                <w:color w:val="auto"/>
              </w:rPr>
              <w:t>420 Lexington Avenue</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6,509</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6,729</w:t>
            </w:r>
          </w:p>
        </w:tc>
        <w:tc>
          <w:tcPr>
            <w:tcW w:w="1760" w:type="dxa"/>
            <w:vAlign w:val="bottom"/>
          </w:tcPr>
          <w:p>
            <w:pPr>
              <w:jc w:val="right"/>
              <w:spacing w:after="0"/>
              <w:rPr>
                <w:sz w:val="20"/>
                <w:szCs w:val="20"/>
                <w:color w:val="auto"/>
              </w:rPr>
            </w:pPr>
            <w:r>
              <w:rPr>
                <w:rFonts w:ascii="Arial" w:cs="Arial" w:eastAsia="Arial" w:hAnsi="Arial"/>
                <w:sz w:val="12"/>
                <w:szCs w:val="12"/>
                <w:color w:val="auto"/>
              </w:rPr>
              <w:t>28.48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12</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82,842</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100,997</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26.14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spacing w:after="0" w:line="137" w:lineRule="exact"/>
              <w:rPr>
                <w:sz w:val="20"/>
                <w:szCs w:val="20"/>
                <w:color w:val="auto"/>
              </w:rPr>
            </w:pPr>
            <w:r>
              <w:rPr>
                <w:rFonts w:ascii="Arial" w:cs="Arial" w:eastAsia="Arial" w:hAnsi="Arial"/>
                <w:sz w:val="12"/>
                <w:szCs w:val="12"/>
                <w:color w:val="auto"/>
              </w:rPr>
              <w:t>Retail</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color w:val="auto"/>
              </w:rPr>
              <w:t>217 Madison Avenue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500</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500</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199.65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228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tcPr>
          <w:p>
            <w:pPr>
              <w:jc w:val="right"/>
              <w:ind w:right="220"/>
              <w:spacing w:after="0" w:line="137" w:lineRule="exact"/>
              <w:rPr>
                <w:sz w:val="20"/>
                <w:szCs w:val="20"/>
                <w:color w:val="auto"/>
              </w:rPr>
            </w:pPr>
            <w:r>
              <w:rPr>
                <w:rFonts w:ascii="Arial" w:cs="Arial" w:eastAsia="Arial" w:hAnsi="Arial"/>
                <w:sz w:val="12"/>
                <w:szCs w:val="12"/>
                <w:b w:val="1"/>
                <w:bCs w:val="1"/>
                <w:color w:val="auto"/>
              </w:rPr>
              <w:t>1</w:t>
            </w: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b w:val="1"/>
                <w:bCs w:val="1"/>
                <w:color w:val="auto"/>
              </w:rPr>
              <w:t>500</w:t>
            </w:r>
          </w:p>
        </w:tc>
        <w:tc>
          <w:tcPr>
            <w:tcW w:w="1280" w:type="dxa"/>
            <w:vAlign w:val="bottom"/>
            <w:gridSpan w:val="2"/>
          </w:tcPr>
          <w:p>
            <w:pPr>
              <w:jc w:val="right"/>
              <w:ind w:right="220"/>
              <w:spacing w:after="0" w:line="137" w:lineRule="exact"/>
              <w:rPr>
                <w:sz w:val="20"/>
                <w:szCs w:val="20"/>
                <w:color w:val="auto"/>
              </w:rPr>
            </w:pPr>
            <w:r>
              <w:rPr>
                <w:rFonts w:ascii="Arial" w:cs="Arial" w:eastAsia="Arial" w:hAnsi="Arial"/>
                <w:sz w:val="12"/>
                <w:szCs w:val="12"/>
                <w:b w:val="1"/>
                <w:bCs w:val="1"/>
                <w:color w:val="auto"/>
              </w:rPr>
              <w:t>500</w:t>
            </w:r>
          </w:p>
        </w:tc>
        <w:tc>
          <w:tcPr>
            <w:tcW w:w="17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199.65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Evicted Tenants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6000" w:type="dxa"/>
            <w:vAlign w:val="bottom"/>
            <w:gridSpan w:val="2"/>
          </w:tcPr>
          <w:p>
            <w:pPr>
              <w:spacing w:after="0"/>
              <w:rPr>
                <w:sz w:val="20"/>
                <w:szCs w:val="20"/>
                <w:color w:val="auto"/>
              </w:rPr>
            </w:pPr>
            <w:r>
              <w:rPr>
                <w:rFonts w:ascii="Arial" w:cs="Arial" w:eastAsia="Arial" w:hAnsi="Arial"/>
                <w:sz w:val="12"/>
                <w:szCs w:val="12"/>
                <w:color w:val="auto"/>
              </w:rPr>
              <w:t>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29.34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spacing w:after="0" w:line="137" w:lineRule="exact"/>
              <w:rPr>
                <w:sz w:val="20"/>
                <w:szCs w:val="20"/>
                <w:color w:val="auto"/>
              </w:rPr>
            </w:pPr>
            <w:r>
              <w:rPr>
                <w:rFonts w:ascii="Arial" w:cs="Arial" w:eastAsia="Arial" w:hAnsi="Arial"/>
                <w:sz w:val="12"/>
                <w:szCs w:val="12"/>
                <w:color w:val="auto"/>
              </w:rPr>
              <w:t>Retail</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Arial" w:cs="Arial" w:eastAsia="Arial" w:hAnsi="Arial"/>
                <w:sz w:val="12"/>
                <w:szCs w:val="12"/>
                <w:b w:val="1"/>
                <w:bCs w:val="1"/>
                <w:color w:val="auto"/>
              </w:rPr>
              <w:t>Relocating Tenants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98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9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Office</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80" w:type="dxa"/>
            <w:vAlign w:val="bottom"/>
          </w:tcPr>
          <w:p>
            <w:pPr>
              <w:ind w:left="2280"/>
              <w:spacing w:after="0"/>
              <w:rPr>
                <w:sz w:val="20"/>
                <w:szCs w:val="20"/>
                <w:color w:val="auto"/>
              </w:rPr>
            </w:pPr>
            <w:r>
              <w:rPr>
                <w:rFonts w:ascii="Arial" w:cs="Arial" w:eastAsia="Arial" w:hAnsi="Arial"/>
                <w:sz w:val="12"/>
                <w:szCs w:val="12"/>
                <w:color w:val="auto"/>
              </w:rPr>
              <w:t>1466 Broadway</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242</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242</w:t>
            </w:r>
          </w:p>
        </w:tc>
        <w:tc>
          <w:tcPr>
            <w:tcW w:w="1760" w:type="dxa"/>
            <w:vAlign w:val="bottom"/>
          </w:tcPr>
          <w:p>
            <w:pPr>
              <w:jc w:val="right"/>
              <w:spacing w:after="0"/>
              <w:rPr>
                <w:sz w:val="20"/>
                <w:szCs w:val="20"/>
                <w:color w:val="auto"/>
              </w:rPr>
            </w:pPr>
            <w:r>
              <w:rPr>
                <w:rFonts w:ascii="Arial" w:cs="Arial" w:eastAsia="Arial" w:hAnsi="Arial"/>
                <w:sz w:val="12"/>
                <w:szCs w:val="12"/>
                <w:color w:val="auto"/>
              </w:rPr>
              <w:t>44.63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1</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242</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242</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44.63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Arial" w:cs="Arial" w:eastAsia="Arial" w:hAnsi="Arial"/>
                <w:sz w:val="12"/>
                <w:szCs w:val="12"/>
                <w:b w:val="1"/>
                <w:bCs w:val="1"/>
                <w:color w:val="auto"/>
              </w:rPr>
              <w:t>Available Space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98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b w:val="1"/>
                <w:bCs w:val="1"/>
                <w:color w:val="auto"/>
              </w:rPr>
              <w:t>Office</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52</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195,158</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226,315</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26.20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980" w:type="dxa"/>
            <w:vAlign w:val="bottom"/>
          </w:tcPr>
          <w:p>
            <w:pPr>
              <w:ind w:left="2280"/>
              <w:spacing w:after="0"/>
              <w:rPr>
                <w:sz w:val="20"/>
                <w:szCs w:val="20"/>
                <w:color w:val="auto"/>
              </w:rPr>
            </w:pPr>
            <w:r>
              <w:rPr>
                <w:rFonts w:ascii="Arial" w:cs="Arial" w:eastAsia="Arial" w:hAnsi="Arial"/>
                <w:sz w:val="12"/>
                <w:szCs w:val="12"/>
                <w:b w:val="1"/>
                <w:bCs w:val="1"/>
                <w:color w:val="auto"/>
              </w:rPr>
              <w:t>Retail</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5,210</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5,145</w:t>
            </w:r>
          </w:p>
        </w:tc>
        <w:tc>
          <w:tcPr>
            <w:tcW w:w="1760" w:type="dxa"/>
            <w:vAlign w:val="bottom"/>
          </w:tcPr>
          <w:p>
            <w:pPr>
              <w:jc w:val="right"/>
              <w:spacing w:after="0"/>
              <w:rPr>
                <w:sz w:val="20"/>
                <w:szCs w:val="20"/>
                <w:color w:val="auto"/>
              </w:rPr>
            </w:pPr>
            <w:r>
              <w:rPr>
                <w:rFonts w:ascii="Arial" w:cs="Arial" w:eastAsia="Arial" w:hAnsi="Arial"/>
                <w:sz w:val="12"/>
                <w:szCs w:val="12"/>
                <w:color w:val="auto"/>
              </w:rPr>
              <w:t>118.38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ind w:left="2280"/>
              <w:spacing w:after="0" w:line="137" w:lineRule="exact"/>
              <w:rPr>
                <w:sz w:val="20"/>
                <w:szCs w:val="20"/>
                <w:color w:val="auto"/>
              </w:rPr>
            </w:pPr>
            <w:r>
              <w:rPr>
                <w:rFonts w:ascii="Arial" w:cs="Arial" w:eastAsia="Arial" w:hAnsi="Arial"/>
                <w:sz w:val="12"/>
                <w:szCs w:val="12"/>
                <w:b w:val="1"/>
                <w:bCs w:val="1"/>
                <w:color w:val="auto"/>
              </w:rPr>
              <w:t>Total</w:t>
            </w:r>
          </w:p>
        </w:tc>
        <w:tc>
          <w:tcPr>
            <w:tcW w:w="11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55</w:t>
            </w:r>
          </w:p>
        </w:tc>
        <w:tc>
          <w:tcPr>
            <w:tcW w:w="124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200,368</w:t>
            </w:r>
          </w:p>
        </w:tc>
        <w:tc>
          <w:tcPr>
            <w:tcW w:w="12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231,460</w:t>
            </w:r>
          </w:p>
        </w:tc>
        <w:tc>
          <w:tcPr>
            <w:tcW w:w="1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28.25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tcPr>
          <w:p>
            <w:pPr>
              <w:ind w:left="1220"/>
              <w:spacing w:after="0" w:line="137" w:lineRule="exact"/>
              <w:rPr>
                <w:sz w:val="20"/>
                <w:szCs w:val="20"/>
                <w:color w:val="auto"/>
              </w:rPr>
            </w:pPr>
            <w:r>
              <w:rPr>
                <w:rFonts w:ascii="Arial" w:cs="Arial" w:eastAsia="Arial" w:hAnsi="Arial"/>
                <w:sz w:val="12"/>
                <w:szCs w:val="12"/>
                <w:b w:val="1"/>
                <w:bCs w:val="1"/>
                <w:color w:val="auto"/>
              </w:rPr>
              <w:t>Available Space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right"/>
              <w:ind w:right="220"/>
              <w:spacing w:after="0" w:line="137" w:lineRule="exact"/>
              <w:rPr>
                <w:sz w:val="20"/>
                <w:szCs w:val="20"/>
                <w:color w:val="auto"/>
              </w:rPr>
            </w:pPr>
            <w:r>
              <w:rPr>
                <w:rFonts w:ascii="Arial" w:cs="Arial" w:eastAsia="Arial" w:hAnsi="Arial"/>
                <w:sz w:val="12"/>
                <w:szCs w:val="12"/>
                <w:b w:val="1"/>
                <w:bCs w:val="1"/>
                <w:color w:val="auto"/>
              </w:rPr>
              <w:t>537,390</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 Escalated Rent is calculated as Total Annual Income less Electric Charges.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-4156075</wp:posOffset>
            </wp:positionV>
            <wp:extent cx="12700" cy="762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-4156075</wp:posOffset>
            </wp:positionV>
            <wp:extent cx="12700" cy="762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-4156075</wp:posOffset>
            </wp:positionV>
            <wp:extent cx="12700" cy="762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-4156075</wp:posOffset>
            </wp:positionV>
            <wp:extent cx="12700" cy="762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-4156075</wp:posOffset>
            </wp:positionV>
            <wp:extent cx="12700" cy="762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-4156075</wp:posOffset>
            </wp:positionV>
            <wp:extent cx="12700" cy="762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-4156075</wp:posOffset>
            </wp:positionV>
            <wp:extent cx="12700" cy="762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-4156075</wp:posOffset>
            </wp:positionV>
            <wp:extent cx="12700" cy="762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-3667760</wp:posOffset>
            </wp:positionV>
            <wp:extent cx="12700" cy="762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-3667760</wp:posOffset>
            </wp:positionV>
            <wp:extent cx="12700" cy="762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-3667760</wp:posOffset>
            </wp:positionV>
            <wp:extent cx="12700" cy="762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-3667760</wp:posOffset>
            </wp:positionV>
            <wp:extent cx="12700" cy="762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-3667760</wp:posOffset>
            </wp:positionV>
            <wp:extent cx="12700" cy="762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-3667760</wp:posOffset>
            </wp:positionV>
            <wp:extent cx="12700" cy="762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-3667760</wp:posOffset>
            </wp:positionV>
            <wp:extent cx="12700" cy="762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-3667760</wp:posOffset>
            </wp:positionV>
            <wp:extent cx="12700" cy="762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-3352165</wp:posOffset>
            </wp:positionV>
            <wp:extent cx="12700" cy="762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-3352165</wp:posOffset>
            </wp:positionV>
            <wp:extent cx="12700" cy="762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-2430145</wp:posOffset>
            </wp:positionV>
            <wp:extent cx="12700" cy="762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-2430145</wp:posOffset>
            </wp:positionV>
            <wp:extent cx="12700" cy="762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-2430145</wp:posOffset>
            </wp:positionV>
            <wp:extent cx="12700" cy="762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-2430145</wp:posOffset>
            </wp:positionV>
            <wp:extent cx="12700" cy="762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-2430145</wp:posOffset>
            </wp:positionV>
            <wp:extent cx="12700" cy="762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-2430145</wp:posOffset>
            </wp:positionV>
            <wp:extent cx="12700" cy="762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-2430145</wp:posOffset>
            </wp:positionV>
            <wp:extent cx="12700" cy="762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-2430145</wp:posOffset>
            </wp:positionV>
            <wp:extent cx="12700" cy="762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-1855470</wp:posOffset>
            </wp:positionV>
            <wp:extent cx="12700" cy="762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-1855470</wp:posOffset>
            </wp:positionV>
            <wp:extent cx="12700" cy="762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-1280160</wp:posOffset>
            </wp:positionV>
            <wp:extent cx="12700" cy="762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-1280160</wp:posOffset>
            </wp:positionV>
            <wp:extent cx="12700" cy="762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-964565</wp:posOffset>
            </wp:positionV>
            <wp:extent cx="12700" cy="762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-964565</wp:posOffset>
            </wp:positionV>
            <wp:extent cx="12700" cy="762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-964565</wp:posOffset>
            </wp:positionV>
            <wp:extent cx="12700" cy="762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-964565</wp:posOffset>
            </wp:positionV>
            <wp:extent cx="12700" cy="762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-964565</wp:posOffset>
            </wp:positionV>
            <wp:extent cx="12700" cy="762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-964565</wp:posOffset>
            </wp:positionV>
            <wp:extent cx="12700" cy="762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-964565</wp:posOffset>
            </wp:positionV>
            <wp:extent cx="12700" cy="762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-964565</wp:posOffset>
            </wp:positionV>
            <wp:extent cx="12700" cy="762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-649605</wp:posOffset>
            </wp:positionV>
            <wp:extent cx="12700" cy="762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-649605</wp:posOffset>
            </wp:positionV>
            <wp:extent cx="12700" cy="762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-334010</wp:posOffset>
            </wp:positionV>
            <wp:extent cx="12700" cy="762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-334010</wp:posOffset>
            </wp:positionV>
            <wp:extent cx="12700" cy="762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-334010</wp:posOffset>
            </wp:positionV>
            <wp:extent cx="12700" cy="762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-334010</wp:posOffset>
            </wp:positionV>
            <wp:extent cx="12700" cy="762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-334010</wp:posOffset>
            </wp:positionV>
            <wp:extent cx="12700" cy="762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-334010</wp:posOffset>
            </wp:positionV>
            <wp:extent cx="12700" cy="762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-334010</wp:posOffset>
            </wp:positionV>
            <wp:extent cx="12700" cy="762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-334010</wp:posOffset>
            </wp:positionV>
            <wp:extent cx="12700" cy="762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QUARTER—2002 LEASING ACTIVITY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Lease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Prev.</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Term</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New Cash Rent /</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w w:val="98"/>
              </w:rPr>
              <w:t>Escalated Rent/</w:t>
            </w:r>
          </w:p>
        </w:tc>
        <w:tc>
          <w:tcPr>
            <w:tcW w:w="9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T.I /</w:t>
            </w:r>
          </w:p>
        </w:tc>
        <w:tc>
          <w:tcPr>
            <w:tcW w:w="1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Free Rent</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Activity Type</w:t>
            </w:r>
          </w:p>
        </w:tc>
        <w:tc>
          <w:tcPr>
            <w:tcW w:w="2520" w:type="dxa"/>
            <w:vAlign w:val="bottom"/>
            <w:gridSpan w:val="2"/>
          </w:tcPr>
          <w:p>
            <w:pPr>
              <w:spacing w:after="0"/>
              <w:rPr>
                <w:sz w:val="20"/>
                <w:szCs w:val="20"/>
                <w:color w:val="auto"/>
              </w:rPr>
            </w:pPr>
            <w:r>
              <w:rPr>
                <w:rFonts w:ascii="Arial" w:cs="Arial" w:eastAsia="Arial" w:hAnsi="Arial"/>
                <w:sz w:val="12"/>
                <w:szCs w:val="12"/>
                <w:b w:val="1"/>
                <w:bCs w:val="1"/>
                <w:color w:val="auto"/>
              </w:rPr>
              <w:t>Building Address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 of Leases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(Yrs)</w:t>
            </w:r>
          </w:p>
        </w:tc>
        <w:tc>
          <w:tcPr>
            <w:tcW w:w="1020" w:type="dxa"/>
            <w:vAlign w:val="bottom"/>
            <w:gridSpan w:val="2"/>
          </w:tcPr>
          <w:p>
            <w:pPr>
              <w:ind w:left="360"/>
              <w:spacing w:after="0"/>
              <w:rPr>
                <w:sz w:val="20"/>
                <w:szCs w:val="20"/>
                <w:color w:val="auto"/>
              </w:rPr>
            </w:pPr>
            <w:r>
              <w:rPr>
                <w:rFonts w:ascii="Arial" w:cs="Arial" w:eastAsia="Arial" w:hAnsi="Arial"/>
                <w:sz w:val="12"/>
                <w:szCs w:val="12"/>
                <w:b w:val="1"/>
                <w:bCs w:val="1"/>
                <w:color w:val="auto"/>
              </w:rPr>
              <w:t>Usable SF</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Rentable SF</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Rentable SF*</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Rentable SF**</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Rentable SF</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 of Months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76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3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66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Available Space as 9/30/02</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537,390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Renewing Tenants</w:t>
            </w:r>
          </w:p>
        </w:tc>
        <w:tc>
          <w:tcPr>
            <w:tcW w:w="2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Office</w:t>
            </w:r>
          </w:p>
        </w:tc>
        <w:tc>
          <w:tcPr>
            <w:tcW w:w="2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line="137" w:lineRule="exact"/>
              <w:rPr>
                <w:sz w:val="20"/>
                <w:szCs w:val="20"/>
                <w:color w:val="auto"/>
              </w:rPr>
            </w:pPr>
            <w:r>
              <w:rPr>
                <w:rFonts w:ascii="Arial" w:cs="Arial" w:eastAsia="Arial" w:hAnsi="Arial"/>
                <w:sz w:val="12"/>
                <w:szCs w:val="12"/>
                <w:color w:val="auto"/>
                <w:w w:val="89"/>
              </w:rPr>
              <w:t>317</w:t>
            </w:r>
          </w:p>
        </w:tc>
        <w:tc>
          <w:tcPr>
            <w:tcW w:w="2320" w:type="dxa"/>
            <w:vAlign w:val="bottom"/>
          </w:tcPr>
          <w:p>
            <w:pPr>
              <w:ind w:left="20"/>
              <w:spacing w:after="0" w:line="137" w:lineRule="exact"/>
              <w:rPr>
                <w:sz w:val="20"/>
                <w:szCs w:val="20"/>
                <w:color w:val="auto"/>
              </w:rPr>
            </w:pPr>
            <w:r>
              <w:rPr>
                <w:rFonts w:ascii="Arial" w:cs="Arial" w:eastAsia="Arial" w:hAnsi="Arial"/>
                <w:sz w:val="12"/>
                <w:szCs w:val="12"/>
                <w:color w:val="auto"/>
              </w:rPr>
              <w:t>Madison Avenue</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4,807</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7,063</w:t>
            </w:r>
          </w:p>
        </w:tc>
        <w:tc>
          <w:tcPr>
            <w:tcW w:w="124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33.09</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17.85</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1370 Broadway</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1,730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2,515</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31.35</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29.06</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0.80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line="137" w:lineRule="exact"/>
              <w:rPr>
                <w:sz w:val="20"/>
                <w:szCs w:val="20"/>
                <w:color w:val="auto"/>
              </w:rPr>
            </w:pPr>
            <w:r>
              <w:rPr>
                <w:rFonts w:ascii="Arial" w:cs="Arial" w:eastAsia="Arial" w:hAnsi="Arial"/>
                <w:sz w:val="12"/>
                <w:szCs w:val="12"/>
                <w:color w:val="auto"/>
                <w:w w:val="89"/>
              </w:rPr>
              <w:t>180</w:t>
            </w:r>
          </w:p>
        </w:tc>
        <w:tc>
          <w:tcPr>
            <w:tcW w:w="2320" w:type="dxa"/>
            <w:vAlign w:val="bottom"/>
          </w:tcPr>
          <w:p>
            <w:pPr>
              <w:ind w:left="20"/>
              <w:spacing w:after="0" w:line="137" w:lineRule="exact"/>
              <w:rPr>
                <w:sz w:val="20"/>
                <w:szCs w:val="20"/>
                <w:color w:val="auto"/>
              </w:rPr>
            </w:pPr>
            <w:r>
              <w:rPr>
                <w:rFonts w:ascii="Arial" w:cs="Arial" w:eastAsia="Arial" w:hAnsi="Arial"/>
                <w:sz w:val="12"/>
                <w:szCs w:val="12"/>
                <w:color w:val="auto"/>
              </w:rPr>
              <w:t>Madison Avenue</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1,775</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2,313</w:t>
            </w:r>
          </w:p>
        </w:tc>
        <w:tc>
          <w:tcPr>
            <w:tcW w:w="124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36.00</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23.00</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0.80</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100</w:t>
            </w:r>
          </w:p>
        </w:tc>
        <w:tc>
          <w:tcPr>
            <w:tcW w:w="232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Park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832</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1,189</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47.50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52.00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2"/>
          </w:tcPr>
          <w:p>
            <w:pPr>
              <w:spacing w:after="0" w:line="137" w:lineRule="exact"/>
              <w:rPr>
                <w:sz w:val="20"/>
                <w:szCs w:val="20"/>
                <w:color w:val="auto"/>
              </w:rPr>
            </w:pPr>
            <w:r>
              <w:rPr>
                <w:rFonts w:ascii="Arial" w:cs="Arial" w:eastAsia="Arial" w:hAnsi="Arial"/>
                <w:sz w:val="12"/>
                <w:szCs w:val="12"/>
                <w:color w:val="auto"/>
              </w:rPr>
              <w:t>1466 Broadway</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965</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1,398</w:t>
            </w:r>
          </w:p>
        </w:tc>
        <w:tc>
          <w:tcPr>
            <w:tcW w:w="124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36.00</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29.79</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2.00</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420</w:t>
            </w:r>
          </w:p>
        </w:tc>
        <w:tc>
          <w:tcPr>
            <w:tcW w:w="232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Lexington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9,234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13,191</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34.41</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24.95</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0.04</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2"/>
                <w:szCs w:val="12"/>
                <w:b w:val="1"/>
                <w:bCs w:val="1"/>
                <w:color w:val="auto"/>
              </w:rPr>
              <w:t>Total/Weighted Average</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19,343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27,669</w:t>
            </w:r>
          </w:p>
        </w:tc>
        <w:tc>
          <w:tcPr>
            <w:tcW w:w="12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34.57</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24.76</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0.26</w:t>
            </w:r>
          </w:p>
        </w:tc>
        <w:tc>
          <w:tcPr>
            <w:tcW w:w="900" w:type="dxa"/>
            <w:vAlign w:val="bottom"/>
            <w:gridSpan w:val="2"/>
          </w:tcPr>
          <w:p>
            <w:pPr>
              <w:jc w:val="right"/>
              <w:spacing w:after="0"/>
              <w:rPr>
                <w:sz w:val="20"/>
                <w:szCs w:val="20"/>
                <w:color w:val="auto"/>
              </w:rPr>
            </w:pPr>
            <w:r>
              <w:rPr>
                <w:rFonts w:ascii="Arial" w:cs="Arial" w:eastAsia="Arial" w:hAnsi="Arial"/>
                <w:sz w:val="12"/>
                <w:szCs w:val="12"/>
                <w:b w:val="1"/>
                <w:bCs w:val="1"/>
                <w:color w:val="auto"/>
              </w:rPr>
              <w:t>0.8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Storage</w:t>
            </w:r>
          </w:p>
        </w:tc>
        <w:tc>
          <w:tcPr>
            <w:tcW w:w="2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Total/Weighted Average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Relocating Tenants</w:t>
            </w:r>
          </w:p>
        </w:tc>
        <w:tc>
          <w:tcPr>
            <w:tcW w:w="2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Office</w:t>
            </w: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1466 Broadway</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379</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573</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38.00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44.28</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4.36</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2"/>
                <w:szCs w:val="12"/>
                <w:b w:val="1"/>
                <w:bCs w:val="1"/>
                <w:color w:val="auto"/>
              </w:rPr>
              <w:t>Total/Weighted Average</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379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573</w:t>
            </w:r>
          </w:p>
        </w:tc>
        <w:tc>
          <w:tcPr>
            <w:tcW w:w="12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38.00</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44.28</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4.36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Expansion Tenants</w:t>
            </w:r>
          </w:p>
        </w:tc>
        <w:tc>
          <w:tcPr>
            <w:tcW w:w="2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Retail</w:t>
            </w: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1372 Broadway</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1,651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1,800</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90.00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100.00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2"/>
                <w:szCs w:val="12"/>
                <w:b w:val="1"/>
                <w:bCs w:val="1"/>
                <w:color w:val="auto"/>
              </w:rPr>
              <w:t>Total/Weighted Average</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15.0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1,651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1,800</w:t>
            </w:r>
          </w:p>
        </w:tc>
        <w:tc>
          <w:tcPr>
            <w:tcW w:w="12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90.00</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100.00</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b w:val="1"/>
                <w:bCs w:val="1"/>
                <w:color w:val="auto"/>
              </w:rPr>
              <w:t>4.0</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New Tenants Replacing Old Tenants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Office</w:t>
            </w: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317</w:t>
            </w:r>
          </w:p>
        </w:tc>
        <w:tc>
          <w:tcPr>
            <w:tcW w:w="232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Madison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3,421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5,105</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40.00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23.50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2"/>
          </w:tcPr>
          <w:p>
            <w:pPr>
              <w:spacing w:after="0" w:line="137" w:lineRule="exact"/>
              <w:rPr>
                <w:sz w:val="20"/>
                <w:szCs w:val="20"/>
                <w:color w:val="auto"/>
              </w:rPr>
            </w:pPr>
            <w:r>
              <w:rPr>
                <w:rFonts w:ascii="Arial" w:cs="Arial" w:eastAsia="Arial" w:hAnsi="Arial"/>
                <w:sz w:val="12"/>
                <w:szCs w:val="12"/>
                <w:color w:val="auto"/>
              </w:rPr>
              <w:t>1 Park Avenue</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10.5</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16,205</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20,462</w:t>
            </w:r>
          </w:p>
        </w:tc>
        <w:tc>
          <w:tcPr>
            <w:tcW w:w="124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26.00</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31.00</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180</w:t>
            </w:r>
          </w:p>
        </w:tc>
        <w:tc>
          <w:tcPr>
            <w:tcW w:w="232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Madison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1,886</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2,675</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37.58</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28.10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1.64</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line="137" w:lineRule="exact"/>
              <w:rPr>
                <w:sz w:val="20"/>
                <w:szCs w:val="20"/>
                <w:color w:val="auto"/>
              </w:rPr>
            </w:pPr>
            <w:r>
              <w:rPr>
                <w:rFonts w:ascii="Arial" w:cs="Arial" w:eastAsia="Arial" w:hAnsi="Arial"/>
                <w:sz w:val="12"/>
                <w:szCs w:val="12"/>
                <w:color w:val="auto"/>
                <w:w w:val="89"/>
              </w:rPr>
              <w:t>100</w:t>
            </w:r>
          </w:p>
        </w:tc>
        <w:tc>
          <w:tcPr>
            <w:tcW w:w="2320" w:type="dxa"/>
            <w:vAlign w:val="bottom"/>
          </w:tcPr>
          <w:p>
            <w:pPr>
              <w:ind w:left="20"/>
              <w:spacing w:after="0" w:line="137" w:lineRule="exact"/>
              <w:rPr>
                <w:sz w:val="20"/>
                <w:szCs w:val="20"/>
                <w:color w:val="auto"/>
              </w:rPr>
            </w:pPr>
            <w:r>
              <w:rPr>
                <w:rFonts w:ascii="Arial" w:cs="Arial" w:eastAsia="Arial" w:hAnsi="Arial"/>
                <w:sz w:val="12"/>
                <w:szCs w:val="12"/>
                <w:color w:val="auto"/>
              </w:rPr>
              <w:t>Park Avenue</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7,745</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10,058</w:t>
            </w:r>
          </w:p>
        </w:tc>
        <w:tc>
          <w:tcPr>
            <w:tcW w:w="124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37.30</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24.30</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20.00</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286</w:t>
            </w:r>
          </w:p>
        </w:tc>
        <w:tc>
          <w:tcPr>
            <w:tcW w:w="232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Madison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995</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1,422</w:t>
            </w:r>
          </w:p>
        </w:tc>
        <w:tc>
          <w:tcPr>
            <w:tcW w:w="12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33.00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24.75</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7.86</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w w:val="89"/>
              </w:rPr>
              <w:t>555</w:t>
            </w:r>
          </w:p>
        </w:tc>
        <w:tc>
          <w:tcPr>
            <w:tcW w:w="2320" w:type="dxa"/>
            <w:vAlign w:val="bottom"/>
          </w:tcPr>
          <w:p>
            <w:pPr>
              <w:ind w:left="20"/>
              <w:spacing w:after="0"/>
              <w:rPr>
                <w:sz w:val="20"/>
                <w:szCs w:val="20"/>
                <w:color w:val="auto"/>
              </w:rPr>
            </w:pPr>
            <w:r>
              <w:rPr>
                <w:rFonts w:ascii="Arial" w:cs="Arial" w:eastAsia="Arial" w:hAnsi="Arial"/>
                <w:sz w:val="12"/>
                <w:szCs w:val="12"/>
                <w:color w:val="auto"/>
              </w:rPr>
              <w:t>West 57th Street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5,043</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7,077</w:t>
            </w:r>
          </w:p>
        </w:tc>
        <w:tc>
          <w:tcPr>
            <w:tcW w:w="1240" w:type="dxa"/>
            <w:vAlign w:val="bottom"/>
            <w:gridSpan w:val="3"/>
          </w:tcPr>
          <w:p>
            <w:pPr>
              <w:jc w:val="right"/>
              <w:ind w:right="120"/>
              <w:spacing w:after="0"/>
              <w:rPr>
                <w:sz w:val="20"/>
                <w:szCs w:val="20"/>
                <w:color w:val="auto"/>
              </w:rPr>
            </w:pPr>
            <w:r>
              <w:rPr>
                <w:rFonts w:ascii="Arial" w:cs="Arial" w:eastAsia="Arial" w:hAnsi="Arial"/>
                <w:sz w:val="12"/>
                <w:szCs w:val="12"/>
                <w:color w:val="auto"/>
              </w:rPr>
              <w:t>36.00</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15.26</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-3932555</wp:posOffset>
            </wp:positionV>
            <wp:extent cx="12700" cy="762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-3932555</wp:posOffset>
            </wp:positionV>
            <wp:extent cx="12700" cy="762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-3932555</wp:posOffset>
            </wp:positionV>
            <wp:extent cx="12700" cy="762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-3932555</wp:posOffset>
            </wp:positionV>
            <wp:extent cx="12700" cy="762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-3932555</wp:posOffset>
            </wp:positionV>
            <wp:extent cx="12700" cy="762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-3932555</wp:posOffset>
            </wp:positionV>
            <wp:extent cx="12700" cy="762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-3932555</wp:posOffset>
            </wp:positionV>
            <wp:extent cx="12700" cy="762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-3932555</wp:posOffset>
            </wp:positionV>
            <wp:extent cx="12700" cy="762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-3932555</wp:posOffset>
            </wp:positionV>
            <wp:extent cx="12700" cy="762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-3932555</wp:posOffset>
            </wp:positionV>
            <wp:extent cx="12700" cy="762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-3932555</wp:posOffset>
            </wp:positionV>
            <wp:extent cx="12700" cy="762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-3932555</wp:posOffset>
            </wp:positionV>
            <wp:extent cx="12700" cy="762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-3932555</wp:posOffset>
            </wp:positionV>
            <wp:extent cx="12700" cy="762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-3932555</wp:posOffset>
            </wp:positionV>
            <wp:extent cx="12700" cy="762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-3932555</wp:posOffset>
            </wp:positionV>
            <wp:extent cx="12700" cy="762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-3932555</wp:posOffset>
            </wp:positionV>
            <wp:extent cx="12700" cy="762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-3932555</wp:posOffset>
            </wp:positionV>
            <wp:extent cx="12700" cy="762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-3932555</wp:posOffset>
            </wp:positionV>
            <wp:extent cx="12700" cy="762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-3932555</wp:posOffset>
            </wp:positionV>
            <wp:extent cx="12700" cy="762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-3932555</wp:posOffset>
            </wp:positionV>
            <wp:extent cx="12700" cy="762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-3617595</wp:posOffset>
            </wp:positionV>
            <wp:extent cx="12700" cy="762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-3617595</wp:posOffset>
            </wp:positionV>
            <wp:extent cx="12700" cy="762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-2868930</wp:posOffset>
            </wp:positionV>
            <wp:extent cx="12700" cy="762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-2868930</wp:posOffset>
            </wp:positionV>
            <wp:extent cx="12700" cy="762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-2868930</wp:posOffset>
            </wp:positionV>
            <wp:extent cx="12700" cy="762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-2868930</wp:posOffset>
            </wp:positionV>
            <wp:extent cx="12700" cy="762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-2868930</wp:posOffset>
            </wp:positionV>
            <wp:extent cx="12700" cy="762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-2868930</wp:posOffset>
            </wp:positionV>
            <wp:extent cx="12700" cy="762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-2868930</wp:posOffset>
            </wp:positionV>
            <wp:extent cx="12700" cy="762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-2868930</wp:posOffset>
            </wp:positionV>
            <wp:extent cx="12700" cy="762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-2868930</wp:posOffset>
            </wp:positionV>
            <wp:extent cx="12700" cy="762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-2868930</wp:posOffset>
            </wp:positionV>
            <wp:extent cx="12700" cy="762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-2868930</wp:posOffset>
            </wp:positionV>
            <wp:extent cx="12700" cy="762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-2868930</wp:posOffset>
            </wp:positionV>
            <wp:extent cx="12700" cy="762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-2868930</wp:posOffset>
            </wp:positionV>
            <wp:extent cx="12700" cy="762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-2868930</wp:posOffset>
            </wp:positionV>
            <wp:extent cx="12700" cy="762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-2868930</wp:posOffset>
            </wp:positionV>
            <wp:extent cx="12700" cy="762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-2868930</wp:posOffset>
            </wp:positionV>
            <wp:extent cx="12700" cy="762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-2238375</wp:posOffset>
            </wp:positionV>
            <wp:extent cx="12700" cy="762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-2238375</wp:posOffset>
            </wp:positionV>
            <wp:extent cx="12700" cy="762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-1922780</wp:posOffset>
            </wp:positionV>
            <wp:extent cx="12700" cy="762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-1922780</wp:posOffset>
            </wp:positionV>
            <wp:extent cx="12700" cy="762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-1922780</wp:posOffset>
            </wp:positionV>
            <wp:extent cx="12700" cy="762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-1922780</wp:posOffset>
            </wp:positionV>
            <wp:extent cx="12700" cy="762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-1922780</wp:posOffset>
            </wp:positionV>
            <wp:extent cx="12700" cy="762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-1922780</wp:posOffset>
            </wp:positionV>
            <wp:extent cx="12700" cy="762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-1922780</wp:posOffset>
            </wp:positionV>
            <wp:extent cx="12700" cy="762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-1922780</wp:posOffset>
            </wp:positionV>
            <wp:extent cx="12700" cy="762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-1922780</wp:posOffset>
            </wp:positionV>
            <wp:extent cx="12700" cy="762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-1922780</wp:posOffset>
            </wp:positionV>
            <wp:extent cx="12700" cy="762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-1922780</wp:posOffset>
            </wp:positionV>
            <wp:extent cx="12700" cy="762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-1922780</wp:posOffset>
            </wp:positionV>
            <wp:extent cx="12700" cy="762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-1922780</wp:posOffset>
            </wp:positionV>
            <wp:extent cx="12700" cy="762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-1922780</wp:posOffset>
            </wp:positionV>
            <wp:extent cx="12700" cy="762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-1922780</wp:posOffset>
            </wp:positionV>
            <wp:extent cx="12700" cy="762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-1922780</wp:posOffset>
            </wp:positionV>
            <wp:extent cx="12700" cy="762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-1466215</wp:posOffset>
            </wp:positionV>
            <wp:extent cx="12700" cy="762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-1466215</wp:posOffset>
            </wp:positionV>
            <wp:extent cx="12700" cy="762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-1150620</wp:posOffset>
            </wp:positionV>
            <wp:extent cx="12700" cy="762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-1150620</wp:posOffset>
            </wp:positionV>
            <wp:extent cx="12700" cy="762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-1150620</wp:posOffset>
            </wp:positionV>
            <wp:extent cx="12700" cy="762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-1150620</wp:posOffset>
            </wp:positionV>
            <wp:extent cx="12700" cy="762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-1150620</wp:posOffset>
            </wp:positionV>
            <wp:extent cx="12700" cy="762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-1150620</wp:posOffset>
            </wp:positionV>
            <wp:extent cx="12700" cy="762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-1150620</wp:posOffset>
            </wp:positionV>
            <wp:extent cx="12700" cy="762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-1150620</wp:posOffset>
            </wp:positionV>
            <wp:extent cx="12700" cy="762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-1150620</wp:posOffset>
            </wp:positionV>
            <wp:extent cx="12700" cy="762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-1150620</wp:posOffset>
            </wp:positionV>
            <wp:extent cx="12700" cy="762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-1150620</wp:posOffset>
            </wp:positionV>
            <wp:extent cx="12700" cy="762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-1150620</wp:posOffset>
            </wp:positionV>
            <wp:extent cx="12700" cy="762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-1150620</wp:posOffset>
            </wp:positionV>
            <wp:extent cx="12700" cy="762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-1150620</wp:posOffset>
            </wp:positionV>
            <wp:extent cx="12700" cy="762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-1150620</wp:posOffset>
            </wp:positionV>
            <wp:extent cx="12700" cy="762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-1150620</wp:posOffset>
            </wp:positionV>
            <wp:extent cx="12700" cy="762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-694055</wp:posOffset>
            </wp:positionV>
            <wp:extent cx="12700" cy="762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-694055</wp:posOffset>
            </wp:positionV>
            <wp:extent cx="12700" cy="762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27" w:orient="portrait"/>
          <w:cols w:equalWidth="0" w:num="1">
            <w:col w:w="11420"/>
          </w:cols>
          <w:pgMar w:left="240" w:top="138" w:right="239" w:bottom="0" w:gutter="0" w:footer="0" w:header="0"/>
        </w:sectPr>
      </w:pPr>
    </w:p>
    <w:bookmarkStart w:id="19" w:name="page20"/>
    <w:bookmarkEnd w:id="19"/>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shd w:val="clear" w:color="auto" w:fill="CCEEFF"/>
          </w:tcPr>
          <w:p>
            <w:pPr>
              <w:ind w:left="1160"/>
              <w:spacing w:after="0"/>
              <w:rPr>
                <w:sz w:val="20"/>
                <w:szCs w:val="20"/>
                <w:color w:val="auto"/>
              </w:rPr>
            </w:pPr>
            <w:r>
              <w:rPr>
                <w:rFonts w:ascii="Arial" w:cs="Arial" w:eastAsia="Arial" w:hAnsi="Arial"/>
                <w:sz w:val="12"/>
                <w:szCs w:val="12"/>
                <w:color w:val="auto"/>
              </w:rPr>
              <w:t>70 West 36th Street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6,063</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7,675</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17.00</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00" w:type="dxa"/>
            <w:vAlign w:val="bottom"/>
          </w:tcPr>
          <w:p>
            <w:pPr>
              <w:ind w:left="1160"/>
              <w:spacing w:after="0" w:line="137" w:lineRule="exact"/>
              <w:rPr>
                <w:sz w:val="20"/>
                <w:szCs w:val="20"/>
                <w:color w:val="auto"/>
              </w:rPr>
            </w:pPr>
            <w:r>
              <w:rPr>
                <w:rFonts w:ascii="Arial" w:cs="Arial" w:eastAsia="Arial" w:hAnsi="Arial"/>
                <w:sz w:val="12"/>
                <w:szCs w:val="12"/>
                <w:color w:val="auto"/>
              </w:rPr>
              <w:t>1372 Broadway</w:t>
            </w: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14.6</w:t>
            </w:r>
          </w:p>
        </w:tc>
        <w:tc>
          <w:tcPr>
            <w:tcW w:w="10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34,705</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45,208</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46.25</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31.76</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24.60</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1160"/>
              <w:spacing w:after="0" w:line="137" w:lineRule="exact"/>
              <w:rPr>
                <w:sz w:val="20"/>
                <w:szCs w:val="20"/>
                <w:color w:val="auto"/>
              </w:rPr>
            </w:pPr>
            <w:r>
              <w:rPr>
                <w:rFonts w:ascii="Arial" w:cs="Arial" w:eastAsia="Arial" w:hAnsi="Arial"/>
                <w:sz w:val="12"/>
                <w:szCs w:val="12"/>
                <w:color w:val="auto"/>
              </w:rPr>
              <w:t>110 East 42nd Street</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5.0</w:t>
            </w:r>
          </w:p>
        </w:tc>
        <w:tc>
          <w:tcPr>
            <w:tcW w:w="10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1,387</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1,983</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38.08</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22.55</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20.19</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ind w:left="1160"/>
              <w:spacing w:after="0" w:line="137" w:lineRule="exact"/>
              <w:rPr>
                <w:sz w:val="20"/>
                <w:szCs w:val="20"/>
                <w:color w:val="auto"/>
              </w:rPr>
            </w:pPr>
            <w:r>
              <w:rPr>
                <w:rFonts w:ascii="Arial" w:cs="Arial" w:eastAsia="Arial" w:hAnsi="Arial"/>
                <w:sz w:val="12"/>
                <w:szCs w:val="12"/>
                <w:color w:val="auto"/>
              </w:rPr>
              <w:t>440 Ninth Avenue</w:t>
            </w: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10.0</w:t>
            </w:r>
          </w:p>
        </w:tc>
        <w:tc>
          <w:tcPr>
            <w:tcW w:w="10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35,141</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45,500</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26.00</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20.00</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39.51</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1160"/>
              <w:spacing w:after="0" w:line="137" w:lineRule="exact"/>
              <w:rPr>
                <w:sz w:val="20"/>
                <w:szCs w:val="20"/>
                <w:color w:val="auto"/>
              </w:rPr>
            </w:pPr>
            <w:r>
              <w:rPr>
                <w:rFonts w:ascii="Arial" w:cs="Arial" w:eastAsia="Arial" w:hAnsi="Arial"/>
                <w:sz w:val="12"/>
                <w:szCs w:val="12"/>
                <w:color w:val="auto"/>
              </w:rPr>
              <w:t>1466 Broadway</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2.3</w:t>
            </w:r>
          </w:p>
        </w:tc>
        <w:tc>
          <w:tcPr>
            <w:tcW w:w="10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884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1,217</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39.32</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31.68</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7.05</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0" w:type="dxa"/>
            <w:vAlign w:val="bottom"/>
          </w:tcPr>
          <w:p>
            <w:pPr>
              <w:ind w:left="1160"/>
              <w:spacing w:after="0"/>
              <w:rPr>
                <w:sz w:val="20"/>
                <w:szCs w:val="20"/>
                <w:color w:val="auto"/>
              </w:rPr>
            </w:pPr>
            <w:r>
              <w:rPr>
                <w:rFonts w:ascii="Arial" w:cs="Arial" w:eastAsia="Arial" w:hAnsi="Arial"/>
                <w:sz w:val="12"/>
                <w:szCs w:val="12"/>
                <w:color w:val="auto"/>
              </w:rPr>
              <w:t>420 Lexington Avenue</w:t>
            </w:r>
          </w:p>
        </w:tc>
        <w:tc>
          <w:tcPr>
            <w:tcW w:w="700" w:type="dxa"/>
            <w:vAlign w:val="bottom"/>
          </w:tcPr>
          <w:p>
            <w:pPr>
              <w:jc w:val="right"/>
              <w:spacing w:after="0"/>
              <w:rPr>
                <w:sz w:val="20"/>
                <w:szCs w:val="20"/>
                <w:color w:val="auto"/>
              </w:rPr>
            </w:pPr>
            <w:r>
              <w:rPr>
                <w:rFonts w:ascii="Arial" w:cs="Arial" w:eastAsia="Arial" w:hAnsi="Arial"/>
                <w:sz w:val="12"/>
                <w:szCs w:val="12"/>
                <w:color w:val="auto"/>
              </w:rPr>
              <w:t>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4.1</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7,686</w:t>
            </w:r>
          </w:p>
        </w:tc>
        <w:tc>
          <w:tcPr>
            <w:tcW w:w="1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11,335</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38.97</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34.07</w:t>
            </w:r>
          </w:p>
        </w:tc>
        <w:tc>
          <w:tcPr>
            <w:tcW w:w="900" w:type="dxa"/>
            <w:vAlign w:val="bottom"/>
          </w:tcPr>
          <w:p>
            <w:pPr>
              <w:jc w:val="right"/>
              <w:spacing w:after="0"/>
              <w:rPr>
                <w:sz w:val="20"/>
                <w:szCs w:val="20"/>
                <w:color w:val="auto"/>
              </w:rPr>
            </w:pPr>
            <w:r>
              <w:rPr>
                <w:rFonts w:ascii="Arial" w:cs="Arial" w:eastAsia="Arial" w:hAnsi="Arial"/>
                <w:sz w:val="12"/>
                <w:szCs w:val="12"/>
                <w:color w:val="auto"/>
              </w:rPr>
              <w:t>4.12</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116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20</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10.5</w:t>
            </w:r>
          </w:p>
        </w:tc>
        <w:tc>
          <w:tcPr>
            <w:tcW w:w="10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121,161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159,717</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34.62</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25.68</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21.37</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ind w:left="620"/>
              <w:spacing w:after="0" w:line="137" w:lineRule="exact"/>
              <w:rPr>
                <w:sz w:val="20"/>
                <w:szCs w:val="20"/>
                <w:color w:val="auto"/>
              </w:rPr>
            </w:pPr>
            <w:r>
              <w:rPr>
                <w:rFonts w:ascii="Arial" w:cs="Arial" w:eastAsia="Arial" w:hAnsi="Arial"/>
                <w:sz w:val="12"/>
                <w:szCs w:val="12"/>
                <w:color w:val="auto"/>
              </w:rPr>
              <w:t>Retail</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1160"/>
              <w:spacing w:after="0" w:line="137" w:lineRule="exact"/>
              <w:rPr>
                <w:sz w:val="20"/>
                <w:szCs w:val="20"/>
                <w:color w:val="auto"/>
              </w:rPr>
            </w:pPr>
            <w:r>
              <w:rPr>
                <w:rFonts w:ascii="Arial" w:cs="Arial" w:eastAsia="Arial" w:hAnsi="Arial"/>
                <w:sz w:val="12"/>
                <w:szCs w:val="12"/>
                <w:color w:val="auto"/>
              </w:rPr>
              <w:t>317 Madison Avenue</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w:t>
            </w:r>
          </w:p>
        </w:tc>
        <w:tc>
          <w:tcPr>
            <w:tcW w:w="10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501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501</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150.00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199.65</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0" w:type="dxa"/>
            <w:vAlign w:val="bottom"/>
          </w:tcPr>
          <w:p>
            <w:pPr>
              <w:ind w:left="1160"/>
              <w:spacing w:after="0"/>
              <w:rPr>
                <w:sz w:val="20"/>
                <w:szCs w:val="20"/>
                <w:color w:val="auto"/>
              </w:rPr>
            </w:pPr>
            <w:r>
              <w:rPr>
                <w:rFonts w:ascii="Arial" w:cs="Arial" w:eastAsia="Arial" w:hAnsi="Arial"/>
                <w:sz w:val="12"/>
                <w:szCs w:val="12"/>
                <w:color w:val="auto"/>
              </w:rPr>
              <w:t>1372 Broadway</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10.1</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710</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710</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45.00</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37.14</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800" w:type="dxa"/>
            <w:vAlign w:val="bottom"/>
            <w:shd w:val="clear" w:color="auto" w:fill="CCEEFF"/>
          </w:tcPr>
          <w:p>
            <w:pPr>
              <w:ind w:left="1160"/>
              <w:spacing w:after="0" w:line="137" w:lineRule="exact"/>
              <w:rPr>
                <w:sz w:val="20"/>
                <w:szCs w:val="20"/>
                <w:color w:val="auto"/>
              </w:rPr>
            </w:pPr>
            <w:r>
              <w:rPr>
                <w:rFonts w:ascii="Arial" w:cs="Arial" w:eastAsia="Arial" w:hAnsi="Arial"/>
                <w:sz w:val="12"/>
                <w:szCs w:val="12"/>
                <w:b w:val="1"/>
                <w:bCs w:val="1"/>
                <w:color w:val="auto"/>
              </w:rPr>
              <w:t>Total/Weighted Average</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6.9</w:t>
            </w:r>
          </w:p>
        </w:tc>
        <w:tc>
          <w:tcPr>
            <w:tcW w:w="114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1,211</w:t>
            </w:r>
          </w:p>
        </w:tc>
        <w:tc>
          <w:tcPr>
            <w:tcW w:w="10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1,211</w:t>
            </w: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88.40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100.40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0.5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-649605</wp:posOffset>
            </wp:positionV>
            <wp:extent cx="12700" cy="762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-649605</wp:posOffset>
            </wp:positionV>
            <wp:extent cx="12700" cy="762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-649605</wp:posOffset>
            </wp:positionV>
            <wp:extent cx="12700" cy="762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-649605</wp:posOffset>
            </wp:positionV>
            <wp:extent cx="12700" cy="762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-649605</wp:posOffset>
            </wp:positionV>
            <wp:extent cx="12700" cy="762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-649605</wp:posOffset>
            </wp:positionV>
            <wp:extent cx="12700" cy="762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-649605</wp:posOffset>
            </wp:positionV>
            <wp:extent cx="12700" cy="762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-649605</wp:posOffset>
            </wp:positionV>
            <wp:extent cx="12700" cy="762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-649605</wp:posOffset>
            </wp:positionV>
            <wp:extent cx="12700" cy="762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-649605</wp:posOffset>
            </wp:positionV>
            <wp:extent cx="12700" cy="762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-649605</wp:posOffset>
            </wp:positionV>
            <wp:extent cx="12700" cy="762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-649605</wp:posOffset>
            </wp:positionV>
            <wp:extent cx="12700" cy="762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-649605</wp:posOffset>
            </wp:positionV>
            <wp:extent cx="12700" cy="762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-649605</wp:posOffset>
            </wp:positionV>
            <wp:extent cx="12700" cy="762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-649605</wp:posOffset>
            </wp:positionV>
            <wp:extent cx="12700" cy="762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-649605</wp:posOffset>
            </wp:positionV>
            <wp:extent cx="12700" cy="762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-160655</wp:posOffset>
            </wp:positionV>
            <wp:extent cx="12700" cy="762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-160655</wp:posOffset>
            </wp:positionV>
            <wp:extent cx="12700" cy="762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-160655</wp:posOffset>
            </wp:positionV>
            <wp:extent cx="12700" cy="762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-160655</wp:posOffset>
            </wp:positionV>
            <wp:extent cx="12700" cy="762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-160655</wp:posOffset>
            </wp:positionV>
            <wp:extent cx="12700" cy="762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-160655</wp:posOffset>
            </wp:positionV>
            <wp:extent cx="12700" cy="762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-160655</wp:posOffset>
            </wp:positionV>
            <wp:extent cx="12700" cy="762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-160655</wp:posOffset>
            </wp:positionV>
            <wp:extent cx="12700" cy="762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-160655</wp:posOffset>
            </wp:positionV>
            <wp:extent cx="12700" cy="762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-160655</wp:posOffset>
            </wp:positionV>
            <wp:extent cx="12700" cy="762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-160655</wp:posOffset>
            </wp:positionV>
            <wp:extent cx="12700" cy="762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-160655</wp:posOffset>
            </wp:positionV>
            <wp:extent cx="12700" cy="762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-160655</wp:posOffset>
            </wp:positionV>
            <wp:extent cx="12700" cy="762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-160655</wp:posOffset>
            </wp:positionV>
            <wp:extent cx="12700" cy="762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-160655</wp:posOffset>
            </wp:positionV>
            <wp:extent cx="12700" cy="762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-160655</wp:posOffset>
            </wp:positionV>
            <wp:extent cx="12700" cy="762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QUARTER—2002 LEASING ACTIVITY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Lease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Prev.</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Term</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New Cash Rent /</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w w:val="98"/>
              </w:rPr>
              <w:t>Escalated Rent/</w:t>
            </w:r>
          </w:p>
        </w:tc>
        <w:tc>
          <w:tcPr>
            <w:tcW w:w="9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T.I /</w:t>
            </w:r>
          </w:p>
        </w:tc>
        <w:tc>
          <w:tcPr>
            <w:tcW w:w="120" w:type="dxa"/>
            <w:vAlign w:val="bottom"/>
          </w:tcPr>
          <w:p>
            <w:pPr>
              <w:spacing w:after="0"/>
              <w:rPr>
                <w:sz w:val="11"/>
                <w:szCs w:val="11"/>
                <w:color w:val="auto"/>
              </w:rPr>
            </w:pPr>
          </w:p>
        </w:tc>
        <w:tc>
          <w:tcPr>
            <w:tcW w:w="800" w:type="dxa"/>
            <w:vAlign w:val="bottom"/>
            <w:gridSpan w:val="2"/>
          </w:tcPr>
          <w:p>
            <w:pPr>
              <w:jc w:val="right"/>
              <w:ind w:right="20"/>
              <w:spacing w:after="0" w:line="137" w:lineRule="exact"/>
              <w:rPr>
                <w:sz w:val="20"/>
                <w:szCs w:val="20"/>
                <w:color w:val="auto"/>
              </w:rPr>
            </w:pPr>
            <w:r>
              <w:rPr>
                <w:rFonts w:ascii="Arial" w:cs="Arial" w:eastAsia="Arial" w:hAnsi="Arial"/>
                <w:sz w:val="12"/>
                <w:szCs w:val="12"/>
                <w:b w:val="1"/>
                <w:bCs w:val="1"/>
                <w:color w:val="auto"/>
              </w:rPr>
              <w:t>Free Rent</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Activity Type</w:t>
            </w:r>
          </w:p>
        </w:tc>
        <w:tc>
          <w:tcPr>
            <w:tcW w:w="2520" w:type="dxa"/>
            <w:vAlign w:val="bottom"/>
          </w:tcPr>
          <w:p>
            <w:pPr>
              <w:spacing w:after="0"/>
              <w:rPr>
                <w:sz w:val="20"/>
                <w:szCs w:val="20"/>
                <w:color w:val="auto"/>
              </w:rPr>
            </w:pPr>
            <w:r>
              <w:rPr>
                <w:rFonts w:ascii="Arial" w:cs="Arial" w:eastAsia="Arial" w:hAnsi="Arial"/>
                <w:sz w:val="12"/>
                <w:szCs w:val="12"/>
                <w:b w:val="1"/>
                <w:bCs w:val="1"/>
                <w:color w:val="auto"/>
              </w:rPr>
              <w:t>Building Address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 of Leases</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(Yrs)</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Usable SF</w:t>
            </w:r>
          </w:p>
        </w:tc>
        <w:tc>
          <w:tcPr>
            <w:tcW w:w="1000" w:type="dxa"/>
            <w:vAlign w:val="bottom"/>
            <w:gridSpan w:val="2"/>
          </w:tcPr>
          <w:p>
            <w:pPr>
              <w:ind w:left="240"/>
              <w:spacing w:after="0"/>
              <w:rPr>
                <w:sz w:val="20"/>
                <w:szCs w:val="20"/>
                <w:color w:val="auto"/>
              </w:rPr>
            </w:pPr>
            <w:r>
              <w:rPr>
                <w:rFonts w:ascii="Arial" w:cs="Arial" w:eastAsia="Arial" w:hAnsi="Arial"/>
                <w:sz w:val="12"/>
                <w:szCs w:val="12"/>
                <w:b w:val="1"/>
                <w:bCs w:val="1"/>
                <w:color w:val="auto"/>
              </w:rPr>
              <w:t>Rentable SF</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Rentable SF*</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Rentable SF**</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Rentable SF</w:t>
            </w:r>
          </w:p>
        </w:tc>
        <w:tc>
          <w:tcPr>
            <w:tcW w:w="12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 of Months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7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5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660" w:type="dxa"/>
            <w:vAlign w:val="bottom"/>
            <w:gridSpan w:val="3"/>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New Tenants Replacing Vacancies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Office</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1 Park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2079</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2,654</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22.00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Pr>
          <w:p>
            <w:pPr>
              <w:spacing w:after="0" w:line="137" w:lineRule="exact"/>
              <w:rPr>
                <w:sz w:val="20"/>
                <w:szCs w:val="20"/>
                <w:color w:val="auto"/>
              </w:rPr>
            </w:pPr>
            <w:r>
              <w:rPr>
                <w:rFonts w:ascii="Arial" w:cs="Arial" w:eastAsia="Arial" w:hAnsi="Arial"/>
                <w:sz w:val="12"/>
                <w:szCs w:val="12"/>
                <w:color w:val="auto"/>
              </w:rPr>
              <w:t>180 Madison Avenue</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660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1,081</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38.00</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321 West 44th Street</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1,163</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2,495</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26.00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43.00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Pr>
          <w:p>
            <w:pPr>
              <w:spacing w:after="0" w:line="137" w:lineRule="exact"/>
              <w:rPr>
                <w:sz w:val="20"/>
                <w:szCs w:val="20"/>
                <w:color w:val="auto"/>
              </w:rPr>
            </w:pPr>
            <w:r>
              <w:rPr>
                <w:rFonts w:ascii="Arial" w:cs="Arial" w:eastAsia="Arial" w:hAnsi="Arial"/>
                <w:sz w:val="12"/>
                <w:szCs w:val="12"/>
                <w:color w:val="auto"/>
              </w:rPr>
              <w:t>1466 Broadway</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3.7</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7,451</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10,949</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30.35</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1.87</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420 Lexington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5.3</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4,124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6,216</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38.67</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32.31</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2"/>
                <w:szCs w:val="12"/>
                <w:b w:val="1"/>
                <w:bCs w:val="1"/>
                <w:color w:val="auto"/>
              </w:rPr>
              <w:t>Total/Weighted Average</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9</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15,477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23,395</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31.45</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14.05</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Retail</w:t>
            </w:r>
          </w:p>
        </w:tc>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1372 Broadway</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758</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70.63</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Total/Weighted Average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758</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800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70.63</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Storage</w:t>
            </w: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555 West 57th Street</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12.8</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418</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25.00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420 Lexington Avenue</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22.41</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Total/Weighted Average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378</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552</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24.37</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Leased Space</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b w:val="1"/>
                <w:bCs w:val="1"/>
                <w:color w:val="auto"/>
              </w:rPr>
              <w:t>Office</w:t>
            </w:r>
          </w:p>
        </w:tc>
        <w:tc>
          <w:tcPr>
            <w:tcW w:w="25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40</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8.6</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156,360</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211,354</w:t>
            </w: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34.27</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25.60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17.75</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jc w:val="right"/>
              <w:ind w:right="240"/>
              <w:spacing w:after="0" w:line="137" w:lineRule="exact"/>
              <w:rPr>
                <w:sz w:val="20"/>
                <w:szCs w:val="20"/>
                <w:color w:val="auto"/>
              </w:rPr>
            </w:pPr>
            <w:r>
              <w:rPr>
                <w:rFonts w:ascii="Arial" w:cs="Arial" w:eastAsia="Arial" w:hAnsi="Arial"/>
                <w:sz w:val="12"/>
                <w:szCs w:val="12"/>
                <w:b w:val="1"/>
                <w:bCs w:val="1"/>
                <w:color w:val="auto"/>
              </w:rPr>
              <w:t>Retail</w:t>
            </w:r>
          </w:p>
        </w:tc>
        <w:tc>
          <w:tcPr>
            <w:tcW w:w="2520" w:type="dxa"/>
            <w:vAlign w:val="bottom"/>
          </w:tcPr>
          <w:p>
            <w:pPr>
              <w:spacing w:after="0"/>
              <w:rPr>
                <w:sz w:val="11"/>
                <w:szCs w:val="11"/>
                <w:color w:val="auto"/>
              </w:rPr>
            </w:pP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9.3</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3,620</w:t>
            </w:r>
          </w:p>
        </w:tc>
        <w:tc>
          <w:tcPr>
            <w:tcW w:w="120" w:type="dxa"/>
            <w:vAlign w:val="bottom"/>
          </w:tcPr>
          <w:p>
            <w:pPr>
              <w:spacing w:after="0"/>
              <w:rPr>
                <w:sz w:val="11"/>
                <w:szCs w:val="11"/>
                <w:color w:val="auto"/>
              </w:rPr>
            </w:pPr>
          </w:p>
        </w:tc>
        <w:tc>
          <w:tcPr>
            <w:tcW w:w="1000" w:type="dxa"/>
            <w:vAlign w:val="bottom"/>
            <w:gridSpan w:val="2"/>
          </w:tcPr>
          <w:p>
            <w:pPr>
              <w:jc w:val="right"/>
              <w:ind w:right="100"/>
              <w:spacing w:after="0" w:line="137" w:lineRule="exact"/>
              <w:rPr>
                <w:sz w:val="20"/>
                <w:szCs w:val="20"/>
                <w:color w:val="auto"/>
              </w:rPr>
            </w:pPr>
            <w:r>
              <w:rPr>
                <w:rFonts w:ascii="Arial" w:cs="Arial" w:eastAsia="Arial" w:hAnsi="Arial"/>
                <w:sz w:val="12"/>
                <w:szCs w:val="12"/>
                <w:b w:val="1"/>
                <w:bCs w:val="1"/>
                <w:color w:val="auto"/>
              </w:rPr>
              <w:t>3,811</w:t>
            </w: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85.44</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b w:val="1"/>
                <w:bCs w:val="1"/>
                <w:color w:val="auto"/>
              </w:rPr>
              <w:t>100.16</w:t>
            </w:r>
          </w:p>
        </w:tc>
        <w:tc>
          <w:tcPr>
            <w:tcW w:w="9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b w:val="1"/>
                <w:bCs w:val="1"/>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b w:val="1"/>
                <w:bCs w:val="1"/>
                <w:color w:val="auto"/>
              </w:rPr>
              <w:t>Storage</w:t>
            </w:r>
          </w:p>
        </w:tc>
        <w:tc>
          <w:tcPr>
            <w:tcW w:w="25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378</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552</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24.37</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tcPr>
          <w:p>
            <w:pPr>
              <w:ind w:left="2000"/>
              <w:spacing w:after="0"/>
              <w:rPr>
                <w:sz w:val="20"/>
                <w:szCs w:val="20"/>
                <w:color w:val="auto"/>
              </w:rPr>
            </w:pPr>
            <w:r>
              <w:rPr>
                <w:rFonts w:ascii="Arial" w:cs="Arial" w:eastAsia="Arial" w:hAnsi="Arial"/>
                <w:sz w:val="12"/>
                <w:szCs w:val="12"/>
                <w:b w:val="1"/>
                <w:bCs w:val="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47</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8.6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160,358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215,717</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35.15</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26.66</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17.39</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1.6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Sold Vacancies</w:t>
            </w:r>
          </w:p>
        </w:tc>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3680" w:type="dxa"/>
            <w:vAlign w:val="bottom"/>
            <w:gridSpan w:val="4"/>
          </w:tcPr>
          <w:p>
            <w:pPr>
              <w:spacing w:after="0"/>
              <w:rPr>
                <w:sz w:val="20"/>
                <w:szCs w:val="20"/>
                <w:color w:val="auto"/>
              </w:rPr>
            </w:pPr>
            <w:r>
              <w:rPr>
                <w:rFonts w:ascii="Arial" w:cs="Arial" w:eastAsia="Arial" w:hAnsi="Arial"/>
                <w:sz w:val="12"/>
                <w:szCs w:val="12"/>
                <w:b w:val="1"/>
                <w:bCs w:val="1"/>
                <w:color w:val="auto"/>
              </w:rPr>
              <w:t>Sub-Total Available Space @ 9/30/02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377,032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Holdover Tenants</w:t>
            </w:r>
          </w:p>
        </w:tc>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317 Madison</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1,200</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31.15</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31.15</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1370 Broadway</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6,221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6,221</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24.34</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24.34</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Pr>
          <w:p>
            <w:pPr>
              <w:spacing w:after="0" w:line="137" w:lineRule="exact"/>
              <w:rPr>
                <w:sz w:val="20"/>
                <w:szCs w:val="20"/>
                <w:color w:val="auto"/>
              </w:rPr>
            </w:pPr>
            <w:r>
              <w:rPr>
                <w:rFonts w:ascii="Arial" w:cs="Arial" w:eastAsia="Arial" w:hAnsi="Arial"/>
                <w:sz w:val="12"/>
                <w:szCs w:val="12"/>
                <w:color w:val="auto"/>
              </w:rPr>
              <w:t>180 Madison Avenue</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5,391</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5,391</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25.23</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25.23</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292 Madison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0</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10,113</w:t>
            </w:r>
          </w:p>
        </w:tc>
        <w:tc>
          <w:tcPr>
            <w:tcW w:w="10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10,113</w:t>
            </w: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20.00</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20.00</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Pr>
          <w:p>
            <w:pPr>
              <w:spacing w:after="0" w:line="137" w:lineRule="exact"/>
              <w:rPr>
                <w:sz w:val="20"/>
                <w:szCs w:val="20"/>
                <w:color w:val="auto"/>
              </w:rPr>
            </w:pPr>
            <w:r>
              <w:rPr>
                <w:rFonts w:ascii="Arial" w:cs="Arial" w:eastAsia="Arial" w:hAnsi="Arial"/>
                <w:sz w:val="12"/>
                <w:szCs w:val="12"/>
                <w:color w:val="auto"/>
              </w:rPr>
              <w:t>1466 Broadway</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w:t>
            </w:r>
          </w:p>
        </w:tc>
        <w:tc>
          <w:tcPr>
            <w:tcW w:w="8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0</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3,568</w:t>
            </w:r>
          </w:p>
        </w:tc>
        <w:tc>
          <w:tcPr>
            <w:tcW w:w="12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3,568</w:t>
            </w: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35.51</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35.51</w:t>
            </w:r>
          </w:p>
        </w:tc>
        <w:tc>
          <w:tcPr>
            <w:tcW w:w="9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420 Lexington Avenue</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w:t>
            </w:r>
          </w:p>
        </w:tc>
        <w:tc>
          <w:tcPr>
            <w:tcW w:w="8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1,253</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1,253</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40.34</w:t>
            </w:r>
          </w:p>
        </w:tc>
        <w:tc>
          <w:tcPr>
            <w:tcW w:w="10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40.34</w:t>
            </w:r>
          </w:p>
        </w:tc>
        <w:tc>
          <w:tcPr>
            <w:tcW w:w="9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15</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27,746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27,746</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25.09</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25.09</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Total Available Space @ 9/30/02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349,286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-4352925</wp:posOffset>
            </wp:positionV>
            <wp:extent cx="12700" cy="762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-4352925</wp:posOffset>
            </wp:positionV>
            <wp:extent cx="12700" cy="762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-4352925</wp:posOffset>
            </wp:positionV>
            <wp:extent cx="12700" cy="762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-4352925</wp:posOffset>
            </wp:positionV>
            <wp:extent cx="12700" cy="762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-4352925</wp:posOffset>
            </wp:positionV>
            <wp:extent cx="12700" cy="762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-4352925</wp:posOffset>
            </wp:positionV>
            <wp:extent cx="12700" cy="762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-4352925</wp:posOffset>
            </wp:positionV>
            <wp:extent cx="12700" cy="762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-4352925</wp:posOffset>
            </wp:positionV>
            <wp:extent cx="12700" cy="762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-4352925</wp:posOffset>
            </wp:positionV>
            <wp:extent cx="12700" cy="762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-4352925</wp:posOffset>
            </wp:positionV>
            <wp:extent cx="12700" cy="762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-4352925</wp:posOffset>
            </wp:positionV>
            <wp:extent cx="12700" cy="762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-4352925</wp:posOffset>
            </wp:positionV>
            <wp:extent cx="12700" cy="762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-4352925</wp:posOffset>
            </wp:positionV>
            <wp:extent cx="12700" cy="762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-4352925</wp:posOffset>
            </wp:positionV>
            <wp:extent cx="12700" cy="762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-4352925</wp:posOffset>
            </wp:positionV>
            <wp:extent cx="12700" cy="762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-4352925</wp:posOffset>
            </wp:positionV>
            <wp:extent cx="12700" cy="762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-4352925</wp:posOffset>
            </wp:positionV>
            <wp:extent cx="12700" cy="762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-4352925</wp:posOffset>
            </wp:positionV>
            <wp:extent cx="12700" cy="762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-4352925</wp:posOffset>
            </wp:positionV>
            <wp:extent cx="12700" cy="762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-4352925</wp:posOffset>
            </wp:positionV>
            <wp:extent cx="12700" cy="762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-4124960</wp:posOffset>
            </wp:positionV>
            <wp:extent cx="12700" cy="762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-4124960</wp:posOffset>
            </wp:positionV>
            <wp:extent cx="12700" cy="762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-3462655</wp:posOffset>
            </wp:positionV>
            <wp:extent cx="12700" cy="762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-3462655</wp:posOffset>
            </wp:positionV>
            <wp:extent cx="12700" cy="762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-3462655</wp:posOffset>
            </wp:positionV>
            <wp:extent cx="12700" cy="762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-3462655</wp:posOffset>
            </wp:positionV>
            <wp:extent cx="12700" cy="762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-3462655</wp:posOffset>
            </wp:positionV>
            <wp:extent cx="12700" cy="762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-3462655</wp:posOffset>
            </wp:positionV>
            <wp:extent cx="12700" cy="762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-3462655</wp:posOffset>
            </wp:positionV>
            <wp:extent cx="12700" cy="762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-3462655</wp:posOffset>
            </wp:positionV>
            <wp:extent cx="12700" cy="762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-3462655</wp:posOffset>
            </wp:positionV>
            <wp:extent cx="12700" cy="762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-3462655</wp:posOffset>
            </wp:positionV>
            <wp:extent cx="12700" cy="762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-3462655</wp:posOffset>
            </wp:positionV>
            <wp:extent cx="12700" cy="762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-3462655</wp:posOffset>
            </wp:positionV>
            <wp:extent cx="12700" cy="762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-3462655</wp:posOffset>
            </wp:positionV>
            <wp:extent cx="12700" cy="762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-3462655</wp:posOffset>
            </wp:positionV>
            <wp:extent cx="12700" cy="762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-3462655</wp:posOffset>
            </wp:positionV>
            <wp:extent cx="12700" cy="762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-3462655</wp:posOffset>
            </wp:positionV>
            <wp:extent cx="12700" cy="762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-3060700</wp:posOffset>
            </wp:positionV>
            <wp:extent cx="12700" cy="762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-3060700</wp:posOffset>
            </wp:positionV>
            <wp:extent cx="12700" cy="762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-3060700</wp:posOffset>
            </wp:positionV>
            <wp:extent cx="12700" cy="762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-3060700</wp:posOffset>
            </wp:positionV>
            <wp:extent cx="12700" cy="762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-3060700</wp:posOffset>
            </wp:positionV>
            <wp:extent cx="12700" cy="762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-3060700</wp:posOffset>
            </wp:positionV>
            <wp:extent cx="12700" cy="762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-3060700</wp:posOffset>
            </wp:positionV>
            <wp:extent cx="12700" cy="762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-3060700</wp:posOffset>
            </wp:positionV>
            <wp:extent cx="12700" cy="762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-3060700</wp:posOffset>
            </wp:positionV>
            <wp:extent cx="12700" cy="762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-3060700</wp:posOffset>
            </wp:positionV>
            <wp:extent cx="12700" cy="762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-3060700</wp:posOffset>
            </wp:positionV>
            <wp:extent cx="12700" cy="762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-3060700</wp:posOffset>
            </wp:positionV>
            <wp:extent cx="12700" cy="762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-3060700</wp:posOffset>
            </wp:positionV>
            <wp:extent cx="12700" cy="762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-3060700</wp:posOffset>
            </wp:positionV>
            <wp:extent cx="12700" cy="762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-3060700</wp:posOffset>
            </wp:positionV>
            <wp:extent cx="12700" cy="762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-3060700</wp:posOffset>
            </wp:positionV>
            <wp:extent cx="12700" cy="762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-2572385</wp:posOffset>
            </wp:positionV>
            <wp:extent cx="12700" cy="762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-2572385</wp:posOffset>
            </wp:positionV>
            <wp:extent cx="12700" cy="762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-2572385</wp:posOffset>
            </wp:positionV>
            <wp:extent cx="12700" cy="762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-2572385</wp:posOffset>
            </wp:positionV>
            <wp:extent cx="12700" cy="762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-2572385</wp:posOffset>
            </wp:positionV>
            <wp:extent cx="12700" cy="762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-2572385</wp:posOffset>
            </wp:positionV>
            <wp:extent cx="12700" cy="762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-2572385</wp:posOffset>
            </wp:positionV>
            <wp:extent cx="12700" cy="762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-2572385</wp:posOffset>
            </wp:positionV>
            <wp:extent cx="12700" cy="762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-2572385</wp:posOffset>
            </wp:positionV>
            <wp:extent cx="12700" cy="762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-2572385</wp:posOffset>
            </wp:positionV>
            <wp:extent cx="12700" cy="762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-2572385</wp:posOffset>
            </wp:positionV>
            <wp:extent cx="12700" cy="762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-2572385</wp:posOffset>
            </wp:positionV>
            <wp:extent cx="12700" cy="762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-2572385</wp:posOffset>
            </wp:positionV>
            <wp:extent cx="12700" cy="762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-2572385</wp:posOffset>
            </wp:positionV>
            <wp:extent cx="12700" cy="762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-2572385</wp:posOffset>
            </wp:positionV>
            <wp:extent cx="12700" cy="762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-2572385</wp:posOffset>
            </wp:positionV>
            <wp:extent cx="12700" cy="762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-2115185</wp:posOffset>
            </wp:positionV>
            <wp:extent cx="12700" cy="762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-2115185</wp:posOffset>
            </wp:positionV>
            <wp:extent cx="12700" cy="762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-1713230</wp:posOffset>
            </wp:positionV>
            <wp:extent cx="12700" cy="762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-1713230</wp:posOffset>
            </wp:positionV>
            <wp:extent cx="12700" cy="762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-1713230</wp:posOffset>
            </wp:positionV>
            <wp:extent cx="12700" cy="762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-1713230</wp:posOffset>
            </wp:positionV>
            <wp:extent cx="12700" cy="762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-1713230</wp:posOffset>
            </wp:positionV>
            <wp:extent cx="12700" cy="762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-1713230</wp:posOffset>
            </wp:positionV>
            <wp:extent cx="12700" cy="762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-1713230</wp:posOffset>
            </wp:positionV>
            <wp:extent cx="12700" cy="762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-1713230</wp:posOffset>
            </wp:positionV>
            <wp:extent cx="12700" cy="762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-1713230</wp:posOffset>
            </wp:positionV>
            <wp:extent cx="12700" cy="762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-1713230</wp:posOffset>
            </wp:positionV>
            <wp:extent cx="12700" cy="762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-1713230</wp:posOffset>
            </wp:positionV>
            <wp:extent cx="12700" cy="762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-1713230</wp:posOffset>
            </wp:positionV>
            <wp:extent cx="12700" cy="762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-1713230</wp:posOffset>
            </wp:positionV>
            <wp:extent cx="12700" cy="762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-1713230</wp:posOffset>
            </wp:positionV>
            <wp:extent cx="12700" cy="762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-1713230</wp:posOffset>
            </wp:positionV>
            <wp:extent cx="12700" cy="762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-1713230</wp:posOffset>
            </wp:positionV>
            <wp:extent cx="12700" cy="762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-1051560</wp:posOffset>
            </wp:positionV>
            <wp:extent cx="12700" cy="762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-1051560</wp:posOffset>
            </wp:positionV>
            <wp:extent cx="12700" cy="762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-389255</wp:posOffset>
            </wp:positionV>
            <wp:extent cx="12700" cy="762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-389255</wp:posOffset>
            </wp:positionV>
            <wp:extent cx="12700" cy="762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-389255</wp:posOffset>
            </wp:positionV>
            <wp:extent cx="12700" cy="762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-389255</wp:posOffset>
            </wp:positionV>
            <wp:extent cx="12700" cy="762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-389255</wp:posOffset>
            </wp:positionV>
            <wp:extent cx="12700" cy="762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-389255</wp:posOffset>
            </wp:positionV>
            <wp:extent cx="12700" cy="762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-389255</wp:posOffset>
            </wp:positionV>
            <wp:extent cx="12700" cy="762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-389255</wp:posOffset>
            </wp:positionV>
            <wp:extent cx="12700" cy="762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-389255</wp:posOffset>
            </wp:positionV>
            <wp:extent cx="12700" cy="762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-389255</wp:posOffset>
            </wp:positionV>
            <wp:extent cx="12700" cy="762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-389255</wp:posOffset>
            </wp:positionV>
            <wp:extent cx="12700" cy="762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-389255</wp:posOffset>
            </wp:positionV>
            <wp:extent cx="12700" cy="762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-389255</wp:posOffset>
            </wp:positionV>
            <wp:extent cx="12700" cy="762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-389255</wp:posOffset>
            </wp:positionV>
            <wp:extent cx="12700" cy="762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-389255</wp:posOffset>
            </wp:positionV>
            <wp:extent cx="12700" cy="762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-389255</wp:posOffset>
            </wp:positionV>
            <wp:extent cx="12700" cy="762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359410</wp:posOffset>
            </wp:positionV>
            <wp:extent cx="7262495" cy="2032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QUARTER—2002 LEASING ACTIVITY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262495" cy="2032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7262495" cy="2032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auto"/>
              </w:rPr>
              <w:t>Lease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Term</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60"/>
              <w:spacing w:after="0" w:line="137" w:lineRule="exact"/>
              <w:rPr>
                <w:sz w:val="20"/>
                <w:szCs w:val="20"/>
                <w:color w:val="auto"/>
              </w:rPr>
            </w:pPr>
            <w:r>
              <w:rPr>
                <w:rFonts w:ascii="Arial" w:cs="Arial" w:eastAsia="Arial" w:hAnsi="Arial"/>
                <w:sz w:val="12"/>
                <w:szCs w:val="12"/>
                <w:b w:val="1"/>
                <w:bCs w:val="1"/>
                <w:color w:val="auto"/>
              </w:rPr>
              <w:t>New Cash Rent/</w:t>
            </w:r>
          </w:p>
        </w:tc>
        <w:tc>
          <w:tcPr>
            <w:tcW w:w="1980" w:type="dxa"/>
            <w:vAlign w:val="bottom"/>
            <w:gridSpan w:val="2"/>
          </w:tcPr>
          <w:p>
            <w:pPr>
              <w:jc w:val="right"/>
              <w:ind w:right="460"/>
              <w:spacing w:after="0" w:line="137" w:lineRule="exact"/>
              <w:rPr>
                <w:sz w:val="20"/>
                <w:szCs w:val="20"/>
                <w:color w:val="auto"/>
              </w:rPr>
            </w:pPr>
            <w:r>
              <w:rPr>
                <w:rFonts w:ascii="Arial" w:cs="Arial" w:eastAsia="Arial" w:hAnsi="Arial"/>
                <w:sz w:val="12"/>
                <w:szCs w:val="12"/>
                <w:b w:val="1"/>
                <w:bCs w:val="1"/>
                <w:color w:val="auto"/>
              </w:rPr>
              <w:t>Prev. Escalated Rent/</w:t>
            </w:r>
          </w:p>
        </w:tc>
        <w:tc>
          <w:tcPr>
            <w:tcW w:w="780" w:type="dxa"/>
            <w:vAlign w:val="bottom"/>
          </w:tcPr>
          <w:p>
            <w:pPr>
              <w:jc w:val="right"/>
              <w:ind w:right="238"/>
              <w:spacing w:after="0" w:line="137" w:lineRule="exact"/>
              <w:rPr>
                <w:sz w:val="20"/>
                <w:szCs w:val="20"/>
                <w:color w:val="auto"/>
              </w:rPr>
            </w:pPr>
            <w:r>
              <w:rPr>
                <w:rFonts w:ascii="Arial" w:cs="Arial" w:eastAsia="Arial" w:hAnsi="Arial"/>
                <w:sz w:val="12"/>
                <w:szCs w:val="12"/>
                <w:b w:val="1"/>
                <w:bCs w:val="1"/>
                <w:color w:val="auto"/>
              </w:rPr>
              <w:t>T.I/</w:t>
            </w:r>
          </w:p>
        </w:tc>
        <w:tc>
          <w:tcPr>
            <w:tcW w:w="100" w:type="dxa"/>
            <w:vAlign w:val="bottom"/>
          </w:tcPr>
          <w:p>
            <w:pPr>
              <w:spacing w:after="0"/>
              <w:rPr>
                <w:sz w:val="11"/>
                <w:szCs w:val="11"/>
                <w:color w:val="auto"/>
              </w:rPr>
            </w:pPr>
          </w:p>
        </w:tc>
        <w:tc>
          <w:tcPr>
            <w:tcW w:w="66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Free Rent</w:t>
            </w:r>
          </w:p>
        </w:tc>
        <w:tc>
          <w:tcPr>
            <w:tcW w:w="0" w:type="dxa"/>
            <w:vAlign w:val="bottom"/>
          </w:tcPr>
          <w:p>
            <w:pPr>
              <w:spacing w:after="0"/>
              <w:rPr>
                <w:sz w:val="1"/>
                <w:szCs w:val="1"/>
                <w:color w:val="auto"/>
              </w:rPr>
            </w:pPr>
          </w:p>
        </w:tc>
      </w:tr>
      <w:tr>
        <w:trPr>
          <w:trHeight w:val="161"/>
        </w:trPr>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Activity Type</w:t>
            </w:r>
          </w:p>
        </w:tc>
        <w:tc>
          <w:tcPr>
            <w:tcW w:w="1800" w:type="dxa"/>
            <w:vAlign w:val="bottom"/>
          </w:tcPr>
          <w:p>
            <w:pPr>
              <w:ind w:left="340"/>
              <w:spacing w:after="0"/>
              <w:rPr>
                <w:sz w:val="20"/>
                <w:szCs w:val="20"/>
                <w:color w:val="auto"/>
              </w:rPr>
            </w:pPr>
            <w:r>
              <w:rPr>
                <w:rFonts w:ascii="Arial" w:cs="Arial" w:eastAsia="Arial" w:hAnsi="Arial"/>
                <w:sz w:val="12"/>
                <w:szCs w:val="12"/>
                <w:b w:val="1"/>
                <w:bCs w:val="1"/>
                <w:color w:val="auto"/>
              </w:rPr>
              <w:t>Building Address</w:t>
            </w:r>
          </w:p>
        </w:tc>
        <w:tc>
          <w:tcPr>
            <w:tcW w:w="1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 of Leases</w:t>
            </w:r>
          </w:p>
        </w:tc>
        <w:tc>
          <w:tcPr>
            <w:tcW w:w="560" w:type="dxa"/>
            <w:vAlign w:val="bottom"/>
          </w:tcPr>
          <w:p>
            <w:pPr>
              <w:jc w:val="right"/>
              <w:ind w:right="78"/>
              <w:spacing w:after="0"/>
              <w:rPr>
                <w:sz w:val="20"/>
                <w:szCs w:val="20"/>
                <w:color w:val="auto"/>
              </w:rPr>
            </w:pPr>
            <w:r>
              <w:rPr>
                <w:rFonts w:ascii="Arial" w:cs="Arial" w:eastAsia="Arial" w:hAnsi="Arial"/>
                <w:sz w:val="12"/>
                <w:szCs w:val="12"/>
                <w:b w:val="1"/>
                <w:bCs w:val="1"/>
                <w:color w:val="auto"/>
              </w:rPr>
              <w:t>(Yrs)</w:t>
            </w:r>
          </w:p>
        </w:tc>
        <w:tc>
          <w:tcPr>
            <w:tcW w:w="12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Usable SF</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Rentable SF</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Rentable SF*</w:t>
            </w:r>
          </w:p>
        </w:tc>
        <w:tc>
          <w:tcPr>
            <w:tcW w:w="198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Rentable SF**</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Rentable SF</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w w:val="92"/>
              </w:rPr>
              <w:t># of Months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1300" w:type="dxa"/>
            <w:vAlign w:val="bottom"/>
            <w:gridSpan w:val="3"/>
            <w:shd w:val="clear" w:color="auto" w:fill="CCEEFF"/>
          </w:tcPr>
          <w:p>
            <w:pPr>
              <w:spacing w:after="0" w:line="137" w:lineRule="exact"/>
              <w:rPr>
                <w:sz w:val="20"/>
                <w:szCs w:val="20"/>
                <w:color w:val="auto"/>
              </w:rPr>
            </w:pPr>
            <w:r>
              <w:rPr>
                <w:rFonts w:ascii="Arial" w:cs="Arial" w:eastAsia="Arial" w:hAnsi="Arial"/>
                <w:sz w:val="12"/>
                <w:szCs w:val="12"/>
                <w:color w:val="auto"/>
              </w:rPr>
              <w:t>Early Renewals</w:t>
            </w: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1300" w:type="dxa"/>
            <w:vAlign w:val="bottom"/>
            <w:gridSpan w:val="3"/>
            <w:shd w:val="clear" w:color="auto" w:fill="CCEEFF"/>
          </w:tcPr>
          <w:p>
            <w:pPr>
              <w:spacing w:after="0" w:line="137" w:lineRule="exact"/>
              <w:rPr>
                <w:sz w:val="20"/>
                <w:szCs w:val="20"/>
                <w:color w:val="auto"/>
              </w:rPr>
            </w:pPr>
            <w:r>
              <w:rPr>
                <w:rFonts w:ascii="Arial" w:cs="Arial" w:eastAsia="Arial" w:hAnsi="Arial"/>
                <w:sz w:val="12"/>
                <w:szCs w:val="12"/>
                <w:color w:val="auto"/>
              </w:rPr>
              <w:t>Office</w:t>
            </w: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00" w:type="dxa"/>
            <w:vAlign w:val="bottom"/>
            <w:gridSpan w:val="3"/>
          </w:tcPr>
          <w:p>
            <w:pPr>
              <w:ind w:left="1100"/>
              <w:spacing w:after="0" w:line="137" w:lineRule="exact"/>
              <w:rPr>
                <w:sz w:val="20"/>
                <w:szCs w:val="20"/>
                <w:color w:val="auto"/>
              </w:rPr>
            </w:pPr>
            <w:r>
              <w:rPr>
                <w:rFonts w:ascii="Arial" w:cs="Arial" w:eastAsia="Arial" w:hAnsi="Arial"/>
                <w:sz w:val="12"/>
                <w:szCs w:val="12"/>
                <w:color w:val="auto"/>
                <w:w w:val="89"/>
              </w:rPr>
              <w:t>290</w:t>
            </w:r>
          </w:p>
        </w:tc>
        <w:tc>
          <w:tcPr>
            <w:tcW w:w="1800" w:type="dxa"/>
            <w:vAlign w:val="bottom"/>
          </w:tcPr>
          <w:p>
            <w:pPr>
              <w:ind w:left="20"/>
              <w:spacing w:after="0" w:line="137" w:lineRule="exact"/>
              <w:rPr>
                <w:sz w:val="20"/>
                <w:szCs w:val="20"/>
                <w:color w:val="auto"/>
              </w:rPr>
            </w:pPr>
            <w:r>
              <w:rPr>
                <w:rFonts w:ascii="Arial" w:cs="Arial" w:eastAsia="Arial" w:hAnsi="Arial"/>
                <w:sz w:val="12"/>
                <w:szCs w:val="12"/>
                <w:color w:val="auto"/>
              </w:rPr>
              <w:t>Madison Avenue</w:t>
            </w:r>
          </w:p>
        </w:tc>
        <w:tc>
          <w:tcPr>
            <w:tcW w:w="880" w:type="dxa"/>
            <w:vAlign w:val="bottom"/>
            <w:gridSpan w:val="3"/>
          </w:tcPr>
          <w:p>
            <w:pPr>
              <w:jc w:val="right"/>
              <w:ind w:right="100"/>
              <w:spacing w:after="0" w:line="137" w:lineRule="exact"/>
              <w:rPr>
                <w:sz w:val="20"/>
                <w:szCs w:val="20"/>
                <w:color w:val="auto"/>
              </w:rPr>
            </w:pPr>
            <w:r>
              <w:rPr>
                <w:rFonts w:ascii="Arial" w:cs="Arial" w:eastAsia="Arial" w:hAnsi="Arial"/>
                <w:sz w:val="12"/>
                <w:szCs w:val="12"/>
                <w:color w:val="auto"/>
              </w:rPr>
              <w:t>1</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5.8</w:t>
            </w:r>
          </w:p>
        </w:tc>
        <w:tc>
          <w:tcPr>
            <w:tcW w:w="102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4,332</w:t>
            </w:r>
          </w:p>
        </w:tc>
        <w:tc>
          <w:tcPr>
            <w:tcW w:w="8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5,626</w:t>
            </w:r>
          </w:p>
        </w:tc>
        <w:tc>
          <w:tcPr>
            <w:tcW w:w="11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33.00</w:t>
            </w:r>
          </w:p>
        </w:tc>
        <w:tc>
          <w:tcPr>
            <w:tcW w:w="1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28.16</w:t>
            </w:r>
          </w:p>
        </w:tc>
        <w:tc>
          <w:tcPr>
            <w:tcW w:w="7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50 West 23rd Street</w:t>
            </w:r>
          </w:p>
        </w:tc>
        <w:tc>
          <w:tcPr>
            <w:tcW w:w="88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7.0</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33,940</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44,117</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32.50</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20.77</w:t>
            </w: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00" w:type="dxa"/>
            <w:vAlign w:val="bottom"/>
            <w:gridSpan w:val="3"/>
          </w:tcPr>
          <w:p>
            <w:pPr>
              <w:ind w:left="1100"/>
              <w:spacing w:after="0" w:line="137" w:lineRule="exact"/>
              <w:rPr>
                <w:sz w:val="20"/>
                <w:szCs w:val="20"/>
                <w:color w:val="auto"/>
              </w:rPr>
            </w:pPr>
            <w:r>
              <w:rPr>
                <w:rFonts w:ascii="Arial" w:cs="Arial" w:eastAsia="Arial" w:hAnsi="Arial"/>
                <w:sz w:val="12"/>
                <w:szCs w:val="12"/>
                <w:color w:val="auto"/>
                <w:w w:val="89"/>
              </w:rPr>
              <w:t>555</w:t>
            </w:r>
          </w:p>
        </w:tc>
        <w:tc>
          <w:tcPr>
            <w:tcW w:w="1800" w:type="dxa"/>
            <w:vAlign w:val="bottom"/>
          </w:tcPr>
          <w:p>
            <w:pPr>
              <w:ind w:left="20"/>
              <w:spacing w:after="0" w:line="137" w:lineRule="exact"/>
              <w:rPr>
                <w:sz w:val="20"/>
                <w:szCs w:val="20"/>
                <w:color w:val="auto"/>
              </w:rPr>
            </w:pPr>
            <w:r>
              <w:rPr>
                <w:rFonts w:ascii="Arial" w:cs="Arial" w:eastAsia="Arial" w:hAnsi="Arial"/>
                <w:sz w:val="12"/>
                <w:szCs w:val="12"/>
                <w:color w:val="auto"/>
              </w:rPr>
              <w:t>West 57th Street</w:t>
            </w:r>
          </w:p>
        </w:tc>
        <w:tc>
          <w:tcPr>
            <w:tcW w:w="880" w:type="dxa"/>
            <w:vAlign w:val="bottom"/>
            <w:gridSpan w:val="3"/>
          </w:tcPr>
          <w:p>
            <w:pPr>
              <w:jc w:val="right"/>
              <w:ind w:right="100"/>
              <w:spacing w:after="0" w:line="137" w:lineRule="exact"/>
              <w:rPr>
                <w:sz w:val="20"/>
                <w:szCs w:val="20"/>
                <w:color w:val="auto"/>
              </w:rPr>
            </w:pPr>
            <w:r>
              <w:rPr>
                <w:rFonts w:ascii="Arial" w:cs="Arial" w:eastAsia="Arial" w:hAnsi="Arial"/>
                <w:sz w:val="12"/>
                <w:szCs w:val="12"/>
                <w:color w:val="auto"/>
              </w:rPr>
              <w:t>2</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9.4</w:t>
            </w:r>
          </w:p>
        </w:tc>
        <w:tc>
          <w:tcPr>
            <w:tcW w:w="102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29,685</w:t>
            </w:r>
          </w:p>
        </w:tc>
        <w:tc>
          <w:tcPr>
            <w:tcW w:w="8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40,322</w:t>
            </w:r>
          </w:p>
        </w:tc>
        <w:tc>
          <w:tcPr>
            <w:tcW w:w="11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33.31</w:t>
            </w:r>
          </w:p>
        </w:tc>
        <w:tc>
          <w:tcPr>
            <w:tcW w:w="1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18.47</w:t>
            </w:r>
          </w:p>
        </w:tc>
        <w:tc>
          <w:tcPr>
            <w:tcW w:w="780" w:type="dxa"/>
            <w:vAlign w:val="bottom"/>
          </w:tcPr>
          <w:p>
            <w:pPr>
              <w:jc w:val="right"/>
              <w:spacing w:after="0" w:line="137" w:lineRule="exact"/>
              <w:rPr>
                <w:sz w:val="20"/>
                <w:szCs w:val="20"/>
                <w:color w:val="auto"/>
              </w:rPr>
            </w:pPr>
            <w:r>
              <w:rPr>
                <w:rFonts w:ascii="Arial" w:cs="Arial" w:eastAsia="Arial" w:hAnsi="Arial"/>
                <w:sz w:val="12"/>
                <w:szCs w:val="12"/>
                <w:color w:val="auto"/>
              </w:rPr>
              <w:t>13.10</w:t>
            </w:r>
          </w:p>
        </w:tc>
        <w:tc>
          <w:tcPr>
            <w:tcW w:w="7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00" w:type="dxa"/>
            <w:vAlign w:val="bottom"/>
            <w:gridSpan w:val="3"/>
            <w:shd w:val="clear" w:color="auto" w:fill="CCEEFF"/>
          </w:tcPr>
          <w:p>
            <w:pPr>
              <w:ind w:left="1100"/>
              <w:spacing w:after="0" w:line="137" w:lineRule="exact"/>
              <w:rPr>
                <w:sz w:val="20"/>
                <w:szCs w:val="20"/>
                <w:color w:val="auto"/>
              </w:rPr>
            </w:pPr>
            <w:r>
              <w:rPr>
                <w:rFonts w:ascii="Arial" w:cs="Arial" w:eastAsia="Arial" w:hAnsi="Arial"/>
                <w:sz w:val="12"/>
                <w:szCs w:val="12"/>
                <w:color w:val="auto"/>
                <w:w w:val="89"/>
              </w:rPr>
              <w:t>440</w:t>
            </w:r>
          </w:p>
        </w:tc>
        <w:tc>
          <w:tcPr>
            <w:tcW w:w="180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Ninth Avenue</w:t>
            </w:r>
          </w:p>
        </w:tc>
        <w:tc>
          <w:tcPr>
            <w:tcW w:w="88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5.6</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35,606</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46,242</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29.15</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15.60</w:t>
            </w: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15.75</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3"/>
          </w:tcPr>
          <w:p>
            <w:pPr>
              <w:ind w:left="1100"/>
              <w:spacing w:after="0"/>
              <w:rPr>
                <w:sz w:val="20"/>
                <w:szCs w:val="20"/>
                <w:color w:val="auto"/>
              </w:rPr>
            </w:pPr>
            <w:r>
              <w:rPr>
                <w:rFonts w:ascii="Arial" w:cs="Arial" w:eastAsia="Arial" w:hAnsi="Arial"/>
                <w:sz w:val="12"/>
                <w:szCs w:val="12"/>
                <w:color w:val="auto"/>
                <w:w w:val="89"/>
              </w:rPr>
              <w:t>420</w:t>
            </w:r>
          </w:p>
        </w:tc>
        <w:tc>
          <w:tcPr>
            <w:tcW w:w="1800" w:type="dxa"/>
            <w:vAlign w:val="bottom"/>
          </w:tcPr>
          <w:p>
            <w:pPr>
              <w:ind w:left="20"/>
              <w:spacing w:after="0"/>
              <w:rPr>
                <w:sz w:val="20"/>
                <w:szCs w:val="20"/>
                <w:color w:val="auto"/>
              </w:rPr>
            </w:pPr>
            <w:r>
              <w:rPr>
                <w:rFonts w:ascii="Arial" w:cs="Arial" w:eastAsia="Arial" w:hAnsi="Arial"/>
                <w:sz w:val="12"/>
                <w:szCs w:val="12"/>
                <w:color w:val="auto"/>
              </w:rPr>
              <w:t>Lexington Avenue</w:t>
            </w:r>
          </w:p>
        </w:tc>
        <w:tc>
          <w:tcPr>
            <w:tcW w:w="88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560" w:type="dxa"/>
            <w:vAlign w:val="bottom"/>
          </w:tcPr>
          <w:p>
            <w:pPr>
              <w:jc w:val="right"/>
              <w:spacing w:after="0"/>
              <w:rPr>
                <w:sz w:val="20"/>
                <w:szCs w:val="20"/>
                <w:color w:val="auto"/>
              </w:rPr>
            </w:pPr>
            <w:r>
              <w:rPr>
                <w:rFonts w:ascii="Arial" w:cs="Arial" w:eastAsia="Arial" w:hAnsi="Arial"/>
                <w:sz w:val="12"/>
                <w:szCs w:val="12"/>
                <w:color w:val="auto"/>
              </w:rPr>
              <w:t>0.9</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4,372</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5,963</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33.15</w:t>
            </w:r>
          </w:p>
        </w:tc>
        <w:tc>
          <w:tcPr>
            <w:tcW w:w="1980" w:type="dxa"/>
            <w:vAlign w:val="bottom"/>
            <w:gridSpan w:val="2"/>
          </w:tcPr>
          <w:p>
            <w:pPr>
              <w:jc w:val="right"/>
              <w:ind w:right="100"/>
              <w:spacing w:after="0"/>
              <w:rPr>
                <w:sz w:val="20"/>
                <w:szCs w:val="20"/>
                <w:color w:val="auto"/>
              </w:rPr>
            </w:pPr>
            <w:r>
              <w:rPr>
                <w:rFonts w:ascii="Arial" w:cs="Arial" w:eastAsia="Arial" w:hAnsi="Arial"/>
                <w:sz w:val="12"/>
                <w:szCs w:val="12"/>
                <w:color w:val="auto"/>
              </w:rPr>
              <w:t>31.18</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10</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9.4</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107,935</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142,270</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b w:val="1"/>
                <w:bCs w:val="1"/>
                <w:color w:val="auto"/>
              </w:rPr>
              <w:t>31.69</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19.17</w:t>
            </w: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14.62</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00" w:type="dxa"/>
            <w:vAlign w:val="bottom"/>
            <w:gridSpan w:val="3"/>
          </w:tcPr>
          <w:p>
            <w:pPr>
              <w:spacing w:after="0" w:line="137" w:lineRule="exact"/>
              <w:rPr>
                <w:sz w:val="20"/>
                <w:szCs w:val="20"/>
                <w:color w:val="auto"/>
              </w:rPr>
            </w:pPr>
            <w:r>
              <w:rPr>
                <w:rFonts w:ascii="Arial" w:cs="Arial" w:eastAsia="Arial" w:hAnsi="Arial"/>
                <w:sz w:val="12"/>
                <w:szCs w:val="12"/>
                <w:color w:val="auto"/>
              </w:rPr>
              <w:t>Retail</w:t>
            </w: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1372 Broadway</w:t>
            </w:r>
          </w:p>
        </w:tc>
        <w:tc>
          <w:tcPr>
            <w:tcW w:w="88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9.3</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2,894</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3,478</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104.19</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90.00</w:t>
            </w: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-1224915</wp:posOffset>
            </wp:positionV>
            <wp:extent cx="12700" cy="762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-1224915</wp:posOffset>
            </wp:positionV>
            <wp:extent cx="12700" cy="762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-1224915</wp:posOffset>
            </wp:positionV>
            <wp:extent cx="12700" cy="762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-1224915</wp:posOffset>
            </wp:positionV>
            <wp:extent cx="12700" cy="762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-1224915</wp:posOffset>
            </wp:positionV>
            <wp:extent cx="12700" cy="762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-1224915</wp:posOffset>
            </wp:positionV>
            <wp:extent cx="12700" cy="762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-1224915</wp:posOffset>
            </wp:positionV>
            <wp:extent cx="12700" cy="762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-1224915</wp:posOffset>
            </wp:positionV>
            <wp:extent cx="12700" cy="762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-1224915</wp:posOffset>
            </wp:positionV>
            <wp:extent cx="12700" cy="762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-1224915</wp:posOffset>
            </wp:positionV>
            <wp:extent cx="12700" cy="762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-1224915</wp:posOffset>
            </wp:positionV>
            <wp:extent cx="12700" cy="762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-1224915</wp:posOffset>
            </wp:positionV>
            <wp:extent cx="12700" cy="762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-1224915</wp:posOffset>
            </wp:positionV>
            <wp:extent cx="12700" cy="762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-1224915</wp:posOffset>
            </wp:positionV>
            <wp:extent cx="12700" cy="762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-1224915</wp:posOffset>
            </wp:positionV>
            <wp:extent cx="12700" cy="762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-1224915</wp:posOffset>
            </wp:positionV>
            <wp:extent cx="12700" cy="762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-1224915</wp:posOffset>
            </wp:positionV>
            <wp:extent cx="12700" cy="762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-1224915</wp:posOffset>
            </wp:positionV>
            <wp:extent cx="12700" cy="762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-1224915</wp:posOffset>
            </wp:positionV>
            <wp:extent cx="12700" cy="762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-1224915</wp:posOffset>
            </wp:positionV>
            <wp:extent cx="12700" cy="762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-996315</wp:posOffset>
            </wp:positionV>
            <wp:extent cx="12700" cy="762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-996315</wp:posOffset>
            </wp:positionV>
            <wp:extent cx="12700" cy="762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-334010</wp:posOffset>
            </wp:positionV>
            <wp:extent cx="12700" cy="762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-334010</wp:posOffset>
            </wp:positionV>
            <wp:extent cx="12700" cy="762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-334010</wp:posOffset>
            </wp:positionV>
            <wp:extent cx="12700" cy="762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-334010</wp:posOffset>
            </wp:positionV>
            <wp:extent cx="12700" cy="762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-334010</wp:posOffset>
            </wp:positionV>
            <wp:extent cx="12700" cy="762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-334010</wp:posOffset>
            </wp:positionV>
            <wp:extent cx="12700" cy="762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-334010</wp:posOffset>
            </wp:positionV>
            <wp:extent cx="12700" cy="762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-334010</wp:posOffset>
            </wp:positionV>
            <wp:extent cx="12700" cy="762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-334010</wp:posOffset>
            </wp:positionV>
            <wp:extent cx="12700" cy="762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-334010</wp:posOffset>
            </wp:positionV>
            <wp:extent cx="12700" cy="762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-334010</wp:posOffset>
            </wp:positionV>
            <wp:extent cx="12700" cy="762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-334010</wp:posOffset>
            </wp:positionV>
            <wp:extent cx="12700" cy="762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-334010</wp:posOffset>
            </wp:positionV>
            <wp:extent cx="12700" cy="762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-334010</wp:posOffset>
            </wp:positionV>
            <wp:extent cx="12700" cy="762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95" w:orient="portrait"/>
          <w:cols w:equalWidth="0" w:num="1">
            <w:col w:w="11420"/>
          </w:cols>
          <w:pgMar w:left="240" w:top="138" w:right="239" w:bottom="0" w:gutter="0" w:footer="0" w:header="0"/>
        </w:sectPr>
      </w:pPr>
    </w:p>
    <w:bookmarkStart w:id="20" w:name="page21"/>
    <w:bookmarkEnd w:id="20"/>
    <w:p>
      <w:pPr>
        <w:spacing w:after="0" w:line="56"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220" w:type="dxa"/>
            <w:vAlign w:val="bottom"/>
            <w:gridSpan w:val="2"/>
          </w:tcPr>
          <w:p>
            <w:pPr>
              <w:ind w:left="1120"/>
              <w:spacing w:after="0"/>
              <w:rPr>
                <w:sz w:val="20"/>
                <w:szCs w:val="20"/>
                <w:color w:val="auto"/>
              </w:rPr>
            </w:pPr>
            <w:r>
              <w:rPr>
                <w:rFonts w:ascii="Arial" w:cs="Arial" w:eastAsia="Arial" w:hAnsi="Arial"/>
                <w:sz w:val="12"/>
                <w:szCs w:val="12"/>
                <w:color w:val="auto"/>
              </w:rPr>
              <w:t>711 Third Avenue</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560" w:type="dxa"/>
            <w:vAlign w:val="bottom"/>
          </w:tcPr>
          <w:p>
            <w:pPr>
              <w:jc w:val="right"/>
              <w:spacing w:after="0"/>
              <w:rPr>
                <w:sz w:val="20"/>
                <w:szCs w:val="20"/>
                <w:color w:val="auto"/>
              </w:rPr>
            </w:pPr>
            <w:r>
              <w:rPr>
                <w:rFonts w:ascii="Arial" w:cs="Arial" w:eastAsia="Arial" w:hAnsi="Arial"/>
                <w:sz w:val="12"/>
                <w:szCs w:val="12"/>
                <w:color w:val="auto"/>
              </w:rPr>
              <w:t>9.1</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10,388</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10,388</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29.84</w:t>
            </w:r>
          </w:p>
        </w:tc>
        <w:tc>
          <w:tcPr>
            <w:tcW w:w="1980" w:type="dxa"/>
            <w:vAlign w:val="bottom"/>
            <w:gridSpan w:val="2"/>
          </w:tcPr>
          <w:p>
            <w:pPr>
              <w:jc w:val="right"/>
              <w:ind w:right="100"/>
              <w:spacing w:after="0"/>
              <w:rPr>
                <w:sz w:val="20"/>
                <w:szCs w:val="20"/>
                <w:color w:val="auto"/>
              </w:rPr>
            </w:pPr>
            <w:r>
              <w:rPr>
                <w:rFonts w:ascii="Arial" w:cs="Arial" w:eastAsia="Arial" w:hAnsi="Arial"/>
                <w:sz w:val="12"/>
                <w:szCs w:val="12"/>
                <w:color w:val="auto"/>
              </w:rPr>
              <w:t>13.00</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97"/>
        </w:trPr>
        <w:tc>
          <w:tcPr>
            <w:tcW w:w="15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95"/>
        </w:trPr>
        <w:tc>
          <w:tcPr>
            <w:tcW w:w="15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37"/>
        </w:trPr>
        <w:tc>
          <w:tcPr>
            <w:tcW w:w="15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2</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9.1</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13,282</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13,866</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b w:val="1"/>
                <w:bCs w:val="1"/>
                <w:color w:val="auto"/>
              </w:rPr>
              <w:t>48.49</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32.31</w:t>
            </w: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w:t>
            </w:r>
          </w:p>
        </w:tc>
      </w:tr>
      <w:tr>
        <w:trPr>
          <w:trHeight w:val="137"/>
        </w:trPr>
        <w:tc>
          <w:tcPr>
            <w:tcW w:w="3220" w:type="dxa"/>
            <w:vAlign w:val="bottom"/>
            <w:gridSpan w:val="2"/>
          </w:tcPr>
          <w:p>
            <w:pPr>
              <w:spacing w:after="0" w:line="137" w:lineRule="exact"/>
              <w:rPr>
                <w:sz w:val="20"/>
                <w:szCs w:val="20"/>
                <w:color w:val="auto"/>
              </w:rPr>
            </w:pPr>
            <w:r>
              <w:rPr>
                <w:rFonts w:ascii="Arial" w:cs="Arial" w:eastAsia="Arial" w:hAnsi="Arial"/>
                <w:sz w:val="12"/>
                <w:szCs w:val="12"/>
                <w:color w:val="auto"/>
              </w:rPr>
              <w:t>Storage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7"/>
        </w:trPr>
        <w:tc>
          <w:tcPr>
            <w:tcW w:w="3220" w:type="dxa"/>
            <w:vAlign w:val="bottom"/>
            <w:gridSpan w:val="2"/>
            <w:shd w:val="clear" w:color="auto" w:fill="CCEEFF"/>
          </w:tcPr>
          <w:p>
            <w:pPr>
              <w:ind w:left="1120"/>
              <w:spacing w:after="0" w:line="137" w:lineRule="exact"/>
              <w:rPr>
                <w:sz w:val="20"/>
                <w:szCs w:val="20"/>
                <w:color w:val="auto"/>
              </w:rPr>
            </w:pPr>
            <w:r>
              <w:rPr>
                <w:rFonts w:ascii="Arial" w:cs="Arial" w:eastAsia="Arial" w:hAnsi="Arial"/>
                <w:sz w:val="12"/>
                <w:szCs w:val="12"/>
                <w:color w:val="auto"/>
              </w:rPr>
              <w:t>286 Madison Avenue</w:t>
            </w:r>
          </w:p>
        </w:tc>
        <w:tc>
          <w:tcPr>
            <w:tcW w:w="7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325</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505</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25.00</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25.00</w:t>
            </w: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r>
      <w:tr>
        <w:trPr>
          <w:trHeight w:val="108"/>
        </w:trPr>
        <w:tc>
          <w:tcPr>
            <w:tcW w:w="1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232"/>
        </w:trPr>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2.0</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325</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505</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w:t>
            </w:r>
          </w:p>
        </w:tc>
        <w:tc>
          <w:tcPr>
            <w:tcW w:w="19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25.00</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37"/>
        </w:trPr>
        <w:tc>
          <w:tcPr>
            <w:tcW w:w="322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Renewals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08"/>
        </w:trPr>
        <w:tc>
          <w:tcPr>
            <w:tcW w:w="15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95"/>
        </w:trPr>
        <w:tc>
          <w:tcPr>
            <w:tcW w:w="15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37"/>
        </w:trPr>
        <w:tc>
          <w:tcPr>
            <w:tcW w:w="3220" w:type="dxa"/>
            <w:vAlign w:val="bottom"/>
            <w:gridSpan w:val="2"/>
            <w:shd w:val="clear" w:color="auto" w:fill="CCEEFF"/>
          </w:tcPr>
          <w:p>
            <w:pPr>
              <w:ind w:left="1120"/>
              <w:spacing w:after="0" w:line="137" w:lineRule="exact"/>
              <w:rPr>
                <w:sz w:val="20"/>
                <w:szCs w:val="20"/>
                <w:color w:val="auto"/>
              </w:rPr>
            </w:pPr>
            <w:r>
              <w:rPr>
                <w:rFonts w:ascii="Arial" w:cs="Arial" w:eastAsia="Arial" w:hAnsi="Arial"/>
                <w:sz w:val="12"/>
                <w:szCs w:val="12"/>
                <w:color w:val="auto"/>
              </w:rPr>
              <w:t>Expired/Renewed Office</w:t>
            </w:r>
          </w:p>
        </w:tc>
        <w:tc>
          <w:tcPr>
            <w:tcW w:w="7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10</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19,343</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27,669</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34.57</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24.76</w:t>
            </w:r>
          </w:p>
        </w:tc>
        <w:tc>
          <w:tcPr>
            <w:tcW w:w="7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0.26</w:t>
            </w: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0.8</w:t>
            </w:r>
          </w:p>
        </w:tc>
      </w:tr>
      <w:tr>
        <w:trPr>
          <w:trHeight w:val="137"/>
        </w:trPr>
        <w:tc>
          <w:tcPr>
            <w:tcW w:w="3220" w:type="dxa"/>
            <w:vAlign w:val="bottom"/>
            <w:gridSpan w:val="2"/>
          </w:tcPr>
          <w:p>
            <w:pPr>
              <w:ind w:left="1120"/>
              <w:spacing w:after="0" w:line="137" w:lineRule="exact"/>
              <w:rPr>
                <w:sz w:val="20"/>
                <w:szCs w:val="20"/>
                <w:color w:val="auto"/>
              </w:rPr>
            </w:pPr>
            <w:r>
              <w:rPr>
                <w:rFonts w:ascii="Arial" w:cs="Arial" w:eastAsia="Arial" w:hAnsi="Arial"/>
                <w:sz w:val="12"/>
                <w:szCs w:val="12"/>
                <w:color w:val="auto"/>
              </w:rPr>
              <w:t>Early Renewals Office</w:t>
            </w:r>
          </w:p>
        </w:tc>
        <w:tc>
          <w:tcPr>
            <w:tcW w:w="7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10</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9.4</w:t>
            </w:r>
          </w:p>
        </w:tc>
        <w:tc>
          <w:tcPr>
            <w:tcW w:w="102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107,935</w:t>
            </w:r>
          </w:p>
        </w:tc>
        <w:tc>
          <w:tcPr>
            <w:tcW w:w="8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142,270</w:t>
            </w:r>
          </w:p>
        </w:tc>
        <w:tc>
          <w:tcPr>
            <w:tcW w:w="11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31.69</w:t>
            </w:r>
          </w:p>
        </w:tc>
        <w:tc>
          <w:tcPr>
            <w:tcW w:w="1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19.17</w:t>
            </w:r>
          </w:p>
        </w:tc>
        <w:tc>
          <w:tcPr>
            <w:tcW w:w="780" w:type="dxa"/>
            <w:vAlign w:val="bottom"/>
          </w:tcPr>
          <w:p>
            <w:pPr>
              <w:jc w:val="right"/>
              <w:spacing w:after="0" w:line="137" w:lineRule="exact"/>
              <w:rPr>
                <w:sz w:val="20"/>
                <w:szCs w:val="20"/>
                <w:color w:val="auto"/>
              </w:rPr>
            </w:pPr>
            <w:r>
              <w:rPr>
                <w:rFonts w:ascii="Arial" w:cs="Arial" w:eastAsia="Arial" w:hAnsi="Arial"/>
                <w:sz w:val="12"/>
                <w:szCs w:val="12"/>
                <w:color w:val="auto"/>
              </w:rPr>
              <w:t>14.62</w:t>
            </w:r>
          </w:p>
        </w:tc>
        <w:tc>
          <w:tcPr>
            <w:tcW w:w="30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1.0</w:t>
            </w:r>
          </w:p>
        </w:tc>
      </w:tr>
      <w:tr>
        <w:trPr>
          <w:trHeight w:val="137"/>
        </w:trPr>
        <w:tc>
          <w:tcPr>
            <w:tcW w:w="3220" w:type="dxa"/>
            <w:vAlign w:val="bottom"/>
            <w:gridSpan w:val="2"/>
            <w:shd w:val="clear" w:color="auto" w:fill="CCEEFF"/>
          </w:tcPr>
          <w:p>
            <w:pPr>
              <w:ind w:left="1120"/>
              <w:spacing w:after="0" w:line="137" w:lineRule="exact"/>
              <w:rPr>
                <w:sz w:val="20"/>
                <w:szCs w:val="20"/>
                <w:color w:val="auto"/>
              </w:rPr>
            </w:pPr>
            <w:r>
              <w:rPr>
                <w:rFonts w:ascii="Arial" w:cs="Arial" w:eastAsia="Arial" w:hAnsi="Arial"/>
                <w:sz w:val="12"/>
                <w:szCs w:val="12"/>
                <w:color w:val="auto"/>
              </w:rPr>
              <w:t>Early Renewals Retail</w:t>
            </w:r>
          </w:p>
        </w:tc>
        <w:tc>
          <w:tcPr>
            <w:tcW w:w="7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9.1</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13,282</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13,866</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48.49</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32.31</w:t>
            </w: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r>
      <w:tr>
        <w:trPr>
          <w:trHeight w:val="157"/>
        </w:trPr>
        <w:tc>
          <w:tcPr>
            <w:tcW w:w="3220" w:type="dxa"/>
            <w:vAlign w:val="bottom"/>
            <w:gridSpan w:val="2"/>
          </w:tcPr>
          <w:p>
            <w:pPr>
              <w:ind w:left="1120"/>
              <w:spacing w:after="0"/>
              <w:rPr>
                <w:sz w:val="20"/>
                <w:szCs w:val="20"/>
                <w:color w:val="auto"/>
              </w:rPr>
            </w:pPr>
            <w:r>
              <w:rPr>
                <w:rFonts w:ascii="Arial" w:cs="Arial" w:eastAsia="Arial" w:hAnsi="Arial"/>
                <w:sz w:val="12"/>
                <w:szCs w:val="12"/>
                <w:color w:val="auto"/>
              </w:rPr>
              <w:t>Early Renewals Storage</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560" w:type="dxa"/>
            <w:vAlign w:val="bottom"/>
          </w:tcPr>
          <w:p>
            <w:pPr>
              <w:jc w:val="right"/>
              <w:spacing w:after="0"/>
              <w:rPr>
                <w:sz w:val="20"/>
                <w:szCs w:val="20"/>
                <w:color w:val="auto"/>
              </w:rPr>
            </w:pPr>
            <w:r>
              <w:rPr>
                <w:rFonts w:ascii="Arial" w:cs="Arial" w:eastAsia="Arial" w:hAnsi="Arial"/>
                <w:sz w:val="12"/>
                <w:szCs w:val="12"/>
                <w:color w:val="auto"/>
              </w:rPr>
              <w:t>2.0</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325</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505</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25.00</w:t>
            </w:r>
          </w:p>
        </w:tc>
        <w:tc>
          <w:tcPr>
            <w:tcW w:w="1980" w:type="dxa"/>
            <w:vAlign w:val="bottom"/>
            <w:gridSpan w:val="2"/>
          </w:tcPr>
          <w:p>
            <w:pPr>
              <w:jc w:val="right"/>
              <w:ind w:right="100"/>
              <w:spacing w:after="0"/>
              <w:rPr>
                <w:sz w:val="20"/>
                <w:szCs w:val="20"/>
                <w:color w:val="auto"/>
              </w:rPr>
            </w:pPr>
            <w:r>
              <w:rPr>
                <w:rFonts w:ascii="Arial" w:cs="Arial" w:eastAsia="Arial" w:hAnsi="Arial"/>
                <w:sz w:val="12"/>
                <w:szCs w:val="12"/>
                <w:color w:val="auto"/>
              </w:rPr>
              <w:t>25.00</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88"/>
        </w:trPr>
        <w:tc>
          <w:tcPr>
            <w:tcW w:w="15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95"/>
        </w:trPr>
        <w:tc>
          <w:tcPr>
            <w:tcW w:w="15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37"/>
        </w:trPr>
        <w:tc>
          <w:tcPr>
            <w:tcW w:w="3220" w:type="dxa"/>
            <w:vAlign w:val="bottom"/>
            <w:gridSpan w:val="2"/>
            <w:shd w:val="clear" w:color="auto" w:fill="CCEEFF"/>
          </w:tcPr>
          <w:p>
            <w:pPr>
              <w:ind w:left="1120"/>
              <w:spacing w:after="0" w:line="137" w:lineRule="exact"/>
              <w:rPr>
                <w:sz w:val="20"/>
                <w:szCs w:val="20"/>
                <w:color w:val="auto"/>
              </w:rPr>
            </w:pPr>
            <w:r>
              <w:rPr>
                <w:rFonts w:ascii="Arial" w:cs="Arial" w:eastAsia="Arial" w:hAnsi="Arial"/>
                <w:sz w:val="12"/>
                <w:szCs w:val="12"/>
                <w:b w:val="1"/>
                <w:bCs w:val="1"/>
                <w:color w:val="auto"/>
              </w:rPr>
              <w:t>Total</w:t>
            </w:r>
          </w:p>
        </w:tc>
        <w:tc>
          <w:tcPr>
            <w:tcW w:w="7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23</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8.2</w:t>
            </w:r>
          </w:p>
        </w:tc>
        <w:tc>
          <w:tcPr>
            <w:tcW w:w="10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b w:val="1"/>
                <w:bCs w:val="1"/>
                <w:color w:val="auto"/>
              </w:rPr>
              <w:t>140,885</w:t>
            </w:r>
          </w:p>
        </w:tc>
        <w:tc>
          <w:tcPr>
            <w:tcW w:w="8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184,310</w:t>
            </w:r>
          </w:p>
        </w:tc>
        <w:tc>
          <w:tcPr>
            <w:tcW w:w="11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b w:val="1"/>
                <w:bCs w:val="1"/>
                <w:color w:val="auto"/>
              </w:rPr>
              <w:t>33.37</w:t>
            </w:r>
          </w:p>
        </w:tc>
        <w:tc>
          <w:tcPr>
            <w:tcW w:w="1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21.01</w:t>
            </w: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b w:val="1"/>
                <w:bCs w:val="1"/>
                <w:color w:val="auto"/>
              </w:rPr>
              <w:t>11.32</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0.3</w:t>
            </w:r>
          </w:p>
        </w:tc>
      </w:tr>
      <w:tr>
        <w:trPr>
          <w:trHeight w:val="108"/>
        </w:trPr>
        <w:tc>
          <w:tcPr>
            <w:tcW w:w="1520" w:type="dxa"/>
            <w:vAlign w:val="bottom"/>
            <w:tcBorders>
              <w:bottom w:val="single" w:sz="8" w:color="808080"/>
            </w:tcBorders>
          </w:tcPr>
          <w:p>
            <w:pPr>
              <w:spacing w:after="0"/>
              <w:rPr>
                <w:sz w:val="9"/>
                <w:szCs w:val="9"/>
                <w:color w:val="auto"/>
              </w:rPr>
            </w:pPr>
          </w:p>
        </w:tc>
        <w:tc>
          <w:tcPr>
            <w:tcW w:w="1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-1447800</wp:posOffset>
            </wp:positionV>
            <wp:extent cx="12700" cy="762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-1447800</wp:posOffset>
            </wp:positionV>
            <wp:extent cx="12700" cy="762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-1447800</wp:posOffset>
            </wp:positionV>
            <wp:extent cx="12700" cy="762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-1447800</wp:posOffset>
            </wp:positionV>
            <wp:extent cx="12700" cy="762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-1447800</wp:posOffset>
            </wp:positionV>
            <wp:extent cx="12700" cy="762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-1447800</wp:posOffset>
            </wp:positionV>
            <wp:extent cx="12700" cy="762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-1447800</wp:posOffset>
            </wp:positionV>
            <wp:extent cx="12700" cy="762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-1447800</wp:posOffset>
            </wp:positionV>
            <wp:extent cx="12700" cy="762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-1447800</wp:posOffset>
            </wp:positionV>
            <wp:extent cx="12700" cy="762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-1447800</wp:posOffset>
            </wp:positionV>
            <wp:extent cx="12700" cy="762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-1447800</wp:posOffset>
            </wp:positionV>
            <wp:extent cx="12700" cy="762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-1447800</wp:posOffset>
            </wp:positionV>
            <wp:extent cx="12700" cy="762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-1447800</wp:posOffset>
            </wp:positionV>
            <wp:extent cx="12700" cy="762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-1447800</wp:posOffset>
            </wp:positionV>
            <wp:extent cx="12700" cy="762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-1045845</wp:posOffset>
            </wp:positionV>
            <wp:extent cx="12700" cy="762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-1045845</wp:posOffset>
            </wp:positionV>
            <wp:extent cx="12700" cy="762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-1045845</wp:posOffset>
            </wp:positionV>
            <wp:extent cx="12700" cy="762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-1045845</wp:posOffset>
            </wp:positionV>
            <wp:extent cx="12700" cy="762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-1045845</wp:posOffset>
            </wp:positionV>
            <wp:extent cx="12700" cy="762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-1045845</wp:posOffset>
            </wp:positionV>
            <wp:extent cx="12700" cy="762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-1045845</wp:posOffset>
            </wp:positionV>
            <wp:extent cx="12700" cy="762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-1045845</wp:posOffset>
            </wp:positionV>
            <wp:extent cx="12700" cy="762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-1045845</wp:posOffset>
            </wp:positionV>
            <wp:extent cx="12700" cy="762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-1045845</wp:posOffset>
            </wp:positionV>
            <wp:extent cx="12700" cy="762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-1045845</wp:posOffset>
            </wp:positionV>
            <wp:extent cx="12700" cy="762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-1045845</wp:posOffset>
            </wp:positionV>
            <wp:extent cx="12700" cy="762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-1045845</wp:posOffset>
            </wp:positionV>
            <wp:extent cx="12700" cy="762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-1045845</wp:posOffset>
            </wp:positionV>
            <wp:extent cx="12700" cy="762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-730885</wp:posOffset>
            </wp:positionV>
            <wp:extent cx="12700" cy="762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-730885</wp:posOffset>
            </wp:positionV>
            <wp:extent cx="12700" cy="762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-241935</wp:posOffset>
            </wp:positionV>
            <wp:extent cx="12700" cy="762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-241935</wp:posOffset>
            </wp:positionV>
            <wp:extent cx="12700" cy="762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-241935</wp:posOffset>
            </wp:positionV>
            <wp:extent cx="12700" cy="762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-241935</wp:posOffset>
            </wp:positionV>
            <wp:extent cx="12700" cy="762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-241935</wp:posOffset>
            </wp:positionV>
            <wp:extent cx="12700" cy="762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-241935</wp:posOffset>
            </wp:positionV>
            <wp:extent cx="12700" cy="762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-241935</wp:posOffset>
            </wp:positionV>
            <wp:extent cx="12700" cy="762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-241935</wp:posOffset>
            </wp:positionV>
            <wp:extent cx="12700" cy="762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-241935</wp:posOffset>
            </wp:positionV>
            <wp:extent cx="12700" cy="762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-241935</wp:posOffset>
            </wp:positionV>
            <wp:extent cx="12700" cy="762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-241935</wp:posOffset>
            </wp:positionV>
            <wp:extent cx="12700" cy="762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-241935</wp:posOffset>
            </wp:positionV>
            <wp:extent cx="12700" cy="762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-241935</wp:posOffset>
            </wp:positionV>
            <wp:extent cx="12700" cy="762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-241935</wp:posOffset>
            </wp:positionV>
            <wp:extent cx="12700" cy="762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ind w:left="501" w:hanging="501"/>
        <w:spacing w:after="0"/>
        <w:tabs>
          <w:tab w:leader="none" w:pos="501" w:val="left"/>
        </w:tabs>
        <w:numPr>
          <w:ilvl w:val="0"/>
          <w:numId w:val="16"/>
        </w:numPr>
        <w:rPr>
          <w:rFonts w:ascii="Arial" w:cs="Arial" w:eastAsia="Arial" w:hAnsi="Arial"/>
          <w:sz w:val="25"/>
          <w:szCs w:val="25"/>
          <w:color w:val="auto"/>
          <w:vertAlign w:val="subscript"/>
        </w:rPr>
      </w:pPr>
      <w:r>
        <w:rPr>
          <w:rFonts w:ascii="Arial" w:cs="Arial" w:eastAsia="Arial" w:hAnsi="Arial"/>
          <w:sz w:val="12"/>
          <w:szCs w:val="12"/>
          <w:color w:val="auto"/>
        </w:rPr>
        <w:t>Annual Base Rent</w:t>
      </w:r>
    </w:p>
    <w:p>
      <w:pPr>
        <w:ind w:left="501" w:hanging="501"/>
        <w:spacing w:after="0" w:line="186" w:lineRule="auto"/>
        <w:tabs>
          <w:tab w:leader="none" w:pos="501" w:val="left"/>
        </w:tabs>
        <w:numPr>
          <w:ilvl w:val="0"/>
          <w:numId w:val="17"/>
        </w:numPr>
        <w:rPr>
          <w:rFonts w:ascii="Arial" w:cs="Arial" w:eastAsia="Arial" w:hAnsi="Arial"/>
          <w:sz w:val="25"/>
          <w:szCs w:val="25"/>
          <w:color w:val="auto"/>
          <w:vertAlign w:val="subscript"/>
        </w:rPr>
      </w:pPr>
      <w:r>
        <w:rPr>
          <w:rFonts w:ascii="Arial" w:cs="Arial" w:eastAsia="Arial" w:hAnsi="Arial"/>
          <w:sz w:val="12"/>
          <w:szCs w:val="12"/>
          <w:color w:val="auto"/>
        </w:rPr>
        <w:t>Escalated Rent is calculated as Total Annual Income less Electric Charges.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ANNUAL LEASE EXPIRATIONS</w:t>
      </w:r>
    </w:p>
    <w:p>
      <w:pPr>
        <w:spacing w:after="0" w:line="3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Consolidated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35"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3"/>
              </w:rPr>
              <w:t>Annualized Rent</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40" w:type="dxa"/>
            <w:vAlign w:val="bottom"/>
            <w:vMerge w:val="restart"/>
          </w:tcPr>
          <w:p>
            <w:pPr>
              <w:spacing w:after="0"/>
              <w:rPr>
                <w:sz w:val="20"/>
                <w:szCs w:val="20"/>
                <w:color w:val="auto"/>
              </w:rPr>
            </w:pPr>
            <w:r>
              <w:rPr>
                <w:rFonts w:ascii="Arial" w:cs="Arial" w:eastAsia="Arial" w:hAnsi="Arial"/>
                <w:sz w:val="12"/>
                <w:szCs w:val="12"/>
                <w:b w:val="1"/>
                <w:bCs w:val="1"/>
                <w:color w:val="auto"/>
              </w:rPr>
              <w:t>Year of Lease</w:t>
            </w: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3"/>
              </w:rPr>
              <w:t>Per Leased</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84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6"/>
              </w:rPr>
              <w:t>Number of</w:t>
            </w:r>
          </w:p>
        </w:tc>
        <w:tc>
          <w:tcPr>
            <w:tcW w:w="110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88"/>
              </w:rPr>
              <w:t>Square</w:t>
            </w:r>
          </w:p>
        </w:tc>
        <w:tc>
          <w:tcPr>
            <w:tcW w:w="1160" w:type="dxa"/>
            <w:vAlign w:val="bottom"/>
            <w:vMerge w:val="restart"/>
          </w:tcPr>
          <w:p>
            <w:pPr>
              <w:jc w:val="center"/>
              <w:ind w:right="98"/>
              <w:spacing w:after="0" w:line="137" w:lineRule="exact"/>
              <w:rPr>
                <w:sz w:val="20"/>
                <w:szCs w:val="20"/>
                <w:color w:val="auto"/>
              </w:rPr>
            </w:pPr>
            <w:r>
              <w:rPr>
                <w:rFonts w:ascii="Arial" w:cs="Arial" w:eastAsia="Arial" w:hAnsi="Arial"/>
                <w:sz w:val="12"/>
                <w:szCs w:val="12"/>
                <w:b w:val="1"/>
                <w:bCs w:val="1"/>
                <w:color w:val="auto"/>
                <w:w w:val="90"/>
              </w:rPr>
              <w:t>Percentage of</w:t>
            </w:r>
          </w:p>
        </w:tc>
        <w:tc>
          <w:tcPr>
            <w:tcW w:w="154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5"/>
              </w:rPr>
              <w:t>Annualized Rent</w:t>
            </w:r>
          </w:p>
        </w:tc>
        <w:tc>
          <w:tcPr>
            <w:tcW w:w="162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1"/>
              </w:rPr>
              <w:t>Square Foot</w:t>
            </w:r>
          </w:p>
        </w:tc>
        <w:tc>
          <w:tcPr>
            <w:tcW w:w="1500" w:type="dxa"/>
            <w:vAlign w:val="bottom"/>
            <w:vMerge w:val="restart"/>
          </w:tcPr>
          <w:p>
            <w:pPr>
              <w:jc w:val="center"/>
              <w:ind w:left="38"/>
              <w:spacing w:after="0" w:line="137" w:lineRule="exact"/>
              <w:rPr>
                <w:sz w:val="20"/>
                <w:szCs w:val="20"/>
                <w:color w:val="auto"/>
              </w:rPr>
            </w:pPr>
            <w:r>
              <w:rPr>
                <w:rFonts w:ascii="Arial" w:cs="Arial" w:eastAsia="Arial" w:hAnsi="Arial"/>
                <w:sz w:val="12"/>
                <w:szCs w:val="12"/>
                <w:b w:val="1"/>
                <w:bCs w:val="1"/>
                <w:color w:val="auto"/>
                <w:w w:val="92"/>
              </w:rPr>
              <w:t>Year 2002</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8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740" w:type="dxa"/>
            <w:vAlign w:val="bottom"/>
            <w:vMerge w:val="continue"/>
          </w:tcPr>
          <w:p>
            <w:pPr>
              <w:spacing w:after="0"/>
              <w:rPr>
                <w:sz w:val="6"/>
                <w:szCs w:val="6"/>
                <w:color w:val="auto"/>
              </w:rPr>
            </w:pPr>
          </w:p>
        </w:tc>
        <w:tc>
          <w:tcPr>
            <w:tcW w:w="84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5"/>
              </w:rPr>
              <w:t>Expiring</w:t>
            </w:r>
          </w:p>
        </w:tc>
        <w:tc>
          <w:tcPr>
            <w:tcW w:w="110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1"/>
              </w:rPr>
              <w:t>Footage of</w:t>
            </w:r>
          </w:p>
        </w:tc>
        <w:tc>
          <w:tcPr>
            <w:tcW w:w="1160" w:type="dxa"/>
            <w:vAlign w:val="bottom"/>
            <w:vMerge w:val="restart"/>
          </w:tcPr>
          <w:p>
            <w:pPr>
              <w:jc w:val="center"/>
              <w:ind w:right="98"/>
              <w:spacing w:after="0" w:line="137" w:lineRule="exact"/>
              <w:rPr>
                <w:sz w:val="20"/>
                <w:szCs w:val="20"/>
                <w:color w:val="auto"/>
              </w:rPr>
            </w:pPr>
            <w:r>
              <w:rPr>
                <w:rFonts w:ascii="Arial" w:cs="Arial" w:eastAsia="Arial" w:hAnsi="Arial"/>
                <w:sz w:val="12"/>
                <w:szCs w:val="12"/>
                <w:b w:val="1"/>
                <w:bCs w:val="1"/>
                <w:color w:val="auto"/>
                <w:w w:val="92"/>
              </w:rPr>
              <w:t>Total Leased</w:t>
            </w:r>
          </w:p>
        </w:tc>
        <w:tc>
          <w:tcPr>
            <w:tcW w:w="154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8"/>
              </w:rPr>
              <w:t>of Expiring</w:t>
            </w:r>
          </w:p>
        </w:tc>
        <w:tc>
          <w:tcPr>
            <w:tcW w:w="162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1"/>
              </w:rPr>
              <w:t>of Expiring Leases</w:t>
            </w:r>
          </w:p>
        </w:tc>
        <w:tc>
          <w:tcPr>
            <w:tcW w:w="1500" w:type="dxa"/>
            <w:vAlign w:val="bottom"/>
            <w:vMerge w:val="restart"/>
          </w:tcPr>
          <w:p>
            <w:pPr>
              <w:jc w:val="center"/>
              <w:ind w:left="38"/>
              <w:spacing w:after="0" w:line="137" w:lineRule="exact"/>
              <w:rPr>
                <w:sz w:val="20"/>
                <w:szCs w:val="20"/>
                <w:color w:val="auto"/>
              </w:rPr>
            </w:pPr>
            <w:r>
              <w:rPr>
                <w:rFonts w:ascii="Arial" w:cs="Arial" w:eastAsia="Arial" w:hAnsi="Arial"/>
                <w:sz w:val="12"/>
                <w:szCs w:val="12"/>
                <w:b w:val="1"/>
                <w:bCs w:val="1"/>
                <w:color w:val="auto"/>
                <w:w w:val="91"/>
              </w:rPr>
              <w:t>Weighted Average</w:t>
            </w:r>
          </w:p>
        </w:tc>
        <w:tc>
          <w:tcPr>
            <w:tcW w:w="0" w:type="dxa"/>
            <w:vAlign w:val="bottom"/>
          </w:tcPr>
          <w:p>
            <w:pPr>
              <w:spacing w:after="0"/>
              <w:rPr>
                <w:sz w:val="1"/>
                <w:szCs w:val="1"/>
                <w:color w:val="auto"/>
              </w:rPr>
            </w:pPr>
          </w:p>
        </w:tc>
      </w:tr>
      <w:tr>
        <w:trPr>
          <w:trHeight w:val="63"/>
        </w:trPr>
        <w:tc>
          <w:tcPr>
            <w:tcW w:w="17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5"/>
              </w:rPr>
              <w:t>Leases**</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1"/>
              </w:rPr>
              <w:t>Expiring Leases</w:t>
            </w:r>
          </w:p>
        </w:tc>
        <w:tc>
          <w:tcPr>
            <w:tcW w:w="1160" w:type="dxa"/>
            <w:vAlign w:val="bottom"/>
          </w:tcPr>
          <w:p>
            <w:pPr>
              <w:jc w:val="center"/>
              <w:ind w:right="118"/>
              <w:spacing w:after="0"/>
              <w:rPr>
                <w:sz w:val="20"/>
                <w:szCs w:val="20"/>
                <w:color w:val="auto"/>
              </w:rPr>
            </w:pPr>
            <w:r>
              <w:rPr>
                <w:rFonts w:ascii="Arial" w:cs="Arial" w:eastAsia="Arial" w:hAnsi="Arial"/>
                <w:sz w:val="12"/>
                <w:szCs w:val="12"/>
                <w:b w:val="1"/>
                <w:bCs w:val="1"/>
                <w:color w:val="auto"/>
                <w:w w:val="92"/>
              </w:rPr>
              <w:t>Sq. Ft.</w:t>
            </w: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89"/>
              </w:rPr>
              <w:t>Leases($'s)</w:t>
            </w: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rPr>
              <w:t>$/psf ***</w:t>
            </w:r>
          </w:p>
        </w:tc>
        <w:tc>
          <w:tcPr>
            <w:tcW w:w="1500" w:type="dxa"/>
            <w:vAlign w:val="bottom"/>
          </w:tcPr>
          <w:p>
            <w:pPr>
              <w:jc w:val="center"/>
              <w:ind w:left="38"/>
              <w:spacing w:after="0"/>
              <w:rPr>
                <w:sz w:val="20"/>
                <w:szCs w:val="20"/>
                <w:color w:val="auto"/>
              </w:rPr>
            </w:pPr>
            <w:r>
              <w:rPr>
                <w:rFonts w:ascii="Arial" w:cs="Arial" w:eastAsia="Arial" w:hAnsi="Arial"/>
                <w:sz w:val="12"/>
                <w:szCs w:val="12"/>
                <w:b w:val="1"/>
                <w:bCs w:val="1"/>
                <w:color w:val="auto"/>
                <w:w w:val="94"/>
              </w:rPr>
              <w:t>Asking Rent $/psf</w:t>
            </w:r>
          </w:p>
        </w:tc>
        <w:tc>
          <w:tcPr>
            <w:tcW w:w="0" w:type="dxa"/>
            <w:vAlign w:val="bottom"/>
          </w:tcPr>
          <w:p>
            <w:pPr>
              <w:spacing w:after="0"/>
              <w:rPr>
                <w:sz w:val="1"/>
                <w:szCs w:val="1"/>
                <w:color w:val="auto"/>
              </w:rPr>
            </w:pPr>
          </w:p>
        </w:tc>
      </w:tr>
      <w:tr>
        <w:trPr>
          <w:trHeight w:val="97"/>
        </w:trPr>
        <w:tc>
          <w:tcPr>
            <w:tcW w:w="17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-13335</wp:posOffset>
            </wp:positionV>
            <wp:extent cx="12700" cy="762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-13335</wp:posOffset>
            </wp:positionV>
            <wp:extent cx="12700" cy="762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95" w:orient="portrait"/>
          <w:cols w:equalWidth="0" w:num="1">
            <w:col w:w="11421"/>
          </w:cols>
          <w:pgMar w:left="239" w:top="131" w:right="239" w:bottom="0" w:gutter="0" w:footer="0" w:header="0"/>
        </w:sectPr>
      </w:pPr>
    </w:p>
    <w:p>
      <w:pPr>
        <w:spacing w:after="0" w:line="87" w:lineRule="exact"/>
        <w:rPr>
          <w:sz w:val="20"/>
          <w:szCs w:val="20"/>
          <w:color w:val="auto"/>
        </w:rPr>
      </w:pPr>
    </w:p>
    <w:p>
      <w:pPr>
        <w:ind w:left="1"/>
        <w:spacing w:after="0"/>
        <w:rPr>
          <w:sz w:val="20"/>
          <w:szCs w:val="20"/>
          <w:color w:val="auto"/>
        </w:rPr>
      </w:pPr>
      <w:r>
        <w:rPr>
          <w:rFonts w:ascii="Arial" w:cs="Arial" w:eastAsia="Arial" w:hAnsi="Arial"/>
          <w:sz w:val="15"/>
          <w:szCs w:val="15"/>
          <w:color w:val="auto"/>
        </w:rPr>
        <w:t>In 1st Quarter 2002*</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4"/>
          <w:szCs w:val="14"/>
          <w:color w:val="auto"/>
        </w:rPr>
        <w:t>In 2nd Quarter 2002*</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5"/>
          <w:szCs w:val="15"/>
          <w:color w:val="auto"/>
        </w:rPr>
        <w:t>In 3rd Quarter 2002*</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4th Quarter 2002</w:t>
      </w:r>
    </w:p>
    <w:p>
      <w:pPr>
        <w:spacing w:after="0" w:line="227" w:lineRule="exact"/>
        <w:rPr>
          <w:sz w:val="20"/>
          <w:szCs w:val="20"/>
          <w:color w:val="auto"/>
        </w:rPr>
      </w:pPr>
    </w:p>
    <w:p>
      <w:pPr>
        <w:ind w:left="201"/>
        <w:spacing w:after="0"/>
        <w:rPr>
          <w:sz w:val="20"/>
          <w:szCs w:val="20"/>
          <w:color w:val="auto"/>
        </w:rPr>
      </w:pPr>
      <w:r>
        <w:rPr>
          <w:rFonts w:ascii="Arial" w:cs="Arial" w:eastAsia="Arial" w:hAnsi="Arial"/>
          <w:sz w:val="16"/>
          <w:szCs w:val="16"/>
          <w:b w:val="1"/>
          <w:bCs w:val="1"/>
          <w:color w:val="auto"/>
        </w:rPr>
        <w:t>Total 2002</w:t>
      </w:r>
    </w:p>
    <w:p>
      <w:pPr>
        <w:spacing w:after="0" w:line="200" w:lineRule="exact"/>
        <w:rPr>
          <w:sz w:val="20"/>
          <w:szCs w:val="20"/>
          <w:color w:val="auto"/>
        </w:rPr>
      </w:pPr>
    </w:p>
    <w:p>
      <w:pPr>
        <w:spacing w:after="0" w:line="241"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2003</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2004</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2005</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2006</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2007</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2008</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2009</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2010</w:t>
      </w:r>
    </w:p>
    <w:p>
      <w:pPr>
        <w:spacing w:after="0" w:line="39" w:lineRule="exact"/>
        <w:rPr>
          <w:sz w:val="20"/>
          <w:szCs w:val="20"/>
          <w:color w:val="auto"/>
        </w:rPr>
      </w:pPr>
    </w:p>
    <w:p>
      <w:pPr>
        <w:ind w:left="401"/>
        <w:spacing w:after="0"/>
        <w:rPr>
          <w:sz w:val="20"/>
          <w:szCs w:val="20"/>
          <w:color w:val="auto"/>
        </w:rPr>
      </w:pPr>
      <w:r>
        <w:rPr>
          <w:rFonts w:ascii="Arial" w:cs="Arial" w:eastAsia="Arial" w:hAnsi="Arial"/>
          <w:sz w:val="16"/>
          <w:szCs w:val="16"/>
          <w:color w:val="auto"/>
        </w:rPr>
        <w:t>2011</w:t>
      </w:r>
    </w:p>
    <w:p>
      <w:pPr>
        <w:spacing w:after="0" w:line="35" w:lineRule="exact"/>
        <w:rPr>
          <w:sz w:val="20"/>
          <w:szCs w:val="20"/>
          <w:color w:val="auto"/>
        </w:rPr>
      </w:pPr>
    </w:p>
    <w:p>
      <w:pPr>
        <w:ind w:left="201"/>
        <w:spacing w:after="0"/>
        <w:rPr>
          <w:sz w:val="20"/>
          <w:szCs w:val="20"/>
          <w:color w:val="auto"/>
        </w:rPr>
      </w:pPr>
      <w:r>
        <w:rPr>
          <w:rFonts w:ascii="Arial" w:cs="Arial" w:eastAsia="Arial" w:hAnsi="Arial"/>
          <w:sz w:val="16"/>
          <w:szCs w:val="16"/>
          <w:b w:val="1"/>
          <w:bCs w:val="1"/>
          <w:color w:val="auto"/>
        </w:rPr>
        <w:t>Thereafter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9,519</w:t>
            </w:r>
          </w:p>
        </w:tc>
        <w:tc>
          <w:tcPr>
            <w:tcW w:w="920" w:type="dxa"/>
            <w:vAlign w:val="bottom"/>
          </w:tcPr>
          <w:p>
            <w:pPr>
              <w:jc w:val="right"/>
              <w:spacing w:after="0"/>
              <w:rPr>
                <w:sz w:val="20"/>
                <w:szCs w:val="20"/>
                <w:color w:val="auto"/>
              </w:rPr>
            </w:pPr>
            <w:r>
              <w:rPr>
                <w:rFonts w:ascii="Arial" w:cs="Arial" w:eastAsia="Arial" w:hAnsi="Arial"/>
                <w:sz w:val="16"/>
                <w:szCs w:val="16"/>
                <w:color w:val="auto"/>
              </w:rPr>
              <w:t>0.14%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253,896</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26.67</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42.61</w:t>
            </w:r>
          </w:p>
        </w:tc>
      </w:tr>
      <w:tr>
        <w:trPr>
          <w:trHeight w:val="199"/>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5,028</w:t>
            </w:r>
          </w:p>
        </w:tc>
        <w:tc>
          <w:tcPr>
            <w:tcW w:w="920" w:type="dxa"/>
            <w:vAlign w:val="bottom"/>
          </w:tcPr>
          <w:p>
            <w:pPr>
              <w:jc w:val="right"/>
              <w:spacing w:after="0"/>
              <w:rPr>
                <w:sz w:val="20"/>
                <w:szCs w:val="20"/>
                <w:color w:val="auto"/>
              </w:rPr>
            </w:pPr>
            <w:r>
              <w:rPr>
                <w:rFonts w:ascii="Arial" w:cs="Arial" w:eastAsia="Arial" w:hAnsi="Arial"/>
                <w:sz w:val="16"/>
                <w:szCs w:val="16"/>
                <w:color w:val="auto"/>
              </w:rPr>
              <w:t>0.07%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166,980</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33.21</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38.95</w:t>
            </w:r>
          </w:p>
        </w:tc>
      </w:tr>
      <w:tr>
        <w:trPr>
          <w:trHeight w:val="199"/>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24,569</w:t>
            </w:r>
          </w:p>
        </w:tc>
        <w:tc>
          <w:tcPr>
            <w:tcW w:w="920" w:type="dxa"/>
            <w:vAlign w:val="bottom"/>
          </w:tcPr>
          <w:p>
            <w:pPr>
              <w:jc w:val="right"/>
              <w:spacing w:after="0"/>
              <w:rPr>
                <w:sz w:val="20"/>
                <w:szCs w:val="20"/>
                <w:color w:val="auto"/>
              </w:rPr>
            </w:pPr>
            <w:r>
              <w:rPr>
                <w:rFonts w:ascii="Arial" w:cs="Arial" w:eastAsia="Arial" w:hAnsi="Arial"/>
                <w:sz w:val="16"/>
                <w:szCs w:val="16"/>
                <w:color w:val="auto"/>
              </w:rPr>
              <w:t>0.36%</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670,752</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27.30</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38.06</w:t>
            </w:r>
          </w:p>
        </w:tc>
      </w:tr>
      <w:tr>
        <w:trPr>
          <w:trHeight w:val="206"/>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79,482</w:t>
            </w:r>
          </w:p>
        </w:tc>
        <w:tc>
          <w:tcPr>
            <w:tcW w:w="920" w:type="dxa"/>
            <w:vAlign w:val="bottom"/>
          </w:tcPr>
          <w:p>
            <w:pPr>
              <w:jc w:val="right"/>
              <w:spacing w:after="0"/>
              <w:rPr>
                <w:sz w:val="20"/>
                <w:szCs w:val="20"/>
                <w:color w:val="auto"/>
              </w:rPr>
            </w:pPr>
            <w:r>
              <w:rPr>
                <w:rFonts w:ascii="Arial" w:cs="Arial" w:eastAsia="Arial" w:hAnsi="Arial"/>
                <w:sz w:val="16"/>
                <w:szCs w:val="16"/>
                <w:color w:val="auto"/>
              </w:rPr>
              <w:t>1.18%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2,578,212</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32.44</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39.62</w:t>
            </w:r>
          </w:p>
        </w:tc>
      </w:tr>
      <w:tr>
        <w:trPr>
          <w:trHeight w:val="110"/>
        </w:trPr>
        <w:tc>
          <w:tcPr>
            <w:tcW w:w="10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92"/>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55</w:t>
            </w: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118,598</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1.76% $</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3,669,840</w:t>
            </w:r>
          </w:p>
        </w:tc>
        <w:tc>
          <w:tcPr>
            <w:tcW w:w="7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30.94</w:t>
            </w:r>
          </w:p>
        </w:tc>
        <w:tc>
          <w:tcPr>
            <w:tcW w:w="62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39.51</w:t>
            </w:r>
          </w:p>
        </w:tc>
      </w:tr>
      <w:tr>
        <w:trPr>
          <w:trHeight w:val="620"/>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557,205</w:t>
            </w:r>
          </w:p>
        </w:tc>
        <w:tc>
          <w:tcPr>
            <w:tcW w:w="920" w:type="dxa"/>
            <w:vAlign w:val="bottom"/>
          </w:tcPr>
          <w:p>
            <w:pPr>
              <w:jc w:val="right"/>
              <w:spacing w:after="0"/>
              <w:rPr>
                <w:sz w:val="20"/>
                <w:szCs w:val="20"/>
                <w:color w:val="auto"/>
              </w:rPr>
            </w:pPr>
            <w:r>
              <w:rPr>
                <w:rFonts w:ascii="Arial" w:cs="Arial" w:eastAsia="Arial" w:hAnsi="Arial"/>
                <w:sz w:val="16"/>
                <w:szCs w:val="16"/>
                <w:color w:val="auto"/>
              </w:rPr>
              <w:t>8.25%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16,741,392</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30.05</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37.37</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618,011</w:t>
            </w:r>
          </w:p>
        </w:tc>
        <w:tc>
          <w:tcPr>
            <w:tcW w:w="920" w:type="dxa"/>
            <w:vAlign w:val="bottom"/>
          </w:tcPr>
          <w:p>
            <w:pPr>
              <w:jc w:val="right"/>
              <w:spacing w:after="0"/>
              <w:rPr>
                <w:sz w:val="20"/>
                <w:szCs w:val="20"/>
                <w:color w:val="auto"/>
              </w:rPr>
            </w:pPr>
            <w:r>
              <w:rPr>
                <w:rFonts w:ascii="Arial" w:cs="Arial" w:eastAsia="Arial" w:hAnsi="Arial"/>
                <w:sz w:val="16"/>
                <w:szCs w:val="16"/>
                <w:color w:val="auto"/>
              </w:rPr>
              <w:t>9.15%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19,960,536</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32.30</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35.94</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595,696</w:t>
            </w:r>
          </w:p>
        </w:tc>
        <w:tc>
          <w:tcPr>
            <w:tcW w:w="920" w:type="dxa"/>
            <w:vAlign w:val="bottom"/>
          </w:tcPr>
          <w:p>
            <w:pPr>
              <w:jc w:val="right"/>
              <w:spacing w:after="0"/>
              <w:rPr>
                <w:sz w:val="20"/>
                <w:szCs w:val="20"/>
                <w:color w:val="auto"/>
              </w:rPr>
            </w:pPr>
            <w:r>
              <w:rPr>
                <w:rFonts w:ascii="Arial" w:cs="Arial" w:eastAsia="Arial" w:hAnsi="Arial"/>
                <w:sz w:val="16"/>
                <w:szCs w:val="16"/>
                <w:color w:val="auto"/>
              </w:rPr>
              <w:t>8.82%</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19,212,036</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32.25</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36.43</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513,343</w:t>
            </w:r>
          </w:p>
        </w:tc>
        <w:tc>
          <w:tcPr>
            <w:tcW w:w="920" w:type="dxa"/>
            <w:vAlign w:val="bottom"/>
          </w:tcPr>
          <w:p>
            <w:pPr>
              <w:jc w:val="right"/>
              <w:spacing w:after="0"/>
              <w:rPr>
                <w:sz w:val="20"/>
                <w:szCs w:val="20"/>
                <w:color w:val="auto"/>
              </w:rPr>
            </w:pPr>
            <w:r>
              <w:rPr>
                <w:rFonts w:ascii="Arial" w:cs="Arial" w:eastAsia="Arial" w:hAnsi="Arial"/>
                <w:sz w:val="16"/>
                <w:szCs w:val="16"/>
                <w:color w:val="auto"/>
              </w:rPr>
              <w:t>7.60%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16,529,604</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32.20</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36.29</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376,972</w:t>
            </w:r>
          </w:p>
        </w:tc>
        <w:tc>
          <w:tcPr>
            <w:tcW w:w="920" w:type="dxa"/>
            <w:vAlign w:val="bottom"/>
          </w:tcPr>
          <w:p>
            <w:pPr>
              <w:jc w:val="right"/>
              <w:spacing w:after="0"/>
              <w:rPr>
                <w:sz w:val="20"/>
                <w:szCs w:val="20"/>
                <w:color w:val="auto"/>
              </w:rPr>
            </w:pPr>
            <w:r>
              <w:rPr>
                <w:rFonts w:ascii="Arial" w:cs="Arial" w:eastAsia="Arial" w:hAnsi="Arial"/>
                <w:sz w:val="16"/>
                <w:szCs w:val="16"/>
                <w:color w:val="auto"/>
              </w:rPr>
              <w:t>5.58%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11,535,084</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30.60</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38.09</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370,799</w:t>
            </w:r>
          </w:p>
        </w:tc>
        <w:tc>
          <w:tcPr>
            <w:tcW w:w="920" w:type="dxa"/>
            <w:vAlign w:val="bottom"/>
          </w:tcPr>
          <w:p>
            <w:pPr>
              <w:jc w:val="right"/>
              <w:spacing w:after="0"/>
              <w:rPr>
                <w:sz w:val="20"/>
                <w:szCs w:val="20"/>
                <w:color w:val="auto"/>
              </w:rPr>
            </w:pPr>
            <w:r>
              <w:rPr>
                <w:rFonts w:ascii="Arial" w:cs="Arial" w:eastAsia="Arial" w:hAnsi="Arial"/>
                <w:sz w:val="16"/>
                <w:szCs w:val="16"/>
                <w:color w:val="auto"/>
              </w:rPr>
              <w:t>5.49%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12,340,248</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33.28</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36.13</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564,141</w:t>
            </w:r>
          </w:p>
        </w:tc>
        <w:tc>
          <w:tcPr>
            <w:tcW w:w="920" w:type="dxa"/>
            <w:vAlign w:val="bottom"/>
          </w:tcPr>
          <w:p>
            <w:pPr>
              <w:jc w:val="right"/>
              <w:spacing w:after="0"/>
              <w:rPr>
                <w:sz w:val="20"/>
                <w:szCs w:val="20"/>
                <w:color w:val="auto"/>
              </w:rPr>
            </w:pPr>
            <w:r>
              <w:rPr>
                <w:rFonts w:ascii="Arial" w:cs="Arial" w:eastAsia="Arial" w:hAnsi="Arial"/>
                <w:sz w:val="16"/>
                <w:szCs w:val="16"/>
                <w:color w:val="auto"/>
              </w:rPr>
              <w:t>8.35%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17,721,060</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31.41</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36.71</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991,862</w:t>
            </w:r>
          </w:p>
        </w:tc>
        <w:tc>
          <w:tcPr>
            <w:tcW w:w="920" w:type="dxa"/>
            <w:vAlign w:val="bottom"/>
          </w:tcPr>
          <w:p>
            <w:pPr>
              <w:jc w:val="right"/>
              <w:spacing w:after="0"/>
              <w:rPr>
                <w:sz w:val="20"/>
                <w:szCs w:val="20"/>
                <w:color w:val="auto"/>
              </w:rPr>
            </w:pPr>
            <w:r>
              <w:rPr>
                <w:rFonts w:ascii="Arial" w:cs="Arial" w:eastAsia="Arial" w:hAnsi="Arial"/>
                <w:sz w:val="16"/>
                <w:szCs w:val="16"/>
                <w:color w:val="auto"/>
              </w:rPr>
              <w:t>14.68%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30,141,864</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30.39</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37.87</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300,169</w:t>
            </w:r>
          </w:p>
        </w:tc>
        <w:tc>
          <w:tcPr>
            <w:tcW w:w="920" w:type="dxa"/>
            <w:vAlign w:val="bottom"/>
          </w:tcPr>
          <w:p>
            <w:pPr>
              <w:jc w:val="right"/>
              <w:spacing w:after="0"/>
              <w:rPr>
                <w:sz w:val="20"/>
                <w:szCs w:val="20"/>
                <w:color w:val="auto"/>
              </w:rPr>
            </w:pPr>
            <w:r>
              <w:rPr>
                <w:rFonts w:ascii="Arial" w:cs="Arial" w:eastAsia="Arial" w:hAnsi="Arial"/>
                <w:sz w:val="16"/>
                <w:szCs w:val="16"/>
                <w:color w:val="auto"/>
              </w:rPr>
              <w:t>4.44%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12,217,032</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40.70</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40.15</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1,750,048</w:t>
            </w:r>
          </w:p>
        </w:tc>
        <w:tc>
          <w:tcPr>
            <w:tcW w:w="920" w:type="dxa"/>
            <w:vAlign w:val="bottom"/>
          </w:tcPr>
          <w:p>
            <w:pPr>
              <w:jc w:val="right"/>
              <w:spacing w:after="0"/>
              <w:rPr>
                <w:sz w:val="20"/>
                <w:szCs w:val="20"/>
                <w:color w:val="auto"/>
              </w:rPr>
            </w:pPr>
            <w:r>
              <w:rPr>
                <w:rFonts w:ascii="Arial" w:cs="Arial" w:eastAsia="Arial" w:hAnsi="Arial"/>
                <w:sz w:val="16"/>
                <w:szCs w:val="16"/>
                <w:color w:val="auto"/>
              </w:rPr>
              <w:t>25.90%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44,196,111</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25.26</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34.57</w:t>
            </w:r>
          </w:p>
        </w:tc>
      </w:tr>
      <w:tr>
        <w:trPr>
          <w:trHeight w:val="134"/>
        </w:trPr>
        <w:tc>
          <w:tcPr>
            <w:tcW w:w="10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gridSpan w:val="2"/>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r>
      <w:tr>
        <w:trPr>
          <w:trHeight w:val="292"/>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804</w:t>
            </w: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6,756,844</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100% $</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204,264,807</w:t>
            </w:r>
          </w:p>
        </w:tc>
        <w:tc>
          <w:tcPr>
            <w:tcW w:w="7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30.23</w:t>
            </w:r>
          </w:p>
        </w:tc>
        <w:tc>
          <w:tcPr>
            <w:tcW w:w="62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36.50</w:t>
            </w:r>
          </w:p>
        </w:tc>
      </w:tr>
      <w:tr>
        <w:trPr>
          <w:trHeight w:val="134"/>
        </w:trPr>
        <w:tc>
          <w:tcPr>
            <w:tcW w:w="10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-2823210</wp:posOffset>
            </wp:positionV>
            <wp:extent cx="6036310" cy="12636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6036310" cy="12636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-2570480</wp:posOffset>
            </wp:positionV>
            <wp:extent cx="6036310" cy="12636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6036310" cy="12636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-2176780</wp:posOffset>
            </wp:positionV>
            <wp:extent cx="6036310" cy="14160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6036310" cy="14160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-1782445</wp:posOffset>
            </wp:positionV>
            <wp:extent cx="6036310" cy="14160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6036310" cy="14160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-1499235</wp:posOffset>
            </wp:positionV>
            <wp:extent cx="6036310" cy="14160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6036310" cy="14160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-1215390</wp:posOffset>
            </wp:positionV>
            <wp:extent cx="6036310" cy="14160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6036310" cy="14160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-931545</wp:posOffset>
            </wp:positionV>
            <wp:extent cx="6036310" cy="14160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6036310" cy="14160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-647700</wp:posOffset>
            </wp:positionV>
            <wp:extent cx="6036310" cy="14160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6036310" cy="14160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-222250</wp:posOffset>
            </wp:positionV>
            <wp:extent cx="6036310" cy="12636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6036310" cy="12636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-2251710</wp:posOffset>
            </wp:positionV>
            <wp:extent cx="12700" cy="762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-2251710</wp:posOffset>
            </wp:positionV>
            <wp:extent cx="12700" cy="762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-297180</wp:posOffset>
            </wp:positionV>
            <wp:extent cx="12700" cy="762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-297180</wp:posOffset>
            </wp:positionV>
            <wp:extent cx="12700" cy="762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-35560</wp:posOffset>
            </wp:positionV>
            <wp:extent cx="12700" cy="3619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12700" cy="3619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00" w:lineRule="exact"/>
        <w:rPr>
          <w:sz w:val="20"/>
          <w:szCs w:val="20"/>
          <w:color w:val="auto"/>
        </w:rPr>
      </w:pPr>
    </w:p>
    <w:p>
      <w:pPr>
        <w:sectPr>
          <w:pgSz w:w="11900" w:h="16895" w:orient="portrait"/>
          <w:cols w:equalWidth="0" w:num="2">
            <w:col w:w="1401" w:space="340"/>
            <w:col w:w="9680"/>
          </w:cols>
          <w:pgMar w:left="239" w:top="131" w:right="239" w:bottom="0" w:gutter="0" w:footer="0" w:header="0"/>
          <w:type w:val="continuous"/>
        </w:sectPr>
      </w:pPr>
    </w:p>
    <w:p>
      <w:pPr>
        <w:spacing w:after="0" w:line="110" w:lineRule="exact"/>
        <w:rPr>
          <w:sz w:val="20"/>
          <w:szCs w:val="20"/>
          <w:color w:val="auto"/>
        </w:rPr>
      </w:pPr>
    </w:p>
    <w:p>
      <w:pPr>
        <w:ind w:left="501" w:hanging="501"/>
        <w:spacing w:after="0"/>
        <w:tabs>
          <w:tab w:leader="none" w:pos="5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month to month holdover tenants that expired prior to 9/30/02</w:t>
      </w:r>
    </w:p>
    <w:p>
      <w:pPr>
        <w:spacing w:after="0" w:line="213"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Tenants may have multiple leases.</w:t>
      </w:r>
    </w:p>
    <w:p>
      <w:pPr>
        <w:spacing w:after="0" w:line="225"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Represents current in place annualized rent allocated by year of maturity.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ANNUAL LEASE EXPIRATIONS</w:t>
      </w:r>
    </w:p>
    <w:p>
      <w:pPr>
        <w:spacing w:after="0" w:line="3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Joint Venture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62495" cy="2032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Year 2002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w w:val="92"/>
              </w:rPr>
              <w:t>Percentage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gridSpan w:val="2"/>
          </w:tcPr>
          <w:p>
            <w:pPr>
              <w:jc w:val="center"/>
              <w:ind w:right="360"/>
              <w:spacing w:after="0" w:line="137" w:lineRule="exact"/>
              <w:rPr>
                <w:sz w:val="20"/>
                <w:szCs w:val="20"/>
                <w:color w:val="auto"/>
              </w:rPr>
            </w:pPr>
            <w:r>
              <w:rPr>
                <w:rFonts w:ascii="Arial" w:cs="Arial" w:eastAsia="Arial" w:hAnsi="Arial"/>
                <w:sz w:val="12"/>
                <w:szCs w:val="12"/>
                <w:b w:val="1"/>
                <w:bCs w:val="1"/>
                <w:color w:val="auto"/>
                <w:w w:val="94"/>
              </w:rPr>
              <w:t>Annualized Rent Per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left="138"/>
              <w:spacing w:after="0" w:line="137" w:lineRule="exact"/>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Square Footage</w:t>
            </w:r>
          </w:p>
        </w:tc>
        <w:tc>
          <w:tcPr>
            <w:tcW w:w="140" w:type="dxa"/>
            <w:vAlign w:val="bottom"/>
          </w:tcPr>
          <w:p>
            <w:pPr>
              <w:spacing w:after="0"/>
              <w:rPr>
                <w:sz w:val="11"/>
                <w:szCs w:val="11"/>
                <w:color w:val="auto"/>
              </w:rPr>
            </w:pPr>
          </w:p>
        </w:tc>
        <w:tc>
          <w:tcPr>
            <w:tcW w:w="118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w w:val="92"/>
              </w:rPr>
              <w:t>of Total</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2"/>
          </w:tcPr>
          <w:p>
            <w:pPr>
              <w:jc w:val="center"/>
              <w:ind w:right="340"/>
              <w:spacing w:after="0" w:line="137" w:lineRule="exact"/>
              <w:rPr>
                <w:sz w:val="20"/>
                <w:szCs w:val="20"/>
                <w:color w:val="auto"/>
              </w:rPr>
            </w:pPr>
            <w:r>
              <w:rPr>
                <w:rFonts w:ascii="Arial" w:cs="Arial" w:eastAsia="Arial" w:hAnsi="Arial"/>
                <w:sz w:val="12"/>
                <w:szCs w:val="12"/>
                <w:b w:val="1"/>
                <w:bCs w:val="1"/>
                <w:color w:val="auto"/>
                <w:w w:val="95"/>
              </w:rPr>
              <w:t>Annualized Rent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gridSpan w:val="2"/>
          </w:tcPr>
          <w:p>
            <w:pPr>
              <w:jc w:val="center"/>
              <w:ind w:right="360"/>
              <w:spacing w:after="0" w:line="137" w:lineRule="exact"/>
              <w:rPr>
                <w:sz w:val="20"/>
                <w:szCs w:val="20"/>
                <w:color w:val="auto"/>
              </w:rPr>
            </w:pPr>
            <w:r>
              <w:rPr>
                <w:rFonts w:ascii="Arial" w:cs="Arial" w:eastAsia="Arial" w:hAnsi="Arial"/>
                <w:sz w:val="12"/>
                <w:szCs w:val="12"/>
                <w:b w:val="1"/>
                <w:bCs w:val="1"/>
                <w:color w:val="auto"/>
                <w:w w:val="92"/>
              </w:rPr>
              <w:t>Leased Square Foot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7"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37"/>
        </w:trPr>
        <w:tc>
          <w:tcPr>
            <w:tcW w:w="196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Year of Lease</w:t>
            </w:r>
          </w:p>
        </w:tc>
        <w:tc>
          <w:tcPr>
            <w:tcW w:w="120" w:type="dxa"/>
            <w:vAlign w:val="bottom"/>
          </w:tcPr>
          <w:p>
            <w:pPr>
              <w:spacing w:after="0"/>
              <w:rPr>
                <w:sz w:val="11"/>
                <w:szCs w:val="11"/>
                <w:color w:val="auto"/>
              </w:rPr>
            </w:pPr>
          </w:p>
        </w:tc>
        <w:tc>
          <w:tcPr>
            <w:tcW w:w="840" w:type="dxa"/>
            <w:vAlign w:val="bottom"/>
          </w:tcPr>
          <w:p>
            <w:pPr>
              <w:jc w:val="center"/>
              <w:ind w:left="138"/>
              <w:spacing w:after="0" w:line="137" w:lineRule="exact"/>
              <w:rPr>
                <w:sz w:val="20"/>
                <w:szCs w:val="20"/>
                <w:color w:val="auto"/>
              </w:rPr>
            </w:pPr>
            <w:r>
              <w:rPr>
                <w:rFonts w:ascii="Arial" w:cs="Arial" w:eastAsia="Arial" w:hAnsi="Arial"/>
                <w:sz w:val="12"/>
                <w:szCs w:val="12"/>
                <w:b w:val="1"/>
                <w:bCs w:val="1"/>
                <w:color w:val="auto"/>
                <w:w w:val="99"/>
              </w:rPr>
              <w:t>Expiring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of Expiring</w:t>
            </w:r>
          </w:p>
        </w:tc>
        <w:tc>
          <w:tcPr>
            <w:tcW w:w="140" w:type="dxa"/>
            <w:vAlign w:val="bottom"/>
          </w:tcPr>
          <w:p>
            <w:pPr>
              <w:spacing w:after="0"/>
              <w:rPr>
                <w:sz w:val="11"/>
                <w:szCs w:val="11"/>
                <w:color w:val="auto"/>
              </w:rPr>
            </w:pPr>
          </w:p>
        </w:tc>
        <w:tc>
          <w:tcPr>
            <w:tcW w:w="118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w w:val="86"/>
              </w:rPr>
              <w:t>Leased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2"/>
          </w:tcPr>
          <w:p>
            <w:pPr>
              <w:jc w:val="center"/>
              <w:ind w:right="340"/>
              <w:spacing w:after="0" w:line="137" w:lineRule="exact"/>
              <w:rPr>
                <w:sz w:val="20"/>
                <w:szCs w:val="20"/>
                <w:color w:val="auto"/>
              </w:rPr>
            </w:pPr>
            <w:r>
              <w:rPr>
                <w:rFonts w:ascii="Arial" w:cs="Arial" w:eastAsia="Arial" w:hAnsi="Arial"/>
                <w:sz w:val="12"/>
                <w:szCs w:val="12"/>
                <w:b w:val="1"/>
                <w:bCs w:val="1"/>
                <w:color w:val="auto"/>
                <w:w w:val="91"/>
              </w:rPr>
              <w:t>Expiring Leases</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gridSpan w:val="2"/>
          </w:tcPr>
          <w:p>
            <w:pPr>
              <w:jc w:val="center"/>
              <w:ind w:right="360"/>
              <w:spacing w:after="0" w:line="137" w:lineRule="exact"/>
              <w:rPr>
                <w:sz w:val="20"/>
                <w:szCs w:val="20"/>
                <w:color w:val="auto"/>
              </w:rPr>
            </w:pPr>
            <w:r>
              <w:rPr>
                <w:rFonts w:ascii="Arial" w:cs="Arial" w:eastAsia="Arial" w:hAnsi="Arial"/>
                <w:sz w:val="12"/>
                <w:szCs w:val="12"/>
                <w:b w:val="1"/>
                <w:bCs w:val="1"/>
                <w:color w:val="auto"/>
                <w:w w:val="91"/>
              </w:rPr>
              <w:t>of Expiring Leases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94"/>
              </w:rPr>
              <w:t>Asking Rent</w:t>
            </w:r>
          </w:p>
        </w:tc>
        <w:tc>
          <w:tcPr>
            <w:tcW w:w="0" w:type="dxa"/>
            <w:vAlign w:val="bottom"/>
          </w:tcPr>
          <w:p>
            <w:pPr>
              <w:spacing w:after="0"/>
              <w:rPr>
                <w:sz w:val="1"/>
                <w:szCs w:val="1"/>
                <w:color w:val="auto"/>
              </w:rPr>
            </w:pPr>
          </w:p>
        </w:tc>
      </w:tr>
      <w:tr>
        <w:trPr>
          <w:trHeight w:val="161"/>
        </w:trPr>
        <w:tc>
          <w:tcPr>
            <w:tcW w:w="1960" w:type="dxa"/>
            <w:vAlign w:val="bottom"/>
            <w:gridSpan w:val="2"/>
          </w:tcPr>
          <w:p>
            <w:pPr>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3"/>
                <w:szCs w:val="13"/>
                <w:color w:val="auto"/>
              </w:rPr>
            </w:pPr>
          </w:p>
        </w:tc>
        <w:tc>
          <w:tcPr>
            <w:tcW w:w="840" w:type="dxa"/>
            <w:vAlign w:val="bottom"/>
          </w:tcPr>
          <w:p>
            <w:pPr>
              <w:jc w:val="center"/>
              <w:ind w:left="138"/>
              <w:spacing w:after="0"/>
              <w:rPr>
                <w:sz w:val="20"/>
                <w:szCs w:val="20"/>
                <w:color w:val="auto"/>
              </w:rPr>
            </w:pPr>
            <w:r>
              <w:rPr>
                <w:rFonts w:ascii="Arial" w:cs="Arial" w:eastAsia="Arial" w:hAnsi="Arial"/>
                <w:sz w:val="12"/>
                <w:szCs w:val="12"/>
                <w:b w:val="1"/>
                <w:bCs w:val="1"/>
                <w:color w:val="auto"/>
                <w:w w:val="95"/>
              </w:rPr>
              <w:t>Leases**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88"/>
              </w:rPr>
              <w:t>Leases</w:t>
            </w:r>
          </w:p>
        </w:tc>
        <w:tc>
          <w:tcPr>
            <w:tcW w:w="14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Sq. Ft.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$/psf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$/psf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In 1st Quarter 2002*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In 2nd Quarter 2002*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0</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0.00%</w:t>
            </w: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In 3rd Quarter 2002*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11,563</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0.26%</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765,648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66.22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In 4th Quarter 2002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480" w:type="dxa"/>
            <w:vAlign w:val="bottom"/>
          </w:tcPr>
          <w:p>
            <w:pPr>
              <w:jc w:val="right"/>
              <w:spacing w:after="0"/>
              <w:rPr>
                <w:sz w:val="20"/>
                <w:szCs w:val="20"/>
                <w:color w:val="auto"/>
              </w:rPr>
            </w:pPr>
            <w:r>
              <w:rPr>
                <w:rFonts w:ascii="Arial" w:cs="Arial" w:eastAsia="Arial" w:hAnsi="Arial"/>
                <w:sz w:val="16"/>
                <w:szCs w:val="16"/>
                <w:color w:val="auto"/>
              </w:rPr>
              <w:t>275,559</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6.10%</w:t>
            </w: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12,286,980</w:t>
            </w: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44.59</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2002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287,122</w:t>
            </w:r>
          </w:p>
        </w:tc>
        <w:tc>
          <w:tcPr>
            <w:tcW w:w="166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6.36% $</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13,052,628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45.46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-862330</wp:posOffset>
            </wp:positionV>
            <wp:extent cx="12700" cy="762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-862330</wp:posOffset>
            </wp:positionV>
            <wp:extent cx="12700" cy="762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-862330</wp:posOffset>
            </wp:positionV>
            <wp:extent cx="12700" cy="762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-862330</wp:posOffset>
            </wp:positionV>
            <wp:extent cx="12700" cy="762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-862330</wp:posOffset>
            </wp:positionV>
            <wp:extent cx="12700" cy="762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-862330</wp:posOffset>
            </wp:positionV>
            <wp:extent cx="12700" cy="762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-862330</wp:posOffset>
            </wp:positionV>
            <wp:extent cx="12700" cy="762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-862330</wp:posOffset>
            </wp:positionV>
            <wp:extent cx="12700" cy="762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-862330</wp:posOffset>
            </wp:positionV>
            <wp:extent cx="12700" cy="762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-862330</wp:posOffset>
            </wp:positionV>
            <wp:extent cx="12700" cy="762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-862330</wp:posOffset>
            </wp:positionV>
            <wp:extent cx="12700" cy="762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-862330</wp:posOffset>
            </wp:positionV>
            <wp:extent cx="12700" cy="762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-862330</wp:posOffset>
            </wp:positionV>
            <wp:extent cx="12700" cy="762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-862330</wp:posOffset>
            </wp:positionV>
            <wp:extent cx="12700" cy="762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-215900</wp:posOffset>
            </wp:positionV>
            <wp:extent cx="12700" cy="762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-215900</wp:posOffset>
            </wp:positionV>
            <wp:extent cx="12700" cy="762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-215900</wp:posOffset>
            </wp:positionV>
            <wp:extent cx="12700" cy="762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-215900</wp:posOffset>
            </wp:positionV>
            <wp:extent cx="12700" cy="762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-215900</wp:posOffset>
            </wp:positionV>
            <wp:extent cx="12700" cy="762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-215900</wp:posOffset>
            </wp:positionV>
            <wp:extent cx="12700" cy="762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-215900</wp:posOffset>
            </wp:positionV>
            <wp:extent cx="12700" cy="762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-215900</wp:posOffset>
            </wp:positionV>
            <wp:extent cx="12700" cy="762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-215900</wp:posOffset>
            </wp:positionV>
            <wp:extent cx="12700" cy="762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-215900</wp:posOffset>
            </wp:positionV>
            <wp:extent cx="12700" cy="762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-215900</wp:posOffset>
            </wp:positionV>
            <wp:extent cx="12700" cy="762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-215900</wp:posOffset>
            </wp:positionV>
            <wp:extent cx="12700" cy="762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95" w:orient="portrait"/>
          <w:cols w:equalWidth="0" w:num="1">
            <w:col w:w="11421"/>
          </w:cols>
          <w:pgMar w:left="239" w:top="131" w:right="239" w:bottom="0" w:gutter="0" w:footer="0" w:header="0"/>
          <w:type w:val="continuous"/>
        </w:sectPr>
      </w:pPr>
    </w:p>
    <w:bookmarkStart w:id="21" w:name="page22"/>
    <w:bookmarkEnd w:id="21"/>
    <w:p>
      <w:pPr>
        <w:spacing w:after="0" w:line="26" w:lineRule="exact"/>
        <w:rPr>
          <w:sz w:val="20"/>
          <w:szCs w:val="20"/>
          <w:color w:val="auto"/>
        </w:rPr>
      </w:pPr>
    </w:p>
    <w:tbl>
      <w:tblPr>
        <w:tblLayout w:type="fixed"/>
        <w:tblInd w:w="1" w:type="dxa"/>
        <w:tblCellMar>
          <w:top w:w="0" w:type="dxa"/>
          <w:left w:w="0" w:type="dxa"/>
          <w:bottom w:w="0" w:type="dxa"/>
          <w:right w:w="0" w:type="dxa"/>
        </w:tblCellMar>
      </w:tblPr>
      <w:tr>
        <w:trPr>
          <w:trHeight w:val="206"/>
        </w:trPr>
        <w:tc>
          <w:tcPr>
            <w:tcW w:w="2080" w:type="dxa"/>
            <w:vAlign w:val="bottom"/>
          </w:tcPr>
          <w:p>
            <w:pPr>
              <w:jc w:val="right"/>
              <w:ind w:right="1199"/>
              <w:spacing w:after="0"/>
              <w:rPr>
                <w:sz w:val="20"/>
                <w:szCs w:val="20"/>
                <w:color w:val="auto"/>
              </w:rPr>
            </w:pPr>
            <w:r>
              <w:rPr>
                <w:rFonts w:ascii="Arial" w:cs="Arial" w:eastAsia="Arial" w:hAnsi="Arial"/>
                <w:sz w:val="16"/>
                <w:szCs w:val="16"/>
                <w:color w:val="auto"/>
              </w:rPr>
              <w:t>2003</w:t>
            </w: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200,632</w:t>
            </w:r>
          </w:p>
        </w:tc>
        <w:tc>
          <w:tcPr>
            <w:tcW w:w="1360" w:type="dxa"/>
            <w:vAlign w:val="bottom"/>
            <w:gridSpan w:val="6"/>
          </w:tcPr>
          <w:p>
            <w:pPr>
              <w:jc w:val="right"/>
              <w:ind w:right="80"/>
              <w:spacing w:after="0"/>
              <w:rPr>
                <w:sz w:val="20"/>
                <w:szCs w:val="20"/>
                <w:color w:val="auto"/>
              </w:rPr>
            </w:pPr>
            <w:r>
              <w:rPr>
                <w:rFonts w:ascii="Arial" w:cs="Arial" w:eastAsia="Arial" w:hAnsi="Arial"/>
                <w:sz w:val="16"/>
                <w:szCs w:val="16"/>
                <w:color w:val="auto"/>
              </w:rPr>
              <w:t>4.44%</w:t>
            </w:r>
          </w:p>
        </w:tc>
        <w:tc>
          <w:tcPr>
            <w:tcW w:w="680" w:type="dxa"/>
            <w:vAlign w:val="bottom"/>
            <w:gridSpan w:val="2"/>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5,970,348</w:t>
            </w:r>
          </w:p>
        </w:tc>
        <w:tc>
          <w:tcPr>
            <w:tcW w:w="106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29.76</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220"/>
              <w:spacing w:after="0"/>
              <w:rPr>
                <w:sz w:val="20"/>
                <w:szCs w:val="20"/>
                <w:color w:val="auto"/>
              </w:rPr>
            </w:pPr>
            <w:r>
              <w:rPr>
                <w:rFonts w:ascii="Arial" w:cs="Arial" w:eastAsia="Arial" w:hAnsi="Arial"/>
                <w:sz w:val="16"/>
                <w:szCs w:val="16"/>
                <w:color w:val="auto"/>
                <w:w w:val="89"/>
              </w:rPr>
              <w:t>44.49</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2004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173,071</w:t>
            </w:r>
          </w:p>
        </w:tc>
        <w:tc>
          <w:tcPr>
            <w:tcW w:w="13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3.83%</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6,752,916</w:t>
            </w:r>
          </w:p>
        </w:tc>
        <w:tc>
          <w:tcPr>
            <w:tcW w:w="10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4"/>
              </w:rPr>
              <w:t>46.07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jc w:val="right"/>
              <w:ind w:right="1199"/>
              <w:spacing w:after="0"/>
              <w:rPr>
                <w:sz w:val="20"/>
                <w:szCs w:val="20"/>
                <w:color w:val="auto"/>
              </w:rPr>
            </w:pPr>
            <w:r>
              <w:rPr>
                <w:rFonts w:ascii="Arial" w:cs="Arial" w:eastAsia="Arial" w:hAnsi="Arial"/>
                <w:sz w:val="16"/>
                <w:szCs w:val="16"/>
                <w:color w:val="auto"/>
              </w:rPr>
              <w:t>2005</w:t>
            </w: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402,063</w:t>
            </w:r>
          </w:p>
        </w:tc>
        <w:tc>
          <w:tcPr>
            <w:tcW w:w="1360" w:type="dxa"/>
            <w:vAlign w:val="bottom"/>
            <w:gridSpan w:val="6"/>
          </w:tcPr>
          <w:p>
            <w:pPr>
              <w:jc w:val="right"/>
              <w:ind w:right="80"/>
              <w:spacing w:after="0"/>
              <w:rPr>
                <w:sz w:val="20"/>
                <w:szCs w:val="20"/>
                <w:color w:val="auto"/>
              </w:rPr>
            </w:pPr>
            <w:r>
              <w:rPr>
                <w:rFonts w:ascii="Arial" w:cs="Arial" w:eastAsia="Arial" w:hAnsi="Arial"/>
                <w:sz w:val="16"/>
                <w:szCs w:val="16"/>
                <w:color w:val="auto"/>
              </w:rPr>
              <w:t>8.90%</w:t>
            </w:r>
          </w:p>
        </w:tc>
        <w:tc>
          <w:tcPr>
            <w:tcW w:w="680" w:type="dxa"/>
            <w:vAlign w:val="bottom"/>
            <w:gridSpan w:val="2"/>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10,785,780</w:t>
            </w:r>
          </w:p>
        </w:tc>
        <w:tc>
          <w:tcPr>
            <w:tcW w:w="106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26.83</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ind w:left="220"/>
              <w:spacing w:after="0"/>
              <w:rPr>
                <w:sz w:val="20"/>
                <w:szCs w:val="20"/>
                <w:color w:val="auto"/>
              </w:rPr>
            </w:pPr>
            <w:r>
              <w:rPr>
                <w:rFonts w:ascii="Arial" w:cs="Arial" w:eastAsia="Arial" w:hAnsi="Arial"/>
                <w:sz w:val="16"/>
                <w:szCs w:val="16"/>
                <w:color w:val="auto"/>
                <w:w w:val="84"/>
              </w:rPr>
              <w:t>48.22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2006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375,021</w:t>
            </w:r>
          </w:p>
        </w:tc>
        <w:tc>
          <w:tcPr>
            <w:tcW w:w="13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8.30%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10,337,196</w:t>
            </w:r>
          </w:p>
        </w:tc>
        <w:tc>
          <w:tcPr>
            <w:tcW w:w="10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4"/>
              </w:rPr>
              <w:t>44.14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80" w:type="dxa"/>
            <w:vAlign w:val="bottom"/>
          </w:tcPr>
          <w:p>
            <w:pPr>
              <w:jc w:val="right"/>
              <w:ind w:right="1199"/>
              <w:spacing w:after="0"/>
              <w:rPr>
                <w:sz w:val="20"/>
                <w:szCs w:val="20"/>
                <w:color w:val="auto"/>
              </w:rPr>
            </w:pPr>
            <w:r>
              <w:rPr>
                <w:rFonts w:ascii="Arial" w:cs="Arial" w:eastAsia="Arial" w:hAnsi="Arial"/>
                <w:sz w:val="16"/>
                <w:szCs w:val="16"/>
                <w:color w:val="auto"/>
              </w:rPr>
              <w:t>2007</w:t>
            </w: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282,223</w:t>
            </w:r>
          </w:p>
        </w:tc>
        <w:tc>
          <w:tcPr>
            <w:tcW w:w="1360" w:type="dxa"/>
            <w:vAlign w:val="bottom"/>
            <w:gridSpan w:val="6"/>
          </w:tcPr>
          <w:p>
            <w:pPr>
              <w:jc w:val="right"/>
              <w:ind w:right="80"/>
              <w:spacing w:after="0"/>
              <w:rPr>
                <w:sz w:val="20"/>
                <w:szCs w:val="20"/>
                <w:color w:val="auto"/>
              </w:rPr>
            </w:pPr>
            <w:r>
              <w:rPr>
                <w:rFonts w:ascii="Arial" w:cs="Arial" w:eastAsia="Arial" w:hAnsi="Arial"/>
                <w:sz w:val="16"/>
                <w:szCs w:val="16"/>
                <w:color w:val="auto"/>
              </w:rPr>
              <w:t>6.25%</w:t>
            </w:r>
          </w:p>
        </w:tc>
        <w:tc>
          <w:tcPr>
            <w:tcW w:w="680" w:type="dxa"/>
            <w:vAlign w:val="bottom"/>
            <w:gridSpan w:val="2"/>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9,755,652</w:t>
            </w:r>
          </w:p>
        </w:tc>
        <w:tc>
          <w:tcPr>
            <w:tcW w:w="106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34.57</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ind w:left="220"/>
              <w:spacing w:after="0"/>
              <w:rPr>
                <w:sz w:val="20"/>
                <w:szCs w:val="20"/>
                <w:color w:val="auto"/>
              </w:rPr>
            </w:pPr>
            <w:r>
              <w:rPr>
                <w:rFonts w:ascii="Arial" w:cs="Arial" w:eastAsia="Arial" w:hAnsi="Arial"/>
                <w:sz w:val="16"/>
                <w:szCs w:val="16"/>
                <w:color w:val="auto"/>
                <w:w w:val="84"/>
              </w:rPr>
              <w:t>48.58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2008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336,780</w:t>
            </w:r>
          </w:p>
        </w:tc>
        <w:tc>
          <w:tcPr>
            <w:tcW w:w="13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7.46%</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10,540,848</w:t>
            </w:r>
          </w:p>
        </w:tc>
        <w:tc>
          <w:tcPr>
            <w:tcW w:w="10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4"/>
              </w:rPr>
              <w:t>48.04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80" w:type="dxa"/>
            <w:vAlign w:val="bottom"/>
          </w:tcPr>
          <w:p>
            <w:pPr>
              <w:jc w:val="right"/>
              <w:ind w:right="1199"/>
              <w:spacing w:after="0"/>
              <w:rPr>
                <w:sz w:val="20"/>
                <w:szCs w:val="20"/>
                <w:color w:val="auto"/>
              </w:rPr>
            </w:pPr>
            <w:r>
              <w:rPr>
                <w:rFonts w:ascii="Arial" w:cs="Arial" w:eastAsia="Arial" w:hAnsi="Arial"/>
                <w:sz w:val="16"/>
                <w:szCs w:val="16"/>
                <w:color w:val="auto"/>
              </w:rPr>
              <w:t>2009</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524,865</w:t>
            </w:r>
          </w:p>
        </w:tc>
        <w:tc>
          <w:tcPr>
            <w:tcW w:w="1360" w:type="dxa"/>
            <w:vAlign w:val="bottom"/>
            <w:gridSpan w:val="6"/>
          </w:tcPr>
          <w:p>
            <w:pPr>
              <w:jc w:val="right"/>
              <w:ind w:right="80"/>
              <w:spacing w:after="0"/>
              <w:rPr>
                <w:sz w:val="20"/>
                <w:szCs w:val="20"/>
                <w:color w:val="auto"/>
              </w:rPr>
            </w:pPr>
            <w:r>
              <w:rPr>
                <w:rFonts w:ascii="Arial" w:cs="Arial" w:eastAsia="Arial" w:hAnsi="Arial"/>
                <w:sz w:val="16"/>
                <w:szCs w:val="16"/>
                <w:color w:val="auto"/>
              </w:rPr>
              <w:t>11.62%</w:t>
            </w:r>
          </w:p>
        </w:tc>
        <w:tc>
          <w:tcPr>
            <w:tcW w:w="680" w:type="dxa"/>
            <w:vAlign w:val="bottom"/>
            <w:gridSpan w:val="2"/>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18,077,184</w:t>
            </w:r>
          </w:p>
        </w:tc>
        <w:tc>
          <w:tcPr>
            <w:tcW w:w="106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34.44</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ind w:left="220"/>
              <w:spacing w:after="0"/>
              <w:rPr>
                <w:sz w:val="20"/>
                <w:szCs w:val="20"/>
                <w:color w:val="auto"/>
              </w:rPr>
            </w:pPr>
            <w:r>
              <w:rPr>
                <w:rFonts w:ascii="Arial" w:cs="Arial" w:eastAsia="Arial" w:hAnsi="Arial"/>
                <w:sz w:val="16"/>
                <w:szCs w:val="16"/>
                <w:color w:val="auto"/>
                <w:w w:val="84"/>
              </w:rPr>
              <w:t>47.65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2010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1,279,175</w:t>
            </w:r>
          </w:p>
        </w:tc>
        <w:tc>
          <w:tcPr>
            <w:tcW w:w="13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28.32%</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49,358,808</w:t>
            </w:r>
          </w:p>
        </w:tc>
        <w:tc>
          <w:tcPr>
            <w:tcW w:w="10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4"/>
              </w:rPr>
              <w:t>53.14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80" w:type="dxa"/>
            <w:vAlign w:val="bottom"/>
          </w:tcPr>
          <w:p>
            <w:pPr>
              <w:jc w:val="right"/>
              <w:ind w:right="1219"/>
              <w:spacing w:after="0"/>
              <w:rPr>
                <w:sz w:val="20"/>
                <w:szCs w:val="20"/>
                <w:color w:val="auto"/>
              </w:rPr>
            </w:pPr>
            <w:r>
              <w:rPr>
                <w:rFonts w:ascii="Arial" w:cs="Arial" w:eastAsia="Arial" w:hAnsi="Arial"/>
                <w:sz w:val="16"/>
                <w:szCs w:val="16"/>
                <w:color w:val="auto"/>
              </w:rPr>
              <w:t>2011</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101,393</w:t>
            </w:r>
          </w:p>
        </w:tc>
        <w:tc>
          <w:tcPr>
            <w:tcW w:w="1360" w:type="dxa"/>
            <w:vAlign w:val="bottom"/>
            <w:gridSpan w:val="6"/>
          </w:tcPr>
          <w:p>
            <w:pPr>
              <w:jc w:val="right"/>
              <w:ind w:right="80"/>
              <w:spacing w:after="0"/>
              <w:rPr>
                <w:sz w:val="20"/>
                <w:szCs w:val="20"/>
                <w:color w:val="auto"/>
              </w:rPr>
            </w:pPr>
            <w:r>
              <w:rPr>
                <w:rFonts w:ascii="Arial" w:cs="Arial" w:eastAsia="Arial" w:hAnsi="Arial"/>
                <w:sz w:val="16"/>
                <w:szCs w:val="16"/>
                <w:color w:val="auto"/>
              </w:rPr>
              <w:t>2.24%</w:t>
            </w:r>
          </w:p>
        </w:tc>
        <w:tc>
          <w:tcPr>
            <w:tcW w:w="680" w:type="dxa"/>
            <w:vAlign w:val="bottom"/>
            <w:gridSpan w:val="2"/>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3,947,232</w:t>
            </w:r>
          </w:p>
        </w:tc>
        <w:tc>
          <w:tcPr>
            <w:tcW w:w="106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38.93</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ind w:left="220"/>
              <w:spacing w:after="0"/>
              <w:rPr>
                <w:sz w:val="20"/>
                <w:szCs w:val="20"/>
                <w:color w:val="auto"/>
              </w:rPr>
            </w:pPr>
            <w:r>
              <w:rPr>
                <w:rFonts w:ascii="Arial" w:cs="Arial" w:eastAsia="Arial" w:hAnsi="Arial"/>
                <w:sz w:val="16"/>
                <w:szCs w:val="16"/>
                <w:color w:val="auto"/>
                <w:w w:val="84"/>
              </w:rPr>
              <w:t>39.92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Thereafter</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554,842</w:t>
            </w:r>
          </w:p>
        </w:tc>
        <w:tc>
          <w:tcPr>
            <w:tcW w:w="13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12.28%</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16,124,898</w:t>
            </w:r>
          </w:p>
        </w:tc>
        <w:tc>
          <w:tcPr>
            <w:tcW w:w="1060" w:type="dxa"/>
            <w:vAlign w:val="bottom"/>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4"/>
              </w:rPr>
              <w:t>47.21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4,517,187</w:t>
            </w:r>
          </w:p>
        </w:tc>
        <w:tc>
          <w:tcPr>
            <w:tcW w:w="204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100.00% $</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154,703,490</w:t>
            </w:r>
          </w:p>
        </w:tc>
        <w:tc>
          <w:tcPr>
            <w:tcW w:w="106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34.25</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ind w:left="220"/>
              <w:spacing w:after="0"/>
              <w:rPr>
                <w:sz w:val="20"/>
                <w:szCs w:val="20"/>
                <w:color w:val="auto"/>
              </w:rPr>
            </w:pPr>
            <w:r>
              <w:rPr>
                <w:rFonts w:ascii="Arial" w:cs="Arial" w:eastAsia="Arial" w:hAnsi="Arial"/>
                <w:sz w:val="16"/>
                <w:szCs w:val="16"/>
                <w:b w:val="1"/>
                <w:bCs w:val="1"/>
                <w:color w:val="auto"/>
                <w:w w:val="89"/>
              </w:rPr>
              <w:t>48.47</w:t>
            </w:r>
          </w:p>
        </w:tc>
        <w:tc>
          <w:tcPr>
            <w:tcW w:w="0" w:type="dxa"/>
            <w:vAlign w:val="bottom"/>
          </w:tcPr>
          <w:p>
            <w:pPr>
              <w:spacing w:after="0"/>
              <w:rPr>
                <w:sz w:val="1"/>
                <w:szCs w:val="1"/>
                <w:color w:val="auto"/>
              </w:rPr>
            </w:pPr>
          </w:p>
        </w:tc>
      </w:tr>
      <w:tr>
        <w:trPr>
          <w:trHeight w:val="134"/>
        </w:trPr>
        <w:tc>
          <w:tcPr>
            <w:tcW w:w="2080" w:type="dxa"/>
            <w:vAlign w:val="bottom"/>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-297180</wp:posOffset>
            </wp:positionV>
            <wp:extent cx="12700" cy="762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-297180</wp:posOffset>
            </wp:positionV>
            <wp:extent cx="12700" cy="762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-297180</wp:posOffset>
            </wp:positionV>
            <wp:extent cx="12700" cy="762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-297180</wp:posOffset>
            </wp:positionV>
            <wp:extent cx="12700" cy="762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-297180</wp:posOffset>
            </wp:positionV>
            <wp:extent cx="12700" cy="762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-297180</wp:posOffset>
            </wp:positionV>
            <wp:extent cx="12700" cy="762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-297180</wp:posOffset>
            </wp:positionV>
            <wp:extent cx="12700" cy="762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-297180</wp:posOffset>
            </wp:positionV>
            <wp:extent cx="12700" cy="762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-297180</wp:posOffset>
            </wp:positionV>
            <wp:extent cx="12700" cy="762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-297180</wp:posOffset>
            </wp:positionV>
            <wp:extent cx="12700" cy="762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-297180</wp:posOffset>
            </wp:positionV>
            <wp:extent cx="12700" cy="762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-297180</wp:posOffset>
            </wp:positionV>
            <wp:extent cx="12700" cy="762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-35560</wp:posOffset>
            </wp:positionV>
            <wp:extent cx="12700" cy="3619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-35560</wp:posOffset>
            </wp:positionV>
            <wp:extent cx="12700" cy="3619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-35560</wp:posOffset>
            </wp:positionV>
            <wp:extent cx="12700" cy="3619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-35560</wp:posOffset>
            </wp:positionV>
            <wp:extent cx="12700" cy="3619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-35560</wp:posOffset>
            </wp:positionV>
            <wp:extent cx="12700" cy="3619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-35560</wp:posOffset>
            </wp:positionV>
            <wp:extent cx="12700" cy="3619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-35560</wp:posOffset>
            </wp:positionV>
            <wp:extent cx="12700" cy="3619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-35560</wp:posOffset>
            </wp:positionV>
            <wp:extent cx="12700" cy="3619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-35560</wp:posOffset>
            </wp:positionV>
            <wp:extent cx="12700" cy="3619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-35560</wp:posOffset>
            </wp:positionV>
            <wp:extent cx="12700" cy="3619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-35560</wp:posOffset>
            </wp:positionV>
            <wp:extent cx="12700" cy="3619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90" w:lineRule="exact"/>
        <w:rPr>
          <w:sz w:val="20"/>
          <w:szCs w:val="20"/>
          <w:color w:val="auto"/>
        </w:rPr>
      </w:pPr>
    </w:p>
    <w:p>
      <w:pPr>
        <w:ind w:left="501" w:hanging="501"/>
        <w:spacing w:after="0"/>
        <w:tabs>
          <w:tab w:leader="none" w:pos="5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month to month holdover tenants that expired prior to 9/30/02</w:t>
      </w:r>
    </w:p>
    <w:p>
      <w:pPr>
        <w:spacing w:after="0" w:line="213"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Tenants may have multiple leases.</w:t>
      </w:r>
    </w:p>
    <w:p>
      <w:pPr>
        <w:spacing w:after="0" w:line="225"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   Represents in place annualized rent allocated by year of maturity.</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 w:right="5560"/>
        <w:spacing w:after="0" w:line="283" w:lineRule="auto"/>
        <w:rPr>
          <w:sz w:val="20"/>
          <w:szCs w:val="20"/>
          <w:color w:val="auto"/>
        </w:rPr>
      </w:pPr>
      <w:r>
        <w:rPr>
          <w:rFonts w:ascii="Arial" w:cs="Arial" w:eastAsia="Arial" w:hAnsi="Arial"/>
          <w:sz w:val="22"/>
          <w:szCs w:val="22"/>
          <w:b w:val="1"/>
          <w:bCs w:val="1"/>
          <w:color w:val="auto"/>
        </w:rPr>
        <w:t>SUMMARY OF REAL ESTATE ACQUISITION ACTIVITY POST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2495" cy="2032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40"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52"/>
              <w:spacing w:after="0"/>
              <w:rPr>
                <w:sz w:val="20"/>
                <w:szCs w:val="20"/>
                <w:color w:val="auto"/>
              </w:rPr>
            </w:pPr>
            <w:r>
              <w:rPr>
                <w:rFonts w:ascii="Arial" w:cs="Arial" w:eastAsia="Arial" w:hAnsi="Arial"/>
                <w:sz w:val="12"/>
                <w:szCs w:val="12"/>
                <w:b w:val="1"/>
                <w:bCs w:val="1"/>
                <w:color w:val="auto"/>
              </w:rPr>
              <w:t>Net Rentable</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 Leased</w:t>
            </w:r>
          </w:p>
        </w:tc>
        <w:tc>
          <w:tcPr>
            <w:tcW w:w="960" w:type="dxa"/>
            <w:vAlign w:val="bottom"/>
            <w:gridSpan w:val="2"/>
          </w:tcPr>
          <w:p>
            <w:pPr>
              <w:ind w:left="200"/>
              <w:spacing w:after="0"/>
              <w:rPr>
                <w:sz w:val="20"/>
                <w:szCs w:val="20"/>
                <w:color w:val="auto"/>
              </w:rPr>
            </w:pPr>
            <w:r>
              <w:rPr>
                <w:rFonts w:ascii="Arial" w:cs="Arial" w:eastAsia="Arial" w:hAnsi="Arial"/>
                <w:sz w:val="12"/>
                <w:szCs w:val="12"/>
                <w:b w:val="1"/>
                <w:bCs w:val="1"/>
                <w:color w:val="auto"/>
              </w:rPr>
              <w:t>% Leased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Acquisition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ind w:left="240"/>
              <w:spacing w:after="0"/>
              <w:rPr>
                <w:sz w:val="20"/>
                <w:szCs w:val="20"/>
                <w:color w:val="auto"/>
              </w:rPr>
            </w:pPr>
            <w:r>
              <w:rPr>
                <w:rFonts w:ascii="Arial" w:cs="Arial" w:eastAsia="Arial" w:hAnsi="Arial"/>
                <w:sz w:val="12"/>
                <w:szCs w:val="12"/>
                <w:b w:val="1"/>
                <w:bCs w:val="1"/>
                <w:color w:val="auto"/>
              </w:rPr>
              <w:t>Property</w:t>
            </w:r>
          </w:p>
        </w:tc>
        <w:tc>
          <w:tcPr>
            <w:tcW w:w="220" w:type="dxa"/>
            <w:vAlign w:val="bottom"/>
          </w:tcPr>
          <w:p>
            <w:pPr>
              <w:spacing w:after="0"/>
              <w:rPr>
                <w:sz w:val="13"/>
                <w:szCs w:val="13"/>
                <w:color w:val="auto"/>
              </w:rPr>
            </w:pPr>
          </w:p>
        </w:tc>
        <w:tc>
          <w:tcPr>
            <w:tcW w:w="1380" w:type="dxa"/>
            <w:vAlign w:val="bottom"/>
          </w:tcPr>
          <w:p>
            <w:pPr>
              <w:ind w:left="180"/>
              <w:spacing w:after="0"/>
              <w:rPr>
                <w:sz w:val="20"/>
                <w:szCs w:val="20"/>
                <w:color w:val="auto"/>
              </w:rPr>
            </w:pPr>
            <w:r>
              <w:rPr>
                <w:rFonts w:ascii="Arial" w:cs="Arial" w:eastAsia="Arial" w:hAnsi="Arial"/>
                <w:sz w:val="12"/>
                <w:szCs w:val="12"/>
                <w:b w:val="1"/>
                <w:bCs w:val="1"/>
                <w:color w:val="auto"/>
              </w:rPr>
              <w:t>Type of Ownership</w:t>
            </w:r>
          </w:p>
        </w:tc>
        <w:tc>
          <w:tcPr>
            <w:tcW w:w="240" w:type="dxa"/>
            <w:vAlign w:val="bottom"/>
          </w:tcPr>
          <w:p>
            <w:pPr>
              <w:spacing w:after="0"/>
              <w:rPr>
                <w:sz w:val="13"/>
                <w:szCs w:val="13"/>
                <w:color w:val="auto"/>
              </w:rPr>
            </w:pPr>
          </w:p>
        </w:tc>
        <w:tc>
          <w:tcPr>
            <w:tcW w:w="1480" w:type="dxa"/>
            <w:vAlign w:val="bottom"/>
          </w:tcPr>
          <w:p>
            <w:pPr>
              <w:ind w:left="440"/>
              <w:spacing w:after="0"/>
              <w:rPr>
                <w:sz w:val="20"/>
                <w:szCs w:val="20"/>
                <w:color w:val="auto"/>
              </w:rPr>
            </w:pPr>
            <w:r>
              <w:rPr>
                <w:rFonts w:ascii="Arial" w:cs="Arial" w:eastAsia="Arial" w:hAnsi="Arial"/>
                <w:sz w:val="12"/>
                <w:szCs w:val="12"/>
                <w:b w:val="1"/>
                <w:bCs w:val="1"/>
                <w:color w:val="auto"/>
              </w:rPr>
              <w:t>Submarket</w:t>
            </w:r>
          </w:p>
        </w:tc>
        <w:tc>
          <w:tcPr>
            <w:tcW w:w="100" w:type="dxa"/>
            <w:vAlign w:val="bottom"/>
          </w:tcPr>
          <w:p>
            <w:pPr>
              <w:spacing w:after="0"/>
              <w:rPr>
                <w:sz w:val="13"/>
                <w:szCs w:val="13"/>
                <w:color w:val="auto"/>
              </w:rPr>
            </w:pPr>
          </w:p>
        </w:tc>
        <w:tc>
          <w:tcPr>
            <w:tcW w:w="1140" w:type="dxa"/>
            <w:vAlign w:val="bottom"/>
          </w:tcPr>
          <w:p>
            <w:pPr>
              <w:jc w:val="right"/>
              <w:ind w:right="412"/>
              <w:spacing w:after="0"/>
              <w:rPr>
                <w:sz w:val="20"/>
                <w:szCs w:val="20"/>
                <w:color w:val="auto"/>
              </w:rPr>
            </w:pPr>
            <w:r>
              <w:rPr>
                <w:rFonts w:ascii="Arial" w:cs="Arial" w:eastAsia="Arial" w:hAnsi="Arial"/>
                <w:sz w:val="12"/>
                <w:szCs w:val="12"/>
                <w:b w:val="1"/>
                <w:bCs w:val="1"/>
                <w:color w:val="auto"/>
              </w:rPr>
              <w:t>s.f.</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at acquisition</w:t>
            </w:r>
          </w:p>
        </w:tc>
        <w:tc>
          <w:tcPr>
            <w:tcW w:w="920" w:type="dxa"/>
            <w:vAlign w:val="bottom"/>
          </w:tcPr>
          <w:p>
            <w:pPr>
              <w:jc w:val="right"/>
              <w:ind w:right="201"/>
              <w:spacing w:after="0"/>
              <w:rPr>
                <w:sz w:val="20"/>
                <w:szCs w:val="20"/>
                <w:color w:val="auto"/>
              </w:rPr>
            </w:pPr>
            <w:r>
              <w:rPr>
                <w:rFonts w:ascii="Arial" w:cs="Arial" w:eastAsia="Arial" w:hAnsi="Arial"/>
                <w:sz w:val="12"/>
                <w:szCs w:val="12"/>
                <w:b w:val="1"/>
                <w:bCs w:val="1"/>
                <w:color w:val="auto"/>
              </w:rPr>
              <w:t>9/30/02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Price ($'s)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1998 Acquisitions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480" w:type="dxa"/>
            <w:vAlign w:val="bottom"/>
            <w:tcBorders>
              <w:bottom w:val="single" w:sz="8" w:color="808080"/>
            </w:tcBorders>
            <w:gridSpan w:val="3"/>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Mar-98</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420</w:t>
            </w:r>
          </w:p>
        </w:tc>
        <w:tc>
          <w:tcPr>
            <w:tcW w:w="1240" w:type="dxa"/>
            <w:vAlign w:val="bottom"/>
          </w:tcPr>
          <w:p>
            <w:pPr>
              <w:ind w:left="20"/>
              <w:spacing w:after="0"/>
              <w:rPr>
                <w:sz w:val="20"/>
                <w:szCs w:val="20"/>
                <w:color w:val="auto"/>
              </w:rPr>
            </w:pPr>
            <w:r>
              <w:rPr>
                <w:rFonts w:ascii="Arial" w:cs="Arial" w:eastAsia="Arial" w:hAnsi="Arial"/>
                <w:sz w:val="16"/>
                <w:szCs w:val="16"/>
                <w:color w:val="auto"/>
              </w:rPr>
              <w:t>Lexington</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w w:val="96"/>
              </w:rPr>
              <w:t>Operating Sublease</w:t>
            </w:r>
          </w:p>
        </w:tc>
        <w:tc>
          <w:tcPr>
            <w:tcW w:w="2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Grand Central North</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1,188,000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83</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93.2</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78,000,000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Mar-98</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1466 Broadway</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Times Square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Mar-98</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321</w:t>
            </w:r>
          </w:p>
        </w:tc>
        <w:tc>
          <w:tcPr>
            <w:tcW w:w="1240" w:type="dxa"/>
            <w:vAlign w:val="bottom"/>
          </w:tcPr>
          <w:p>
            <w:pPr>
              <w:ind w:left="20"/>
              <w:spacing w:after="0"/>
              <w:rPr>
                <w:sz w:val="20"/>
                <w:szCs w:val="20"/>
                <w:color w:val="auto"/>
              </w:rPr>
            </w:pPr>
            <w:r>
              <w:rPr>
                <w:rFonts w:ascii="Arial" w:cs="Arial" w:eastAsia="Arial" w:hAnsi="Arial"/>
                <w:sz w:val="16"/>
                <w:szCs w:val="16"/>
                <w:color w:val="auto"/>
              </w:rPr>
              <w:t>West 44th</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Times Square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203,000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96</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90.2</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May-98</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711 3rd Avenue</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6"/>
              </w:rPr>
              <w:t>Operating Sublease</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Grand Central North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524,000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Jun-98</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440</w:t>
            </w:r>
          </w:p>
        </w:tc>
        <w:tc>
          <w:tcPr>
            <w:tcW w:w="1240" w:type="dxa"/>
            <w:vAlign w:val="bottom"/>
          </w:tcPr>
          <w:p>
            <w:pPr>
              <w:ind w:left="20"/>
              <w:spacing w:after="0"/>
              <w:rPr>
                <w:sz w:val="20"/>
                <w:szCs w:val="20"/>
                <w:color w:val="auto"/>
              </w:rPr>
            </w:pPr>
            <w:r>
              <w:rPr>
                <w:rFonts w:ascii="Arial" w:cs="Arial" w:eastAsia="Arial" w:hAnsi="Arial"/>
                <w:sz w:val="16"/>
                <w:szCs w:val="16"/>
                <w:color w:val="auto"/>
              </w:rPr>
              <w:t>9th Avenue</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Garment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339,000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76</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97.1</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Aug-98</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1412 Broadway</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Times Square South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N/A</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2,932,000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338,600,000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1999 Acquisitions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Jan-99</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420</w:t>
            </w:r>
          </w:p>
        </w:tc>
        <w:tc>
          <w:tcPr>
            <w:tcW w:w="1240" w:type="dxa"/>
            <w:vAlign w:val="bottom"/>
          </w:tcPr>
          <w:p>
            <w:pPr>
              <w:ind w:left="20"/>
              <w:spacing w:after="0"/>
              <w:rPr>
                <w:sz w:val="20"/>
                <w:szCs w:val="20"/>
                <w:color w:val="auto"/>
              </w:rPr>
            </w:pPr>
            <w:r>
              <w:rPr>
                <w:rFonts w:ascii="Arial" w:cs="Arial" w:eastAsia="Arial" w:hAnsi="Arial"/>
                <w:sz w:val="16"/>
                <w:szCs w:val="16"/>
                <w:color w:val="auto"/>
              </w:rPr>
              <w:t>Lexington</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Sub-leasehold</w:t>
            </w:r>
          </w:p>
        </w:tc>
        <w:tc>
          <w:tcPr>
            <w:tcW w:w="2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Grand Central North</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27,300,000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gridSpan w:val="3"/>
          </w:tcPr>
          <w:p>
            <w:pPr>
              <w:ind w:left="140"/>
              <w:spacing w:after="0"/>
              <w:rPr>
                <w:sz w:val="20"/>
                <w:szCs w:val="20"/>
                <w:color w:val="auto"/>
              </w:rPr>
            </w:pPr>
            <w:r>
              <w:rPr>
                <w:rFonts w:ascii="Arial" w:cs="Arial" w:eastAsia="Arial" w:hAnsi="Arial"/>
                <w:sz w:val="16"/>
                <w:szCs w:val="16"/>
                <w:color w:val="auto"/>
              </w:rPr>
              <w:t>Leasehold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Jan-99</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555</w:t>
            </w: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West 57th — 65%</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Midtown West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941,000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JV</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May-99</w:t>
            </w:r>
          </w:p>
        </w:tc>
        <w:tc>
          <w:tcPr>
            <w:tcW w:w="1640" w:type="dxa"/>
            <w:vAlign w:val="bottom"/>
            <w:gridSpan w:val="3"/>
          </w:tcPr>
          <w:p>
            <w:pPr>
              <w:ind w:left="140"/>
              <w:spacing w:after="0"/>
              <w:rPr>
                <w:sz w:val="20"/>
                <w:szCs w:val="20"/>
                <w:color w:val="auto"/>
              </w:rPr>
            </w:pPr>
            <w:r>
              <w:rPr>
                <w:rFonts w:ascii="Arial" w:cs="Arial" w:eastAsia="Arial" w:hAnsi="Arial"/>
                <w:sz w:val="16"/>
                <w:szCs w:val="16"/>
                <w:color w:val="auto"/>
              </w:rPr>
              <w:t>90 Broad Street —</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Financial</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339,000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82</w:t>
            </w: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34,500,000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gridSpan w:val="3"/>
          </w:tcPr>
          <w:p>
            <w:pPr>
              <w:ind w:left="140"/>
              <w:spacing w:after="0"/>
              <w:rPr>
                <w:sz w:val="20"/>
                <w:szCs w:val="20"/>
                <w:color w:val="auto"/>
              </w:rPr>
            </w:pPr>
            <w:r>
              <w:rPr>
                <w:rFonts w:ascii="Arial" w:cs="Arial" w:eastAsia="Arial" w:hAnsi="Arial"/>
                <w:sz w:val="16"/>
                <w:szCs w:val="16"/>
                <w:color w:val="auto"/>
              </w:rPr>
              <w:t>35% JV</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May-99</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The Madison</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w w:val="99"/>
              </w:rPr>
              <w:t>Grand Central South</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Properties: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286</w:t>
            </w:r>
          </w:p>
        </w:tc>
        <w:tc>
          <w:tcPr>
            <w:tcW w:w="1240" w:type="dxa"/>
            <w:vAlign w:val="bottom"/>
          </w:tcPr>
          <w:p>
            <w:pPr>
              <w:ind w:left="20"/>
              <w:spacing w:after="0"/>
              <w:rPr>
                <w:sz w:val="20"/>
                <w:szCs w:val="20"/>
                <w:color w:val="auto"/>
              </w:rPr>
            </w:pPr>
            <w:r>
              <w:rPr>
                <w:rFonts w:ascii="Arial" w:cs="Arial" w:eastAsia="Arial" w:hAnsi="Arial"/>
                <w:sz w:val="16"/>
                <w:szCs w:val="16"/>
                <w:color w:val="auto"/>
              </w:rPr>
              <w:t>Madison Avenue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112,000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99</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290</w:t>
            </w: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Madison Avenue</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292</w:t>
            </w:r>
          </w:p>
        </w:tc>
        <w:tc>
          <w:tcPr>
            <w:tcW w:w="1240" w:type="dxa"/>
            <w:vAlign w:val="bottom"/>
          </w:tcPr>
          <w:p>
            <w:pPr>
              <w:ind w:left="20"/>
              <w:spacing w:after="0"/>
              <w:rPr>
                <w:sz w:val="20"/>
                <w:szCs w:val="20"/>
                <w:color w:val="auto"/>
              </w:rPr>
            </w:pPr>
            <w:r>
              <w:rPr>
                <w:rFonts w:ascii="Arial" w:cs="Arial" w:eastAsia="Arial" w:hAnsi="Arial"/>
                <w:sz w:val="16"/>
                <w:szCs w:val="16"/>
                <w:color w:val="auto"/>
              </w:rPr>
              <w:t>Madison Avenue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187,000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97</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99.7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Aug-99</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1250 Broadway —</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Penn Station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670,000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50% JV</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Nov-99</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555</w:t>
            </w:r>
          </w:p>
        </w:tc>
        <w:tc>
          <w:tcPr>
            <w:tcW w:w="1240" w:type="dxa"/>
            <w:vAlign w:val="bottom"/>
          </w:tcPr>
          <w:p>
            <w:pPr>
              <w:ind w:left="20"/>
              <w:spacing w:after="0"/>
              <w:rPr>
                <w:sz w:val="20"/>
                <w:szCs w:val="20"/>
                <w:color w:val="auto"/>
              </w:rPr>
            </w:pPr>
            <w:r>
              <w:rPr>
                <w:rFonts w:ascii="Arial" w:cs="Arial" w:eastAsia="Arial" w:hAnsi="Arial"/>
                <w:sz w:val="16"/>
                <w:szCs w:val="16"/>
                <w:color w:val="auto"/>
              </w:rPr>
              <w:t>West 57th —</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Midtown West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34,100,000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gridSpan w:val="3"/>
          </w:tcPr>
          <w:p>
            <w:pPr>
              <w:ind w:left="140"/>
              <w:spacing w:after="0"/>
              <w:rPr>
                <w:sz w:val="20"/>
                <w:szCs w:val="20"/>
                <w:color w:val="auto"/>
              </w:rPr>
            </w:pPr>
            <w:r>
              <w:rPr>
                <w:rFonts w:ascii="Arial" w:cs="Arial" w:eastAsia="Arial" w:hAnsi="Arial"/>
                <w:sz w:val="16"/>
                <w:szCs w:val="16"/>
                <w:color w:val="auto"/>
              </w:rPr>
              <w:t>remaining 35%</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2,285,800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305,600,000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8"/>
              </w:rPr>
              <w:t>2000 Acquisitions</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Feb-00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100</w:t>
            </w: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w w:val="99"/>
              </w:rPr>
              <w:t>Grand Central South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834,000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Dec-00</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180</w:t>
            </w:r>
          </w:p>
        </w:tc>
        <w:tc>
          <w:tcPr>
            <w:tcW w:w="1240" w:type="dxa"/>
            <w:vAlign w:val="bottom"/>
          </w:tcPr>
          <w:p>
            <w:pPr>
              <w:ind w:left="20"/>
              <w:spacing w:after="0"/>
              <w:rPr>
                <w:sz w:val="20"/>
                <w:szCs w:val="20"/>
                <w:color w:val="auto"/>
              </w:rPr>
            </w:pPr>
            <w:r>
              <w:rPr>
                <w:rFonts w:ascii="Arial" w:cs="Arial" w:eastAsia="Arial" w:hAnsi="Arial"/>
                <w:sz w:val="16"/>
                <w:szCs w:val="16"/>
                <w:color w:val="auto"/>
              </w:rPr>
              <w:t>Madison Avenue</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w w:val="99"/>
              </w:rPr>
              <w:t>Grand Central South</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265,000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90</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82.1</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41,250,000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to</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JV</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gridSpan w:val="2"/>
          </w:tcPr>
          <w:p>
            <w:pPr>
              <w:spacing w:after="0"/>
              <w:rPr>
                <w:sz w:val="8"/>
                <w:szCs w:val="8"/>
                <w:color w:val="auto"/>
              </w:rPr>
            </w:pPr>
          </w:p>
        </w:tc>
        <w:tc>
          <w:tcPr>
            <w:tcW w:w="1240" w:type="dxa"/>
            <w:vAlign w:val="bottom"/>
            <w:tcBorders>
              <w:top w:val="single" w:sz="8" w:color="808080"/>
            </w:tcBorders>
          </w:tcPr>
          <w:p>
            <w:pPr>
              <w:spacing w:after="0"/>
              <w:rPr>
                <w:sz w:val="8"/>
                <w:szCs w:val="8"/>
                <w:color w:val="auto"/>
              </w:rPr>
            </w:pPr>
          </w:p>
        </w:tc>
        <w:tc>
          <w:tcPr>
            <w:tcW w:w="1600" w:type="dxa"/>
            <w:vAlign w:val="bottom"/>
            <w:tcBorders>
              <w:top w:val="single" w:sz="8" w:color="808080"/>
            </w:tcBorders>
            <w:gridSpan w:val="2"/>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1480" w:type="dxa"/>
            <w:vAlign w:val="bottom"/>
            <w:tcBorders>
              <w:top w:val="single" w:sz="8" w:color="808080"/>
            </w:tcBorders>
          </w:tcPr>
          <w:p>
            <w:pPr>
              <w:spacing w:after="0"/>
              <w:rPr>
                <w:sz w:val="8"/>
                <w:szCs w:val="8"/>
                <w:color w:val="auto"/>
              </w:rPr>
            </w:pPr>
          </w:p>
        </w:tc>
        <w:tc>
          <w:tcPr>
            <w:tcW w:w="1240" w:type="dxa"/>
            <w:vAlign w:val="bottom"/>
            <w:tcBorders>
              <w:top w:val="single" w:sz="8" w:color="808080"/>
            </w:tcBorders>
            <w:gridSpan w:val="2"/>
          </w:tcPr>
          <w:p>
            <w:pPr>
              <w:spacing w:after="0"/>
              <w:rPr>
                <w:sz w:val="8"/>
                <w:szCs w:val="8"/>
                <w:color w:val="auto"/>
              </w:rPr>
            </w:pPr>
          </w:p>
        </w:tc>
        <w:tc>
          <w:tcPr>
            <w:tcW w:w="1480" w:type="dxa"/>
            <w:vAlign w:val="bottom"/>
            <w:tcBorders>
              <w:top w:val="single" w:sz="8" w:color="808080"/>
            </w:tcBorders>
            <w:gridSpan w:val="3"/>
          </w:tcPr>
          <w:p>
            <w:pPr>
              <w:spacing w:after="0"/>
              <w:rPr>
                <w:sz w:val="8"/>
                <w:szCs w:val="8"/>
                <w:color w:val="auto"/>
              </w:rPr>
            </w:pPr>
          </w:p>
        </w:tc>
        <w:tc>
          <w:tcPr>
            <w:tcW w:w="960" w:type="dxa"/>
            <w:vAlign w:val="bottom"/>
            <w:tcBorders>
              <w:top w:val="single" w:sz="8" w:color="808080"/>
            </w:tcBorders>
            <w:gridSpan w:val="2"/>
          </w:tcPr>
          <w:p>
            <w:pPr>
              <w:spacing w:after="0"/>
              <w:rPr>
                <w:sz w:val="8"/>
                <w:szCs w:val="8"/>
                <w:color w:val="auto"/>
              </w:rPr>
            </w:pPr>
          </w:p>
        </w:tc>
        <w:tc>
          <w:tcPr>
            <w:tcW w:w="300" w:type="dxa"/>
            <w:vAlign w:val="bottom"/>
            <w:tcBorders>
              <w:top w:val="single" w:sz="8" w:color="808080"/>
            </w:tcBorders>
            <w:gridSpan w:val="2"/>
          </w:tcPr>
          <w:p>
            <w:pPr>
              <w:spacing w:after="0"/>
              <w:rPr>
                <w:sz w:val="8"/>
                <w:szCs w:val="8"/>
                <w:color w:val="auto"/>
              </w:rPr>
            </w:pPr>
          </w:p>
        </w:tc>
        <w:tc>
          <w:tcPr>
            <w:tcW w:w="112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May-00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321</w:t>
            </w: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44th</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Times Square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1,302,000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261,650,000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2001 Acquisitions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3"/>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480" w:type="dxa"/>
            <w:vAlign w:val="bottom"/>
            <w:tcBorders>
              <w:bottom w:val="single" w:sz="8" w:color="808080"/>
            </w:tcBorders>
            <w:gridSpan w:val="3"/>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Jan-01</w:t>
            </w:r>
          </w:p>
        </w:tc>
        <w:tc>
          <w:tcPr>
            <w:tcW w:w="1640" w:type="dxa"/>
            <w:vAlign w:val="bottom"/>
            <w:gridSpan w:val="3"/>
          </w:tcPr>
          <w:p>
            <w:pPr>
              <w:ind w:left="140"/>
              <w:spacing w:after="0"/>
              <w:rPr>
                <w:sz w:val="20"/>
                <w:szCs w:val="20"/>
                <w:color w:val="auto"/>
              </w:rPr>
            </w:pPr>
            <w:r>
              <w:rPr>
                <w:rFonts w:ascii="Arial" w:cs="Arial" w:eastAsia="Arial" w:hAnsi="Arial"/>
                <w:sz w:val="16"/>
                <w:szCs w:val="16"/>
                <w:color w:val="auto"/>
              </w:rPr>
              <w:t>1370 Broadway</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Garment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255,000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97</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92.3</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50,500,000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Jan-01</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 Park Avenue</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Various Interests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w w:val="99"/>
              </w:rPr>
              <w:t>Grand Central South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Jan-01</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w w:val="89"/>
              </w:rPr>
              <w:t>469</w:t>
            </w:r>
          </w:p>
        </w:tc>
        <w:tc>
          <w:tcPr>
            <w:tcW w:w="1240" w:type="dxa"/>
            <w:vAlign w:val="bottom"/>
          </w:tcPr>
          <w:p>
            <w:pPr>
              <w:ind w:left="20"/>
              <w:spacing w:after="0"/>
              <w:rPr>
                <w:sz w:val="20"/>
                <w:szCs w:val="20"/>
                <w:color w:val="auto"/>
              </w:rPr>
            </w:pPr>
            <w:r>
              <w:rPr>
                <w:rFonts w:ascii="Arial" w:cs="Arial" w:eastAsia="Arial" w:hAnsi="Arial"/>
                <w:sz w:val="16"/>
                <w:szCs w:val="16"/>
                <w:color w:val="auto"/>
              </w:rPr>
              <w:t>7th Avenue —</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Fee Interest</w:t>
            </w:r>
          </w:p>
        </w:tc>
        <w:tc>
          <w:tcPr>
            <w:tcW w:w="24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Penn Station</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253,000</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98</w:t>
            </w: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45,700,000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-6177915</wp:posOffset>
            </wp:positionV>
            <wp:extent cx="12700" cy="762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-6177915</wp:posOffset>
            </wp:positionV>
            <wp:extent cx="12700" cy="762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-6177915</wp:posOffset>
            </wp:positionV>
            <wp:extent cx="12700" cy="762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-6177915</wp:posOffset>
            </wp:positionV>
            <wp:extent cx="12700" cy="762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-6177915</wp:posOffset>
            </wp:positionV>
            <wp:extent cx="12700" cy="762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-6177915</wp:posOffset>
            </wp:positionV>
            <wp:extent cx="12700" cy="762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-6177915</wp:posOffset>
            </wp:positionV>
            <wp:extent cx="12700" cy="762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-6177915</wp:posOffset>
            </wp:positionV>
            <wp:extent cx="12700" cy="762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-6177915</wp:posOffset>
            </wp:positionV>
            <wp:extent cx="12700" cy="762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-6177915</wp:posOffset>
            </wp:positionV>
            <wp:extent cx="12700" cy="762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-6177915</wp:posOffset>
            </wp:positionV>
            <wp:extent cx="12700" cy="762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-6177915</wp:posOffset>
            </wp:positionV>
            <wp:extent cx="12700" cy="762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-6177915</wp:posOffset>
            </wp:positionV>
            <wp:extent cx="12700" cy="762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-6177915</wp:posOffset>
            </wp:positionV>
            <wp:extent cx="12700" cy="762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-5909945</wp:posOffset>
            </wp:positionV>
            <wp:extent cx="12700" cy="762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-5909945</wp:posOffset>
            </wp:positionV>
            <wp:extent cx="12700" cy="762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-4791075</wp:posOffset>
            </wp:positionV>
            <wp:extent cx="12700" cy="762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-4791075</wp:posOffset>
            </wp:positionV>
            <wp:extent cx="12700" cy="762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-4791075</wp:posOffset>
            </wp:positionV>
            <wp:extent cx="12700" cy="762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-4791075</wp:posOffset>
            </wp:positionV>
            <wp:extent cx="12700" cy="762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-4523105</wp:posOffset>
            </wp:positionV>
            <wp:extent cx="12700" cy="762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-4523105</wp:posOffset>
            </wp:positionV>
            <wp:extent cx="12700" cy="762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-2301240</wp:posOffset>
            </wp:positionV>
            <wp:extent cx="12700" cy="762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-2301240</wp:posOffset>
            </wp:positionV>
            <wp:extent cx="12700" cy="762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-2301240</wp:posOffset>
            </wp:positionV>
            <wp:extent cx="12700" cy="762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-2301240</wp:posOffset>
            </wp:positionV>
            <wp:extent cx="12700" cy="762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-2033270</wp:posOffset>
            </wp:positionV>
            <wp:extent cx="12700" cy="762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-2033270</wp:posOffset>
            </wp:positionV>
            <wp:extent cx="12700" cy="762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-1040130</wp:posOffset>
            </wp:positionV>
            <wp:extent cx="12700" cy="762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-1040130</wp:posOffset>
            </wp:positionV>
            <wp:extent cx="12700" cy="762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-488315</wp:posOffset>
            </wp:positionV>
            <wp:extent cx="12700" cy="762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-488315</wp:posOffset>
            </wp:positionV>
            <wp:extent cx="12700" cy="762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65" w:orient="portrait"/>
          <w:cols w:equalWidth="0" w:num="1">
            <w:col w:w="11441"/>
          </w:cols>
          <w:pgMar w:left="239" w:top="131" w:right="219" w:bottom="0" w:gutter="0" w:footer="0" w:header="0"/>
        </w:sectPr>
      </w:pPr>
    </w:p>
    <w:bookmarkStart w:id="22" w:name="page23"/>
    <w:bookmarkEnd w:id="22"/>
    <w:tbl>
      <w:tblPr>
        <w:tblLayout w:type="fixed"/>
        <w:tblInd w:w="1"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Arial" w:cs="Arial" w:eastAsia="Arial" w:hAnsi="Arial"/>
                <w:sz w:val="16"/>
                <w:szCs w:val="16"/>
                <w:color w:val="auto"/>
              </w:rPr>
              <w:t>35% JV</w:t>
            </w:r>
          </w:p>
        </w:tc>
        <w:tc>
          <w:tcPr>
            <w:tcW w:w="1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Jun-01</w:t>
            </w:r>
          </w:p>
        </w:tc>
        <w:tc>
          <w:tcPr>
            <w:tcW w:w="1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317 Madison</w:t>
            </w:r>
          </w:p>
        </w:tc>
        <w:tc>
          <w:tcPr>
            <w:tcW w:w="1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Fee Interest</w:t>
            </w:r>
          </w:p>
        </w:tc>
        <w:tc>
          <w:tcPr>
            <w:tcW w:w="20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Grand Central</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7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6"/>
                <w:szCs w:val="16"/>
                <w:b w:val="1"/>
                <w:bCs w:val="1"/>
                <w:color w:val="auto"/>
              </w:rPr>
              <w:t>Acquisition of JV</w:t>
            </w:r>
          </w:p>
        </w:tc>
        <w:tc>
          <w:tcPr>
            <w:tcW w:w="1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Interest</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Sep-01</w:t>
            </w:r>
          </w:p>
        </w:tc>
        <w:tc>
          <w:tcPr>
            <w:tcW w:w="1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1250 Broadway —</w:t>
            </w:r>
          </w:p>
        </w:tc>
        <w:tc>
          <w:tcPr>
            <w:tcW w:w="1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Fee Interest</w:t>
            </w:r>
          </w:p>
        </w:tc>
        <w:tc>
          <w:tcPr>
            <w:tcW w:w="20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Penn Station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670,000</w:t>
            </w:r>
          </w:p>
        </w:tc>
        <w:tc>
          <w:tcPr>
            <w:tcW w:w="17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126,500,000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49.9% JV (3)</w:t>
            </w:r>
          </w:p>
        </w:tc>
        <w:tc>
          <w:tcPr>
            <w:tcW w:w="14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2,541,000</w:t>
            </w: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562,200,000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2002 Acquisitions</w:t>
            </w:r>
          </w:p>
        </w:tc>
        <w:tc>
          <w:tcPr>
            <w:tcW w:w="16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Arial" w:cs="Arial" w:eastAsia="Arial" w:hAnsi="Arial"/>
                <w:sz w:val="16"/>
                <w:szCs w:val="16"/>
                <w:color w:val="auto"/>
              </w:rPr>
              <w:t>May-02</w:t>
            </w:r>
          </w:p>
        </w:tc>
        <w:tc>
          <w:tcPr>
            <w:tcW w:w="1620" w:type="dxa"/>
            <w:vAlign w:val="bottom"/>
          </w:tcPr>
          <w:p>
            <w:pPr>
              <w:ind w:left="140"/>
              <w:spacing w:after="0"/>
              <w:rPr>
                <w:sz w:val="20"/>
                <w:szCs w:val="20"/>
                <w:color w:val="auto"/>
              </w:rPr>
            </w:pPr>
            <w:r>
              <w:rPr>
                <w:rFonts w:ascii="Arial" w:cs="Arial" w:eastAsia="Arial" w:hAnsi="Arial"/>
                <w:sz w:val="16"/>
                <w:szCs w:val="16"/>
                <w:color w:val="auto"/>
              </w:rPr>
              <w:t>1515 Broadway —</w:t>
            </w:r>
          </w:p>
        </w:tc>
        <w:tc>
          <w:tcPr>
            <w:tcW w:w="1440" w:type="dxa"/>
            <w:vAlign w:val="bottom"/>
          </w:tcPr>
          <w:p>
            <w:pPr>
              <w:ind w:left="240"/>
              <w:spacing w:after="0"/>
              <w:rPr>
                <w:sz w:val="20"/>
                <w:szCs w:val="20"/>
                <w:color w:val="auto"/>
              </w:rPr>
            </w:pPr>
            <w:r>
              <w:rPr>
                <w:rFonts w:ascii="Arial" w:cs="Arial" w:eastAsia="Arial" w:hAnsi="Arial"/>
                <w:sz w:val="16"/>
                <w:szCs w:val="16"/>
                <w:color w:val="auto"/>
              </w:rPr>
              <w:t>Fee Interest</w:t>
            </w:r>
          </w:p>
        </w:tc>
        <w:tc>
          <w:tcPr>
            <w:tcW w:w="2000" w:type="dxa"/>
            <w:vAlign w:val="bottom"/>
          </w:tcPr>
          <w:p>
            <w:pPr>
              <w:ind w:left="420"/>
              <w:spacing w:after="0"/>
              <w:rPr>
                <w:sz w:val="20"/>
                <w:szCs w:val="20"/>
                <w:color w:val="auto"/>
              </w:rPr>
            </w:pPr>
            <w:r>
              <w:rPr>
                <w:rFonts w:ascii="Arial" w:cs="Arial" w:eastAsia="Arial" w:hAnsi="Arial"/>
                <w:sz w:val="16"/>
                <w:szCs w:val="16"/>
                <w:color w:val="auto"/>
              </w:rPr>
              <w:t>Times Square</w:t>
            </w:r>
          </w:p>
        </w:tc>
        <w:tc>
          <w:tcPr>
            <w:tcW w:w="1140" w:type="dxa"/>
            <w:vAlign w:val="bottom"/>
          </w:tcPr>
          <w:p>
            <w:pPr>
              <w:jc w:val="right"/>
              <w:spacing w:after="0"/>
              <w:rPr>
                <w:sz w:val="20"/>
                <w:szCs w:val="20"/>
                <w:color w:val="auto"/>
              </w:rPr>
            </w:pPr>
            <w:r>
              <w:rPr>
                <w:rFonts w:ascii="Arial" w:cs="Arial" w:eastAsia="Arial" w:hAnsi="Arial"/>
                <w:sz w:val="16"/>
                <w:szCs w:val="16"/>
                <w:color w:val="auto"/>
              </w:rPr>
              <w:t>1,750,000</w:t>
            </w: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98</w:t>
            </w:r>
          </w:p>
        </w:tc>
        <w:tc>
          <w:tcPr>
            <w:tcW w:w="700" w:type="dxa"/>
            <w:vAlign w:val="bottom"/>
          </w:tcPr>
          <w:p>
            <w:pPr>
              <w:jc w:val="right"/>
              <w:spacing w:after="0"/>
              <w:rPr>
                <w:sz w:val="20"/>
                <w:szCs w:val="20"/>
                <w:color w:val="auto"/>
              </w:rPr>
            </w:pPr>
            <w:r>
              <w:rPr>
                <w:rFonts w:ascii="Arial" w:cs="Arial" w:eastAsia="Arial" w:hAnsi="Arial"/>
                <w:sz w:val="16"/>
                <w:szCs w:val="16"/>
                <w:color w:val="auto"/>
              </w:rPr>
              <w:t>98.3</w:t>
            </w:r>
          </w:p>
        </w:tc>
        <w:tc>
          <w:tcPr>
            <w:tcW w:w="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483,500,000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Arial" w:cs="Arial" w:eastAsia="Arial" w:hAnsi="Arial"/>
                <w:sz w:val="16"/>
                <w:szCs w:val="16"/>
                <w:color w:val="auto"/>
              </w:rPr>
              <w:t>55% JV (4)</w:t>
            </w:r>
          </w:p>
        </w:tc>
        <w:tc>
          <w:tcPr>
            <w:tcW w:w="1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-1353185</wp:posOffset>
            </wp:positionV>
            <wp:extent cx="12700" cy="762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-1353185</wp:posOffset>
            </wp:positionV>
            <wp:extent cx="12700" cy="762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-959485</wp:posOffset>
            </wp:positionV>
            <wp:extent cx="12700" cy="762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-959485</wp:posOffset>
            </wp:positionV>
            <wp:extent cx="12700" cy="762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-959485</wp:posOffset>
            </wp:positionV>
            <wp:extent cx="12700" cy="762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-959485</wp:posOffset>
            </wp:positionV>
            <wp:extent cx="12700" cy="762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-549275</wp:posOffset>
            </wp:positionV>
            <wp:extent cx="12700" cy="762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-549275</wp:posOffset>
            </wp:positionV>
            <wp:extent cx="12700" cy="762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-13335</wp:posOffset>
            </wp:positionV>
            <wp:extent cx="12700" cy="762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90" w:lineRule="exact"/>
        <w:rPr>
          <w:sz w:val="20"/>
          <w:szCs w:val="20"/>
          <w:color w:val="auto"/>
        </w:rPr>
      </w:pPr>
    </w:p>
    <w:p>
      <w:pPr>
        <w:ind w:left="501" w:hanging="501"/>
        <w:spacing w:after="0"/>
        <w:tabs>
          <w:tab w:leader="none" w:pos="5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includes the issuance of 44,772 OP units (valued at $1mm) and $20mm for a 50% interest in the Building Fee (purchased 7/98).</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includes the assumption of mortgage debt for $28.6mm (65% of $44mm).</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Current ownership interest is 55%. (From 9/1/01-10/31/01the company owned 99.8% of this property.)</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Current ownership interest is 55%.]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62495" cy="2032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SUMMARY OF REAL ESTATE SALES ACTIVITY POST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62495" cy="2032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23"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218"/>
              <w:spacing w:after="0"/>
              <w:rPr>
                <w:sz w:val="20"/>
                <w:szCs w:val="20"/>
                <w:color w:val="auto"/>
              </w:rPr>
            </w:pPr>
            <w:r>
              <w:rPr>
                <w:rFonts w:ascii="Arial" w:cs="Arial" w:eastAsia="Arial" w:hAnsi="Arial"/>
                <w:sz w:val="12"/>
                <w:szCs w:val="12"/>
                <w:b w:val="1"/>
                <w:bCs w:val="1"/>
                <w:color w:val="auto"/>
              </w:rPr>
              <w:t>Net Rentable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right"/>
              <w:ind w:right="642"/>
              <w:spacing w:after="0"/>
              <w:rPr>
                <w:sz w:val="20"/>
                <w:szCs w:val="20"/>
                <w:color w:val="auto"/>
              </w:rPr>
            </w:pPr>
            <w:r>
              <w:rPr>
                <w:rFonts w:ascii="Arial" w:cs="Arial" w:eastAsia="Arial" w:hAnsi="Arial"/>
                <w:sz w:val="12"/>
                <w:szCs w:val="12"/>
                <w:b w:val="1"/>
                <w:bCs w:val="1"/>
                <w:color w:val="auto"/>
              </w:rPr>
              <w:t>Sales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522"/>
              <w:spacing w:after="0"/>
              <w:rPr>
                <w:sz w:val="20"/>
                <w:szCs w:val="20"/>
                <w:color w:val="auto"/>
              </w:rPr>
            </w:pPr>
            <w:r>
              <w:rPr>
                <w:rFonts w:ascii="Arial" w:cs="Arial" w:eastAsia="Arial" w:hAnsi="Arial"/>
                <w:sz w:val="12"/>
                <w:szCs w:val="12"/>
                <w:b w:val="1"/>
                <w:bCs w:val="1"/>
                <w:color w:val="auto"/>
              </w:rPr>
              <w:t>Sales</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480"/>
              <w:spacing w:after="0"/>
              <w:rPr>
                <w:sz w:val="20"/>
                <w:szCs w:val="20"/>
                <w:color w:val="auto"/>
              </w:rPr>
            </w:pPr>
            <w:r>
              <w:rPr>
                <w:rFonts w:ascii="Arial" w:cs="Arial" w:eastAsia="Arial" w:hAnsi="Arial"/>
                <w:sz w:val="12"/>
                <w:szCs w:val="12"/>
                <w:b w:val="1"/>
                <w:bCs w:val="1"/>
                <w:color w:val="auto"/>
              </w:rPr>
              <w:t>Property</w:t>
            </w:r>
          </w:p>
        </w:tc>
        <w:tc>
          <w:tcPr>
            <w:tcW w:w="240" w:type="dxa"/>
            <w:vAlign w:val="bottom"/>
          </w:tcPr>
          <w:p>
            <w:pPr>
              <w:spacing w:after="0"/>
              <w:rPr>
                <w:sz w:val="13"/>
                <w:szCs w:val="13"/>
                <w:color w:val="auto"/>
              </w:rPr>
            </w:pPr>
          </w:p>
        </w:tc>
        <w:tc>
          <w:tcPr>
            <w:tcW w:w="1380" w:type="dxa"/>
            <w:vAlign w:val="bottom"/>
          </w:tcPr>
          <w:p>
            <w:pPr>
              <w:ind w:left="180"/>
              <w:spacing w:after="0"/>
              <w:rPr>
                <w:sz w:val="20"/>
                <w:szCs w:val="20"/>
                <w:color w:val="auto"/>
              </w:rPr>
            </w:pPr>
            <w:r>
              <w:rPr>
                <w:rFonts w:ascii="Arial" w:cs="Arial" w:eastAsia="Arial" w:hAnsi="Arial"/>
                <w:sz w:val="12"/>
                <w:szCs w:val="12"/>
                <w:b w:val="1"/>
                <w:bCs w:val="1"/>
                <w:color w:val="auto"/>
              </w:rPr>
              <w:t>Type of Ownership</w:t>
            </w:r>
          </w:p>
        </w:tc>
        <w:tc>
          <w:tcPr>
            <w:tcW w:w="220" w:type="dxa"/>
            <w:vAlign w:val="bottom"/>
          </w:tcPr>
          <w:p>
            <w:pPr>
              <w:spacing w:after="0"/>
              <w:rPr>
                <w:sz w:val="13"/>
                <w:szCs w:val="13"/>
                <w:color w:val="auto"/>
              </w:rPr>
            </w:pPr>
          </w:p>
        </w:tc>
        <w:tc>
          <w:tcPr>
            <w:tcW w:w="1480" w:type="dxa"/>
            <w:vAlign w:val="bottom"/>
          </w:tcPr>
          <w:p>
            <w:pPr>
              <w:ind w:left="440"/>
              <w:spacing w:after="0"/>
              <w:rPr>
                <w:sz w:val="20"/>
                <w:szCs w:val="20"/>
                <w:color w:val="auto"/>
              </w:rPr>
            </w:pPr>
            <w:r>
              <w:rPr>
                <w:rFonts w:ascii="Arial" w:cs="Arial" w:eastAsia="Arial" w:hAnsi="Arial"/>
                <w:sz w:val="12"/>
                <w:szCs w:val="12"/>
                <w:b w:val="1"/>
                <w:bCs w:val="1"/>
                <w:color w:val="auto"/>
              </w:rPr>
              <w:t>Submarket</w:t>
            </w:r>
          </w:p>
        </w:tc>
        <w:tc>
          <w:tcPr>
            <w:tcW w:w="120" w:type="dxa"/>
            <w:vAlign w:val="bottom"/>
          </w:tcPr>
          <w:p>
            <w:pPr>
              <w:spacing w:after="0"/>
              <w:rPr>
                <w:sz w:val="13"/>
                <w:szCs w:val="13"/>
                <w:color w:val="auto"/>
              </w:rPr>
            </w:pPr>
          </w:p>
        </w:tc>
        <w:tc>
          <w:tcPr>
            <w:tcW w:w="1240" w:type="dxa"/>
            <w:vAlign w:val="bottom"/>
          </w:tcPr>
          <w:p>
            <w:pPr>
              <w:jc w:val="right"/>
              <w:ind w:right="478"/>
              <w:spacing w:after="0"/>
              <w:rPr>
                <w:sz w:val="20"/>
                <w:szCs w:val="20"/>
                <w:color w:val="auto"/>
              </w:rPr>
            </w:pPr>
            <w:r>
              <w:rPr>
                <w:rFonts w:ascii="Arial" w:cs="Arial" w:eastAsia="Arial" w:hAnsi="Arial"/>
                <w:sz w:val="12"/>
                <w:szCs w:val="12"/>
                <w:b w:val="1"/>
                <w:bCs w:val="1"/>
                <w:color w:val="auto"/>
              </w:rPr>
              <w:t>s.f.</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502"/>
              <w:spacing w:after="0"/>
              <w:rPr>
                <w:sz w:val="20"/>
                <w:szCs w:val="20"/>
                <w:color w:val="auto"/>
              </w:rPr>
            </w:pPr>
            <w:r>
              <w:rPr>
                <w:rFonts w:ascii="Arial" w:cs="Arial" w:eastAsia="Arial" w:hAnsi="Arial"/>
                <w:sz w:val="12"/>
                <w:szCs w:val="12"/>
                <w:b w:val="1"/>
                <w:bCs w:val="1"/>
                <w:color w:val="auto"/>
              </w:rPr>
              <w:t>Price ($'s)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02"/>
              <w:spacing w:after="0"/>
              <w:rPr>
                <w:sz w:val="20"/>
                <w:szCs w:val="20"/>
                <w:color w:val="auto"/>
              </w:rPr>
            </w:pPr>
            <w:r>
              <w:rPr>
                <w:rFonts w:ascii="Arial" w:cs="Arial" w:eastAsia="Arial" w:hAnsi="Arial"/>
                <w:sz w:val="12"/>
                <w:szCs w:val="12"/>
                <w:b w:val="1"/>
                <w:bCs w:val="1"/>
                <w:color w:val="auto"/>
              </w:rPr>
              <w:t>Price ($'s/SF)</w:t>
            </w:r>
          </w:p>
        </w:tc>
        <w:tc>
          <w:tcPr>
            <w:tcW w:w="0" w:type="dxa"/>
            <w:vAlign w:val="bottom"/>
          </w:tcPr>
          <w:p>
            <w:pPr>
              <w:spacing w:after="0"/>
              <w:rPr>
                <w:sz w:val="1"/>
                <w:szCs w:val="1"/>
                <w:color w:val="auto"/>
              </w:rPr>
            </w:pPr>
          </w:p>
        </w:tc>
      </w:tr>
      <w:tr>
        <w:trPr>
          <w:trHeight w:val="97"/>
        </w:trPr>
        <w:tc>
          <w:tcPr>
            <w:tcW w:w="15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2000 Sales</w:t>
            </w:r>
          </w:p>
        </w:tc>
        <w:tc>
          <w:tcPr>
            <w:tcW w:w="2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Feb-00</w:t>
            </w:r>
          </w:p>
        </w:tc>
        <w:tc>
          <w:tcPr>
            <w:tcW w:w="200" w:type="dxa"/>
            <w:vAlign w:val="bottom"/>
          </w:tcPr>
          <w:p>
            <w:pPr>
              <w:spacing w:after="0"/>
              <w:rPr>
                <w:sz w:val="20"/>
                <w:szCs w:val="20"/>
                <w:color w:val="auto"/>
              </w:rPr>
            </w:pPr>
            <w:r>
              <w:rPr>
                <w:rFonts w:ascii="Arial" w:cs="Arial" w:eastAsia="Arial" w:hAnsi="Arial"/>
                <w:sz w:val="16"/>
                <w:szCs w:val="16"/>
                <w:color w:val="auto"/>
              </w:rPr>
              <w:t>29</w:t>
            </w:r>
          </w:p>
        </w:tc>
        <w:tc>
          <w:tcPr>
            <w:tcW w:w="1640" w:type="dxa"/>
            <w:vAlign w:val="bottom"/>
          </w:tcPr>
          <w:p>
            <w:pPr>
              <w:spacing w:after="0"/>
              <w:rPr>
                <w:sz w:val="20"/>
                <w:szCs w:val="20"/>
                <w:color w:val="auto"/>
              </w:rPr>
            </w:pPr>
            <w:r>
              <w:rPr>
                <w:rFonts w:ascii="Arial" w:cs="Arial" w:eastAsia="Arial" w:hAnsi="Arial"/>
                <w:sz w:val="16"/>
                <w:szCs w:val="16"/>
                <w:color w:val="auto"/>
              </w:rPr>
              <w:t>West 35th Street</w:t>
            </w:r>
          </w:p>
        </w:tc>
        <w:tc>
          <w:tcPr>
            <w:tcW w:w="2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Garment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78,000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11,700,000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9"/>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Mar-00</w:t>
            </w:r>
          </w:p>
        </w:tc>
        <w:tc>
          <w:tcPr>
            <w:tcW w:w="200" w:type="dxa"/>
            <w:vAlign w:val="bottom"/>
          </w:tcPr>
          <w:p>
            <w:pPr>
              <w:spacing w:after="0"/>
              <w:rPr>
                <w:sz w:val="20"/>
                <w:szCs w:val="20"/>
                <w:color w:val="auto"/>
              </w:rPr>
            </w:pPr>
            <w:r>
              <w:rPr>
                <w:rFonts w:ascii="Arial" w:cs="Arial" w:eastAsia="Arial" w:hAnsi="Arial"/>
                <w:sz w:val="16"/>
                <w:szCs w:val="16"/>
                <w:color w:val="auto"/>
              </w:rPr>
              <w:t>36</w:t>
            </w:r>
          </w:p>
        </w:tc>
        <w:tc>
          <w:tcPr>
            <w:tcW w:w="1640" w:type="dxa"/>
            <w:vAlign w:val="bottom"/>
          </w:tcPr>
          <w:p>
            <w:pPr>
              <w:spacing w:after="0"/>
              <w:rPr>
                <w:sz w:val="20"/>
                <w:szCs w:val="20"/>
                <w:color w:val="auto"/>
              </w:rPr>
            </w:pPr>
            <w:r>
              <w:rPr>
                <w:rFonts w:ascii="Arial" w:cs="Arial" w:eastAsia="Arial" w:hAnsi="Arial"/>
                <w:sz w:val="16"/>
                <w:szCs w:val="16"/>
                <w:color w:val="auto"/>
              </w:rPr>
              <w:t>West 44th Street</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Grand Central</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178,000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31,500,000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9"/>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May-00</w:t>
            </w:r>
          </w:p>
        </w:tc>
        <w:tc>
          <w:tcPr>
            <w:tcW w:w="1840" w:type="dxa"/>
            <w:vAlign w:val="bottom"/>
            <w:gridSpan w:val="2"/>
          </w:tcPr>
          <w:p>
            <w:pPr>
              <w:spacing w:after="0"/>
              <w:rPr>
                <w:sz w:val="20"/>
                <w:szCs w:val="20"/>
                <w:color w:val="auto"/>
              </w:rPr>
            </w:pPr>
            <w:r>
              <w:rPr>
                <w:rFonts w:ascii="Arial" w:cs="Arial" w:eastAsia="Arial" w:hAnsi="Arial"/>
                <w:sz w:val="16"/>
                <w:szCs w:val="16"/>
                <w:color w:val="auto"/>
                <w:w w:val="91"/>
              </w:rPr>
              <w:t>321 West 44th Street—35%</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Times Square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203,000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28,400,000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96"/>
              </w:rPr>
              <w:t>JV</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Nov-00</w:t>
            </w:r>
          </w:p>
        </w:tc>
        <w:tc>
          <w:tcPr>
            <w:tcW w:w="200" w:type="dxa"/>
            <w:vAlign w:val="bottom"/>
          </w:tcPr>
          <w:p>
            <w:pPr>
              <w:spacing w:after="0"/>
              <w:rPr>
                <w:sz w:val="20"/>
                <w:szCs w:val="20"/>
                <w:color w:val="auto"/>
              </w:rPr>
            </w:pPr>
            <w:r>
              <w:rPr>
                <w:rFonts w:ascii="Arial" w:cs="Arial" w:eastAsia="Arial" w:hAnsi="Arial"/>
                <w:sz w:val="16"/>
                <w:szCs w:val="16"/>
                <w:color w:val="auto"/>
              </w:rPr>
              <w:t>90</w:t>
            </w:r>
          </w:p>
        </w:tc>
        <w:tc>
          <w:tcPr>
            <w:tcW w:w="1640" w:type="dxa"/>
            <w:vAlign w:val="bottom"/>
          </w:tcPr>
          <w:p>
            <w:pPr>
              <w:spacing w:after="0"/>
              <w:rPr>
                <w:sz w:val="20"/>
                <w:szCs w:val="20"/>
                <w:color w:val="auto"/>
              </w:rPr>
            </w:pPr>
            <w:r>
              <w:rPr>
                <w:rFonts w:ascii="Arial" w:cs="Arial" w:eastAsia="Arial" w:hAnsi="Arial"/>
                <w:sz w:val="16"/>
                <w:szCs w:val="16"/>
                <w:color w:val="auto"/>
              </w:rPr>
              <w:t>Broad Street</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Financial</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339,000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60,000,000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6"/>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Dec-00</w:t>
            </w:r>
          </w:p>
        </w:tc>
        <w:tc>
          <w:tcPr>
            <w:tcW w:w="200" w:type="dxa"/>
            <w:vAlign w:val="bottom"/>
          </w:tcPr>
          <w:p>
            <w:pPr>
              <w:spacing w:after="0"/>
              <w:rPr>
                <w:sz w:val="20"/>
                <w:szCs w:val="20"/>
                <w:color w:val="auto"/>
              </w:rPr>
            </w:pPr>
            <w:r>
              <w:rPr>
                <w:rFonts w:ascii="Arial" w:cs="Arial" w:eastAsia="Arial" w:hAnsi="Arial"/>
                <w:sz w:val="16"/>
                <w:szCs w:val="16"/>
                <w:color w:val="auto"/>
              </w:rPr>
              <w:t>17</w:t>
            </w:r>
          </w:p>
        </w:tc>
        <w:tc>
          <w:tcPr>
            <w:tcW w:w="1640" w:type="dxa"/>
            <w:vAlign w:val="bottom"/>
          </w:tcPr>
          <w:p>
            <w:pPr>
              <w:spacing w:after="0"/>
              <w:rPr>
                <w:sz w:val="20"/>
                <w:szCs w:val="20"/>
                <w:color w:val="auto"/>
              </w:rPr>
            </w:pPr>
            <w:r>
              <w:rPr>
                <w:rFonts w:ascii="Arial" w:cs="Arial" w:eastAsia="Arial" w:hAnsi="Arial"/>
                <w:sz w:val="16"/>
                <w:szCs w:val="16"/>
                <w:color w:val="auto"/>
              </w:rPr>
              <w:t>Battery South</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Financial</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392,000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53,000,000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5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2001 Sales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1,190,000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184,600,000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r>
        <w:trPr>
          <w:trHeight w:val="199"/>
        </w:trPr>
        <w:tc>
          <w:tcPr>
            <w:tcW w:w="1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Jan-01</w:t>
            </w:r>
          </w:p>
        </w:tc>
        <w:tc>
          <w:tcPr>
            <w:tcW w:w="1840" w:type="dxa"/>
            <w:vAlign w:val="bottom"/>
            <w:gridSpan w:val="2"/>
          </w:tcPr>
          <w:p>
            <w:pPr>
              <w:spacing w:after="0"/>
              <w:rPr>
                <w:sz w:val="20"/>
                <w:szCs w:val="20"/>
                <w:color w:val="auto"/>
              </w:rPr>
            </w:pPr>
            <w:r>
              <w:rPr>
                <w:rFonts w:ascii="Arial" w:cs="Arial" w:eastAsia="Arial" w:hAnsi="Arial"/>
                <w:sz w:val="16"/>
                <w:szCs w:val="16"/>
                <w:color w:val="auto"/>
              </w:rPr>
              <w:t>633 Third Ave</w:t>
            </w:r>
          </w:p>
        </w:tc>
        <w:tc>
          <w:tcPr>
            <w:tcW w:w="2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Grand Central North</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40,623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13,250,000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99"/>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May-01</w:t>
            </w:r>
          </w:p>
        </w:tc>
        <w:tc>
          <w:tcPr>
            <w:tcW w:w="1840" w:type="dxa"/>
            <w:vAlign w:val="bottom"/>
            <w:gridSpan w:val="2"/>
          </w:tcPr>
          <w:p>
            <w:pPr>
              <w:spacing w:after="0"/>
              <w:rPr>
                <w:sz w:val="20"/>
                <w:szCs w:val="20"/>
                <w:color w:val="auto"/>
              </w:rPr>
            </w:pPr>
            <w:r>
              <w:rPr>
                <w:rFonts w:ascii="Arial" w:cs="Arial" w:eastAsia="Arial" w:hAnsi="Arial"/>
                <w:sz w:val="16"/>
                <w:szCs w:val="16"/>
                <w:color w:val="auto"/>
              </w:rPr>
              <w:t>1 Park Ave—45% JV</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Times Square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913,000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233,900,000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99"/>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Jun-01</w:t>
            </w:r>
          </w:p>
        </w:tc>
        <w:tc>
          <w:tcPr>
            <w:tcW w:w="1840" w:type="dxa"/>
            <w:vAlign w:val="bottom"/>
            <w:gridSpan w:val="2"/>
          </w:tcPr>
          <w:p>
            <w:pPr>
              <w:spacing w:after="0"/>
              <w:rPr>
                <w:sz w:val="20"/>
                <w:szCs w:val="20"/>
                <w:color w:val="auto"/>
              </w:rPr>
            </w:pPr>
            <w:r>
              <w:rPr>
                <w:rFonts w:ascii="Arial" w:cs="Arial" w:eastAsia="Arial" w:hAnsi="Arial"/>
                <w:sz w:val="16"/>
                <w:szCs w:val="16"/>
                <w:color w:val="auto"/>
              </w:rPr>
              <w:t>1412 Broadway</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Times Square South</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389,000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90,700,000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99"/>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Jul-01</w:t>
            </w:r>
          </w:p>
        </w:tc>
        <w:tc>
          <w:tcPr>
            <w:tcW w:w="1840" w:type="dxa"/>
            <w:vAlign w:val="bottom"/>
            <w:gridSpan w:val="2"/>
          </w:tcPr>
          <w:p>
            <w:pPr>
              <w:spacing w:after="0"/>
              <w:rPr>
                <w:sz w:val="20"/>
                <w:szCs w:val="20"/>
                <w:color w:val="auto"/>
              </w:rPr>
            </w:pPr>
            <w:r>
              <w:rPr>
                <w:rFonts w:ascii="Arial" w:cs="Arial" w:eastAsia="Arial" w:hAnsi="Arial"/>
                <w:sz w:val="16"/>
                <w:szCs w:val="16"/>
                <w:color w:val="auto"/>
              </w:rPr>
              <w:t>110 E. 42nd Street</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Grand Central North</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69,700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14,500,000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6"/>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Sep-01</w:t>
            </w:r>
          </w:p>
        </w:tc>
        <w:tc>
          <w:tcPr>
            <w:tcW w:w="1840" w:type="dxa"/>
            <w:vAlign w:val="bottom"/>
            <w:gridSpan w:val="2"/>
          </w:tcPr>
          <w:p>
            <w:pPr>
              <w:spacing w:after="0"/>
              <w:rPr>
                <w:sz w:val="20"/>
                <w:szCs w:val="20"/>
                <w:color w:val="auto"/>
              </w:rPr>
            </w:pPr>
            <w:r>
              <w:rPr>
                <w:rFonts w:ascii="Arial" w:cs="Arial" w:eastAsia="Arial" w:hAnsi="Arial"/>
                <w:sz w:val="16"/>
                <w:szCs w:val="16"/>
                <w:color w:val="auto"/>
              </w:rPr>
              <w:t>1250 Broadway (1)</w:t>
            </w:r>
          </w:p>
        </w:tc>
        <w:tc>
          <w:tcPr>
            <w:tcW w:w="2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Penn Station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670,000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126,500,000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5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2002 Sales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2,082,323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478,850,000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0" w:type="dxa"/>
            <w:vAlign w:val="bottom"/>
          </w:tcPr>
          <w:p>
            <w:pPr>
              <w:spacing w:after="0"/>
              <w:rPr>
                <w:sz w:val="1"/>
                <w:szCs w:val="1"/>
                <w:color w:val="auto"/>
              </w:rPr>
            </w:pPr>
          </w:p>
        </w:tc>
      </w:tr>
      <w:tr>
        <w:trPr>
          <w:trHeight w:val="199"/>
        </w:trPr>
        <w:tc>
          <w:tcPr>
            <w:tcW w:w="1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500" w:type="dxa"/>
            <w:vAlign w:val="bottom"/>
          </w:tcPr>
          <w:p>
            <w:pPr>
              <w:jc w:val="right"/>
              <w:ind w:right="159"/>
              <w:spacing w:after="0"/>
              <w:rPr>
                <w:sz w:val="20"/>
                <w:szCs w:val="20"/>
                <w:color w:val="auto"/>
              </w:rPr>
            </w:pPr>
            <w:r>
              <w:rPr>
                <w:rFonts w:ascii="Arial" w:cs="Arial" w:eastAsia="Arial" w:hAnsi="Arial"/>
                <w:sz w:val="16"/>
                <w:szCs w:val="16"/>
                <w:color w:val="auto"/>
              </w:rPr>
              <w:t>Jun-02</w:t>
            </w:r>
          </w:p>
        </w:tc>
        <w:tc>
          <w:tcPr>
            <w:tcW w:w="1840" w:type="dxa"/>
            <w:vAlign w:val="bottom"/>
            <w:gridSpan w:val="2"/>
          </w:tcPr>
          <w:p>
            <w:pPr>
              <w:spacing w:after="0"/>
              <w:rPr>
                <w:sz w:val="20"/>
                <w:szCs w:val="20"/>
                <w:color w:val="auto"/>
              </w:rPr>
            </w:pPr>
            <w:r>
              <w:rPr>
                <w:rFonts w:ascii="Arial" w:cs="Arial" w:eastAsia="Arial" w:hAnsi="Arial"/>
                <w:sz w:val="16"/>
                <w:szCs w:val="16"/>
                <w:color w:val="auto"/>
              </w:rPr>
              <w:t>469 Seventh Avenue</w:t>
            </w:r>
          </w:p>
        </w:tc>
        <w:tc>
          <w:tcPr>
            <w:tcW w:w="2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Fee Structure</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Penn Station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253,000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53,100,000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-3007995</wp:posOffset>
            </wp:positionV>
            <wp:extent cx="12700" cy="762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-3007995</wp:posOffset>
            </wp:positionV>
            <wp:extent cx="12700" cy="762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-3007995</wp:posOffset>
            </wp:positionV>
            <wp:extent cx="12700" cy="762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-3007995</wp:posOffset>
            </wp:positionV>
            <wp:extent cx="12700" cy="762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-3007995</wp:posOffset>
            </wp:positionV>
            <wp:extent cx="12700" cy="762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-3007995</wp:posOffset>
            </wp:positionV>
            <wp:extent cx="12700" cy="762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-3007995</wp:posOffset>
            </wp:positionV>
            <wp:extent cx="12700" cy="762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-3007995</wp:posOffset>
            </wp:positionV>
            <wp:extent cx="12700" cy="762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-3007995</wp:posOffset>
            </wp:positionV>
            <wp:extent cx="12700" cy="762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-3007995</wp:posOffset>
            </wp:positionV>
            <wp:extent cx="12700" cy="762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-3007995</wp:posOffset>
            </wp:positionV>
            <wp:extent cx="12700" cy="762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-3007995</wp:posOffset>
            </wp:positionV>
            <wp:extent cx="12700" cy="762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-2740025</wp:posOffset>
            </wp:positionV>
            <wp:extent cx="12700" cy="762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-2740025</wp:posOffset>
            </wp:positionV>
            <wp:extent cx="12700" cy="762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-1841500</wp:posOffset>
            </wp:positionV>
            <wp:extent cx="12700" cy="762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-1841500</wp:posOffset>
            </wp:positionV>
            <wp:extent cx="12700" cy="762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-1841500</wp:posOffset>
            </wp:positionV>
            <wp:extent cx="12700" cy="762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-1841500</wp:posOffset>
            </wp:positionV>
            <wp:extent cx="12700" cy="762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-1841500</wp:posOffset>
            </wp:positionV>
            <wp:extent cx="12700" cy="762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-1841500</wp:posOffset>
            </wp:positionV>
            <wp:extent cx="12700" cy="762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-1447800</wp:posOffset>
            </wp:positionV>
            <wp:extent cx="12700" cy="762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-1447800</wp:posOffset>
            </wp:positionV>
            <wp:extent cx="12700" cy="762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-675640</wp:posOffset>
            </wp:positionV>
            <wp:extent cx="12700" cy="762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-675640</wp:posOffset>
            </wp:positionV>
            <wp:extent cx="12700" cy="762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-675640</wp:posOffset>
            </wp:positionV>
            <wp:extent cx="12700" cy="762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-675640</wp:posOffset>
            </wp:positionV>
            <wp:extent cx="12700" cy="762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-675640</wp:posOffset>
            </wp:positionV>
            <wp:extent cx="12700" cy="762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-675640</wp:posOffset>
            </wp:positionV>
            <wp:extent cx="12700" cy="762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-281305</wp:posOffset>
            </wp:positionV>
            <wp:extent cx="12700" cy="762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12700" cy="762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641" w:right="5440" w:hanging="5641"/>
        <w:spacing w:after="0" w:line="449" w:lineRule="auto"/>
        <w:tabs>
          <w:tab w:leader="none" w:pos="503"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Company sold a 45% JV interest in the property at an implied $126.5mm sales price.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262495" cy="2032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457835</wp:posOffset>
            </wp:positionV>
            <wp:extent cx="7262495" cy="2032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537210</wp:posOffset>
            </wp:positionV>
            <wp:extent cx="7262495" cy="2032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62495" cy="2032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7262495" cy="2032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 xml:space="preserve">Annualized rent </w:t>
      </w:r>
      <w:r>
        <w:rPr>
          <w:rFonts w:ascii="Arial" w:cs="Arial" w:eastAsia="Arial" w:hAnsi="Arial"/>
          <w:sz w:val="16"/>
          <w:szCs w:val="16"/>
          <w:color w:val="auto"/>
        </w:rPr>
        <w:t>is calculated as monthly base rent and escalations per the lease, as of a certain date, multiplied by 12.</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 xml:space="preserve">Debt service coverage </w:t>
      </w:r>
      <w:r>
        <w:rPr>
          <w:rFonts w:ascii="Arial" w:cs="Arial" w:eastAsia="Arial" w:hAnsi="Arial"/>
          <w:sz w:val="16"/>
          <w:szCs w:val="16"/>
          <w:color w:val="auto"/>
        </w:rPr>
        <w:t>is adjusted EBITDA divided by total interest and principal payments</w:t>
      </w:r>
    </w:p>
    <w:p>
      <w:pPr>
        <w:sectPr>
          <w:pgSz w:w="11900" w:h="16838" w:orient="portrait"/>
          <w:cols w:equalWidth="0" w:num="1">
            <w:col w:w="11421"/>
          </w:cols>
          <w:pgMar w:left="239" w:top="131" w:right="239" w:bottom="78" w:gutter="0" w:footer="0" w:header="0"/>
        </w:sectPr>
      </w:pPr>
    </w:p>
    <w:bookmarkStart w:id="23" w:name="page24"/>
    <w:bookmarkEnd w:id="23"/>
    <w:p>
      <w:pPr>
        <w:spacing w:after="0" w:line="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color w:val="auto"/>
        </w:rPr>
        <w:t xml:space="preserve">Equity income/ (loss) from affiliates </w:t>
      </w:r>
      <w:r>
        <w:rPr>
          <w:rFonts w:ascii="Arial" w:cs="Arial" w:eastAsia="Arial" w:hAnsi="Arial"/>
          <w:sz w:val="16"/>
          <w:szCs w:val="16"/>
          <w:color w:val="auto"/>
        </w:rPr>
        <w:t>are generally accounted for on a cost basis and realized gains and losses are included in current earnings. For its investments in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the Company periodically reviews its investments and management determines if the value of such investments have been permanently impaired. Permanent impairment losses for investments in public and private companies are included in current earnings.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Fixed charge </w:t>
      </w:r>
      <w:r>
        <w:rPr>
          <w:rFonts w:ascii="Arial" w:cs="Arial" w:eastAsia="Arial" w:hAnsi="Arial"/>
          <w:sz w:val="16"/>
          <w:szCs w:val="16"/>
          <w:color w:val="auto"/>
        </w:rPr>
        <w:t>is adjusted EBITDA divided by the total payments for ground leases and preferred stock.</w:t>
      </w:r>
    </w:p>
    <w:p>
      <w:pPr>
        <w:spacing w:after="0" w:line="213" w:lineRule="exact"/>
        <w:rPr>
          <w:sz w:val="20"/>
          <w:szCs w:val="20"/>
          <w:color w:val="auto"/>
        </w:rPr>
      </w:pPr>
    </w:p>
    <w:p>
      <w:pPr>
        <w:ind w:right="680"/>
        <w:spacing w:after="0" w:line="292" w:lineRule="auto"/>
        <w:rPr>
          <w:sz w:val="20"/>
          <w:szCs w:val="20"/>
          <w:color w:val="auto"/>
        </w:rPr>
      </w:pPr>
      <w:r>
        <w:rPr>
          <w:rFonts w:ascii="Arial" w:cs="Arial" w:eastAsia="Arial" w:hAnsi="Arial"/>
          <w:sz w:val="16"/>
          <w:szCs w:val="16"/>
          <w:b w:val="1"/>
          <w:bCs w:val="1"/>
          <w:color w:val="auto"/>
        </w:rPr>
        <w:t xml:space="preserve">Fixed charge coverage </w:t>
      </w:r>
      <w:r>
        <w:rPr>
          <w:rFonts w:ascii="Arial" w:cs="Arial" w:eastAsia="Arial" w:hAnsi="Arial"/>
          <w:sz w:val="16"/>
          <w:szCs w:val="16"/>
          <w:color w:val="auto"/>
        </w:rPr>
        <w:t>is adjusted EBITDA divided by total interest expense (including capitalized interest and debt premium amortization, but excluding finance cost</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plus preferred dividends and distributions.</w:t>
      </w:r>
    </w:p>
    <w:p>
      <w:pPr>
        <w:spacing w:after="0" w:line="148"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b w:val="1"/>
          <w:bCs w:val="1"/>
          <w:color w:val="auto"/>
        </w:rPr>
        <w:t xml:space="preserve">Funds available for distribution (FAD) </w:t>
      </w:r>
      <w:r>
        <w:rPr>
          <w:rFonts w:ascii="Arial" w:cs="Arial" w:eastAsia="Arial" w:hAnsi="Arial"/>
          <w:sz w:val="16"/>
          <w:szCs w:val="16"/>
          <w:color w:val="auto"/>
        </w:rPr>
        <w:t>is defined as FFO plus non-real estate depreciation, 2% allowance for straight line credit loss, adjustment for straight line ground rent,</w:t>
      </w:r>
      <w:r>
        <w:rPr>
          <w:rFonts w:ascii="Arial" w:cs="Arial" w:eastAsia="Arial" w:hAnsi="Arial"/>
          <w:sz w:val="16"/>
          <w:szCs w:val="16"/>
          <w:b w:val="1"/>
          <w:bCs w:val="1"/>
          <w:color w:val="auto"/>
        </w:rPr>
        <w:t xml:space="preserve"> </w:t>
      </w:r>
      <w:r>
        <w:rPr>
          <w:rFonts w:ascii="Arial" w:cs="Arial" w:eastAsia="Arial" w:hAnsi="Arial"/>
          <w:sz w:val="16"/>
          <w:szCs w:val="16"/>
          <w:color w:val="auto"/>
        </w:rPr>
        <w:t>non-cash deferred compensation, a pro-rata adjustment for FAD for SLG's unconsolidated JV; less straight line rental income, free rent net of amortization, second cycle tenant improvement and leasing cost, and recurring building improvements.</w:t>
      </w:r>
    </w:p>
    <w:p>
      <w:pPr>
        <w:spacing w:after="0" w:line="162"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is defined as income from operations before minority interests, gains or losses from sales of real estate and extraordinary items plus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an adjustment to derive SLG's pro rata share of the FFO of unconsolidated joint ventures, and perpetual preferred stock dividends. In accordance with NAREIT White Paper on FFO, SLG includes the effects of straight-line rents in FFO.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coverage </w:t>
      </w:r>
      <w:r>
        <w:rPr>
          <w:rFonts w:ascii="Arial" w:cs="Arial" w:eastAsia="Arial" w:hAnsi="Arial"/>
          <w:sz w:val="16"/>
          <w:szCs w:val="16"/>
          <w:color w:val="auto"/>
        </w:rPr>
        <w:t>is adjusted EBITDA divided by total interest expense.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Junior Mortgage Participations </w:t>
      </w:r>
      <w:r>
        <w:rPr>
          <w:rFonts w:ascii="Arial" w:cs="Arial" w:eastAsia="Arial" w:hAnsi="Arial"/>
          <w:sz w:val="16"/>
          <w:szCs w:val="16"/>
          <w:color w:val="auto"/>
        </w:rPr>
        <w:t>are subordinate interests in first mortgages.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Mezzanine Debt Loans </w:t>
      </w:r>
      <w:r>
        <w:rPr>
          <w:rFonts w:ascii="Arial" w:cs="Arial" w:eastAsia="Arial" w:hAnsi="Arial"/>
          <w:sz w:val="16"/>
          <w:szCs w:val="16"/>
          <w:color w:val="auto"/>
        </w:rPr>
        <w:t>are loans secured by ownership interests.</w:t>
      </w:r>
    </w:p>
    <w:p>
      <w:pPr>
        <w:spacing w:after="0" w:line="213"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b w:val="1"/>
          <w:bCs w:val="1"/>
          <w:color w:val="auto"/>
        </w:rPr>
        <w:t xml:space="preserve">Operating earnings per share </w:t>
      </w:r>
      <w:r>
        <w:rPr>
          <w:rFonts w:ascii="Arial" w:cs="Arial" w:eastAsia="Arial" w:hAnsi="Arial"/>
          <w:sz w:val="16"/>
          <w:szCs w:val="16"/>
          <w:color w:val="auto"/>
        </w:rPr>
        <w:t>reflects income before minority interests and gains (losses) from dispositions of real estate and impairment reserves on assets held for sale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properties less minority interests' share of income and preferred stock dividends if anti-dilutive.</w:t>
      </w:r>
    </w:p>
    <w:p>
      <w:pPr>
        <w:spacing w:after="0" w:line="148" w:lineRule="exact"/>
        <w:rPr>
          <w:sz w:val="20"/>
          <w:szCs w:val="20"/>
          <w:color w:val="auto"/>
        </w:rPr>
      </w:pPr>
    </w:p>
    <w:p>
      <w:pPr>
        <w:ind w:right="620"/>
        <w:spacing w:after="0" w:line="292" w:lineRule="auto"/>
        <w:rPr>
          <w:sz w:val="20"/>
          <w:szCs w:val="20"/>
          <w:color w:val="auto"/>
        </w:rPr>
      </w:pPr>
      <w:r>
        <w:rPr>
          <w:rFonts w:ascii="Arial" w:cs="Arial" w:eastAsia="Arial" w:hAnsi="Arial"/>
          <w:sz w:val="16"/>
          <w:szCs w:val="16"/>
          <w:b w:val="1"/>
          <w:bCs w:val="1"/>
          <w:color w:val="auto"/>
        </w:rPr>
        <w:t xml:space="preserve">Percentage leased </w:t>
      </w:r>
      <w:r>
        <w:rPr>
          <w:rFonts w:ascii="Arial" w:cs="Arial" w:eastAsia="Arial" w:hAnsi="Arial"/>
          <w:sz w:val="16"/>
          <w:szCs w:val="16"/>
          <w:color w:val="auto"/>
        </w:rPr>
        <w:t>represents the total percentage of total rentable square feet owned, which is leased, including month-to-month leases, as of the date reported. Space is</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leased when the tenant has either taken physical or economic occupancy.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Preferred Equity Investments </w:t>
      </w:r>
      <w:r>
        <w:rPr>
          <w:rFonts w:ascii="Arial" w:cs="Arial" w:eastAsia="Arial" w:hAnsi="Arial"/>
          <w:sz w:val="16"/>
          <w:szCs w:val="16"/>
          <w:color w:val="auto"/>
        </w:rPr>
        <w:t>are equity investments entitled to preferential returns that are senior to common equity.</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color w:val="auto"/>
        </w:rPr>
        <w:t xml:space="preserve">Recurring capital expenditures </w:t>
      </w:r>
      <w:r>
        <w:rPr>
          <w:rFonts w:ascii="Arial" w:cs="Arial" w:eastAsia="Arial" w:hAnsi="Arial"/>
          <w:sz w:val="16"/>
          <w:szCs w:val="16"/>
          <w:color w:val="auto"/>
        </w:rPr>
        <w:t>represents non-incremental building improvements and leasing costs required to maintain current revenues. Recurring capital expenditures do</w:t>
      </w:r>
      <w:r>
        <w:rPr>
          <w:rFonts w:ascii="Arial" w:cs="Arial" w:eastAsia="Arial" w:hAnsi="Arial"/>
          <w:sz w:val="16"/>
          <w:szCs w:val="16"/>
          <w:b w:val="1"/>
          <w:bCs w:val="1"/>
          <w:color w:val="auto"/>
        </w:rPr>
        <w:t xml:space="preserve"> </w:t>
      </w:r>
      <w:r>
        <w:rPr>
          <w:rFonts w:ascii="Arial" w:cs="Arial" w:eastAsia="Arial" w:hAnsi="Arial"/>
          <w:sz w:val="16"/>
          <w:szCs w:val="16"/>
          <w:color w:val="auto"/>
        </w:rPr>
        <w:t>not include immediate building improvements that were taken into consideration when underwriting the purchase of a building or which are incurred to bring a building up to "operating standard."</w:t>
      </w:r>
    </w:p>
    <w:p>
      <w:pPr>
        <w:spacing w:after="0" w:line="162" w:lineRule="exact"/>
        <w:rPr>
          <w:sz w:val="20"/>
          <w:szCs w:val="20"/>
          <w:color w:val="auto"/>
        </w:rPr>
      </w:pPr>
    </w:p>
    <w:p>
      <w:pPr>
        <w:ind w:right="720"/>
        <w:spacing w:after="0" w:line="292" w:lineRule="auto"/>
        <w:rPr>
          <w:sz w:val="20"/>
          <w:szCs w:val="20"/>
          <w:color w:val="auto"/>
        </w:rPr>
      </w:pPr>
      <w:r>
        <w:rPr>
          <w:rFonts w:ascii="Arial" w:cs="Arial" w:eastAsia="Arial" w:hAnsi="Arial"/>
          <w:sz w:val="16"/>
          <w:szCs w:val="16"/>
          <w:b w:val="1"/>
          <w:bCs w:val="1"/>
          <w:color w:val="auto"/>
        </w:rPr>
        <w:t xml:space="preserve">Redevelopment costs </w:t>
      </w:r>
      <w:r>
        <w:rPr>
          <w:rFonts w:ascii="Arial" w:cs="Arial" w:eastAsia="Arial" w:hAnsi="Arial"/>
          <w:sz w:val="16"/>
          <w:szCs w:val="16"/>
          <w:color w:val="auto"/>
        </w:rPr>
        <w:t>are non-recurring capital expenditures incurred in order to improve buildings to SLG's "operating standards." These building costs are taken into</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during the underwriting for a given property's acquisition.</w:t>
      </w:r>
    </w:p>
    <w:p>
      <w:pPr>
        <w:spacing w:after="0" w:line="148"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b w:val="1"/>
          <w:bCs w:val="1"/>
          <w:color w:val="auto"/>
        </w:rPr>
        <w:t xml:space="preserve">Same store NOI growth </w:t>
      </w:r>
      <w:r>
        <w:rPr>
          <w:rFonts w:ascii="Arial" w:cs="Arial" w:eastAsia="Arial" w:hAnsi="Arial"/>
          <w:sz w:val="16"/>
          <w:szCs w:val="16"/>
          <w:color w:val="auto"/>
        </w:rPr>
        <w:t>is the change in the NOI (excluding straight-line rents) of the same store properties from the prior year reporting period to the current year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w:t>
      </w:r>
    </w:p>
    <w:p>
      <w:pPr>
        <w:spacing w:after="0" w:line="148"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b w:val="1"/>
          <w:bCs w:val="1"/>
          <w:color w:val="auto"/>
        </w:rPr>
        <w:t xml:space="preserve">Same store properties </w:t>
      </w:r>
      <w:r>
        <w:rPr>
          <w:rFonts w:ascii="Arial" w:cs="Arial" w:eastAsia="Arial" w:hAnsi="Arial"/>
          <w:sz w:val="16"/>
          <w:szCs w:val="16"/>
          <w:color w:val="auto"/>
        </w:rPr>
        <w:t>include all properties that were owned during both the current and prior year reporting periods and excludes development properties prior to being</w:t>
      </w:r>
      <w:r>
        <w:rPr>
          <w:rFonts w:ascii="Arial" w:cs="Arial" w:eastAsia="Arial" w:hAnsi="Arial"/>
          <w:sz w:val="16"/>
          <w:szCs w:val="16"/>
          <w:b w:val="1"/>
          <w:bCs w:val="1"/>
          <w:color w:val="auto"/>
        </w:rPr>
        <w:t xml:space="preserve"> </w:t>
      </w:r>
      <w:r>
        <w:rPr>
          <w:rFonts w:ascii="Arial" w:cs="Arial" w:eastAsia="Arial" w:hAnsi="Arial"/>
          <w:sz w:val="16"/>
          <w:szCs w:val="16"/>
          <w:color w:val="auto"/>
        </w:rPr>
        <w:t>stabilized for both the current and prior reporting period.</w:t>
      </w:r>
    </w:p>
    <w:p>
      <w:pPr>
        <w:spacing w:after="0" w:line="148" w:lineRule="exact"/>
        <w:rPr>
          <w:sz w:val="20"/>
          <w:szCs w:val="20"/>
          <w:color w:val="auto"/>
        </w:rPr>
      </w:pPr>
    </w:p>
    <w:p>
      <w:pPr>
        <w:ind w:right="400"/>
        <w:spacing w:after="0" w:line="328" w:lineRule="auto"/>
        <w:rPr>
          <w:sz w:val="20"/>
          <w:szCs w:val="20"/>
          <w:color w:val="auto"/>
        </w:rPr>
      </w:pPr>
      <w:r>
        <w:rPr>
          <w:rFonts w:ascii="Arial" w:cs="Arial" w:eastAsia="Arial" w:hAnsi="Arial"/>
          <w:sz w:val="15"/>
          <w:szCs w:val="15"/>
          <w:b w:val="1"/>
          <w:bCs w:val="1"/>
          <w:color w:val="auto"/>
        </w:rPr>
        <w:t xml:space="preserve">Second generation TI's and LC's </w:t>
      </w:r>
      <w:r>
        <w:rPr>
          <w:rFonts w:ascii="Arial" w:cs="Arial" w:eastAsia="Arial" w:hAnsi="Arial"/>
          <w:sz w:val="15"/>
          <w:szCs w:val="15"/>
          <w:color w:val="auto"/>
        </w:rPr>
        <w:t>are tenant improvements, lease commissions, and other leasing costs incurred during leasing of second generations space. Costs incurred</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leasing available square feet are not included until such space is leased. Second generation space excludes square footage vacant at acquisition.</w:t>
      </w:r>
    </w:p>
    <w:p>
      <w:pPr>
        <w:spacing w:after="0" w:line="12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b w:val="1"/>
          <w:bCs w:val="1"/>
          <w:color w:val="auto"/>
        </w:rPr>
        <w:t xml:space="preserve">SLG's share of total debt to market capitalization </w:t>
      </w:r>
      <w:r>
        <w:rPr>
          <w:rFonts w:ascii="Arial" w:cs="Arial" w:eastAsia="Arial" w:hAnsi="Arial"/>
          <w:sz w:val="16"/>
          <w:szCs w:val="16"/>
          <w:color w:val="auto"/>
        </w:rPr>
        <w:t>is calculated as SLG's share of total debt divided by the sum of total debt plus market equity and preferred stock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redeemable shares. SLG's share of total debt includes total consolidated debt plus SLG's pro rata share of the debt of unconsolidated joint ventures less than JV partners' share of debt. Market equity assumes conversion of all OP units into common stock.</w:t>
      </w:r>
    </w:p>
    <w:p>
      <w:pPr>
        <w:spacing w:after="0" w:line="162"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b w:val="1"/>
          <w:bCs w:val="1"/>
          <w:color w:val="auto"/>
        </w:rPr>
        <w:t xml:space="preserve">Total square feet owned </w:t>
      </w:r>
      <w:r>
        <w:rPr>
          <w:rFonts w:ascii="Arial" w:cs="Arial" w:eastAsia="Arial" w:hAnsi="Arial"/>
          <w:sz w:val="16"/>
          <w:szCs w:val="16"/>
          <w:color w:val="auto"/>
        </w:rPr>
        <w:t>represents 100% of the square footage of properties either owned directly by SLG or in which SLG has a controlling interest (e.g. consolidated joint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280670</wp:posOffset>
            </wp:positionV>
            <wp:extent cx="7262495" cy="2032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617855</wp:posOffset>
            </wp:positionV>
            <wp:extent cx="7262495" cy="2032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20"/>
                <w:szCs w:val="20"/>
                <w:color w:val="auto"/>
              </w:rPr>
            </w:pPr>
            <w:r>
              <w:rPr>
                <w:rFonts w:ascii="Arial" w:cs="Arial" w:eastAsia="Arial" w:hAnsi="Arial"/>
                <w:sz w:val="16"/>
                <w:szCs w:val="16"/>
                <w:b w:val="1"/>
                <w:bCs w:val="1"/>
                <w:color w:val="auto"/>
              </w:rPr>
              <w:t>Stephen L. Green</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40" w:type="dxa"/>
            <w:vAlign w:val="bottom"/>
            <w:gridSpan w:val="5"/>
          </w:tcPr>
          <w:p>
            <w:pPr>
              <w:ind w:left="480"/>
              <w:spacing w:after="0"/>
              <w:rPr>
                <w:sz w:val="20"/>
                <w:szCs w:val="20"/>
                <w:color w:val="auto"/>
              </w:rPr>
            </w:pPr>
            <w:r>
              <w:rPr>
                <w:rFonts w:ascii="Arial" w:cs="Arial" w:eastAsia="Arial" w:hAnsi="Arial"/>
                <w:sz w:val="16"/>
                <w:szCs w:val="16"/>
                <w:b w:val="1"/>
                <w:bCs w:val="1"/>
                <w:color w:val="auto"/>
              </w:rPr>
              <w:t>Thomas E. Wirth</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3300" w:type="dxa"/>
            <w:vAlign w:val="bottom"/>
          </w:tcPr>
          <w:p>
            <w:pPr>
              <w:ind w:left="160"/>
              <w:spacing w:after="0"/>
              <w:rPr>
                <w:sz w:val="20"/>
                <w:szCs w:val="20"/>
                <w:color w:val="auto"/>
              </w:rPr>
            </w:pPr>
            <w:r>
              <w:rPr>
                <w:rFonts w:ascii="Arial" w:cs="Arial" w:eastAsia="Arial" w:hAnsi="Arial"/>
                <w:sz w:val="16"/>
                <w:szCs w:val="16"/>
                <w:color w:val="auto"/>
              </w:rPr>
              <w:t>Chairman of the Board and CEO</w:t>
            </w: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40" w:type="dxa"/>
            <w:vAlign w:val="bottom"/>
            <w:gridSpan w:val="4"/>
          </w:tcPr>
          <w:p>
            <w:pPr>
              <w:ind w:left="40"/>
              <w:spacing w:after="0"/>
              <w:rPr>
                <w:sz w:val="20"/>
                <w:szCs w:val="20"/>
                <w:color w:val="auto"/>
              </w:rPr>
            </w:pPr>
            <w:r>
              <w:rPr>
                <w:rFonts w:ascii="Arial" w:cs="Arial" w:eastAsia="Arial" w:hAnsi="Arial"/>
                <w:sz w:val="16"/>
                <w:szCs w:val="16"/>
                <w:color w:val="auto"/>
              </w:rPr>
              <w:t>Chief Financial Officer</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6"/>
                <w:szCs w:val="16"/>
                <w:b w:val="1"/>
                <w:bCs w:val="1"/>
                <w:color w:val="auto"/>
              </w:rPr>
              <w:t>Marc Holliday</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40" w:type="dxa"/>
            <w:vAlign w:val="bottom"/>
            <w:gridSpan w:val="5"/>
          </w:tcPr>
          <w:p>
            <w:pPr>
              <w:ind w:left="480"/>
              <w:spacing w:after="0"/>
              <w:rPr>
                <w:sz w:val="20"/>
                <w:szCs w:val="20"/>
                <w:color w:val="auto"/>
              </w:rPr>
            </w:pPr>
            <w:r>
              <w:rPr>
                <w:rFonts w:ascii="Arial" w:cs="Arial" w:eastAsia="Arial" w:hAnsi="Arial"/>
                <w:sz w:val="16"/>
                <w:szCs w:val="16"/>
                <w:b w:val="1"/>
                <w:bCs w:val="1"/>
                <w:color w:val="auto"/>
              </w:rPr>
              <w:t>Gerard Nocera</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3300" w:type="dxa"/>
            <w:vAlign w:val="bottom"/>
          </w:tcPr>
          <w:p>
            <w:pPr>
              <w:ind w:left="160"/>
              <w:spacing w:after="0"/>
              <w:rPr>
                <w:sz w:val="20"/>
                <w:szCs w:val="20"/>
                <w:color w:val="auto"/>
              </w:rPr>
            </w:pPr>
            <w:r>
              <w:rPr>
                <w:rFonts w:ascii="Arial" w:cs="Arial" w:eastAsia="Arial" w:hAnsi="Arial"/>
                <w:sz w:val="16"/>
                <w:szCs w:val="16"/>
                <w:color w:val="auto"/>
              </w:rPr>
              <w:t>President</w:t>
            </w: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40" w:type="dxa"/>
            <w:vAlign w:val="bottom"/>
            <w:gridSpan w:val="4"/>
          </w:tcPr>
          <w:p>
            <w:pPr>
              <w:ind w:left="40"/>
              <w:spacing w:after="0"/>
              <w:rPr>
                <w:sz w:val="20"/>
                <w:szCs w:val="20"/>
                <w:color w:val="auto"/>
              </w:rPr>
            </w:pPr>
            <w:r>
              <w:rPr>
                <w:rFonts w:ascii="Arial" w:cs="Arial" w:eastAsia="Arial" w:hAnsi="Arial"/>
                <w:sz w:val="16"/>
                <w:szCs w:val="16"/>
                <w:color w:val="auto"/>
              </w:rPr>
              <w:t>Executive VP, Director of Real Estate</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6"/>
                <w:szCs w:val="16"/>
                <w:b w:val="1"/>
                <w:bCs w:val="1"/>
                <w:color w:val="auto"/>
              </w:rPr>
              <w:t>Michael W. Reid</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40" w:type="dxa"/>
            <w:vAlign w:val="bottom"/>
            <w:gridSpan w:val="5"/>
          </w:tcPr>
          <w:p>
            <w:pPr>
              <w:ind w:left="480"/>
              <w:spacing w:after="0"/>
              <w:rPr>
                <w:sz w:val="20"/>
                <w:szCs w:val="20"/>
                <w:color w:val="auto"/>
              </w:rPr>
            </w:pPr>
            <w:r>
              <w:rPr>
                <w:rFonts w:ascii="Arial" w:cs="Arial" w:eastAsia="Arial" w:hAnsi="Arial"/>
                <w:sz w:val="16"/>
                <w:szCs w:val="16"/>
                <w:b w:val="1"/>
                <w:bCs w:val="1"/>
                <w:color w:val="auto"/>
              </w:rPr>
              <w:t>Andrew S. Levine</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Chief Operating Officer</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40" w:type="dxa"/>
            <w:vAlign w:val="bottom"/>
            <w:gridSpan w:val="4"/>
          </w:tcPr>
          <w:p>
            <w:pPr>
              <w:ind w:left="40"/>
              <w:spacing w:after="0"/>
              <w:rPr>
                <w:sz w:val="20"/>
                <w:szCs w:val="20"/>
                <w:color w:val="auto"/>
              </w:rPr>
            </w:pPr>
            <w:r>
              <w:rPr>
                <w:rFonts w:ascii="Arial" w:cs="Arial" w:eastAsia="Arial" w:hAnsi="Arial"/>
                <w:sz w:val="16"/>
                <w:szCs w:val="16"/>
                <w:color w:val="auto"/>
              </w:rPr>
              <w:t>General Counsel and Secretary</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10"/>
        </w:trPr>
        <w:tc>
          <w:tcPr>
            <w:tcW w:w="3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459"/>
        </w:trPr>
        <w:tc>
          <w:tcPr>
            <w:tcW w:w="3300" w:type="dxa"/>
            <w:vAlign w:val="bottom"/>
          </w:tcPr>
          <w:p>
            <w:pPr>
              <w:spacing w:after="0"/>
              <w:rPr>
                <w:sz w:val="20"/>
                <w:szCs w:val="20"/>
                <w:color w:val="auto"/>
              </w:rPr>
            </w:pPr>
            <w:r>
              <w:rPr>
                <w:rFonts w:ascii="Arial" w:cs="Arial" w:eastAsia="Arial" w:hAnsi="Arial"/>
                <w:sz w:val="22"/>
                <w:szCs w:val="22"/>
                <w:b w:val="1"/>
                <w:bCs w:val="1"/>
                <w:color w:val="auto"/>
              </w:rPr>
              <w:t>ANALYST COVERAGE</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3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9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2220" w:type="dxa"/>
            <w:vAlign w:val="bottom"/>
            <w:tcBorders>
              <w:bottom w:val="single" w:sz="8" w:color="808080"/>
            </w:tcBorders>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2"/>
                <w:szCs w:val="12"/>
                <w:b w:val="1"/>
                <w:bCs w:val="1"/>
                <w:color w:val="auto"/>
              </w:rPr>
              <w:t>Firm</w:t>
            </w:r>
          </w:p>
        </w:tc>
        <w:tc>
          <w:tcPr>
            <w:tcW w:w="120" w:type="dxa"/>
            <w:vAlign w:val="bottom"/>
          </w:tcPr>
          <w:p>
            <w:pPr>
              <w:spacing w:after="0"/>
              <w:rPr>
                <w:sz w:val="21"/>
                <w:szCs w:val="21"/>
                <w:color w:val="auto"/>
              </w:rPr>
            </w:pPr>
          </w:p>
        </w:tc>
        <w:tc>
          <w:tcPr>
            <w:tcW w:w="1940" w:type="dxa"/>
            <w:vAlign w:val="bottom"/>
          </w:tcPr>
          <w:p>
            <w:pPr>
              <w:ind w:left="1060"/>
              <w:spacing w:after="0"/>
              <w:rPr>
                <w:sz w:val="20"/>
                <w:szCs w:val="20"/>
                <w:color w:val="auto"/>
              </w:rPr>
            </w:pPr>
            <w:r>
              <w:rPr>
                <w:rFonts w:ascii="Arial" w:cs="Arial" w:eastAsia="Arial" w:hAnsi="Arial"/>
                <w:sz w:val="12"/>
                <w:szCs w:val="12"/>
                <w:b w:val="1"/>
                <w:bCs w:val="1"/>
                <w:color w:val="auto"/>
              </w:rPr>
              <w:t>Analyst</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gridSpan w:val="3"/>
          </w:tcPr>
          <w:p>
            <w:pPr>
              <w:ind w:left="600"/>
              <w:spacing w:after="0"/>
              <w:rPr>
                <w:sz w:val="20"/>
                <w:szCs w:val="20"/>
                <w:color w:val="auto"/>
              </w:rPr>
            </w:pPr>
            <w:r>
              <w:rPr>
                <w:rFonts w:ascii="Arial" w:cs="Arial" w:eastAsia="Arial" w:hAnsi="Arial"/>
                <w:sz w:val="12"/>
                <w:szCs w:val="12"/>
                <w:b w:val="1"/>
                <w:bCs w:val="1"/>
                <w:color w:val="auto"/>
              </w:rPr>
              <w:t>Phone</w:t>
            </w:r>
          </w:p>
        </w:tc>
        <w:tc>
          <w:tcPr>
            <w:tcW w:w="2220" w:type="dxa"/>
            <w:vAlign w:val="bottom"/>
          </w:tcPr>
          <w:p>
            <w:pPr>
              <w:ind w:left="780"/>
              <w:spacing w:after="0"/>
              <w:rPr>
                <w:sz w:val="20"/>
                <w:szCs w:val="20"/>
                <w:color w:val="auto"/>
              </w:rPr>
            </w:pPr>
            <w:r>
              <w:rPr>
                <w:rFonts w:ascii="Arial" w:cs="Arial" w:eastAsia="Arial" w:hAnsi="Arial"/>
                <w:sz w:val="12"/>
                <w:szCs w:val="12"/>
                <w:b w:val="1"/>
                <w:bCs w:val="1"/>
                <w:color w:val="auto"/>
              </w:rPr>
              <w:t>Email</w:t>
            </w:r>
          </w:p>
        </w:tc>
        <w:tc>
          <w:tcPr>
            <w:tcW w:w="100" w:type="dxa"/>
            <w:vAlign w:val="bottom"/>
          </w:tcPr>
          <w:p>
            <w:pPr>
              <w:spacing w:after="0"/>
              <w:rPr>
                <w:sz w:val="21"/>
                <w:szCs w:val="21"/>
                <w:color w:val="auto"/>
              </w:rPr>
            </w:pPr>
          </w:p>
        </w:tc>
      </w:tr>
      <w:tr>
        <w:trPr>
          <w:trHeight w:val="97"/>
        </w:trPr>
        <w:tc>
          <w:tcPr>
            <w:tcW w:w="3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-675640</wp:posOffset>
            </wp:positionV>
            <wp:extent cx="12700" cy="762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-675640</wp:posOffset>
            </wp:positionV>
            <wp:extent cx="12700" cy="762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-241935</wp:posOffset>
            </wp:positionV>
            <wp:extent cx="12700" cy="762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-241935</wp:posOffset>
            </wp:positionV>
            <wp:extent cx="12700" cy="762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-13335</wp:posOffset>
            </wp:positionV>
            <wp:extent cx="12700" cy="762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-13335</wp:posOffset>
            </wp:positionV>
            <wp:extent cx="12700" cy="762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-13335</wp:posOffset>
            </wp:positionV>
            <wp:extent cx="12700" cy="762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-13335</wp:posOffset>
            </wp:positionV>
            <wp:extent cx="12700" cy="762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-13335</wp:posOffset>
            </wp:positionV>
            <wp:extent cx="12700" cy="762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-13335</wp:posOffset>
            </wp:positionV>
            <wp:extent cx="12700" cy="762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46" w:orient="portrait"/>
          <w:cols w:equalWidth="0" w:num="1">
            <w:col w:w="11520"/>
          </w:cols>
          <w:pgMar w:left="240" w:top="127" w:right="139" w:bottom="0" w:gutter="0" w:footer="0" w:header="0"/>
        </w:sectPr>
      </w:pPr>
    </w:p>
    <w:p>
      <w:pPr>
        <w:spacing w:after="0" w:line="87" w:lineRule="exact"/>
        <w:rPr>
          <w:sz w:val="20"/>
          <w:szCs w:val="20"/>
          <w:color w:val="auto"/>
        </w:rPr>
      </w:pPr>
    </w:p>
    <w:p>
      <w:pPr>
        <w:spacing w:after="0"/>
        <w:tabs>
          <w:tab w:leader="none" w:pos="3400" w:val="left"/>
          <w:tab w:leader="none" w:pos="6060" w:val="left"/>
          <w:tab w:leader="none" w:pos="7700" w:val="left"/>
        </w:tabs>
        <w:rPr>
          <w:sz w:val="20"/>
          <w:szCs w:val="20"/>
          <w:color w:val="auto"/>
        </w:rPr>
      </w:pPr>
      <w:r>
        <w:rPr>
          <w:rFonts w:ascii="Arial" w:cs="Arial" w:eastAsia="Arial" w:hAnsi="Arial"/>
          <w:sz w:val="16"/>
          <w:szCs w:val="16"/>
          <w:color w:val="auto"/>
        </w:rPr>
        <w:t>AG Edwards</w:t>
      </w:r>
      <w:r>
        <w:rPr>
          <w:sz w:val="20"/>
          <w:szCs w:val="20"/>
          <w:color w:val="auto"/>
        </w:rPr>
        <w:tab/>
      </w:r>
      <w:r>
        <w:rPr>
          <w:rFonts w:ascii="Arial" w:cs="Arial" w:eastAsia="Arial" w:hAnsi="Arial"/>
          <w:sz w:val="16"/>
          <w:szCs w:val="16"/>
          <w:color w:val="auto"/>
        </w:rPr>
        <w:t>Dave Aubuchon</w:t>
      </w:r>
      <w:r>
        <w:rPr>
          <w:sz w:val="20"/>
          <w:szCs w:val="20"/>
          <w:color w:val="auto"/>
        </w:rPr>
        <w:tab/>
      </w:r>
      <w:r>
        <w:rPr>
          <w:rFonts w:ascii="Arial" w:cs="Arial" w:eastAsia="Arial" w:hAnsi="Arial"/>
          <w:sz w:val="16"/>
          <w:szCs w:val="16"/>
          <w:color w:val="auto"/>
        </w:rPr>
        <w:t>(314) 955-5452</w:t>
      </w:r>
      <w:r>
        <w:rPr>
          <w:sz w:val="20"/>
          <w:szCs w:val="20"/>
          <w:color w:val="auto"/>
        </w:rPr>
        <w:tab/>
      </w:r>
      <w:r>
        <w:rPr>
          <w:rFonts w:ascii="Arial" w:cs="Arial" w:eastAsia="Arial" w:hAnsi="Arial"/>
          <w:sz w:val="14"/>
          <w:szCs w:val="14"/>
          <w:color w:val="auto"/>
        </w:rPr>
        <w:t>aubuchond@agedwards.com</w:t>
      </w:r>
    </w:p>
    <w:p>
      <w:pPr>
        <w:sectPr>
          <w:pgSz w:w="11900" w:h="16846" w:orient="portrait"/>
          <w:cols w:equalWidth="0" w:num="1">
            <w:col w:w="11520"/>
          </w:cols>
          <w:pgMar w:left="240" w:top="127" w:right="139"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CIBC Oppenheimer Corp.</w:t>
            </w:r>
          </w:p>
        </w:tc>
        <w:tc>
          <w:tcPr>
            <w:tcW w:w="2820" w:type="dxa"/>
            <w:vAlign w:val="bottom"/>
          </w:tcPr>
          <w:p>
            <w:pPr>
              <w:ind w:left="680"/>
              <w:spacing w:after="0"/>
              <w:rPr>
                <w:sz w:val="20"/>
                <w:szCs w:val="20"/>
                <w:color w:val="auto"/>
              </w:rPr>
            </w:pPr>
            <w:r>
              <w:rPr>
                <w:rFonts w:ascii="Arial" w:cs="Arial" w:eastAsia="Arial" w:hAnsi="Arial"/>
                <w:sz w:val="16"/>
                <w:szCs w:val="16"/>
                <w:color w:val="auto"/>
              </w:rPr>
              <w:t>Anthony Paolone</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667-8116</w:t>
            </w:r>
          </w:p>
        </w:tc>
        <w:tc>
          <w:tcPr>
            <w:tcW w:w="2500" w:type="dxa"/>
            <w:vAlign w:val="bottom"/>
          </w:tcPr>
          <w:p>
            <w:pPr>
              <w:ind w:left="320"/>
              <w:spacing w:after="0"/>
              <w:rPr>
                <w:sz w:val="20"/>
                <w:szCs w:val="20"/>
                <w:color w:val="auto"/>
              </w:rPr>
            </w:pPr>
            <w:r>
              <w:rPr>
                <w:rFonts w:ascii="Arial" w:cs="Arial" w:eastAsia="Arial" w:hAnsi="Arial"/>
                <w:sz w:val="16"/>
                <w:szCs w:val="16"/>
                <w:color w:val="auto"/>
                <w:w w:val="98"/>
              </w:rPr>
              <w:t>anthony.paolone@us.cibc.com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Corinthian Partners, LLC</w:t>
            </w:r>
          </w:p>
        </w:tc>
        <w:tc>
          <w:tcPr>
            <w:tcW w:w="2820" w:type="dxa"/>
            <w:vAlign w:val="bottom"/>
          </w:tcPr>
          <w:p>
            <w:pPr>
              <w:ind w:left="680"/>
              <w:spacing w:after="0"/>
              <w:rPr>
                <w:sz w:val="20"/>
                <w:szCs w:val="20"/>
                <w:color w:val="auto"/>
              </w:rPr>
            </w:pPr>
            <w:r>
              <w:rPr>
                <w:rFonts w:ascii="Arial" w:cs="Arial" w:eastAsia="Arial" w:hAnsi="Arial"/>
                <w:sz w:val="16"/>
                <w:szCs w:val="16"/>
                <w:color w:val="auto"/>
              </w:rPr>
              <w:t>Claus Hirsch</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287-1565</w:t>
            </w:r>
          </w:p>
        </w:tc>
        <w:tc>
          <w:tcPr>
            <w:tcW w:w="2500" w:type="dxa"/>
            <w:vAlign w:val="bottom"/>
          </w:tcPr>
          <w:p>
            <w:pPr>
              <w:ind w:left="320"/>
              <w:spacing w:after="0"/>
              <w:rPr>
                <w:sz w:val="20"/>
                <w:szCs w:val="20"/>
                <w:color w:val="auto"/>
              </w:rPr>
            </w:pPr>
            <w:r>
              <w:rPr>
                <w:rFonts w:ascii="Arial" w:cs="Arial" w:eastAsia="Arial" w:hAnsi="Arial"/>
                <w:sz w:val="16"/>
                <w:szCs w:val="16"/>
                <w:color w:val="auto"/>
              </w:rPr>
              <w:t>cwhirsch@rcn.com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Credit Suisse First Boston</w:t>
            </w:r>
          </w:p>
        </w:tc>
        <w:tc>
          <w:tcPr>
            <w:tcW w:w="2820" w:type="dxa"/>
            <w:vAlign w:val="bottom"/>
          </w:tcPr>
          <w:p>
            <w:pPr>
              <w:ind w:left="680"/>
              <w:spacing w:after="0"/>
              <w:rPr>
                <w:sz w:val="20"/>
                <w:szCs w:val="20"/>
                <w:color w:val="auto"/>
              </w:rPr>
            </w:pPr>
            <w:r>
              <w:rPr>
                <w:rFonts w:ascii="Arial" w:cs="Arial" w:eastAsia="Arial" w:hAnsi="Arial"/>
                <w:sz w:val="16"/>
                <w:szCs w:val="16"/>
                <w:color w:val="auto"/>
              </w:rPr>
              <w:t>Larry Raiman</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538-2380</w:t>
            </w:r>
          </w:p>
        </w:tc>
        <w:tc>
          <w:tcPr>
            <w:tcW w:w="2500" w:type="dxa"/>
            <w:vAlign w:val="bottom"/>
          </w:tcPr>
          <w:p>
            <w:pPr>
              <w:ind w:left="320"/>
              <w:spacing w:after="0"/>
              <w:rPr>
                <w:sz w:val="20"/>
                <w:szCs w:val="20"/>
                <w:color w:val="auto"/>
              </w:rPr>
            </w:pPr>
            <w:r>
              <w:rPr>
                <w:rFonts w:ascii="Arial" w:cs="Arial" w:eastAsia="Arial" w:hAnsi="Arial"/>
                <w:sz w:val="16"/>
                <w:szCs w:val="16"/>
                <w:color w:val="auto"/>
              </w:rPr>
              <w:t>lawrence.raiman@csfb.com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Deutsche Banc Alex. Brown</w:t>
            </w:r>
          </w:p>
        </w:tc>
        <w:tc>
          <w:tcPr>
            <w:tcW w:w="2820" w:type="dxa"/>
            <w:vAlign w:val="bottom"/>
          </w:tcPr>
          <w:p>
            <w:pPr>
              <w:ind w:left="680"/>
              <w:spacing w:after="0"/>
              <w:rPr>
                <w:sz w:val="20"/>
                <w:szCs w:val="20"/>
                <w:color w:val="auto"/>
              </w:rPr>
            </w:pPr>
            <w:r>
              <w:rPr>
                <w:rFonts w:ascii="Arial" w:cs="Arial" w:eastAsia="Arial" w:hAnsi="Arial"/>
                <w:sz w:val="16"/>
                <w:szCs w:val="16"/>
                <w:color w:val="auto"/>
              </w:rPr>
              <w:t>Louis W. Taylor</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469-4912</w:t>
            </w:r>
          </w:p>
        </w:tc>
        <w:tc>
          <w:tcPr>
            <w:tcW w:w="2500" w:type="dxa"/>
            <w:vAlign w:val="bottom"/>
          </w:tcPr>
          <w:p>
            <w:pPr>
              <w:ind w:left="320"/>
              <w:spacing w:after="0"/>
              <w:rPr>
                <w:sz w:val="20"/>
                <w:szCs w:val="20"/>
                <w:color w:val="auto"/>
              </w:rPr>
            </w:pPr>
            <w:r>
              <w:rPr>
                <w:rFonts w:ascii="Arial" w:cs="Arial" w:eastAsia="Arial" w:hAnsi="Arial"/>
                <w:sz w:val="16"/>
                <w:szCs w:val="16"/>
                <w:color w:val="auto"/>
              </w:rPr>
              <w:t>louis.taylor@db.com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Goldman Sachs</w:t>
            </w:r>
          </w:p>
        </w:tc>
        <w:tc>
          <w:tcPr>
            <w:tcW w:w="2820" w:type="dxa"/>
            <w:vAlign w:val="bottom"/>
          </w:tcPr>
          <w:p>
            <w:pPr>
              <w:ind w:left="680"/>
              <w:spacing w:after="0"/>
              <w:rPr>
                <w:sz w:val="20"/>
                <w:szCs w:val="20"/>
                <w:color w:val="auto"/>
              </w:rPr>
            </w:pPr>
            <w:r>
              <w:rPr>
                <w:rFonts w:ascii="Arial" w:cs="Arial" w:eastAsia="Arial" w:hAnsi="Arial"/>
                <w:sz w:val="16"/>
                <w:szCs w:val="16"/>
                <w:color w:val="auto"/>
              </w:rPr>
              <w:t>James H. Kammert, CFA</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855-0670</w:t>
            </w:r>
          </w:p>
        </w:tc>
        <w:tc>
          <w:tcPr>
            <w:tcW w:w="2500" w:type="dxa"/>
            <w:vAlign w:val="bottom"/>
          </w:tcPr>
          <w:p>
            <w:pPr>
              <w:ind w:left="320"/>
              <w:spacing w:after="0"/>
              <w:rPr>
                <w:sz w:val="20"/>
                <w:szCs w:val="20"/>
                <w:color w:val="auto"/>
              </w:rPr>
            </w:pPr>
            <w:r>
              <w:rPr>
                <w:rFonts w:ascii="Arial" w:cs="Arial" w:eastAsia="Arial" w:hAnsi="Arial"/>
                <w:sz w:val="16"/>
                <w:szCs w:val="16"/>
                <w:color w:val="auto"/>
              </w:rPr>
              <w:t>james.kammert@gs.com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Legg Mason Wood Walker, Inc.</w:t>
            </w:r>
          </w:p>
        </w:tc>
        <w:tc>
          <w:tcPr>
            <w:tcW w:w="2820" w:type="dxa"/>
            <w:vAlign w:val="bottom"/>
          </w:tcPr>
          <w:p>
            <w:pPr>
              <w:ind w:left="680"/>
              <w:spacing w:after="0"/>
              <w:rPr>
                <w:sz w:val="20"/>
                <w:szCs w:val="20"/>
                <w:color w:val="auto"/>
              </w:rPr>
            </w:pPr>
            <w:r>
              <w:rPr>
                <w:rFonts w:ascii="Arial" w:cs="Arial" w:eastAsia="Arial" w:hAnsi="Arial"/>
                <w:sz w:val="16"/>
                <w:szCs w:val="16"/>
                <w:color w:val="auto"/>
              </w:rPr>
              <w:t>David Fick</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(410) 454-5018</w:t>
            </w:r>
          </w:p>
        </w:tc>
        <w:tc>
          <w:tcPr>
            <w:tcW w:w="2500" w:type="dxa"/>
            <w:vAlign w:val="bottom"/>
          </w:tcPr>
          <w:p>
            <w:pPr>
              <w:ind w:left="320"/>
              <w:spacing w:after="0"/>
              <w:rPr>
                <w:sz w:val="20"/>
                <w:szCs w:val="20"/>
                <w:color w:val="auto"/>
              </w:rPr>
            </w:pPr>
            <w:r>
              <w:rPr>
                <w:rFonts w:ascii="Arial" w:cs="Arial" w:eastAsia="Arial" w:hAnsi="Arial"/>
                <w:sz w:val="16"/>
                <w:szCs w:val="16"/>
                <w:color w:val="auto"/>
              </w:rPr>
              <w:t>dmfick@leggmason.com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Lehman Brothers, Inc.</w:t>
            </w:r>
          </w:p>
        </w:tc>
        <w:tc>
          <w:tcPr>
            <w:tcW w:w="2820" w:type="dxa"/>
            <w:vAlign w:val="bottom"/>
          </w:tcPr>
          <w:p>
            <w:pPr>
              <w:ind w:left="680"/>
              <w:spacing w:after="0"/>
              <w:rPr>
                <w:sz w:val="20"/>
                <w:szCs w:val="20"/>
                <w:color w:val="auto"/>
              </w:rPr>
            </w:pPr>
            <w:r>
              <w:rPr>
                <w:rFonts w:ascii="Arial" w:cs="Arial" w:eastAsia="Arial" w:hAnsi="Arial"/>
                <w:sz w:val="16"/>
                <w:szCs w:val="16"/>
                <w:color w:val="auto"/>
              </w:rPr>
              <w:t>David Shulman</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526-3413</w:t>
            </w:r>
          </w:p>
        </w:tc>
        <w:tc>
          <w:tcPr>
            <w:tcW w:w="2500" w:type="dxa"/>
            <w:vAlign w:val="bottom"/>
          </w:tcPr>
          <w:p>
            <w:pPr>
              <w:ind w:left="320"/>
              <w:spacing w:after="0"/>
              <w:rPr>
                <w:sz w:val="20"/>
                <w:szCs w:val="20"/>
                <w:color w:val="auto"/>
              </w:rPr>
            </w:pPr>
            <w:r>
              <w:rPr>
                <w:rFonts w:ascii="Arial" w:cs="Arial" w:eastAsia="Arial" w:hAnsi="Arial"/>
                <w:sz w:val="16"/>
                <w:szCs w:val="16"/>
                <w:color w:val="auto"/>
              </w:rPr>
              <w:t>dshulman@lehman.com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McDonald &amp; Company</w:t>
            </w:r>
          </w:p>
        </w:tc>
        <w:tc>
          <w:tcPr>
            <w:tcW w:w="2820" w:type="dxa"/>
            <w:vAlign w:val="bottom"/>
          </w:tcPr>
          <w:p>
            <w:pPr>
              <w:ind w:left="680"/>
              <w:spacing w:after="0"/>
              <w:rPr>
                <w:sz w:val="20"/>
                <w:szCs w:val="20"/>
                <w:color w:val="auto"/>
              </w:rPr>
            </w:pPr>
            <w:r>
              <w:rPr>
                <w:rFonts w:ascii="Arial" w:cs="Arial" w:eastAsia="Arial" w:hAnsi="Arial"/>
                <w:sz w:val="16"/>
                <w:szCs w:val="16"/>
                <w:color w:val="auto"/>
              </w:rPr>
              <w:t>Anatole Pevnev</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(216) 263-4783</w:t>
            </w:r>
          </w:p>
        </w:tc>
        <w:tc>
          <w:tcPr>
            <w:tcW w:w="2500" w:type="dxa"/>
            <w:vAlign w:val="bottom"/>
          </w:tcPr>
          <w:p>
            <w:pPr>
              <w:ind w:left="320"/>
              <w:spacing w:after="0"/>
              <w:rPr>
                <w:sz w:val="20"/>
                <w:szCs w:val="20"/>
                <w:color w:val="auto"/>
              </w:rPr>
            </w:pPr>
            <w:r>
              <w:rPr>
                <w:rFonts w:ascii="Arial" w:cs="Arial" w:eastAsia="Arial" w:hAnsi="Arial"/>
                <w:sz w:val="16"/>
                <w:szCs w:val="16"/>
                <w:color w:val="auto"/>
              </w:rPr>
              <w:t>apevnev@mcdinvest.com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Prudential Securities</w:t>
            </w:r>
          </w:p>
        </w:tc>
        <w:tc>
          <w:tcPr>
            <w:tcW w:w="2820" w:type="dxa"/>
            <w:vAlign w:val="bottom"/>
          </w:tcPr>
          <w:p>
            <w:pPr>
              <w:ind w:left="680"/>
              <w:spacing w:after="0"/>
              <w:rPr>
                <w:sz w:val="20"/>
                <w:szCs w:val="20"/>
                <w:color w:val="auto"/>
              </w:rPr>
            </w:pPr>
            <w:r>
              <w:rPr>
                <w:rFonts w:ascii="Arial" w:cs="Arial" w:eastAsia="Arial" w:hAnsi="Arial"/>
                <w:sz w:val="16"/>
                <w:szCs w:val="16"/>
                <w:color w:val="auto"/>
              </w:rPr>
              <w:t>James W. Sullivan</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778-2515</w:t>
            </w:r>
          </w:p>
        </w:tc>
        <w:tc>
          <w:tcPr>
            <w:tcW w:w="2500" w:type="dxa"/>
            <w:vAlign w:val="bottom"/>
          </w:tcPr>
          <w:p>
            <w:pPr>
              <w:ind w:left="320"/>
              <w:spacing w:after="0"/>
              <w:rPr>
                <w:sz w:val="20"/>
                <w:szCs w:val="20"/>
                <w:color w:val="auto"/>
              </w:rPr>
            </w:pPr>
            <w:r>
              <w:rPr>
                <w:rFonts w:ascii="Arial" w:cs="Arial" w:eastAsia="Arial" w:hAnsi="Arial"/>
                <w:sz w:val="16"/>
                <w:szCs w:val="16"/>
                <w:color w:val="auto"/>
              </w:rPr>
              <w:t>jim_sullivan@prusec.com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Raymond James &amp; Associates</w:t>
            </w:r>
          </w:p>
        </w:tc>
        <w:tc>
          <w:tcPr>
            <w:tcW w:w="2820" w:type="dxa"/>
            <w:vAlign w:val="bottom"/>
          </w:tcPr>
          <w:p>
            <w:pPr>
              <w:ind w:left="680"/>
              <w:spacing w:after="0"/>
              <w:rPr>
                <w:sz w:val="20"/>
                <w:szCs w:val="20"/>
                <w:color w:val="auto"/>
              </w:rPr>
            </w:pPr>
            <w:r>
              <w:rPr>
                <w:rFonts w:ascii="Arial" w:cs="Arial" w:eastAsia="Arial" w:hAnsi="Arial"/>
                <w:sz w:val="16"/>
                <w:szCs w:val="16"/>
                <w:color w:val="auto"/>
              </w:rPr>
              <w:t>Paul Puryear</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(727) 573-8607</w:t>
            </w:r>
          </w:p>
        </w:tc>
        <w:tc>
          <w:tcPr>
            <w:tcW w:w="2500" w:type="dxa"/>
            <w:vAlign w:val="bottom"/>
          </w:tcPr>
          <w:p>
            <w:pPr>
              <w:ind w:left="320"/>
              <w:spacing w:after="0"/>
              <w:rPr>
                <w:sz w:val="20"/>
                <w:szCs w:val="20"/>
                <w:color w:val="auto"/>
              </w:rPr>
            </w:pPr>
            <w:r>
              <w:rPr>
                <w:rFonts w:ascii="Arial" w:cs="Arial" w:eastAsia="Arial" w:hAnsi="Arial"/>
                <w:sz w:val="16"/>
                <w:szCs w:val="16"/>
                <w:color w:val="auto"/>
              </w:rPr>
              <w:t>ppuryear@ecm.rjf.com</w:t>
            </w: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Salomon Smith Barney</w:t>
            </w:r>
          </w:p>
        </w:tc>
        <w:tc>
          <w:tcPr>
            <w:tcW w:w="2820" w:type="dxa"/>
            <w:vAlign w:val="bottom"/>
          </w:tcPr>
          <w:p>
            <w:pPr>
              <w:ind w:left="680"/>
              <w:spacing w:after="0"/>
              <w:rPr>
                <w:sz w:val="20"/>
                <w:szCs w:val="20"/>
                <w:color w:val="auto"/>
              </w:rPr>
            </w:pPr>
            <w:r>
              <w:rPr>
                <w:rFonts w:ascii="Arial" w:cs="Arial" w:eastAsia="Arial" w:hAnsi="Arial"/>
                <w:sz w:val="16"/>
                <w:szCs w:val="16"/>
                <w:color w:val="auto"/>
              </w:rPr>
              <w:t>Jonathan Litt</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(212) 816-0231</w:t>
            </w:r>
          </w:p>
        </w:tc>
        <w:tc>
          <w:tcPr>
            <w:tcW w:w="2500" w:type="dxa"/>
            <w:vAlign w:val="bottom"/>
          </w:tcPr>
          <w:p>
            <w:pPr>
              <w:ind w:left="320"/>
              <w:spacing w:after="0"/>
              <w:rPr>
                <w:sz w:val="20"/>
                <w:szCs w:val="20"/>
                <w:color w:val="auto"/>
              </w:rPr>
            </w:pPr>
            <w:r>
              <w:rPr>
                <w:rFonts w:ascii="Arial" w:cs="Arial" w:eastAsia="Arial" w:hAnsi="Arial"/>
                <w:sz w:val="16"/>
                <w:szCs w:val="16"/>
                <w:color w:val="auto"/>
              </w:rPr>
              <w:t>jonathan.litt@ssmb.com</w:t>
            </w: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Wachovia Securities</w:t>
            </w:r>
          </w:p>
        </w:tc>
        <w:tc>
          <w:tcPr>
            <w:tcW w:w="2820" w:type="dxa"/>
            <w:vAlign w:val="bottom"/>
          </w:tcPr>
          <w:p>
            <w:pPr>
              <w:ind w:left="680"/>
              <w:spacing w:after="0"/>
              <w:rPr>
                <w:sz w:val="20"/>
                <w:szCs w:val="20"/>
                <w:color w:val="auto"/>
              </w:rPr>
            </w:pPr>
            <w:r>
              <w:rPr>
                <w:rFonts w:ascii="Arial" w:cs="Arial" w:eastAsia="Arial" w:hAnsi="Arial"/>
                <w:sz w:val="16"/>
                <w:szCs w:val="16"/>
                <w:color w:val="auto"/>
              </w:rPr>
              <w:t>Christopher Haley</w:t>
            </w: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(443) 263-6773</w:t>
            </w:r>
          </w:p>
        </w:tc>
        <w:tc>
          <w:tcPr>
            <w:tcW w:w="2500" w:type="dxa"/>
            <w:vAlign w:val="bottom"/>
          </w:tcPr>
          <w:p>
            <w:pPr>
              <w:ind w:left="320"/>
              <w:spacing w:after="0"/>
              <w:rPr>
                <w:sz w:val="20"/>
                <w:szCs w:val="20"/>
                <w:color w:val="auto"/>
              </w:rPr>
            </w:pPr>
            <w:r>
              <w:rPr>
                <w:rFonts w:ascii="Arial" w:cs="Arial" w:eastAsia="Arial" w:hAnsi="Arial"/>
                <w:sz w:val="16"/>
                <w:szCs w:val="16"/>
                <w:color w:val="auto"/>
                <w:w w:val="90"/>
              </w:rPr>
              <w:t>christopher.haley@wachovia.com</w:t>
            </w:r>
          </w:p>
        </w:tc>
      </w:tr>
    </w:tbl>
    <w:p>
      <w:pPr>
        <w:spacing w:after="0" w:line="191" w:lineRule="exact"/>
        <w:rPr>
          <w:sz w:val="20"/>
          <w:szCs w:val="20"/>
          <w:color w:val="auto"/>
        </w:rPr>
      </w:pPr>
    </w:p>
    <w:p>
      <w:pPr>
        <w:spacing w:after="0" w:line="299" w:lineRule="auto"/>
        <w:rPr>
          <w:sz w:val="20"/>
          <w:szCs w:val="20"/>
          <w:color w:val="auto"/>
        </w:rPr>
      </w:pPr>
      <w:r>
        <w:rPr>
          <w:rFonts w:ascii="Arial" w:cs="Arial" w:eastAsia="Arial" w:hAnsi="Arial"/>
          <w:sz w:val="15"/>
          <w:szCs w:val="15"/>
          <w:i w:val="1"/>
          <w:iCs w:val="1"/>
          <w:color w:val="auto"/>
        </w:rPr>
        <w:t>SL Green Realty Corp. is followed by the analyst(s) listed above. Please note that any opinions, estimates or forecasts regarding SL Green Realty Corp.'s performance made by these analysts are theirs alone and do not represent opinions, forecasts or predictions of SL Green Realty Corp. or its management. SL Green Realty Corp. does not by its reference above or distribution imply its endorsement of or concurrence with such information, conclusions or recommendations.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Same Store</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w:t>
        </w:r>
      </w:hyperlink>
    </w:p>
    <w:p>
      <w:pPr>
        <w:spacing w:after="0" w:line="206"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50 West 23</w:t>
        </w:r>
        <w:r>
          <w:rPr>
            <w:rFonts w:ascii="Arial" w:cs="Arial" w:eastAsia="Arial" w:hAnsi="Arial"/>
            <w:sz w:val="26"/>
            <w:szCs w:val="26"/>
            <w:u w:val="single" w:color="auto"/>
            <w:color w:val="0000EE"/>
            <w:vertAlign w:val="superscript"/>
          </w:rPr>
          <w:t>rd</w:t>
        </w:r>
        <w:r>
          <w:rPr>
            <w:rFonts w:ascii="Arial" w:cs="Arial" w:eastAsia="Arial" w:hAnsi="Arial"/>
            <w:sz w:val="16"/>
            <w:szCs w:val="16"/>
            <w:u w:val="single" w:color="auto"/>
            <w:color w:val="0000EE"/>
          </w:rPr>
          <w:t xml:space="preserve"> Street</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Structured Finance Activity</w:t>
        </w:r>
      </w:hyperlink>
    </w:p>
    <w:p>
      <w:pPr>
        <w:spacing w:after="0" w:line="8" w:lineRule="exact"/>
        <w:rPr>
          <w:sz w:val="20"/>
          <w:szCs w:val="20"/>
          <w:color w:val="auto"/>
        </w:rPr>
      </w:pPr>
    </w:p>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2002 SAME STORE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Structured Finance Maturity Profile</w:t>
        </w:r>
      </w:hyperlink>
    </w:p>
    <w:sectPr>
      <w:pgSz w:w="11900" w:h="16838" w:orient="portrait"/>
      <w:cols w:equalWidth="0" w:num="1">
        <w:col w:w="11340"/>
      </w:cols>
      <w:pgMar w:left="24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3"/>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80"/>
    </w:lvl>
  </w:abstractNum>
  <w:abstractNum w:abstractNumId="14">
    <w:nsid w:val="431BD7B7"/>
    <w:multiLevelType w:val="hybridMultilevel"/>
    <w:lvl w:ilvl="0">
      <w:lvlJc w:val="left"/>
      <w:lvlText w:val="%1"/>
      <w:numFmt w:val="decimal"/>
      <w:start w:val="32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jpe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2019-12-12T11:55:04Z</dcterms:created>
  <dcterms:modified xsi:type="dcterms:W3CDTF">2019-12-12T11:55:04Z</dcterms:modified>
</cp:coreProperties>
</file>