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648970</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31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5" w:lineRule="exact"/>
        <w:rPr>
          <w:sz w:val="24"/>
          <w:szCs w:val="24"/>
          <w:color w:val="auto"/>
        </w:rPr>
      </w:pPr>
    </w:p>
    <w:p>
      <w:pPr>
        <w:ind w:left="480" w:hanging="412"/>
        <w:spacing w:after="0"/>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 w:lineRule="exact"/>
        <w:rPr>
          <w:sz w:val="24"/>
          <w:szCs w:val="24"/>
          <w:color w:val="auto"/>
        </w:rPr>
      </w:pPr>
    </w:p>
    <w:p>
      <w:pPr>
        <w:ind w:left="480" w:hanging="419"/>
        <w:spacing w:after="0"/>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44" w:lineRule="exact"/>
        <w:rPr>
          <w:sz w:val="24"/>
          <w:szCs w:val="24"/>
          <w:color w:val="auto"/>
        </w:rPr>
      </w:pPr>
    </w:p>
    <w:p>
      <w:pPr>
        <w:ind w:left="372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1-13199 (SL Green Realty Corp.)</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33-167793-02 (SL Green Operating Partnership, L.P.)</w:t>
      </w:r>
    </w:p>
    <w:p>
      <w:pPr>
        <w:spacing w:after="0" w:line="14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SL GREEN REALTY CORP.</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SL GREEN OPERATING PARTNERSHIP, 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ind w:left="31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115" w:lineRule="exact"/>
        <w:rPr>
          <w:sz w:val="24"/>
          <w:szCs w:val="24"/>
          <w:color w:val="auto"/>
        </w:rPr>
      </w:pPr>
    </w:p>
    <w:tbl>
      <w:tblPr>
        <w:tblLayout w:type="fixed"/>
        <w:tblInd w:w="1180" w:type="dxa"/>
        <w:tblCellMar>
          <w:top w:w="0" w:type="dxa"/>
          <w:left w:w="0" w:type="dxa"/>
          <w:bottom w:w="0" w:type="dxa"/>
          <w:right w:w="0" w:type="dxa"/>
        </w:tblCellMar>
      </w:tblPr>
      <w:tr>
        <w:trPr>
          <w:trHeight w:val="230"/>
        </w:trPr>
        <w:tc>
          <w:tcPr>
            <w:tcW w:w="322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7"/>
              </w:rPr>
              <w:t>SL Green Realty Corp.</w:t>
            </w:r>
          </w:p>
        </w:tc>
        <w:tc>
          <w:tcPr>
            <w:tcW w:w="2920" w:type="dxa"/>
            <w:vAlign w:val="bottom"/>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6"/>
              </w:rPr>
              <w:t>Maryland</w:t>
            </w:r>
          </w:p>
        </w:tc>
        <w:tc>
          <w:tcPr>
            <w:tcW w:w="1760" w:type="dxa"/>
            <w:vAlign w:val="bottom"/>
          </w:tcPr>
          <w:p>
            <w:pPr>
              <w:jc w:val="center"/>
              <w:ind w:left="765"/>
              <w:spacing w:after="0"/>
              <w:rPr>
                <w:sz w:val="20"/>
                <w:szCs w:val="20"/>
                <w:color w:val="auto"/>
              </w:rPr>
            </w:pPr>
            <w:r>
              <w:rPr>
                <w:rFonts w:ascii="Times New Roman" w:cs="Times New Roman" w:eastAsia="Times New Roman" w:hAnsi="Times New Roman"/>
                <w:sz w:val="18"/>
                <w:szCs w:val="18"/>
                <w:b w:val="1"/>
                <w:bCs w:val="1"/>
                <w:color w:val="auto"/>
                <w:w w:val="96"/>
              </w:rPr>
              <w:t>13-3956775</w:t>
            </w:r>
          </w:p>
        </w:tc>
      </w:tr>
      <w:tr>
        <w:trPr>
          <w:trHeight w:val="241"/>
        </w:trPr>
        <w:tc>
          <w:tcPr>
            <w:tcW w:w="322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6"/>
              </w:rPr>
              <w:t>SL Green Operating Partnership, L.P.</w:t>
            </w:r>
          </w:p>
        </w:tc>
        <w:tc>
          <w:tcPr>
            <w:tcW w:w="2920" w:type="dxa"/>
            <w:vAlign w:val="bottom"/>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760" w:type="dxa"/>
            <w:vAlign w:val="bottom"/>
          </w:tcPr>
          <w:p>
            <w:pPr>
              <w:jc w:val="center"/>
              <w:ind w:left="765"/>
              <w:spacing w:after="0"/>
              <w:rPr>
                <w:sz w:val="20"/>
                <w:szCs w:val="20"/>
                <w:color w:val="auto"/>
              </w:rPr>
            </w:pPr>
            <w:r>
              <w:rPr>
                <w:rFonts w:ascii="Times New Roman" w:cs="Times New Roman" w:eastAsia="Times New Roman" w:hAnsi="Times New Roman"/>
                <w:sz w:val="18"/>
                <w:szCs w:val="18"/>
                <w:b w:val="1"/>
                <w:bCs w:val="1"/>
                <w:color w:val="auto"/>
                <w:w w:val="96"/>
              </w:rPr>
              <w:t>13-3960938</w:t>
            </w:r>
          </w:p>
        </w:tc>
      </w:tr>
      <w:tr>
        <w:trPr>
          <w:trHeight w:val="154"/>
        </w:trPr>
        <w:tc>
          <w:tcPr>
            <w:tcW w:w="3220" w:type="dxa"/>
            <w:vAlign w:val="bottom"/>
          </w:tcPr>
          <w:p>
            <w:pPr>
              <w:spacing w:after="0"/>
              <w:rPr>
                <w:sz w:val="13"/>
                <w:szCs w:val="13"/>
                <w:color w:val="auto"/>
              </w:rPr>
            </w:pPr>
          </w:p>
        </w:tc>
        <w:tc>
          <w:tcPr>
            <w:tcW w:w="2920" w:type="dxa"/>
            <w:vAlign w:val="bottom"/>
          </w:tcPr>
          <w:p>
            <w:pPr>
              <w:jc w:val="center"/>
              <w:ind w:right="421"/>
              <w:spacing w:after="0" w:line="154" w:lineRule="exact"/>
              <w:rPr>
                <w:sz w:val="20"/>
                <w:szCs w:val="20"/>
                <w:color w:val="auto"/>
              </w:rPr>
            </w:pPr>
            <w:r>
              <w:rPr>
                <w:rFonts w:ascii="Times New Roman" w:cs="Times New Roman" w:eastAsia="Times New Roman" w:hAnsi="Times New Roman"/>
                <w:sz w:val="14"/>
                <w:szCs w:val="14"/>
                <w:color w:val="auto"/>
                <w:w w:val="99"/>
              </w:rPr>
              <w:t>(State or other jurisdiction of</w:t>
            </w:r>
          </w:p>
        </w:tc>
        <w:tc>
          <w:tcPr>
            <w:tcW w:w="1760" w:type="dxa"/>
            <w:vAlign w:val="bottom"/>
          </w:tcPr>
          <w:p>
            <w:pPr>
              <w:jc w:val="center"/>
              <w:ind w:left="765"/>
              <w:spacing w:after="0"/>
              <w:rPr>
                <w:sz w:val="20"/>
                <w:szCs w:val="20"/>
                <w:color w:val="auto"/>
              </w:rPr>
            </w:pPr>
            <w:r>
              <w:rPr>
                <w:rFonts w:ascii="Times New Roman" w:cs="Times New Roman" w:eastAsia="Times New Roman" w:hAnsi="Times New Roman"/>
                <w:sz w:val="12"/>
                <w:szCs w:val="12"/>
                <w:color w:val="auto"/>
              </w:rPr>
              <w:t>(I.R.S. Employer</w:t>
            </w:r>
          </w:p>
        </w:tc>
      </w:tr>
      <w:tr>
        <w:trPr>
          <w:trHeight w:val="183"/>
        </w:trPr>
        <w:tc>
          <w:tcPr>
            <w:tcW w:w="3220" w:type="dxa"/>
            <w:vAlign w:val="bottom"/>
          </w:tcPr>
          <w:p>
            <w:pPr>
              <w:spacing w:after="0"/>
              <w:rPr>
                <w:sz w:val="15"/>
                <w:szCs w:val="15"/>
                <w:color w:val="auto"/>
              </w:rPr>
            </w:pPr>
          </w:p>
        </w:tc>
        <w:tc>
          <w:tcPr>
            <w:tcW w:w="2920" w:type="dxa"/>
            <w:vAlign w:val="bottom"/>
          </w:tcPr>
          <w:p>
            <w:pPr>
              <w:jc w:val="center"/>
              <w:ind w:right="42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760" w:type="dxa"/>
            <w:vAlign w:val="bottom"/>
          </w:tcPr>
          <w:p>
            <w:pPr>
              <w:jc w:val="center"/>
              <w:ind w:left="765"/>
              <w:spacing w:after="0"/>
              <w:rPr>
                <w:sz w:val="20"/>
                <w:szCs w:val="20"/>
                <w:color w:val="auto"/>
              </w:rPr>
            </w:pPr>
            <w:r>
              <w:rPr>
                <w:rFonts w:ascii="Times New Roman" w:cs="Times New Roman" w:eastAsia="Times New Roman" w:hAnsi="Times New Roman"/>
                <w:sz w:val="12"/>
                <w:szCs w:val="12"/>
                <w:color w:val="auto"/>
              </w:rPr>
              <w:t>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Vanderbilt Avenue, New York, NY 10017</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594-2700</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ind w:left="31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200" w:lineRule="exact"/>
        <w:rPr>
          <w:sz w:val="24"/>
          <w:szCs w:val="24"/>
          <w:color w:val="auto"/>
        </w:rPr>
      </w:pPr>
    </w:p>
    <w:p>
      <w:pPr>
        <w:spacing w:after="0" w:line="246" w:lineRule="exact"/>
        <w:rPr>
          <w:sz w:val="24"/>
          <w:szCs w:val="24"/>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5" w:lineRule="exact"/>
        <w:rPr>
          <w:sz w:val="24"/>
          <w:szCs w:val="24"/>
          <w:color w:val="auto"/>
        </w:rPr>
      </w:pPr>
    </w:p>
    <w:p>
      <w:pPr>
        <w:spacing w:after="0"/>
        <w:tabs>
          <w:tab w:leader="none" w:pos="1780" w:val="left"/>
          <w:tab w:leader="none" w:pos="2440" w:val="left"/>
          <w:tab w:leader="none" w:pos="3440" w:val="left"/>
          <w:tab w:leader="none" w:pos="6220" w:val="left"/>
          <w:tab w:leader="none" w:pos="6880" w:val="left"/>
        </w:tabs>
        <w:rPr>
          <w:sz w:val="20"/>
          <w:szCs w:val="20"/>
          <w:color w:val="auto"/>
        </w:rPr>
      </w:pPr>
      <w:r>
        <w:rPr>
          <w:rFonts w:ascii="Times New Roman" w:cs="Times New Roman" w:eastAsia="Times New Roman" w:hAnsi="Times New Roman"/>
          <w:sz w:val="18"/>
          <w:szCs w:val="18"/>
          <w:color w:val="auto"/>
        </w:rPr>
        <w:t>SL Green Realty Corp.</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SL Green Operating Partnership, L.P.</w:t>
        <w:tab/>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o</w:t>
      </w:r>
    </w:p>
    <w:p>
      <w:pPr>
        <w:spacing w:after="0" w:line="109" w:lineRule="exact"/>
        <w:rPr>
          <w:sz w:val="24"/>
          <w:szCs w:val="24"/>
          <w:color w:val="auto"/>
        </w:rPr>
      </w:pPr>
    </w:p>
    <w:p>
      <w:pPr>
        <w:ind w:right="400"/>
        <w:spacing w:after="0" w:line="332"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7" w:lineRule="exact"/>
        <w:rPr>
          <w:sz w:val="24"/>
          <w:szCs w:val="24"/>
          <w:color w:val="auto"/>
        </w:rPr>
      </w:pPr>
    </w:p>
    <w:p>
      <w:pPr>
        <w:spacing w:after="0"/>
        <w:tabs>
          <w:tab w:leader="none" w:pos="1820" w:val="left"/>
          <w:tab w:leader="none" w:pos="2480" w:val="left"/>
          <w:tab w:leader="none" w:pos="3480" w:val="left"/>
          <w:tab w:leader="none" w:pos="6260" w:val="left"/>
          <w:tab w:leader="none" w:pos="6920" w:val="left"/>
        </w:tabs>
        <w:rPr>
          <w:sz w:val="20"/>
          <w:szCs w:val="20"/>
          <w:color w:val="auto"/>
        </w:rPr>
      </w:pPr>
      <w:r>
        <w:rPr>
          <w:rFonts w:ascii="Times New Roman" w:cs="Times New Roman" w:eastAsia="Times New Roman" w:hAnsi="Times New Roman"/>
          <w:sz w:val="18"/>
          <w:szCs w:val="18"/>
          <w:color w:val="auto"/>
        </w:rPr>
        <w:t>SL Green Realty Corp.</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SL Green Operating Partnership, L.P.</w:t>
        <w:tab/>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o</w:t>
      </w:r>
    </w:p>
    <w:p>
      <w:pPr>
        <w:spacing w:after="0" w:line="200" w:lineRule="exact"/>
        <w:rPr>
          <w:sz w:val="24"/>
          <w:szCs w:val="24"/>
          <w:color w:val="auto"/>
        </w:rPr>
      </w:pPr>
    </w:p>
    <w:p>
      <w:pPr>
        <w:spacing w:after="0" w:line="251"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SL Green Realty Corp.</w:t>
            </w:r>
          </w:p>
        </w:tc>
        <w:tc>
          <w:tcPr>
            <w:tcW w:w="38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86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8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19"/>
                <w:szCs w:val="19"/>
                <w:color w:val="auto"/>
              </w:rPr>
            </w:pPr>
          </w:p>
        </w:tc>
        <w:tc>
          <w:tcPr>
            <w:tcW w:w="24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0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7"/>
              </w:rPr>
              <w:t>If an emerging growth company, indicate by check mark if the registrant has elected not to use the extended transition period for complying with any new</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8"/>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or revised financial accounting standards provided pursuant to Section 13(a) of the Exchange Act.</w:t>
            </w: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SL Green Operating Partnership, L.P.</w:t>
            </w:r>
          </w:p>
        </w:tc>
        <w:tc>
          <w:tcPr>
            <w:tcW w:w="38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38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5"/>
        </w:trPr>
        <w:tc>
          <w:tcPr>
            <w:tcW w:w="3200" w:type="dxa"/>
            <w:vAlign w:val="bottom"/>
          </w:tcPr>
          <w:p>
            <w:pPr>
              <w:ind w:left="40"/>
              <w:spacing w:after="0" w:line="185" w:lineRule="exact"/>
              <w:rPr>
                <w:sz w:val="20"/>
                <w:szCs w:val="20"/>
                <w:color w:val="auto"/>
              </w:rPr>
            </w:pPr>
            <w:r>
              <w:rPr>
                <w:rFonts w:ascii="Times New Roman" w:cs="Times New Roman" w:eastAsia="Times New Roman" w:hAnsi="Times New Roman"/>
                <w:sz w:val="18"/>
                <w:szCs w:val="18"/>
                <w:color w:val="auto"/>
              </w:rPr>
              <w:t>Non-accelerated filer</w:t>
            </w:r>
          </w:p>
        </w:tc>
        <w:tc>
          <w:tcPr>
            <w:tcW w:w="3860" w:type="dxa"/>
            <w:vAlign w:val="bottom"/>
          </w:tcPr>
          <w:p>
            <w:pPr>
              <w:ind w:left="580"/>
              <w:spacing w:after="0" w:line="185" w:lineRule="exact"/>
              <w:rPr>
                <w:sz w:val="20"/>
                <w:szCs w:val="20"/>
                <w:color w:val="auto"/>
              </w:rPr>
            </w:pPr>
            <w:r>
              <w:rPr>
                <w:rFonts w:ascii="Wingdings" w:cs="Wingdings" w:eastAsia="Wingdings" w:hAnsi="Wingdings"/>
                <w:sz w:val="18"/>
                <w:szCs w:val="18"/>
                <w:b w:val="1"/>
                <w:bCs w:val="1"/>
                <w:color w:val="auto"/>
              </w:rPr>
              <w:t>x</w:t>
            </w:r>
          </w:p>
        </w:tc>
        <w:tc>
          <w:tcPr>
            <w:tcW w:w="3840" w:type="dxa"/>
            <w:vAlign w:val="bottom"/>
          </w:tcPr>
          <w:p>
            <w:pPr>
              <w:spacing w:after="0"/>
              <w:rPr>
                <w:sz w:val="16"/>
                <w:szCs w:val="16"/>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If an emerging growth company, indicate by check mark if the registrant has elected not to use the extended transition period for complying with any new</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97" w:lineRule="exact"/>
        <w:rPr>
          <w:sz w:val="24"/>
          <w:szCs w:val="24"/>
          <w:color w:val="auto"/>
        </w:rPr>
      </w:pPr>
    </w:p>
    <w:p>
      <w:pPr>
        <w:spacing w:after="0" w:line="207" w:lineRule="exact"/>
        <w:tabs>
          <w:tab w:leader="none" w:pos="1780" w:val="left"/>
          <w:tab w:leader="none" w:pos="2400" w:val="left"/>
          <w:tab w:leader="none" w:pos="3440" w:val="left"/>
          <w:tab w:leader="none" w:pos="6220" w:val="left"/>
          <w:tab w:leader="none" w:pos="6860" w:val="left"/>
        </w:tabs>
        <w:rPr>
          <w:sz w:val="20"/>
          <w:szCs w:val="20"/>
          <w:color w:val="auto"/>
        </w:rPr>
      </w:pPr>
      <w:r>
        <w:rPr>
          <w:rFonts w:ascii="Times New Roman" w:cs="Times New Roman" w:eastAsia="Times New Roman" w:hAnsi="Times New Roman"/>
          <w:sz w:val="18"/>
          <w:szCs w:val="18"/>
          <w:color w:val="auto"/>
        </w:rPr>
        <w:t>SL Green Realty Corp.</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SL Green Operating Partnership, L.P.</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x</w:t>
      </w:r>
    </w:p>
    <w:p>
      <w:pPr>
        <w:sectPr>
          <w:pgSz w:w="11900" w:h="16838" w:orient="portrait"/>
          <w:cols w:equalWidth="0" w:num="1">
            <w:col w:w="11240"/>
          </w:cols>
          <w:pgMar w:left="320" w:top="1145" w:right="339" w:bottom="0" w:gutter="0" w:footer="0" w:header="0"/>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p>
      <w:pPr>
        <w:sectPr>
          <w:pgSz w:w="11900" w:h="16838" w:orient="portrait"/>
          <w:cols w:equalWidth="0" w:num="1">
            <w:col w:w="11240"/>
          </w:cols>
          <w:pgMar w:left="320" w:top="1145"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85"/>
        </w:trPr>
        <w:tc>
          <w:tcPr>
            <w:tcW w:w="27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SL Green Realty Corp.</w:t>
            </w:r>
          </w:p>
        </w:tc>
        <w:tc>
          <w:tcPr>
            <w:tcW w:w="10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SLG</w:t>
            </w:r>
          </w:p>
        </w:tc>
        <w:tc>
          <w:tcPr>
            <w:tcW w:w="10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Common Stock, $0.01 par value</w:t>
            </w:r>
          </w:p>
        </w:tc>
        <w:tc>
          <w:tcPr>
            <w:tcW w:w="10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76"/>
        </w:trPr>
        <w:tc>
          <w:tcPr>
            <w:tcW w:w="2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SL Green Realty Corp.</w:t>
            </w:r>
          </w:p>
        </w:tc>
        <w:tc>
          <w:tcPr>
            <w:tcW w:w="1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SLG.PRI</w:t>
            </w:r>
          </w:p>
        </w:tc>
        <w:tc>
          <w:tcPr>
            <w:tcW w:w="4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6.500% Series I Cumulative Redeemable Preferred</w:t>
            </w:r>
          </w:p>
        </w:tc>
        <w:tc>
          <w:tcPr>
            <w:tcW w:w="2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Stock Exchange</w:t>
            </w:r>
          </w:p>
        </w:tc>
      </w:tr>
      <w:tr>
        <w:trPr>
          <w:trHeight w:val="228"/>
        </w:trPr>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Stock, $0.01 par value</w:t>
            </w:r>
          </w:p>
        </w:tc>
        <w:tc>
          <w:tcPr>
            <w:tcW w:w="2800" w:type="dxa"/>
            <w:vAlign w:val="bottom"/>
          </w:tcPr>
          <w:p>
            <w:pPr>
              <w:spacing w:after="0"/>
              <w:rPr>
                <w:sz w:val="19"/>
                <w:szCs w:val="19"/>
                <w:color w:val="auto"/>
              </w:rPr>
            </w:pPr>
          </w:p>
        </w:tc>
      </w:tr>
    </w:tbl>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April 30, 2025, 71,016,826 shares of SL Green Realty Corp.'s common stock, par value $0.01 per share, were outstanding. As of April 30, 2025, 301,668 common units of limited partnership interest of SL Green Operating Partnership, L.P. were held by non-affiliates. There is no established trading market for such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1115695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5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period ended March 31, 2025 of SL Green Realty Corp. and SL Green Operating Partnership, L.P. Unless stated otherwise or the context otherwise requires, references to "SL Green Realty Corp.," the "Company" or "SL Green" mean SL Green Realty Corp. and its consolidated subsidiaries, including SL Green Operating Partnership, L.P.; and references to "SL Green Operating Partnership, L.P.," the "Operating Partnership" or "SLGOP" mean SL Green Operating Partnership, L.P. and its consolidated subsidiaries. The terms "we," "our" and "us" mean the Company and all the entities owned or controlled by the Company, including the Operating Partnership.</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is a Maryland corporation which operates as a self-administered and self-managed real estate investment trust, or REIT, and is the sole managing general partner of the Operating Partnership. As a general partner of the Operating Partnership, the Company has full, exclusive and complete responsibility and discretion in the day-to-day management and control of the Operating Partnership.</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March 31, 2025, the Company owns 93.41% of the outstanding general and limited partnership interest in the Operating Partnership and owns 9,200,000 Series I Preferred Units of the Operating Partnership. As of March 31, 2025, noncontrolling investors held, in aggregate, a 6.59% limited partnership interest in the Operating Partnership. We refer to these interests as the noncontrolling interests in the Operating Partnership.</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and the Operating Partnership are managed and operated as one entity. The financial results of the Operating Partnership are consolidated into the financial statements of the Company. The Company has no significant assets other than its investment in the Operating Partnership. Substantially all of our assets are held by, and our operations are conducted through, the Operating Partnership. Therefore, the assets and liabilities of the Company and the Operating Partnership are substantially the same.</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Noncontrolling interests in the Operating Partnership, stockholders' equity of the Company and partners' capital of the Operating Partnership are the main areas of difference between the consolidated financial statements of the Company and those of the Operating Partnership. The common limited partnership interests in the Operating Partnership not owned by the Company are accounted as noncontrolling interests, within mezzanine equity, in the Company's and the Operating Partnership's consolidated financial statements.</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believe combining the quarterly reports on Form 10-Q of the Company and the Operating Partnership into this single report results in the following benefits:</w:t>
      </w:r>
    </w:p>
    <w:p>
      <w:pPr>
        <w:spacing w:after="0" w:line="64" w:lineRule="exact"/>
        <w:rPr>
          <w:sz w:val="20"/>
          <w:szCs w:val="20"/>
          <w:color w:val="auto"/>
        </w:rPr>
      </w:pPr>
    </w:p>
    <w:p>
      <w:pPr>
        <w:ind w:left="960" w:hanging="323"/>
        <w:spacing w:after="0" w:line="254"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reports enhance investors' understanding of the Company and the Operating Partnership by enabling investors to view the business as a whole in the same manner as management views and operates the business;</w:t>
      </w:r>
    </w:p>
    <w:p>
      <w:pPr>
        <w:ind w:left="960" w:hanging="323"/>
        <w:spacing w:after="0" w:line="244"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reports eliminate duplicative disclosure and provides a more streamlined and readable presentation since a substantial portion of the Company's disclosure applies to both the Company and the Operating Partnership; and</w:t>
      </w:r>
    </w:p>
    <w:p>
      <w:pPr>
        <w:ind w:left="940" w:hanging="303"/>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reports create time and cost efficiencies through the preparation of one combined report instead of two separate reports.</w:t>
      </w:r>
    </w:p>
    <w:p>
      <w:pPr>
        <w:spacing w:after="0" w:line="9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To help investors understand the significant differences between the Company and the Operating Partnership, this report presents the following separate sections for each of the Company and the Operating Partnership:</w:t>
      </w:r>
    </w:p>
    <w:p>
      <w:pPr>
        <w:spacing w:after="0" w:line="64" w:lineRule="exact"/>
        <w:rPr>
          <w:sz w:val="20"/>
          <w:szCs w:val="20"/>
          <w:color w:val="auto"/>
        </w:rPr>
      </w:pPr>
    </w:p>
    <w:p>
      <w:pPr>
        <w:ind w:left="940" w:hanging="303"/>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and</w:t>
      </w:r>
    </w:p>
    <w:p>
      <w:pPr>
        <w:spacing w:after="0" w:line="108"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notes to the consolidated financial statements:</w:t>
      </w:r>
    </w:p>
    <w:p>
      <w:pPr>
        <w:spacing w:after="0" w:line="108" w:lineRule="exact"/>
        <w:rPr>
          <w:rFonts w:ascii="Times New Roman" w:cs="Times New Roman" w:eastAsia="Times New Roman" w:hAnsi="Times New Roman"/>
          <w:sz w:val="18"/>
          <w:szCs w:val="18"/>
          <w:color w:val="auto"/>
        </w:rPr>
      </w:pPr>
    </w:p>
    <w:p>
      <w:pPr>
        <w:ind w:left="1420" w:hanging="309"/>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11, Noncontrolling Interests on the Company's Consolidated Financial Statements;</w:t>
      </w:r>
    </w:p>
    <w:p>
      <w:pPr>
        <w:spacing w:after="0" w:line="21" w:lineRule="exact"/>
        <w:rPr>
          <w:rFonts w:ascii="Times New Roman" w:cs="Times New Roman" w:eastAsia="Times New Roman" w:hAnsi="Times New Roman"/>
          <w:sz w:val="18"/>
          <w:szCs w:val="18"/>
          <w:color w:val="auto"/>
        </w:rPr>
      </w:pPr>
    </w:p>
    <w:p>
      <w:pPr>
        <w:ind w:left="1420" w:hanging="309"/>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Stockholders' Equity of the Company; and</w:t>
      </w:r>
    </w:p>
    <w:p>
      <w:pPr>
        <w:spacing w:after="0" w:line="3" w:lineRule="exact"/>
        <w:rPr>
          <w:rFonts w:ascii="Times New Roman" w:cs="Times New Roman" w:eastAsia="Times New Roman" w:hAnsi="Times New Roman"/>
          <w:sz w:val="18"/>
          <w:szCs w:val="18"/>
          <w:color w:val="auto"/>
        </w:rPr>
      </w:pPr>
    </w:p>
    <w:p>
      <w:pPr>
        <w:ind w:left="1420" w:hanging="309"/>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Partners' Capital of the Operating Partnership.</w:t>
      </w:r>
    </w:p>
    <w:p>
      <w:pPr>
        <w:spacing w:after="0" w:line="9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This report also includes separate Part I, Item 4. Controls and Procedures sections and separate Exhibit 31 and 32 certifications for each of the Company and the Operating Partnership, respectively, in order to establish that the Chief Executive Officer and the Chief Financial Officer of the Company, in both their capacity as the principal executive officer and principal financial officer of the Company and the principal executive officer and principal financial officer of the general partner of the Operating Partnership, have made the requisite certifications and that the Company and the Operating Partnership are compliant with Rule 13a-15 and Rule 15d-15 of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593090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14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6"/>
        </w:trPr>
        <w:tc>
          <w:tcPr>
            <w:tcW w:w="900" w:type="dxa"/>
            <w:vAlign w:val="bottom"/>
          </w:tcPr>
          <w:p>
            <w:pPr>
              <w:spacing w:after="0"/>
              <w:rPr>
                <w:sz w:val="24"/>
                <w:szCs w:val="24"/>
                <w:color w:val="auto"/>
              </w:rPr>
            </w:pPr>
          </w:p>
        </w:tc>
        <w:tc>
          <w:tcPr>
            <w:tcW w:w="1014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9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01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501"/>
        </w:trPr>
        <w:tc>
          <w:tcPr>
            <w:tcW w:w="900" w:type="dxa"/>
            <w:vAlign w:val="bottom"/>
          </w:tcPr>
          <w:p>
            <w:pPr>
              <w:spacing w:after="0"/>
              <w:rPr>
                <w:sz w:val="24"/>
                <w:szCs w:val="24"/>
                <w:color w:val="auto"/>
              </w:rPr>
            </w:pPr>
          </w:p>
        </w:tc>
        <w:tc>
          <w:tcPr>
            <w:tcW w:w="10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OF SL GREEN REALTY CORP. (UNAUDITED)</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900" w:type="dxa"/>
            <w:vAlign w:val="bottom"/>
          </w:tcPr>
          <w:p>
            <w:pPr>
              <w:spacing w:after="0"/>
              <w:rPr>
                <w:sz w:val="16"/>
                <w:szCs w:val="16"/>
                <w:color w:val="auto"/>
              </w:rPr>
            </w:pPr>
          </w:p>
        </w:tc>
        <w:tc>
          <w:tcPr>
            <w:tcW w:w="101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March 31, 2025 and December 31, 2024</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2025 and 2024</w:t>
            </w:r>
          </w:p>
        </w:tc>
        <w:tc>
          <w:tcPr>
            <w:tcW w:w="1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Consolidated Statements of Comprehensive (Loss) Income for the three months ended March 31, 2025 and 2024</w:t>
            </w:r>
          </w:p>
        </w:tc>
        <w:tc>
          <w:tcPr>
            <w:tcW w:w="1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Consolidated Statements of Equity for the three months ended March 31, 2025 and 2024</w:t>
            </w:r>
          </w:p>
        </w:tc>
        <w:tc>
          <w:tcPr>
            <w:tcW w:w="1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2025 and 2024</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7"/>
                <w:szCs w:val="17"/>
                <w:color w:val="auto"/>
              </w:rPr>
            </w:pPr>
          </w:p>
        </w:tc>
      </w:tr>
      <w:tr>
        <w:trPr>
          <w:trHeight w:val="501"/>
        </w:trPr>
        <w:tc>
          <w:tcPr>
            <w:tcW w:w="900" w:type="dxa"/>
            <w:vAlign w:val="bottom"/>
          </w:tcPr>
          <w:p>
            <w:pPr>
              <w:spacing w:after="0"/>
              <w:rPr>
                <w:sz w:val="24"/>
                <w:szCs w:val="24"/>
                <w:color w:val="auto"/>
              </w:rPr>
            </w:pPr>
          </w:p>
        </w:tc>
        <w:tc>
          <w:tcPr>
            <w:tcW w:w="10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OF SL GREEN OPERATING PARTNERSHIP, L.P. (UNAUDITED)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900" w:type="dxa"/>
            <w:vAlign w:val="bottom"/>
          </w:tcPr>
          <w:p>
            <w:pPr>
              <w:spacing w:after="0"/>
              <w:rPr>
                <w:sz w:val="16"/>
                <w:szCs w:val="16"/>
                <w:color w:val="auto"/>
              </w:rPr>
            </w:pPr>
          </w:p>
        </w:tc>
        <w:tc>
          <w:tcPr>
            <w:tcW w:w="101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March 31, 2025 and December 31, 2024</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6"/>
                <w:szCs w:val="16"/>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2025 and 2024</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Consolidated Statements of Comprehensive (Loss) Income for the three months ended March 31, 2025 and 2024</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Consolidated Statements of Capital for the three months ended March 31, 2025 and 2024</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2025 and 2024</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7"/>
                <w:szCs w:val="17"/>
                <w:color w:val="auto"/>
              </w:rPr>
            </w:pPr>
          </w:p>
        </w:tc>
      </w:tr>
      <w:tr>
        <w:trPr>
          <w:trHeight w:val="204"/>
        </w:trPr>
        <w:tc>
          <w:tcPr>
            <w:tcW w:w="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7"/>
                <w:szCs w:val="17"/>
                <w:color w:val="auto"/>
              </w:rPr>
            </w:pPr>
          </w:p>
        </w:tc>
      </w:tr>
      <w:tr>
        <w:trPr>
          <w:trHeight w:val="204"/>
        </w:trPr>
        <w:tc>
          <w:tcPr>
            <w:tcW w:w="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7"/>
                <w:szCs w:val="17"/>
                <w:color w:val="auto"/>
              </w:rPr>
            </w:pPr>
          </w:p>
        </w:tc>
      </w:tr>
      <w:tr>
        <w:trPr>
          <w:trHeight w:val="204"/>
        </w:trPr>
        <w:tc>
          <w:tcPr>
            <w:tcW w:w="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Controls and Procedures (SL Green Realty Corp. and SL Green Operating Partnership, L.P.)</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7"/>
                <w:szCs w:val="17"/>
                <w:color w:val="auto"/>
              </w:rPr>
            </w:pP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9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01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6"/>
                <w:szCs w:val="16"/>
                <w:color w:val="auto"/>
              </w:rPr>
            </w:pPr>
          </w:p>
        </w:tc>
      </w:tr>
      <w:tr>
        <w:trPr>
          <w:trHeight w:val="204"/>
        </w:trPr>
        <w:tc>
          <w:tcPr>
            <w:tcW w:w="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7"/>
                <w:szCs w:val="17"/>
                <w:color w:val="auto"/>
              </w:rPr>
            </w:pPr>
          </w:p>
        </w:tc>
      </w:tr>
      <w:tr>
        <w:trPr>
          <w:trHeight w:val="204"/>
        </w:trPr>
        <w:tc>
          <w:tcPr>
            <w:tcW w:w="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7"/>
                <w:szCs w:val="17"/>
                <w:color w:val="auto"/>
              </w:rPr>
            </w:pPr>
          </w:p>
        </w:tc>
      </w:tr>
      <w:tr>
        <w:trPr>
          <w:trHeight w:val="204"/>
        </w:trPr>
        <w:tc>
          <w:tcPr>
            <w:tcW w:w="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7"/>
                <w:szCs w:val="17"/>
                <w:color w:val="auto"/>
              </w:rPr>
            </w:pPr>
          </w:p>
        </w:tc>
      </w:tr>
      <w:tr>
        <w:trPr>
          <w:trHeight w:val="204"/>
        </w:trPr>
        <w:tc>
          <w:tcPr>
            <w:tcW w:w="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7"/>
                <w:szCs w:val="17"/>
                <w:color w:val="auto"/>
              </w:rPr>
            </w:pPr>
          </w:p>
        </w:tc>
      </w:tr>
      <w:tr>
        <w:trPr>
          <w:trHeight w:val="204"/>
        </w:trPr>
        <w:tc>
          <w:tcPr>
            <w:tcW w:w="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7"/>
                <w:szCs w:val="17"/>
                <w:color w:val="auto"/>
              </w:rPr>
            </w:pPr>
          </w:p>
        </w:tc>
      </w:tr>
      <w:tr>
        <w:trPr>
          <w:trHeight w:val="204"/>
        </w:trPr>
        <w:tc>
          <w:tcPr>
            <w:tcW w:w="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7"/>
                <w:szCs w:val="17"/>
                <w:color w:val="auto"/>
              </w:rPr>
            </w:pPr>
          </w:p>
        </w:tc>
      </w:tr>
      <w:tr>
        <w:trPr>
          <w:trHeight w:val="204"/>
        </w:trPr>
        <w:tc>
          <w:tcPr>
            <w:tcW w:w="900" w:type="dxa"/>
            <w:vAlign w:val="bottom"/>
          </w:tcPr>
          <w:p>
            <w:pPr>
              <w:spacing w:after="0"/>
              <w:rPr>
                <w:sz w:val="17"/>
                <w:szCs w:val="17"/>
                <w:color w:val="auto"/>
              </w:rPr>
            </w:pPr>
          </w:p>
        </w:tc>
        <w:tc>
          <w:tcPr>
            <w:tcW w:w="1014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7"/>
                <w:szCs w:val="17"/>
                <w:color w:val="auto"/>
              </w:rPr>
            </w:pPr>
          </w:p>
        </w:tc>
      </w:tr>
      <w:tr>
        <w:trPr>
          <w:trHeight w:val="1013"/>
        </w:trPr>
        <w:tc>
          <w:tcPr>
            <w:tcW w:w="900" w:type="dxa"/>
            <w:vAlign w:val="bottom"/>
            <w:tcBorders>
              <w:bottom w:val="single" w:sz="8" w:color="9A9A9A"/>
            </w:tcBorders>
          </w:tcPr>
          <w:p>
            <w:pPr>
              <w:spacing w:after="0"/>
              <w:rPr>
                <w:sz w:val="24"/>
                <w:szCs w:val="24"/>
                <w:color w:val="auto"/>
              </w:rPr>
            </w:pPr>
          </w:p>
        </w:tc>
        <w:tc>
          <w:tcPr>
            <w:tcW w:w="10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SL GREEN REALTY CORP. AND SL GREEN OPERATING PARTNERSHIP, L.P.</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53"/>
        </w:trPr>
        <w:tc>
          <w:tcPr>
            <w:tcW w:w="7460" w:type="dxa"/>
            <w:vAlign w:val="bottom"/>
            <w:tcBorders>
              <w:top w:val="single" w:sz="8" w:color="CCEEFF"/>
              <w:left w:val="single" w:sz="8" w:color="CCEEFF"/>
            </w:tcBorders>
            <w:gridSpan w:val="3"/>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4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interests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1,450,892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1,357,041</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3,828,638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3,862,224</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1,399,376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1,388,476</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6,678,906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6,607,741</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(2,174,667)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(2,126,081)</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4,504,239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4,481,660</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180,133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184,294</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156,895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147,344</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22,812</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48,074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44,055</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18,630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26,865</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264,982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266,428</w:t>
            </w:r>
          </w:p>
        </w:tc>
        <w:tc>
          <w:tcPr>
            <w:tcW w:w="0" w:type="dxa"/>
            <w:vAlign w:val="bottom"/>
          </w:tcPr>
          <w:p>
            <w:pPr>
              <w:spacing w:after="0"/>
              <w:rPr>
                <w:sz w:val="1"/>
                <w:szCs w:val="1"/>
                <w:color w:val="auto"/>
              </w:rPr>
            </w:pPr>
          </w:p>
        </w:tc>
      </w:tr>
      <w:tr>
        <w:trPr>
          <w:trHeight w:val="159"/>
        </w:trPr>
        <w:tc>
          <w:tcPr>
            <w:tcW w:w="746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$2,231 and $1,618 and</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318,189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303,726</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allowances of $13,520 and $13,520 in 2025 and 2024,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2,712,582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2,690,138</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117,132</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Right-of-use assets - operating leases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860,449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865,639</w:t>
            </w:r>
          </w:p>
        </w:tc>
        <w:tc>
          <w:tcPr>
            <w:tcW w:w="0" w:type="dxa"/>
            <w:vAlign w:val="bottom"/>
          </w:tcPr>
          <w:p>
            <w:pPr>
              <w:spacing w:after="0"/>
              <w:rPr>
                <w:sz w:val="1"/>
                <w:szCs w:val="1"/>
                <w:color w:val="auto"/>
              </w:rPr>
            </w:pPr>
          </w:p>
        </w:tc>
      </w:tr>
      <w:tr>
        <w:trPr>
          <w:trHeight w:val="159"/>
        </w:trPr>
        <w:tc>
          <w:tcPr>
            <w:tcW w:w="746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Real estate loans held by consolidated securitization vehicles (includes $1,449,291 and $584,134 at fair value as of</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1,599,291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709,095</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2025 and December 31, 2024,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620,547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610,911</w:t>
            </w:r>
          </w:p>
        </w:tc>
        <w:tc>
          <w:tcPr>
            <w:tcW w:w="0" w:type="dxa"/>
            <w:vAlign w:val="bottom"/>
          </w:tcPr>
          <w:p>
            <w:pPr>
              <w:spacing w:after="0"/>
              <w:rPr>
                <w:sz w:val="1"/>
                <w:szCs w:val="1"/>
                <w:color w:val="auto"/>
              </w:rPr>
            </w:pPr>
          </w:p>
        </w:tc>
      </w:tr>
      <w:tr>
        <w:trPr>
          <w:trHeight w:val="230"/>
        </w:trPr>
        <w:tc>
          <w:tcPr>
            <w:tcW w:w="7460" w:type="dxa"/>
            <w:vAlign w:val="bottom"/>
            <w:tcBorders>
              <w:left w:val="single" w:sz="8" w:color="CCEEFF"/>
              <w:bottom w:val="single" w:sz="8" w:color="CCEEFF"/>
            </w:tcBorders>
            <w:gridSpan w:val="3"/>
            <w:shd w:val="clear" w:color="auto" w:fill="CCEEFF"/>
          </w:tcPr>
          <w:p>
            <w:pPr>
              <w:ind w:left="140"/>
              <w:spacing w:after="0" w:line="205"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11,410,623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10,470,099</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bottom w:val="single" w:sz="8" w:color="CCEEFF"/>
            </w:tcBorders>
            <w:gridSpan w:val="2"/>
            <w:vMerge w:val="restart"/>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w w:val="96"/>
              </w:rPr>
              <w:t>Liabilities</w:t>
            </w:r>
          </w:p>
        </w:tc>
        <w:tc>
          <w:tcPr>
            <w:tcW w:w="67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700" w:type="dxa"/>
            <w:vAlign w:val="bottom"/>
            <w:tcBorders>
              <w:bottom w:val="single" w:sz="8" w:color="auto"/>
            </w:tcBorders>
            <w:gridSpan w:val="2"/>
            <w:vMerge w:val="continue"/>
          </w:tcPr>
          <w:p>
            <w:pPr>
              <w:spacing w:after="0"/>
              <w:rPr>
                <w:sz w:val="11"/>
                <w:szCs w:val="11"/>
                <w:color w:val="auto"/>
              </w:rPr>
            </w:pPr>
          </w:p>
        </w:tc>
        <w:tc>
          <w:tcPr>
            <w:tcW w:w="6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2,028,552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1,944,635</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486,629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316,240</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term loans,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1,146,348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1,146,010</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Unsecured notes, net</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99,923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99,897</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18,473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16,527</w:t>
            </w:r>
          </w:p>
        </w:tc>
        <w:tc>
          <w:tcPr>
            <w:tcW w:w="0" w:type="dxa"/>
            <w:vAlign w:val="bottom"/>
          </w:tcPr>
          <w:p>
            <w:pPr>
              <w:spacing w:after="0"/>
              <w:rPr>
                <w:sz w:val="1"/>
                <w:szCs w:val="1"/>
                <w:color w:val="auto"/>
              </w:rPr>
            </w:pPr>
          </w:p>
        </w:tc>
      </w:tr>
      <w:tr>
        <w:trPr>
          <w:trHeight w:val="158"/>
        </w:trPr>
        <w:tc>
          <w:tcPr>
            <w:tcW w:w="74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Senior obligations of consolidated securitization vehicles (includes $1,409,185 and $567,487 at fair value as of</w:t>
            </w:r>
          </w:p>
        </w:tc>
        <w:tc>
          <w:tcPr>
            <w:tcW w:w="24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1,409,185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590,131</w:t>
            </w:r>
          </w:p>
        </w:tc>
        <w:tc>
          <w:tcPr>
            <w:tcW w:w="0" w:type="dxa"/>
            <w:vAlign w:val="bottom"/>
          </w:tcPr>
          <w:p>
            <w:pPr>
              <w:spacing w:after="0"/>
              <w:rPr>
                <w:sz w:val="1"/>
                <w:szCs w:val="1"/>
                <w:color w:val="auto"/>
              </w:rPr>
            </w:pPr>
          </w:p>
        </w:tc>
      </w:tr>
      <w:tr>
        <w:trPr>
          <w:trHeight w:val="209"/>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March 31, 2025 and December 31, 2024,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460" w:type="dxa"/>
            <w:vAlign w:val="bottom"/>
            <w:tcBorders>
              <w:left w:val="single" w:sz="8" w:color="CCEEFF"/>
            </w:tcBorders>
            <w:gridSpan w:val="3"/>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Other liabilities (includes $254,447 and $251,096 at fair value as of March 31, 2025 and December 31, 2024,</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395,832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414,153</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123,256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122,674</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166,240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164,887</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107,183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106,853</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806,669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810,989</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21,978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21,816</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62,210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5"/>
        </w:trPr>
        <w:tc>
          <w:tcPr>
            <w:tcW w:w="7460" w:type="dxa"/>
            <w:vAlign w:val="bottom"/>
            <w:tcBorders>
              <w:left w:val="single" w:sz="8" w:color="CCEEFF"/>
            </w:tcBorders>
            <w:gridSpan w:val="3"/>
            <w:shd w:val="clear" w:color="auto" w:fill="CCEEFF"/>
          </w:tcPr>
          <w:p>
            <w:pPr>
              <w:ind w:left="140"/>
              <w:spacing w:after="0" w:line="205"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6,972,478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19)</w:t>
            </w: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288,702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288,941</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units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196,016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196,064</w:t>
            </w:r>
          </w:p>
        </w:tc>
        <w:tc>
          <w:tcPr>
            <w:tcW w:w="0" w:type="dxa"/>
            <w:vAlign w:val="bottom"/>
          </w:tcPr>
          <w:p>
            <w:pPr>
              <w:spacing w:after="0"/>
              <w:rPr>
                <w:sz w:val="1"/>
                <w:szCs w:val="1"/>
                <w:color w:val="auto"/>
              </w:rPr>
            </w:pPr>
          </w:p>
        </w:tc>
      </w:tr>
      <w:tr>
        <w:trPr>
          <w:trHeight w:val="251"/>
        </w:trPr>
        <w:tc>
          <w:tcPr>
            <w:tcW w:w="7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SL Green 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4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Series I Preferred Stock, $0.01 par value, $25.00 liquidation preference, 9,200 issued and outstanding at both</w:t>
            </w:r>
          </w:p>
        </w:tc>
        <w:tc>
          <w:tcPr>
            <w:tcW w:w="24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09"/>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 and December 31, 2024</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4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Common stock, $0.01 par value, 160,000 shares authorized and 71,016 and 71,097 issued and outstanding at</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2025 and December 31, 2024,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4,156,242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4,159,562</w:t>
            </w:r>
          </w:p>
        </w:tc>
        <w:tc>
          <w:tcPr>
            <w:tcW w:w="0" w:type="dxa"/>
            <w:vAlign w:val="bottom"/>
          </w:tcPr>
          <w:p>
            <w:pPr>
              <w:spacing w:after="0"/>
              <w:rPr>
                <w:sz w:val="1"/>
                <w:szCs w:val="1"/>
                <w:color w:val="auto"/>
              </w:rPr>
            </w:pP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18,196</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Retained deficit</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(537,585)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(449,101)</w:t>
            </w:r>
          </w:p>
        </w:tc>
        <w:tc>
          <w:tcPr>
            <w:tcW w:w="0" w:type="dxa"/>
            <w:vAlign w:val="bottom"/>
          </w:tcPr>
          <w:p>
            <w:pPr>
              <w:spacing w:after="0"/>
              <w:rPr>
                <w:sz w:val="1"/>
                <w:szCs w:val="1"/>
                <w:color w:val="auto"/>
              </w:rPr>
            </w:pPr>
          </w:p>
        </w:tc>
      </w:tr>
      <w:tr>
        <w:trPr>
          <w:trHeight w:val="20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SL Green stockholders' equity</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3,836,457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3,951,300</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116,970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118,651</w:t>
            </w:r>
          </w:p>
        </w:tc>
        <w:tc>
          <w:tcPr>
            <w:tcW w:w="0" w:type="dxa"/>
            <w:vAlign w:val="bottom"/>
          </w:tcPr>
          <w:p>
            <w:pPr>
              <w:spacing w:after="0"/>
              <w:rPr>
                <w:sz w:val="1"/>
                <w:szCs w:val="1"/>
                <w:color w:val="auto"/>
              </w:rPr>
            </w:pPr>
          </w:p>
        </w:tc>
      </w:tr>
      <w:tr>
        <w:trPr>
          <w:trHeight w:val="20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3,953,427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4,069,951</w:t>
            </w:r>
          </w:p>
        </w:tc>
        <w:tc>
          <w:tcPr>
            <w:tcW w:w="0" w:type="dxa"/>
            <w:vAlign w:val="bottom"/>
          </w:tcPr>
          <w:p>
            <w:pPr>
              <w:spacing w:after="0"/>
              <w:rPr>
                <w:sz w:val="1"/>
                <w:szCs w:val="1"/>
                <w:color w:val="auto"/>
              </w:rPr>
            </w:pPr>
          </w:p>
        </w:tc>
      </w:tr>
      <w:tr>
        <w:trPr>
          <w:trHeight w:val="205"/>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11,410,623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10,470,099</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20" w:right="20" w:firstLine="3"/>
        <w:spacing w:after="0" w:line="208" w:lineRule="auto"/>
        <w:tabs>
          <w:tab w:leader="none" w:pos="177"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consolidated balance sheets include assets and liabilities of consolidated variable interest entities ("VIEs"). See Note 2. The consolidated balance sheets include the following amounts related to our consolidated VIEs, excluding the Operating Partnership: $236.7 million and $236.7 million of land, $165.0 million and $159.1 million of building and improvements, $— million and $— million of building and leasehold improvements, $— million and $— million of right of use assets, $6.5 million and $4.1 million of accumulated depreciation, $1,599.3 million and $709.1 million of real estate loans held by consolidated securitization vehicles, $838.3 million and $830.3 million of other assets included in other line items, $367.4 million and $357.9 million of real estate debt, net, $1.1 million and $1.1 million of accrued interest payable, $— million and $— million of lease liabilities, $1,409.2 million and $590.1 million of senior obligations of consolidated securitization vehicles and $322.8 million and $324.8 million of other liabilities included in other line items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163,019</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141,504</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25,604</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7,403</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real estate loans held by consolidated securitization vehicles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22,198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13,371</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239,846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187,882</w:t>
            </w:r>
          </w:p>
        </w:tc>
      </w:tr>
      <w:tr>
        <w:trPr>
          <w:trHeight w:val="19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including related party expenses of $3 in 2025, and $0 in 2024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43,608</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37,217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31,606</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6,405</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21,858</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45,681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31,173</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1,539</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tax benefit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senior obligations of consolidated securitization vehicles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48,584</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21,313</w:t>
            </w:r>
          </w:p>
        </w:tc>
      </w:tr>
      <w:tr>
        <w:trPr>
          <w:trHeight w:val="204"/>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243,922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204,807</w:t>
            </w:r>
          </w:p>
        </w:tc>
      </w:tr>
      <w:tr>
        <w:trPr>
          <w:trHeight w:val="231"/>
        </w:trPr>
        <w:tc>
          <w:tcPr>
            <w:tcW w:w="8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income from unconsolidated joint ventures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111,160</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gain on sale of interest in unconsolidated joint venture/real estate</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26,764</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(50,492)</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(52,118)</w:t>
            </w: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18,389</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1,294</w:t>
            </w:r>
          </w:p>
        </w:tc>
      </w:tr>
      <w:tr>
        <w:trPr>
          <w:trHeight w:val="21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r>
      <w:tr>
        <w:trPr>
          <w:trHeight w:val="20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SL Green</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16,879</w:t>
            </w:r>
          </w:p>
        </w:tc>
      </w:tr>
      <w:tr>
        <w:trPr>
          <w:trHeight w:val="21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Perpetual preferred stock dividends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(3,738)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3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SL Green common stockholders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(21,075)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13,141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 earnings per share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0.20</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0.20</w:t>
            </w:r>
          </w:p>
        </w:tc>
      </w:tr>
      <w:tr>
        <w:trPr>
          <w:trHeight w:val="251"/>
        </w:trPr>
        <w:tc>
          <w:tcPr>
            <w:tcW w:w="8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70,424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64,328</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and common share equivalents outstanding</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70,095</w:t>
            </w:r>
          </w:p>
        </w:tc>
      </w:tr>
    </w:tbl>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w:t>
            </w: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increase in unrealized value of derivative instruments, including SL Green's share of joint venture derivative instruments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23,214</w:t>
            </w:r>
          </w:p>
        </w:tc>
      </w:tr>
      <w:tr>
        <w:trPr>
          <w:trHeight w:val="21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 in unrealized value of marketable securities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05"/>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(24,657)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24,296</w:t>
            </w:r>
          </w:p>
        </w:tc>
      </w:tr>
      <w:tr>
        <w:trPr>
          <w:trHeight w:val="20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(46,202)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42,685</w:t>
            </w: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and preferred units distributions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r>
      <w:tr>
        <w:trPr>
          <w:trHeight w:val="21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SL Green</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Net loss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comprehensive loss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Perpetual preferred stock dividends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DRSPP proceeds</w:t>
      </w:r>
    </w:p>
    <w:p>
      <w:pPr>
        <w:spacing w:after="0" w:line="33" w:lineRule="exact"/>
        <w:rPr>
          <w:sz w:val="20"/>
          <w:szCs w:val="20"/>
          <w:color w:val="auto"/>
        </w:rPr>
      </w:pPr>
    </w:p>
    <w:p>
      <w:pPr>
        <w:ind w:left="20" w:right="420"/>
        <w:spacing w:after="0" w:line="243" w:lineRule="auto"/>
        <w:rPr>
          <w:sz w:val="20"/>
          <w:szCs w:val="20"/>
          <w:color w:val="auto"/>
        </w:rPr>
      </w:pPr>
      <w:r>
        <w:rPr>
          <w:rFonts w:ascii="Times New Roman" w:cs="Times New Roman" w:eastAsia="Times New Roman" w:hAnsi="Times New Roman"/>
          <w:sz w:val="12"/>
          <w:szCs w:val="12"/>
          <w:color w:val="auto"/>
        </w:rPr>
        <w:t>Conversion of units in the Operating Partnership for common stock</w:t>
      </w:r>
    </w:p>
    <w:p>
      <w:pPr>
        <w:spacing w:after="0" w:line="23" w:lineRule="exact"/>
        <w:rPr>
          <w:sz w:val="20"/>
          <w:szCs w:val="20"/>
          <w:color w:val="auto"/>
        </w:rPr>
      </w:pPr>
    </w:p>
    <w:p>
      <w:pPr>
        <w:ind w:left="20" w:right="220"/>
        <w:spacing w:after="0" w:line="243" w:lineRule="auto"/>
        <w:rPr>
          <w:sz w:val="20"/>
          <w:szCs w:val="20"/>
          <w:color w:val="auto"/>
        </w:rPr>
      </w:pPr>
      <w:r>
        <w:rPr>
          <w:rFonts w:ascii="Times New Roman" w:cs="Times New Roman" w:eastAsia="Times New Roman" w:hAnsi="Times New Roman"/>
          <w:sz w:val="12"/>
          <w:szCs w:val="12"/>
          <w:color w:val="auto"/>
        </w:rPr>
        <w:t>Measurement adjustment for redeemable noncontrolling interest</w:t>
      </w:r>
    </w:p>
    <w:p>
      <w:pPr>
        <w:spacing w:after="0" w:line="23" w:lineRule="exact"/>
        <w:rPr>
          <w:sz w:val="20"/>
          <w:szCs w:val="20"/>
          <w:color w:val="auto"/>
        </w:rPr>
      </w:pPr>
    </w:p>
    <w:p>
      <w:pPr>
        <w:ind w:left="20" w:right="360"/>
        <w:spacing w:after="0" w:line="243" w:lineRule="auto"/>
        <w:rPr>
          <w:sz w:val="20"/>
          <w:szCs w:val="20"/>
          <w:color w:val="auto"/>
        </w:rPr>
      </w:pPr>
      <w:r>
        <w:rPr>
          <w:rFonts w:ascii="Times New Roman" w:cs="Times New Roman" w:eastAsia="Times New Roman" w:hAnsi="Times New Roman"/>
          <w:sz w:val="12"/>
          <w:szCs w:val="12"/>
          <w:color w:val="auto"/>
        </w:rPr>
        <w:t>Deferred compensation plan and stock awards, net of forfeitures and tax withholdings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Proceeds from issuance of common stock</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p>
      <w:pPr>
        <w:spacing w:after="0" w:line="33" w:lineRule="exact"/>
        <w:rPr>
          <w:sz w:val="20"/>
          <w:szCs w:val="20"/>
          <w:color w:val="auto"/>
        </w:rPr>
      </w:pPr>
    </w:p>
    <w:p>
      <w:pPr>
        <w:ind w:left="20"/>
        <w:spacing w:after="0" w:line="229" w:lineRule="auto"/>
        <w:rPr>
          <w:sz w:val="20"/>
          <w:szCs w:val="20"/>
          <w:color w:val="auto"/>
        </w:rPr>
      </w:pPr>
      <w:r>
        <w:rPr>
          <w:rFonts w:ascii="Times New Roman" w:cs="Times New Roman" w:eastAsia="Times New Roman" w:hAnsi="Times New Roman"/>
          <w:sz w:val="12"/>
          <w:szCs w:val="12"/>
          <w:color w:val="auto"/>
        </w:rPr>
        <w:t>Cash distributions declared ($0.773 per common share, none of which represented a return of capital for federal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tax purposes)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3"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4"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SL Green Realty Corp. Stockholders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40" w:type="dxa"/>
            <w:vAlign w:val="bottom"/>
          </w:tcPr>
          <w:p>
            <w:pPr>
              <w:spacing w:after="0"/>
              <w:rPr>
                <w:sz w:val="8"/>
                <w:szCs w:val="8"/>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Series I</w:t>
            </w: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Par</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9"/>
                <w:szCs w:val="9"/>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9"/>
                <w:szCs w:val="9"/>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800" w:type="dxa"/>
            <w:vAlign w:val="bottom"/>
            <w:gridSpan w:val="2"/>
          </w:tcPr>
          <w:p>
            <w:pPr>
              <w:jc w:val="center"/>
              <w:ind w:right="260"/>
              <w:spacing w:after="0" w:line="105" w:lineRule="exact"/>
              <w:rPr>
                <w:sz w:val="20"/>
                <w:szCs w:val="20"/>
                <w:color w:val="auto"/>
              </w:rPr>
            </w:pPr>
            <w:r>
              <w:rPr>
                <w:rFonts w:ascii="Times New Roman" w:cs="Times New Roman" w:eastAsia="Times New Roman" w:hAnsi="Times New Roman"/>
                <w:sz w:val="11"/>
                <w:szCs w:val="11"/>
                <w:b w:val="1"/>
                <w:bCs w:val="1"/>
                <w:color w:val="auto"/>
                <w:w w:val="91"/>
              </w:rPr>
              <w:t>Preferred</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Paid-</w:t>
            </w:r>
          </w:p>
        </w:tc>
        <w:tc>
          <w:tcPr>
            <w:tcW w:w="1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In-Capital</w:t>
            </w:r>
          </w:p>
        </w:tc>
        <w:tc>
          <w:tcPr>
            <w:tcW w:w="16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6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71,097</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711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4,159,562</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18,196</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(449,101)</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118,651</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4,069,951</w:t>
            </w: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(22,234)</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(23,038)</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(3,738)</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303"/>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3"/>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(12,940)</w:t>
            </w:r>
          </w:p>
        </w:tc>
        <w:tc>
          <w:tcPr>
            <w:tcW w:w="0" w:type="dxa"/>
            <w:vAlign w:val="bottom"/>
          </w:tcPr>
          <w:p>
            <w:pPr>
              <w:spacing w:after="0"/>
              <w:rPr>
                <w:sz w:val="1"/>
                <w:szCs w:val="1"/>
                <w:color w:val="auto"/>
              </w:rPr>
            </w:pPr>
          </w:p>
        </w:tc>
      </w:tr>
      <w:tr>
        <w:trPr>
          <w:trHeight w:val="303"/>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(2,525)</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3,437</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0" w:type="dxa"/>
            <w:vAlign w:val="bottom"/>
          </w:tcPr>
          <w:p>
            <w:pPr>
              <w:spacing w:after="0"/>
              <w:rPr>
                <w:sz w:val="1"/>
                <w:szCs w:val="1"/>
                <w:color w:val="auto"/>
              </w:rPr>
            </w:pPr>
          </w:p>
        </w:tc>
      </w:tr>
      <w:tr>
        <w:trPr>
          <w:trHeight w:val="431"/>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(54,469)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(54,469)</w:t>
            </w:r>
          </w:p>
        </w:tc>
        <w:tc>
          <w:tcPr>
            <w:tcW w:w="0" w:type="dxa"/>
            <w:vAlign w:val="bottom"/>
          </w:tcPr>
          <w:p>
            <w:pPr>
              <w:spacing w:after="0"/>
              <w:rPr>
                <w:sz w:val="1"/>
                <w:szCs w:val="1"/>
                <w:color w:val="auto"/>
              </w:rPr>
            </w:pPr>
          </w:p>
        </w:tc>
      </w:tr>
      <w:tr>
        <w:trPr>
          <w:trHeight w:val="165"/>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71,016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710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4,156,242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(4,842)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(537,585)</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116,970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3,953,427</w:t>
            </w:r>
          </w:p>
        </w:tc>
        <w:tc>
          <w:tcPr>
            <w:tcW w:w="0" w:type="dxa"/>
            <w:vAlign w:val="bottom"/>
          </w:tcPr>
          <w:p>
            <w:pPr>
              <w:spacing w:after="0"/>
              <w:rPr>
                <w:sz w:val="1"/>
                <w:szCs w:val="1"/>
                <w:color w:val="auto"/>
              </w:rPr>
            </w:pPr>
          </w:p>
        </w:tc>
      </w:tr>
      <w:tr>
        <w:trPr>
          <w:trHeight w:val="25"/>
        </w:trPr>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-1871345</wp:posOffset>
            </wp:positionV>
            <wp:extent cx="7135495" cy="116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1684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-1645285</wp:posOffset>
            </wp:positionV>
            <wp:extent cx="7135495" cy="108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085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-1428115</wp:posOffset>
            </wp:positionV>
            <wp:extent cx="7135495" cy="108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085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-1127125</wp:posOffset>
            </wp:positionV>
            <wp:extent cx="7135495" cy="192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9240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-742950</wp:posOffset>
            </wp:positionV>
            <wp:extent cx="7135495" cy="108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085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-525780</wp:posOffset>
            </wp:positionV>
            <wp:extent cx="7135495" cy="10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085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-149860</wp:posOffset>
            </wp:positionV>
            <wp:extent cx="7135495" cy="133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3000" w:space="140"/>
            <w:col w:w="810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right="1400"/>
        <w:spacing w:after="0" w:line="299" w:lineRule="auto"/>
        <w:rPr>
          <w:sz w:val="20"/>
          <w:szCs w:val="20"/>
          <w:color w:val="auto"/>
        </w:rPr>
      </w:pPr>
      <w:r>
        <w:rPr>
          <w:rFonts w:ascii="Times New Roman" w:cs="Times New Roman" w:eastAsia="Times New Roman" w:hAnsi="Times New Roman"/>
          <w:sz w:val="12"/>
          <w:szCs w:val="12"/>
          <w:b w:val="1"/>
          <w:bCs w:val="1"/>
          <w:color w:val="auto"/>
        </w:rPr>
        <w:t xml:space="preserve">Balance at December 31, 2023 </w:t>
      </w:r>
      <w:r>
        <w:rPr>
          <w:rFonts w:ascii="Times New Roman" w:cs="Times New Roman" w:eastAsia="Times New Roman" w:hAnsi="Times New Roman"/>
          <w:sz w:val="12"/>
          <w:szCs w:val="12"/>
          <w:color w:val="auto"/>
        </w:rPr>
        <w:t>Net income</w:t>
      </w:r>
    </w:p>
    <w:p>
      <w:pPr>
        <w:ind w:left="20" w:right="320"/>
        <w:spacing w:after="0" w:line="243" w:lineRule="auto"/>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Perpetual preferred stock dividends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DRSPP proceeds</w:t>
      </w:r>
    </w:p>
    <w:p>
      <w:pPr>
        <w:spacing w:after="0" w:line="33" w:lineRule="exact"/>
        <w:rPr>
          <w:sz w:val="20"/>
          <w:szCs w:val="20"/>
          <w:color w:val="auto"/>
        </w:rPr>
      </w:pPr>
    </w:p>
    <w:p>
      <w:pPr>
        <w:ind w:left="20" w:right="260"/>
        <w:spacing w:after="0" w:line="243" w:lineRule="auto"/>
        <w:rPr>
          <w:sz w:val="20"/>
          <w:szCs w:val="20"/>
          <w:color w:val="auto"/>
        </w:rPr>
      </w:pPr>
      <w:r>
        <w:rPr>
          <w:rFonts w:ascii="Times New Roman" w:cs="Times New Roman" w:eastAsia="Times New Roman" w:hAnsi="Times New Roman"/>
          <w:sz w:val="12"/>
          <w:szCs w:val="12"/>
          <w:color w:val="auto"/>
        </w:rPr>
        <w:t>Reallocation of noncontrolling interest in the Operating Partnership</w:t>
      </w:r>
    </w:p>
    <w:p>
      <w:pPr>
        <w:spacing w:after="0" w:line="23" w:lineRule="exact"/>
        <w:rPr>
          <w:sz w:val="20"/>
          <w:szCs w:val="20"/>
          <w:color w:val="auto"/>
        </w:rPr>
      </w:pPr>
    </w:p>
    <w:p>
      <w:pPr>
        <w:ind w:left="20" w:right="360"/>
        <w:spacing w:after="0" w:line="243" w:lineRule="auto"/>
        <w:rPr>
          <w:sz w:val="20"/>
          <w:szCs w:val="20"/>
          <w:color w:val="auto"/>
        </w:rPr>
      </w:pPr>
      <w:r>
        <w:rPr>
          <w:rFonts w:ascii="Times New Roman" w:cs="Times New Roman" w:eastAsia="Times New Roman" w:hAnsi="Times New Roman"/>
          <w:sz w:val="12"/>
          <w:szCs w:val="12"/>
          <w:color w:val="auto"/>
        </w:rPr>
        <w:t>Deferred compensation plan and stock awards, net of forfeitures and tax withholdings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Consolidation of joint venture interest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p>
      <w:pPr>
        <w:spacing w:after="0" w:line="33" w:lineRule="exact"/>
        <w:rPr>
          <w:sz w:val="20"/>
          <w:szCs w:val="20"/>
          <w:color w:val="auto"/>
        </w:rPr>
      </w:pPr>
    </w:p>
    <w:p>
      <w:pPr>
        <w:ind w:left="20"/>
        <w:spacing w:after="0" w:line="229" w:lineRule="auto"/>
        <w:rPr>
          <w:sz w:val="20"/>
          <w:szCs w:val="20"/>
          <w:color w:val="auto"/>
        </w:rPr>
      </w:pPr>
      <w:r>
        <w:rPr>
          <w:rFonts w:ascii="Times New Roman" w:cs="Times New Roman" w:eastAsia="Times New Roman" w:hAnsi="Times New Roman"/>
          <w:sz w:val="12"/>
          <w:szCs w:val="12"/>
          <w:color w:val="auto"/>
        </w:rPr>
        <w:t>Cash distributions declared ($0.750 per common share, none of which represented a return of capital for federal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tax purposes)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31, 2024</w:t>
      </w:r>
    </w:p>
    <w:p>
      <w:pPr>
        <w:spacing w:after="0" w:line="20" w:lineRule="exact"/>
        <w:rPr>
          <w:sz w:val="20"/>
          <w:szCs w:val="20"/>
          <w:color w:val="auto"/>
        </w:rPr>
      </w:pPr>
      <w:r>
        <w:rPr>
          <w:sz w:val="20"/>
          <w:szCs w:val="20"/>
          <w:color w:val="auto"/>
        </w:rPr>
        <w:br w:type="column"/>
      </w:r>
    </w:p>
    <w:p>
      <w:pPr>
        <w:ind w:left="1880"/>
        <w:spacing w:after="0"/>
        <w:rPr>
          <w:sz w:val="20"/>
          <w:szCs w:val="20"/>
          <w:color w:val="auto"/>
        </w:rPr>
      </w:pPr>
      <w:r>
        <w:rPr>
          <w:rFonts w:ascii="Times New Roman" w:cs="Times New Roman" w:eastAsia="Times New Roman" w:hAnsi="Times New Roman"/>
          <w:sz w:val="14"/>
          <w:szCs w:val="14"/>
          <w:b w:val="1"/>
          <w:bCs w:val="1"/>
          <w:color w:val="auto"/>
        </w:rPr>
        <w:t>SL Green Realty Corp. Stockholders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40" w:type="dxa"/>
            <w:vAlign w:val="bottom"/>
          </w:tcPr>
          <w:p>
            <w:pPr>
              <w:spacing w:after="0"/>
              <w:rPr>
                <w:sz w:val="8"/>
                <w:szCs w:val="8"/>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Series I</w:t>
            </w: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Par</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9"/>
                <w:szCs w:val="9"/>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800" w:type="dxa"/>
            <w:vAlign w:val="bottom"/>
            <w:gridSpan w:val="2"/>
          </w:tcPr>
          <w:p>
            <w:pPr>
              <w:jc w:val="center"/>
              <w:ind w:right="260"/>
              <w:spacing w:after="0" w:line="105" w:lineRule="exact"/>
              <w:rPr>
                <w:sz w:val="20"/>
                <w:szCs w:val="20"/>
                <w:color w:val="auto"/>
              </w:rPr>
            </w:pPr>
            <w:r>
              <w:rPr>
                <w:rFonts w:ascii="Times New Roman" w:cs="Times New Roman" w:eastAsia="Times New Roman" w:hAnsi="Times New Roman"/>
                <w:sz w:val="11"/>
                <w:szCs w:val="11"/>
                <w:b w:val="1"/>
                <w:bCs w:val="1"/>
                <w:color w:val="auto"/>
                <w:w w:val="91"/>
              </w:rPr>
              <w:t>Preferred</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Paid-</w:t>
            </w:r>
          </w:p>
        </w:tc>
        <w:tc>
          <w:tcPr>
            <w:tcW w:w="1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In-Capital</w:t>
            </w:r>
          </w:p>
        </w:tc>
        <w:tc>
          <w:tcPr>
            <w:tcW w:w="16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1"/>
              </w:rPr>
              <w:t>Income</w:t>
            </w:r>
          </w:p>
        </w:tc>
        <w:tc>
          <w:tcPr>
            <w:tcW w:w="1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5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64,726</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660</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3,826,452</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(128,655)</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17,477</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(151,551)</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69,610</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3,855,925</w:t>
            </w: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15,585</w:t>
            </w:r>
          </w:p>
        </w:tc>
        <w:tc>
          <w:tcPr>
            <w:tcW w:w="0" w:type="dxa"/>
            <w:vAlign w:val="bottom"/>
          </w:tcPr>
          <w:p>
            <w:pPr>
              <w:spacing w:after="0"/>
              <w:rPr>
                <w:sz w:val="1"/>
                <w:szCs w:val="1"/>
                <w:color w:val="auto"/>
              </w:rPr>
            </w:pPr>
          </w:p>
        </w:tc>
      </w:tr>
      <w:tr>
        <w:trPr>
          <w:trHeight w:val="303"/>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(5,674)</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22,674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22,674</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(3,738)</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303"/>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(42,841)</w:t>
            </w:r>
          </w:p>
        </w:tc>
        <w:tc>
          <w:tcPr>
            <w:tcW w:w="0" w:type="dxa"/>
            <w:vAlign w:val="bottom"/>
          </w:tcPr>
          <w:p>
            <w:pPr>
              <w:spacing w:after="0"/>
              <w:rPr>
                <w:sz w:val="1"/>
                <w:szCs w:val="1"/>
                <w:color w:val="auto"/>
              </w:rPr>
            </w:pPr>
          </w:p>
        </w:tc>
      </w:tr>
      <w:tr>
        <w:trPr>
          <w:trHeight w:val="303"/>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4,601</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6,678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6,678</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0" w:type="dxa"/>
            <w:vAlign w:val="bottom"/>
          </w:tcPr>
          <w:p>
            <w:pPr>
              <w:spacing w:after="0"/>
              <w:rPr>
                <w:sz w:val="1"/>
                <w:szCs w:val="1"/>
                <w:color w:val="auto"/>
              </w:rPr>
            </w:pPr>
          </w:p>
        </w:tc>
      </w:tr>
      <w:tr>
        <w:trPr>
          <w:trHeight w:val="431"/>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(48,356)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(48,356)</w:t>
            </w:r>
          </w:p>
        </w:tc>
        <w:tc>
          <w:tcPr>
            <w:tcW w:w="0" w:type="dxa"/>
            <w:vAlign w:val="bottom"/>
          </w:tcPr>
          <w:p>
            <w:pPr>
              <w:spacing w:after="0"/>
              <w:rPr>
                <w:sz w:val="1"/>
                <w:szCs w:val="1"/>
                <w:color w:val="auto"/>
              </w:rPr>
            </w:pPr>
          </w:p>
        </w:tc>
      </w:tr>
      <w:tr>
        <w:trPr>
          <w:trHeight w:val="165"/>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64,806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660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3,831,130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(128,655)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40,151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(229,607)</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68,037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3,803,648</w:t>
            </w:r>
          </w:p>
        </w:tc>
        <w:tc>
          <w:tcPr>
            <w:tcW w:w="0" w:type="dxa"/>
            <w:vAlign w:val="bottom"/>
          </w:tcPr>
          <w:p>
            <w:pPr>
              <w:spacing w:after="0"/>
              <w:rPr>
                <w:sz w:val="1"/>
                <w:szCs w:val="1"/>
                <w:color w:val="auto"/>
              </w:rPr>
            </w:pPr>
          </w:p>
        </w:tc>
      </w:tr>
      <w:tr>
        <w:trPr>
          <w:trHeight w:val="25"/>
        </w:trPr>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-1762125</wp:posOffset>
            </wp:positionV>
            <wp:extent cx="7135495" cy="116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16840"/>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-1536700</wp:posOffset>
            </wp:positionV>
            <wp:extent cx="7135495" cy="192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9240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-1235710</wp:posOffset>
            </wp:positionV>
            <wp:extent cx="7135495" cy="108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085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-1018540</wp:posOffset>
            </wp:positionV>
            <wp:extent cx="7135495" cy="192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9240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-634365</wp:posOffset>
            </wp:positionV>
            <wp:extent cx="7135495" cy="108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0858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-417195</wp:posOffset>
            </wp:positionV>
            <wp:extent cx="7135495" cy="267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267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40"/>
            <w:col w:w="8100"/>
          </w:cols>
          <w:pgMar w:left="320" w:top="121"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78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4"/>
        </w:trPr>
        <w:tc>
          <w:tcPr>
            <w:tcW w:w="7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(used in) 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66,185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50,123</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income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(111,160)</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gain on sale of interest in unconsolidated joint venture/real estate</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(26,764)</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50,492</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52,118</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 loss reserves and other investment reserves, net of recoveries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11,166</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(28,978)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(12,644)</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(50,003)</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w:t>
            </w:r>
          </w:p>
        </w:tc>
      </w:tr>
      <w:tr>
        <w:trPr>
          <w:trHeight w:val="20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6,710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(24,677)</w:t>
            </w:r>
          </w:p>
        </w:tc>
      </w:tr>
      <w:tr>
        <w:trPr>
          <w:trHeight w:val="19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real estate property</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(112,440)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(74,239)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(55,316)</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(12,817)</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(36,786)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(23,830)</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71,545</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93,520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26,420</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or redemption of marketable securities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real estate loans held by consolidated securitization vehicles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(49,296)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w:t>
            </w:r>
          </w:p>
        </w:tc>
      </w:tr>
      <w:tr>
        <w:trPr>
          <w:trHeight w:val="21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Origination of debt and preferred equity investments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(11,786)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(6,945)</w:t>
            </w:r>
          </w:p>
        </w:tc>
      </w:tr>
      <w:tr>
        <w:trPr>
          <w:trHeight w:val="20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(176,273)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7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4"/>
        </w:trPr>
        <w:tc>
          <w:tcPr>
            <w:tcW w:w="7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r>
      <w:tr>
        <w:trPr>
          <w:trHeight w:val="191"/>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89,253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unsecured notes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420,000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130,000</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unsecured notes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(250,000)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(11,267)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(18,608)</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the Operating Partnership</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(4,155)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on common and preferred stock</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(60,196)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(54,142)</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share awards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(6,850)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174,953</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11,367</w:t>
            </w:r>
          </w:p>
        </w:tc>
      </w:tr>
      <w:tr>
        <w:trPr>
          <w:trHeight w:val="20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(17,023)</w:t>
            </w:r>
          </w:p>
        </w:tc>
      </w:tr>
      <w:tr>
        <w:trPr>
          <w:trHeight w:val="21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335,519</w:t>
            </w: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337,028</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318,496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7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Measurement adjustment for redeemable noncontrolling interest</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12,940</w:t>
            </w:r>
          </w:p>
        </w:tc>
        <w:tc>
          <w:tcPr>
            <w:tcW w:w="120" w:type="dxa"/>
            <w:vAlign w:val="bottom"/>
          </w:tcPr>
          <w:p>
            <w:pPr>
              <w:spacing w:after="0"/>
              <w:rPr>
                <w:sz w:val="18"/>
                <w:szCs w:val="18"/>
                <w:color w:val="auto"/>
              </w:rPr>
            </w:pP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42,841</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a subsidiary</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6,678</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mortgage loan payable</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205,000</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interest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repurchase or redemption payable</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assets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828,143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liabilities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828,143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89" w:lineRule="exact"/>
        <w:rPr>
          <w:sz w:val="20"/>
          <w:szCs w:val="20"/>
          <w:color w:val="auto"/>
        </w:rPr>
      </w:pPr>
    </w:p>
    <w:p>
      <w:pPr>
        <w:jc w:val="both"/>
        <w:ind w:firstLine="215"/>
        <w:spacing w:after="0" w:line="268"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7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5"/>
        </w:trPr>
        <w:tc>
          <w:tcPr>
            <w:tcW w:w="77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r>
      <w:tr>
        <w:trPr>
          <w:trHeight w:val="20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180,133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196,035</w:t>
            </w:r>
          </w:p>
        </w:tc>
      </w:tr>
      <w:tr>
        <w:trPr>
          <w:trHeight w:val="21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156,895</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122,461</w:t>
            </w:r>
          </w:p>
        </w:tc>
      </w:tr>
      <w:tr>
        <w:trPr>
          <w:trHeight w:val="205"/>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337,028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318,496</w:t>
            </w:r>
          </w:p>
        </w:tc>
      </w:tr>
    </w:tbl>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67"/>
        </w:trPr>
        <w:tc>
          <w:tcPr>
            <w:tcW w:w="7460" w:type="dxa"/>
            <w:vAlign w:val="bottom"/>
            <w:tcBorders>
              <w:top w:val="single" w:sz="8" w:color="CCEEFF"/>
              <w:left w:val="single" w:sz="8" w:color="CCEEFF"/>
            </w:tcBorders>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4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interests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1,450,892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1,357,041</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3,828,638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3,862,224</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1,399,376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1,388,476</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6,678,906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6,607,741</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(2,174,667)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(2,126,081)</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4,504,239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4,481,660</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180,133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184,294</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156,895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147,344</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22,812</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48,074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44,055</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18,630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26,865</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264,982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266,428</w:t>
            </w:r>
          </w:p>
        </w:tc>
        <w:tc>
          <w:tcPr>
            <w:tcW w:w="0" w:type="dxa"/>
            <w:vAlign w:val="bottom"/>
          </w:tcPr>
          <w:p>
            <w:pPr>
              <w:spacing w:after="0"/>
              <w:rPr>
                <w:sz w:val="1"/>
                <w:szCs w:val="1"/>
                <w:color w:val="auto"/>
              </w:rPr>
            </w:pPr>
          </w:p>
        </w:tc>
      </w:tr>
      <w:tr>
        <w:trPr>
          <w:trHeight w:val="159"/>
        </w:trPr>
        <w:tc>
          <w:tcPr>
            <w:tcW w:w="746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$2,231 and $1,618 and</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318,189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303,726</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allowances of $13,520 and $13,520 in 2025 and 2024,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2,712,582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2,690,138</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117,132</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Right-of-use assets - operating leases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860,449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865,639</w:t>
            </w:r>
          </w:p>
        </w:tc>
        <w:tc>
          <w:tcPr>
            <w:tcW w:w="0" w:type="dxa"/>
            <w:vAlign w:val="bottom"/>
          </w:tcPr>
          <w:p>
            <w:pPr>
              <w:spacing w:after="0"/>
              <w:rPr>
                <w:sz w:val="1"/>
                <w:szCs w:val="1"/>
                <w:color w:val="auto"/>
              </w:rPr>
            </w:pPr>
          </w:p>
        </w:tc>
      </w:tr>
      <w:tr>
        <w:trPr>
          <w:trHeight w:val="159"/>
        </w:trPr>
        <w:tc>
          <w:tcPr>
            <w:tcW w:w="746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Real estate loans held by consolidated securitization vehicles (includes $1,449,291 and $584,134 at fair value as of</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1,599,291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709,095</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2025 and December 31, 2024,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620,547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610,911</w:t>
            </w:r>
          </w:p>
        </w:tc>
        <w:tc>
          <w:tcPr>
            <w:tcW w:w="0" w:type="dxa"/>
            <w:vAlign w:val="bottom"/>
          </w:tcPr>
          <w:p>
            <w:pPr>
              <w:spacing w:after="0"/>
              <w:rPr>
                <w:sz w:val="1"/>
                <w:szCs w:val="1"/>
                <w:color w:val="auto"/>
              </w:rPr>
            </w:pPr>
          </w:p>
        </w:tc>
      </w:tr>
      <w:tr>
        <w:trPr>
          <w:trHeight w:val="230"/>
        </w:trPr>
        <w:tc>
          <w:tcPr>
            <w:tcW w:w="7460" w:type="dxa"/>
            <w:vAlign w:val="bottom"/>
            <w:tcBorders>
              <w:left w:val="single" w:sz="8" w:color="CCEEFF"/>
              <w:bottom w:val="single" w:sz="8" w:color="CCEEFF"/>
            </w:tcBorders>
            <w:gridSpan w:val="3"/>
            <w:shd w:val="clear" w:color="auto" w:fill="CCEEFF"/>
          </w:tcPr>
          <w:p>
            <w:pPr>
              <w:ind w:left="140"/>
              <w:spacing w:after="0" w:line="205"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11,410,623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10,470,099</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Liabilities</w:t>
            </w:r>
          </w:p>
        </w:tc>
        <w:tc>
          <w:tcPr>
            <w:tcW w:w="67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00" w:type="dxa"/>
            <w:vAlign w:val="bottom"/>
            <w:tcBorders>
              <w:bottom w:val="single" w:sz="8" w:color="auto"/>
            </w:tcBorders>
            <w:gridSpan w:val="2"/>
            <w:vMerge w:val="continue"/>
          </w:tcPr>
          <w:p>
            <w:pPr>
              <w:spacing w:after="0"/>
              <w:rPr>
                <w:sz w:val="13"/>
                <w:szCs w:val="13"/>
                <w:color w:val="auto"/>
              </w:rPr>
            </w:pPr>
          </w:p>
        </w:tc>
        <w:tc>
          <w:tcPr>
            <w:tcW w:w="6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2,028,552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1,944,635</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486,629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316,240</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term loans,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1,146,348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1,146,010</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Unsecured notes, net</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99,923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99,897</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18,473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16,527</w:t>
            </w:r>
          </w:p>
        </w:tc>
        <w:tc>
          <w:tcPr>
            <w:tcW w:w="0" w:type="dxa"/>
            <w:vAlign w:val="bottom"/>
          </w:tcPr>
          <w:p>
            <w:pPr>
              <w:spacing w:after="0"/>
              <w:rPr>
                <w:sz w:val="1"/>
                <w:szCs w:val="1"/>
                <w:color w:val="auto"/>
              </w:rPr>
            </w:pPr>
          </w:p>
        </w:tc>
      </w:tr>
      <w:tr>
        <w:trPr>
          <w:trHeight w:val="158"/>
        </w:trPr>
        <w:tc>
          <w:tcPr>
            <w:tcW w:w="74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Senior obligations of consolidated securitization vehicles (includes $1,409,185 and $567,487 at fair value as of</w:t>
            </w:r>
          </w:p>
        </w:tc>
        <w:tc>
          <w:tcPr>
            <w:tcW w:w="24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1,409,185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590,131</w:t>
            </w:r>
          </w:p>
        </w:tc>
        <w:tc>
          <w:tcPr>
            <w:tcW w:w="0" w:type="dxa"/>
            <w:vAlign w:val="bottom"/>
          </w:tcPr>
          <w:p>
            <w:pPr>
              <w:spacing w:after="0"/>
              <w:rPr>
                <w:sz w:val="1"/>
                <w:szCs w:val="1"/>
                <w:color w:val="auto"/>
              </w:rPr>
            </w:pPr>
          </w:p>
        </w:tc>
      </w:tr>
      <w:tr>
        <w:trPr>
          <w:trHeight w:val="209"/>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March 31, 2025 and December 31, 2024,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460" w:type="dxa"/>
            <w:vAlign w:val="bottom"/>
            <w:tcBorders>
              <w:left w:val="single" w:sz="8" w:color="CCEEFF"/>
            </w:tcBorders>
            <w:gridSpan w:val="3"/>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Other liabilities (includes $254,447 and $251,096 at fair value as of March 31, 2025 and December 31, 2024,</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395,832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414,153</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123,256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122,674</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166,240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164,887</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107,183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106,853</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806,669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810,989</w:t>
            </w:r>
          </w:p>
        </w:tc>
        <w:tc>
          <w:tcPr>
            <w:tcW w:w="0" w:type="dxa"/>
            <w:vAlign w:val="bottom"/>
          </w:tcPr>
          <w:p>
            <w:pPr>
              <w:spacing w:after="0"/>
              <w:rPr>
                <w:sz w:val="1"/>
                <w:szCs w:val="1"/>
                <w:color w:val="auto"/>
              </w:rPr>
            </w:pPr>
          </w:p>
        </w:tc>
      </w:tr>
      <w:tr>
        <w:trPr>
          <w:trHeight w:val="21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21,978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21,816</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62,210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5"/>
        </w:trPr>
        <w:tc>
          <w:tcPr>
            <w:tcW w:w="7460" w:type="dxa"/>
            <w:vAlign w:val="bottom"/>
            <w:tcBorders>
              <w:left w:val="single" w:sz="8" w:color="CCEEFF"/>
            </w:tcBorders>
            <w:gridSpan w:val="3"/>
            <w:shd w:val="clear" w:color="auto" w:fill="CCEEFF"/>
          </w:tcPr>
          <w:p>
            <w:pPr>
              <w:ind w:left="140"/>
              <w:spacing w:after="0" w:line="205"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6,972,478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19)</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60" w:type="dxa"/>
            <w:vAlign w:val="bottom"/>
            <w:tcBorders>
              <w:left w:val="single" w:sz="8" w:color="CCEEFF"/>
            </w:tcBorders>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Limited partner interests in SLGOP (5,010 and 4,510 limited partner common units outstanding at March 31, 2025</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288,702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288,941</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December 31, 2024,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units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196,016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196,064</w:t>
            </w:r>
          </w:p>
        </w:tc>
        <w:tc>
          <w:tcPr>
            <w:tcW w:w="0" w:type="dxa"/>
            <w:vAlign w:val="bottom"/>
          </w:tcPr>
          <w:p>
            <w:pPr>
              <w:spacing w:after="0"/>
              <w:rPr>
                <w:sz w:val="1"/>
                <w:szCs w:val="1"/>
                <w:color w:val="auto"/>
              </w:rPr>
            </w:pPr>
          </w:p>
        </w:tc>
      </w:tr>
      <w:tr>
        <w:trPr>
          <w:trHeight w:val="172"/>
        </w:trPr>
        <w:tc>
          <w:tcPr>
            <w:tcW w:w="7460" w:type="dxa"/>
            <w:vAlign w:val="bottom"/>
            <w:tcBorders>
              <w:left w:val="single" w:sz="8" w:color="CCEEFF"/>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520" w:type="dxa"/>
            <w:vAlign w:val="bottom"/>
            <w:tcBorders>
              <w:left w:val="single" w:sz="8" w:color="CCEEFF"/>
            </w:tcBorders>
            <w:shd w:val="clear" w:color="auto" w:fill="000000"/>
          </w:tcPr>
          <w:p>
            <w:pPr>
              <w:spacing w:after="0"/>
              <w:rPr>
                <w:sz w:val="3"/>
                <w:szCs w:val="3"/>
                <w:color w:val="auto"/>
              </w:rPr>
            </w:pPr>
          </w:p>
        </w:tc>
        <w:tc>
          <w:tcPr>
            <w:tcW w:w="69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SLGOP partners' capital:</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460" w:type="dxa"/>
            <w:vAlign w:val="bottom"/>
            <w:tcBorders>
              <w:left w:val="single" w:sz="8" w:color="CCEEFF"/>
            </w:tcBorders>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Series I Preferred Units, $25.00 liquidation preference, 9,200 issued and outstanding at both March 31, 2025 and</w:t>
            </w:r>
          </w:p>
        </w:tc>
        <w:tc>
          <w:tcPr>
            <w:tcW w:w="24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4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rPr>
              <w:t>SL Green partners' capital (760 and 756 general partner common units and 70,256 and 70,341 limited partner</w:t>
            </w:r>
          </w:p>
        </w:tc>
        <w:tc>
          <w:tcPr>
            <w:tcW w:w="24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3,619,367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3,711,172</w:t>
            </w:r>
          </w:p>
        </w:tc>
        <w:tc>
          <w:tcPr>
            <w:tcW w:w="0" w:type="dxa"/>
            <w:vAlign w:val="bottom"/>
          </w:tcPr>
          <w:p>
            <w:pPr>
              <w:spacing w:after="0"/>
              <w:rPr>
                <w:sz w:val="1"/>
                <w:szCs w:val="1"/>
                <w:color w:val="auto"/>
              </w:rPr>
            </w:pPr>
          </w:p>
        </w:tc>
      </w:tr>
      <w:tr>
        <w:trPr>
          <w:trHeight w:val="209"/>
        </w:trPr>
        <w:tc>
          <w:tcPr>
            <w:tcW w:w="7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common units outstanding at March 31, 2025 and December 31, 2024,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6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18,196</w:t>
            </w:r>
          </w:p>
        </w:tc>
        <w:tc>
          <w:tcPr>
            <w:tcW w:w="0" w:type="dxa"/>
            <w:vAlign w:val="bottom"/>
          </w:tcPr>
          <w:p>
            <w:pPr>
              <w:spacing w:after="0"/>
              <w:rPr>
                <w:sz w:val="1"/>
                <w:szCs w:val="1"/>
                <w:color w:val="auto"/>
              </w:rPr>
            </w:pPr>
          </w:p>
        </w:tc>
      </w:tr>
      <w:tr>
        <w:trPr>
          <w:trHeight w:val="203"/>
        </w:trPr>
        <w:tc>
          <w:tcPr>
            <w:tcW w:w="7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SLGOP partners' capital</w:t>
            </w:r>
          </w:p>
        </w:tc>
        <w:tc>
          <w:tcPr>
            <w:tcW w:w="24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3,836,457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3,951,300</w:t>
            </w:r>
          </w:p>
        </w:tc>
        <w:tc>
          <w:tcPr>
            <w:tcW w:w="0" w:type="dxa"/>
            <w:vAlign w:val="bottom"/>
          </w:tcPr>
          <w:p>
            <w:pPr>
              <w:spacing w:after="0"/>
              <w:rPr>
                <w:sz w:val="1"/>
                <w:szCs w:val="1"/>
                <w:color w:val="auto"/>
              </w:rPr>
            </w:pPr>
          </w:p>
        </w:tc>
      </w:tr>
      <w:tr>
        <w:trPr>
          <w:trHeight w:val="211"/>
        </w:trPr>
        <w:tc>
          <w:tcPr>
            <w:tcW w:w="7460" w:type="dxa"/>
            <w:vAlign w:val="bottom"/>
            <w:tcBorders>
              <w:lef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116,970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118,651</w:t>
            </w:r>
          </w:p>
        </w:tc>
        <w:tc>
          <w:tcPr>
            <w:tcW w:w="0" w:type="dxa"/>
            <w:vAlign w:val="bottom"/>
          </w:tcPr>
          <w:p>
            <w:pPr>
              <w:spacing w:after="0"/>
              <w:rPr>
                <w:sz w:val="1"/>
                <w:szCs w:val="1"/>
                <w:color w:val="auto"/>
              </w:rPr>
            </w:pPr>
          </w:p>
        </w:tc>
      </w:tr>
      <w:tr>
        <w:trPr>
          <w:trHeight w:val="203"/>
        </w:trPr>
        <w:tc>
          <w:tcPr>
            <w:tcW w:w="7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capital</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3,953,427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4,069,951</w:t>
            </w:r>
          </w:p>
        </w:tc>
        <w:tc>
          <w:tcPr>
            <w:tcW w:w="0" w:type="dxa"/>
            <w:vAlign w:val="bottom"/>
          </w:tcPr>
          <w:p>
            <w:pPr>
              <w:spacing w:after="0"/>
              <w:rPr>
                <w:sz w:val="1"/>
                <w:szCs w:val="1"/>
                <w:color w:val="auto"/>
              </w:rPr>
            </w:pPr>
          </w:p>
        </w:tc>
      </w:tr>
      <w:tr>
        <w:trPr>
          <w:trHeight w:val="230"/>
        </w:trPr>
        <w:tc>
          <w:tcPr>
            <w:tcW w:w="7460" w:type="dxa"/>
            <w:vAlign w:val="bottom"/>
            <w:tcBorders>
              <w:left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capital</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11,410,623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10,470,099</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20" w:right="20" w:firstLine="3"/>
        <w:spacing w:after="0" w:line="208" w:lineRule="auto"/>
        <w:tabs>
          <w:tab w:leader="none" w:pos="173"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$236.7 million and $236.7 million of land, $165.0 million and $159.1 million of building and improvements, $— million and $— million of building and leasehold improvements, $— million and $— million of right of use assets, $6.5 million and $4.1 million of accumulated depreciation, $1,599.3 million and $709.1 million of real estate loans held by consolidated securitization vehicles, $838.3 million and $830.3 million of other assets included in other line items, $367.4 million and $357.9 million of real estate debt, net, $1.1 million and $1.1 million of accrued interest payable, $— million and $— million of lease liabilities, $1,409.2 million and $590.1 million of senior obligations of consolidated securitization vehicles and $322.8 million and $324.8 million of other liabilities included in other line items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 thousands, except per unit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163,019</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141,504</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25,604</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real estate loans held by consolidated securitization vehicles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22,198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13,371</w:t>
            </w:r>
          </w:p>
        </w:tc>
      </w:tr>
      <w:tr>
        <w:trPr>
          <w:trHeight w:val="205"/>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239,846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187,882</w:t>
            </w:r>
          </w:p>
        </w:tc>
      </w:tr>
      <w:tr>
        <w:trPr>
          <w:trHeight w:val="19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including related party expenses of $3 in 2025, and $0 in 2024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43,608</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37,217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31,606</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21,858</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45,681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31,173</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tax benefit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senior obligations of consolidated securitization vehicles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48,584</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21,313</w:t>
            </w:r>
          </w:p>
        </w:tc>
      </w:tr>
      <w:tr>
        <w:trPr>
          <w:trHeight w:val="204"/>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243,922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204,807</w:t>
            </w:r>
          </w:p>
        </w:tc>
      </w:tr>
      <w:tr>
        <w:trPr>
          <w:trHeight w:val="231"/>
        </w:trPr>
        <w:tc>
          <w:tcPr>
            <w:tcW w:w="8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income from unconsolidated joint ventures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111,160</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gain on sale of interest in unconsolidated joint venture/real estate</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26,764</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(50,492)</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(8,546)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(52,118)</w:t>
            </w: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18,389</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r>
      <w:tr>
        <w:trPr>
          <w:trHeight w:val="20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SLGOP</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(18,802)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17,780</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Perpetual preferred unit dividends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05"/>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SLGOP common unitholders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(22,540)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14,042</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(loss) earnings per unit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(0.32)</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(loss) earnings per unit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197"/>
        </w:trPr>
        <w:tc>
          <w:tcPr>
            <w:tcW w:w="8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74,527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68,767</w:t>
            </w:r>
          </w:p>
        </w:tc>
      </w:tr>
      <w:tr>
        <w:trPr>
          <w:trHeight w:val="209"/>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and common unit equivalents outstanding</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74,527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70,095</w:t>
            </w:r>
          </w:p>
        </w:tc>
      </w:tr>
    </w:tbl>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w:t>
            </w: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increase in unrealized value of derivative instruments, including SL Green's share of joint venture derivative instruments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23,214</w:t>
            </w:r>
          </w:p>
        </w:tc>
      </w:tr>
      <w:tr>
        <w:trPr>
          <w:trHeight w:val="21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 in unrealized value of marketable securities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05"/>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(24,657)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24,296</w:t>
            </w:r>
          </w:p>
        </w:tc>
      </w:tr>
      <w:tr>
        <w:trPr>
          <w:trHeight w:val="20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(46,202)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42,685</w:t>
            </w: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r>
      <w:tr>
        <w:trPr>
          <w:trHeight w:val="21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SLGOP</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unit data)</w:t>
      </w:r>
    </w:p>
    <w:p>
      <w:pPr>
        <w:spacing w:after="0" w:line="36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SL Green Operating Partnership Unitholders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40" w:type="dxa"/>
            <w:vAlign w:val="bottom"/>
            <w:tcBorders>
              <w:top w:val="single" w:sz="8" w:color="auto"/>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2"/>
                <w:szCs w:val="12"/>
                <w:b w:val="1"/>
                <w:bCs w:val="1"/>
                <w:color w:val="auto"/>
              </w:rPr>
              <w:t>Partners' Interest</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2"/>
                <w:szCs w:val="12"/>
                <w:b w:val="1"/>
                <w:bCs w:val="1"/>
                <w:color w:val="auto"/>
                <w:w w:val="99"/>
              </w:rPr>
              <w:t>Series I</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9"/>
                <w:szCs w:val="9"/>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280" w:type="dxa"/>
            <w:vAlign w:val="bottom"/>
            <w:gridSpan w:val="3"/>
          </w:tcPr>
          <w:p>
            <w:pPr>
              <w:jc w:val="center"/>
              <w:ind w:right="120"/>
              <w:spacing w:after="0" w:line="106"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40" w:type="dxa"/>
            <w:vAlign w:val="bottom"/>
          </w:tcPr>
          <w:p>
            <w:pPr>
              <w:spacing w:after="0"/>
              <w:rPr>
                <w:sz w:val="9"/>
                <w:szCs w:val="9"/>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Units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Unitholders</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200" w:type="dxa"/>
            <w:vAlign w:val="bottom"/>
          </w:tcPr>
          <w:p>
            <w:pPr>
              <w:spacing w:after="0"/>
              <w:rPr>
                <w:sz w:val="15"/>
                <w:szCs w:val="15"/>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71,097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3,711,172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18,196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118,651</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4,069,951</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(23,699)</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attributable to partnership units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1,465</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(23,038)</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unit dividends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(3,738)</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Conversion of common units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Measurement adjustment for redeemable noncontrolling interest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(12,940)</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Deferred compensation plan and unit awards, net of forfeitures and tax withholdings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(2,525)</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issuance of common stock</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3,437</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0" w:type="dxa"/>
            <w:vAlign w:val="bottom"/>
          </w:tcPr>
          <w:p>
            <w:pPr>
              <w:spacing w:after="0"/>
              <w:rPr>
                <w:sz w:val="1"/>
                <w:szCs w:val="1"/>
                <w:color w:val="auto"/>
              </w:rPr>
            </w:pPr>
          </w:p>
        </w:tc>
      </w:tr>
      <w:tr>
        <w:trPr>
          <w:trHeight w:val="124"/>
        </w:trPr>
        <w:tc>
          <w:tcPr>
            <w:tcW w:w="47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Cash distributions declared ($0.773 per common unit, none of which represented a return of</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for federal income tax purposes)</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(54,469)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(54,469)</w:t>
            </w:r>
          </w:p>
        </w:tc>
        <w:tc>
          <w:tcPr>
            <w:tcW w:w="0" w:type="dxa"/>
            <w:vAlign w:val="bottom"/>
          </w:tcPr>
          <w:p>
            <w:pPr>
              <w:spacing w:after="0"/>
              <w:rPr>
                <w:sz w:val="1"/>
                <w:szCs w:val="1"/>
                <w:color w:val="auto"/>
              </w:rPr>
            </w:pPr>
          </w:p>
        </w:tc>
      </w:tr>
      <w:tr>
        <w:trPr>
          <w:trHeight w:val="171"/>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71,016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3,619,367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(4,842)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116,970</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3,953,427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SL Green Operating Partnership Unitholders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2"/>
                <w:szCs w:val="12"/>
                <w:b w:val="1"/>
                <w:bCs w:val="1"/>
                <w:color w:val="auto"/>
              </w:rPr>
              <w:t>Partners' Interest</w:t>
            </w: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Series I</w:t>
            </w: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10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200" w:type="dxa"/>
            <w:vAlign w:val="bottom"/>
          </w:tcPr>
          <w:p>
            <w:pPr>
              <w:spacing w:after="0"/>
              <w:rPr>
                <w:sz w:val="11"/>
                <w:szCs w:val="11"/>
                <w:color w:val="auto"/>
              </w:rPr>
            </w:pPr>
          </w:p>
        </w:tc>
        <w:tc>
          <w:tcPr>
            <w:tcW w:w="700" w:type="dxa"/>
            <w:vAlign w:val="bottom"/>
            <w:vMerge w:val="restart"/>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Units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Unitholders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64,726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3,546,906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17,477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69,610</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3,855,925</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15,585</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(5,674)</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22,674</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unit dividends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(3,738)</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Reallocation of noncontrolling interest in the Operating Partnership</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(42,841)</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compensation plan and unit awards, net of forfeitures and tax withholdings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4,601</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6,678</w:t>
            </w:r>
          </w:p>
        </w:tc>
        <w:tc>
          <w:tcPr>
            <w:tcW w:w="0" w:type="dxa"/>
            <w:vAlign w:val="bottom"/>
          </w:tcPr>
          <w:p>
            <w:pPr>
              <w:spacing w:after="0"/>
              <w:rPr>
                <w:sz w:val="1"/>
                <w:szCs w:val="1"/>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0" w:type="dxa"/>
            <w:vAlign w:val="bottom"/>
          </w:tcPr>
          <w:p>
            <w:pPr>
              <w:spacing w:after="0"/>
              <w:rPr>
                <w:sz w:val="1"/>
                <w:szCs w:val="1"/>
                <w:color w:val="auto"/>
              </w:rPr>
            </w:pPr>
          </w:p>
        </w:tc>
      </w:tr>
      <w:tr>
        <w:trPr>
          <w:trHeight w:val="124"/>
        </w:trPr>
        <w:tc>
          <w:tcPr>
            <w:tcW w:w="47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Cash distributions declared ($0.750 per common unit, none of which represented a return of</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for federal income tax purposes)</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(48,356)</w:t>
            </w:r>
          </w:p>
        </w:tc>
        <w:tc>
          <w:tcPr>
            <w:tcW w:w="0" w:type="dxa"/>
            <w:vAlign w:val="bottom"/>
          </w:tcPr>
          <w:p>
            <w:pPr>
              <w:spacing w:after="0"/>
              <w:rPr>
                <w:sz w:val="1"/>
                <w:szCs w:val="1"/>
                <w:color w:val="auto"/>
              </w:rPr>
            </w:pPr>
          </w:p>
        </w:tc>
      </w:tr>
      <w:tr>
        <w:trPr>
          <w:trHeight w:val="171"/>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64,806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3,473,528</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40,151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68,037</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3,803,648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0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4"/>
        </w:trPr>
        <w:tc>
          <w:tcPr>
            <w:tcW w:w="78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w:t>
            </w: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(used in) 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66,185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50,123</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income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(111,160)</w:t>
            </w:r>
          </w:p>
        </w:tc>
      </w:tr>
      <w:tr>
        <w:trPr>
          <w:trHeight w:val="21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gain on sale of interest in unconsolidated joint venture/real estate</w:t>
            </w:r>
          </w:p>
        </w:tc>
        <w:tc>
          <w:tcPr>
            <w:tcW w:w="10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(26,764)</w:t>
            </w:r>
          </w:p>
        </w:tc>
      </w:tr>
      <w:tr>
        <w:trPr>
          <w:trHeight w:val="21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9,611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50,492</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52,118</w:t>
            </w:r>
          </w:p>
        </w:tc>
      </w:tr>
      <w:tr>
        <w:trPr>
          <w:trHeight w:val="21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 loss reserves and other investment reserves, net of recoveries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3,586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w:t>
            </w:r>
          </w:p>
        </w:tc>
      </w:tr>
      <w:tr>
        <w:trPr>
          <w:trHeight w:val="21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9,499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11,166</w:t>
            </w: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8,334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(28,978)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(12,644)</w:t>
            </w:r>
          </w:p>
        </w:tc>
      </w:tr>
      <w:tr>
        <w:trPr>
          <w:trHeight w:val="21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(50,003)</w:t>
            </w:r>
          </w:p>
        </w:tc>
      </w:tr>
      <w:tr>
        <w:trPr>
          <w:trHeight w:val="210"/>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r>
      <w:tr>
        <w:trPr>
          <w:trHeight w:val="21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w:t>
            </w:r>
          </w:p>
        </w:tc>
      </w:tr>
      <w:tr>
        <w:trPr>
          <w:trHeight w:val="20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6,710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(24,677)</w:t>
            </w:r>
          </w:p>
        </w:tc>
      </w:tr>
      <w:tr>
        <w:trPr>
          <w:trHeight w:val="19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real estate property</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(112,440)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(74,239)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(55,316)</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10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(12,817)</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(36,786)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1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9,460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71,545</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93,520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or redemption of marketable securities</w:t>
            </w:r>
          </w:p>
        </w:tc>
        <w:tc>
          <w:tcPr>
            <w:tcW w:w="1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10,973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real estate loans held by consolidated securitization vehicles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(49,296)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Origination of debt and preferred equity investments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(11,786)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w:t>
            </w: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(176,273)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0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4"/>
        </w:trPr>
        <w:tc>
          <w:tcPr>
            <w:tcW w:w="78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89,253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unsecured notes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420,000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130,000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unsecured notes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(250,000)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(11,267)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(18,608)</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3,386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on common and preferred units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(64,351)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(57,751)</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share awards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174,953</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11,367</w:t>
            </w: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5,390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(17,023)</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335,519</w:t>
            </w:r>
          </w:p>
        </w:tc>
      </w:tr>
      <w:tr>
        <w:trPr>
          <w:trHeight w:val="177"/>
        </w:trPr>
        <w:tc>
          <w:tcPr>
            <w:tcW w:w="780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0" w:type="dxa"/>
            <w:vAlign w:val="bottom"/>
            <w:tcBorders>
              <w:bottom w:val="single" w:sz="8" w:color="auto"/>
            </w:tcBorders>
          </w:tcPr>
          <w:p>
            <w:pPr>
              <w:jc w:val="right"/>
              <w:ind w:right="821"/>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ind w:right="1"/>
              <w:spacing w:after="0" w:line="178" w:lineRule="exact"/>
              <w:rPr>
                <w:sz w:val="20"/>
                <w:szCs w:val="20"/>
                <w:color w:val="auto"/>
              </w:rPr>
            </w:pPr>
            <w:r>
              <w:rPr>
                <w:rFonts w:ascii="Times New Roman" w:cs="Times New Roman" w:eastAsia="Times New Roman" w:hAnsi="Times New Roman"/>
                <w:sz w:val="16"/>
                <w:szCs w:val="16"/>
                <w:b w:val="1"/>
                <w:bCs w:val="1"/>
                <w:color w:val="auto"/>
              </w:rPr>
              <w:t>337,028</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88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318,496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 adjustment for redeemable noncontrolling interest</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12,940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42,841</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a subsidiary</w:t>
            </w:r>
          </w:p>
        </w:tc>
        <w:tc>
          <w:tcPr>
            <w:tcW w:w="10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mortgage loan payable</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205,000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10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interest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1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1,095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 or redemption payable</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assets</w:t>
            </w:r>
          </w:p>
        </w:tc>
        <w:tc>
          <w:tcPr>
            <w:tcW w:w="1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828,143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liabilities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828,143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5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7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5"/>
        </w:trPr>
        <w:tc>
          <w:tcPr>
            <w:tcW w:w="77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r>
      <w:tr>
        <w:trPr>
          <w:trHeight w:val="20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180,133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196,035</w:t>
            </w:r>
          </w:p>
        </w:tc>
      </w:tr>
      <w:tr>
        <w:trPr>
          <w:trHeight w:val="21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156,895</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122,461</w:t>
            </w:r>
          </w:p>
        </w:tc>
      </w:tr>
      <w:tr>
        <w:trPr>
          <w:trHeight w:val="230"/>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337,028</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318,496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1"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S.L. Green Management Corp, or the Service Corporation. All of the management, leasing and construction services that are provided to the properties that are wholly-owned by us and that are provided to certain joint ventures are conducted through SL Green Management LLC and S.L. Green Management Corp., respectively, which are 100% owned by the Operating Partnership.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spacing w:after="0" w:line="87"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Substantially all of our assets are held by, and all of our operations are conducted through, the Operating Partnership. The Company is the sole managing general partner of the Operating Partnership. As of March 31, 2025, noncontrolling investors held, in the aggregate, a 6.59%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spacing w:after="0" w:line="8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On March 31, 2025, we owned the following interests in properties in the New York metropolitan area, primarily in midtown Manhattan. Our investments located outside of Manhattan are referred to as the Suburban properties: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940" w:type="dxa"/>
            <w:vAlign w:val="bottom"/>
          </w:tcPr>
          <w:p>
            <w:pPr>
              <w:spacing w:after="0"/>
              <w:rPr>
                <w:sz w:val="16"/>
                <w:szCs w:val="16"/>
                <w:color w:val="auto"/>
              </w:rPr>
            </w:pPr>
          </w:p>
        </w:tc>
        <w:tc>
          <w:tcPr>
            <w:tcW w:w="126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19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2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20" w:type="dxa"/>
            <w:vAlign w:val="bottom"/>
          </w:tcPr>
          <w:p>
            <w:pPr>
              <w:spacing w:after="0"/>
              <w:rPr>
                <w:sz w:val="10"/>
                <w:szCs w:val="10"/>
                <w:color w:val="auto"/>
              </w:rPr>
            </w:pPr>
          </w:p>
        </w:tc>
        <w:tc>
          <w:tcPr>
            <w:tcW w:w="106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0"/>
                <w:szCs w:val="10"/>
                <w:color w:val="auto"/>
              </w:rPr>
            </w:pPr>
          </w:p>
        </w:tc>
        <w:tc>
          <w:tcPr>
            <w:tcW w:w="9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6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 xml:space="preserve">Leased Occupancy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92"/>
        </w:trPr>
        <w:tc>
          <w:tcPr>
            <w:tcW w:w="960" w:type="dxa"/>
            <w:vAlign w:val="bottom"/>
            <w:vMerge w:val="continue"/>
          </w:tcPr>
          <w:p>
            <w:pPr>
              <w:spacing w:after="0"/>
              <w:rPr>
                <w:sz w:val="16"/>
                <w:szCs w:val="16"/>
                <w:color w:val="auto"/>
              </w:rPr>
            </w:pPr>
          </w:p>
        </w:tc>
        <w:tc>
          <w:tcPr>
            <w:tcW w:w="19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Buildings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0" w:type="dxa"/>
            <w:vAlign w:val="bottom"/>
          </w:tcPr>
          <w:p>
            <w:pPr>
              <w:spacing w:after="0"/>
              <w:rPr>
                <w:sz w:val="1"/>
                <w:szCs w:val="1"/>
                <w:color w:val="auto"/>
              </w:rPr>
            </w:pPr>
          </w:p>
        </w:tc>
      </w:tr>
      <w:tr>
        <w:trPr>
          <w:trHeight w:val="196"/>
        </w:trPr>
        <w:tc>
          <w:tcPr>
            <w:tcW w:w="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9,788,852</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12,175,149</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21,964,001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91.9 %</w:t>
            </w:r>
          </w:p>
        </w:tc>
        <w:tc>
          <w:tcPr>
            <w:tcW w:w="0" w:type="dxa"/>
            <w:vAlign w:val="bottom"/>
          </w:tcPr>
          <w:p>
            <w:pPr>
              <w:spacing w:after="0"/>
              <w:rPr>
                <w:sz w:val="1"/>
                <w:szCs w:val="1"/>
                <w:color w:val="auto"/>
              </w:rPr>
            </w:pPr>
          </w:p>
        </w:tc>
      </w:tr>
      <w:tr>
        <w:trPr>
          <w:trHeight w:val="205"/>
        </w:trPr>
        <w:tc>
          <w:tcPr>
            <w:tcW w:w="96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1"/>
        </w:trPr>
        <w:tc>
          <w:tcPr>
            <w:tcW w:w="960" w:type="dxa"/>
            <w:vAlign w:val="bottom"/>
          </w:tcPr>
          <w:p>
            <w:pPr>
              <w:spacing w:after="0"/>
              <w:rPr>
                <w:sz w:val="16"/>
                <w:szCs w:val="16"/>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Development/Redevelopment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93"/>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844,845</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1,385,484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2,230,329</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7"/>
        </w:trPr>
        <w:tc>
          <w:tcPr>
            <w:tcW w:w="96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10,664,193</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24,237,772</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92.0 %</w:t>
            </w:r>
          </w:p>
        </w:tc>
        <w:tc>
          <w:tcPr>
            <w:tcW w:w="0" w:type="dxa"/>
            <w:vAlign w:val="bottom"/>
          </w:tcPr>
          <w:p>
            <w:pPr>
              <w:spacing w:after="0"/>
              <w:rPr>
                <w:sz w:val="1"/>
                <w:szCs w:val="1"/>
                <w:color w:val="auto"/>
              </w:rPr>
            </w:pPr>
          </w:p>
        </w:tc>
      </w:tr>
      <w:tr>
        <w:trPr>
          <w:trHeight w:val="19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Suburban</w:t>
            </w: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73.2 %</w:t>
            </w:r>
          </w:p>
        </w:tc>
        <w:tc>
          <w:tcPr>
            <w:tcW w:w="0" w:type="dxa"/>
            <w:vAlign w:val="bottom"/>
          </w:tcPr>
          <w:p>
            <w:pPr>
              <w:spacing w:after="0"/>
              <w:rPr>
                <w:sz w:val="1"/>
                <w:szCs w:val="1"/>
                <w:color w:val="auto"/>
              </w:rPr>
            </w:pPr>
          </w:p>
        </w:tc>
      </w:tr>
      <w:tr>
        <w:trPr>
          <w:trHeight w:val="197"/>
        </w:trPr>
        <w:tc>
          <w:tcPr>
            <w:tcW w:w="292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 properties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11,526,993</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25,100,572</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91.3 %</w:t>
            </w: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93"/>
              </w:rPr>
              <w:t>(2)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140,382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99.6 %</w:t>
            </w:r>
          </w:p>
        </w:tc>
        <w:tc>
          <w:tcPr>
            <w:tcW w:w="0" w:type="dxa"/>
            <w:vAlign w:val="bottom"/>
          </w:tcPr>
          <w:p>
            <w:pPr>
              <w:spacing w:after="0"/>
              <w:rPr>
                <w:sz w:val="1"/>
                <w:szCs w:val="1"/>
                <w:color w:val="auto"/>
              </w:rPr>
            </w:pPr>
          </w:p>
        </w:tc>
      </w:tr>
      <w:tr>
        <w:trPr>
          <w:trHeight w:val="191"/>
        </w:trPr>
        <w:tc>
          <w:tcPr>
            <w:tcW w:w="29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core portfolio</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11,667,375</w:t>
            </w:r>
          </w:p>
        </w:tc>
        <w:tc>
          <w:tcPr>
            <w:tcW w:w="1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13,795,463</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25,462,838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91.4 %</w:t>
            </w: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96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Alternative Strategy Portfolio</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400" w:hanging="395"/>
        <w:spacing w:after="0" w:line="254" w:lineRule="auto"/>
        <w:tabs>
          <w:tab w:leader="none" w:pos="39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leased occupancy for commercial properties represents the total leased square feet divided by the total square footage at acquisition. The weighted average leased occupancy for residential properties represents the total leased units divided by the total available units. Properties under construction are not included in the calculation of weighted average leased occupancy.</w:t>
      </w:r>
    </w:p>
    <w:p>
      <w:pPr>
        <w:jc w:val="both"/>
        <w:ind w:left="400" w:hanging="395"/>
        <w:spacing w:after="0" w:line="262" w:lineRule="auto"/>
        <w:tabs>
          <w:tab w:leader="none" w:pos="39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2025, we owned a building at 7 Dey Street / 185 Broadway that was comprised of approximately 140,382 square feet (unaudited) of residential space and approximately 50,206 square feet (unaudited) of office and retail space that is under development.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of March 31, 2025, we also managed one office building and one retail building owned by a third party encompassing approximately 0.4 million square feet (unaudited), and held debt and preferred equity investments with a book value of $318.2 million, excluding debt and preferred equity investments and other financing receivables totaling $24.8 million that are included in balance sheet line items other than the Debt and preferred equity investments line item.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Agreement</w:t>
      </w:r>
    </w:p>
    <w:p>
      <w:pPr>
        <w:spacing w:after="0" w:line="111"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Long Term Incentive Plan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Quarterly Presentation</w:t>
      </w:r>
    </w:p>
    <w:p>
      <w:pPr>
        <w:spacing w:after="0" w:line="111"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the fair presentation of the financial position of the Company and the Operating Partnership at March 31, 2025 and the results of operations for the periods presented have been included. The operating results for the period presented are not necessarily indicative of the results that may be expected for the year ending December 31, 2025. These financial statements should be read in conjunction with the financial statements and accompanying notes included in the Annual Report on Form 10-K for the year ended December 31, 2024 of the Company and the Operating Partnership.</w:t>
      </w:r>
    </w:p>
    <w:p>
      <w:pPr>
        <w:spacing w:after="0" w:line="85"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consolidated balance sheet at December 31, 2024 has been derived from the audited financial statements as of that date but does not include all the information and footnotes required by accounting principles generally accepted in the United States for complete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1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In April 2025, the Company closed on the acquisition of its joint venture partner's 49.9% interest in 100 Park Avenue, pursuant to a purchase option, for cash consideration of $14.9 million.</w:t>
      </w:r>
    </w:p>
    <w:p>
      <w:pPr>
        <w:spacing w:after="0" w:line="62" w:lineRule="exact"/>
        <w:rPr>
          <w:sz w:val="20"/>
          <w:szCs w:val="20"/>
          <w:color w:val="auto"/>
        </w:rPr>
      </w:pPr>
    </w:p>
    <w:p>
      <w:pPr>
        <w:ind w:right="8740" w:firstLine="5"/>
        <w:spacing w:after="0" w:line="413" w:lineRule="auto"/>
        <w:tabs>
          <w:tab w:leader="none" w:pos="175"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Policies Principles of Consolidation</w:t>
      </w: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those of our subsidiaries, which are wholly-owned or controlled by us. Entities which we have significant influence, but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78"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consolidate a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Commercial Real Estate Properties</w:t>
      </w:r>
    </w:p>
    <w:p>
      <w:pPr>
        <w:spacing w:after="0" w:line="111" w:lineRule="exact"/>
        <w:rPr>
          <w:sz w:val="20"/>
          <w:szCs w:val="20"/>
          <w:color w:val="auto"/>
        </w:rPr>
      </w:pPr>
    </w:p>
    <w:p>
      <w:pPr>
        <w:jc w:val="both"/>
        <w:ind w:firstLine="434"/>
        <w:spacing w:after="0" w:line="279" w:lineRule="auto"/>
        <w:rPr>
          <w:sz w:val="20"/>
          <w:szCs w:val="20"/>
          <w:color w:val="auto"/>
        </w:rPr>
      </w:pPr>
      <w:r>
        <w:rPr>
          <w:rFonts w:ascii="Times New Roman" w:cs="Times New Roman" w:eastAsia="Times New Roman" w:hAnsi="Times New Roman"/>
          <w:sz w:val="16"/>
          <w:szCs w:val="16"/>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3 years to 40 years. We amortize the amount allocated to the above- and below-market leases over the remaining term of the associated lease, which generally range from 1 year to 15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1 year to 15 years. If a tenant vacates its space prior to the contractual termination of the lease and no rental payments are being made on the lease, any unamortized balance of the related intangible will be written off. Origination costs are amortized as an expense over the remaining life of the lease and tenant improvements are amortized over the shorter of the remaining life of the lease or useful life of the improvement (or charged against earnings if the lease is terminated prior to its contractual expiration date). When allocating the purchase price of real estate,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w:t>
      </w:r>
    </w:p>
    <w:p>
      <w:pPr>
        <w:spacing w:after="0" w:line="276"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The Company classifies those leases under which the Company is the lessee at lease commencement as finance or operating leases. Leases qualify as finance leases if (i) the lease transfers ownership of the asset at the end of the lease term, (ii) the lease grants an option to purchase the asset that we are reasonably certain to exercise, (iii) the lease term is for a major part of the remaining economic life of the asset, (iv) the present value of the lease payments equals or exceeds substantially all of the fair value of the underlying asset, or (v) the underlying asset is of such a specialized nature that it is expected to have no alternative use to the lessor at the end of the lease term.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When applicable, the Company combines the consideration for lease and non-lease components in the calculation of the value of the lease obligation and right-of-use asset.</w:t>
      </w:r>
    </w:p>
    <w:p>
      <w:pPr>
        <w:spacing w:after="0" w:line="84"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Properties are individually evaluated for impairment quarterly or whenever events or changes in circumstances indicate that the carrying amount may not be recoverable. A consolidated property's value is considered impaired if management's estimate of the aggregate future cash flows (undiscounted) and terminal value to be generated by the property is less than the carrying value of the property taking into account the appropriate capitalization rate in determining the future terminal value. To the extent impairment has occurred, the loss will be measured as the excess of the carrying amount of the property over the fair value of the property as calculated in accordance with Accounting Standards Codification, or ASC 820. We also evaluate our real estate consolidated properties for impairment when a property has been classified as held for sale. Real estate assets held for sale are valued at the lower of their carrying value or fair value less costs to sell and depreciation expense is no longer recorded.</w:t>
      </w:r>
    </w:p>
    <w:p>
      <w:pPr>
        <w:spacing w:after="0" w:line="8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a $8.5 million charge to reduce the carrying value of the residential condominium units at 760 Madison Avenue based on the total of the sales contracts that the Company entered into for these units. This charge is included in Depreciable real estate reserves and impairments in the consolidated statements of operations.</w:t>
      </w:r>
    </w:p>
    <w:p>
      <w:pPr>
        <w:spacing w:after="0" w:line="7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we recognized a reduction of rental revenues of ($1.6 million) and ($0.1 million), respectively, for the amortization of aggregate above-market leases in excess of below-market leases resulting from the allocation of the purchase price of the applicable properties.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summarizes our identified intangible assets (acquired above-market leases and in-place leases) and intangible liabilities (acquired below-market leases) as of March 31, 2025 and December 31, 2024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Identified intangible assets (included in other assets):</w:t>
            </w:r>
          </w:p>
        </w:tc>
        <w:tc>
          <w:tcPr>
            <w:tcW w:w="28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406,394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378,277</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(205,706)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(197,211)</w:t>
            </w:r>
          </w:p>
        </w:tc>
      </w:tr>
      <w:tr>
        <w:trPr>
          <w:trHeight w:val="205"/>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200,688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181,066</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7"/>
        </w:trPr>
        <w:tc>
          <w:tcPr>
            <w:tcW w:w="71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Identified intangible liabilities (included in deferred revenue):</w:t>
            </w: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(249,716)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243,703</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205,458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(204,092)</w:t>
            </w:r>
          </w:p>
        </w:tc>
      </w:tr>
      <w:tr>
        <w:trPr>
          <w:trHeight w:val="205"/>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(44,258)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39,611</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consider all highly liquid investments with maturity of three months or less when purchased to be cash equivalents.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1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Restricted cash primarily consists of security deposits held on behalf of our tenants, interest reserves, as well as capital improvement and real estate tax escrows required under certain loan agreements.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16, "Fair Value Measurements."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Marketable Securities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At acquisition, we designate a debt security as held-to-maturity, available-for-sale, or trading. As of March 31, 2025, we did not have any debt securities designated as trading. We account for our available-for-sale securities at fair value pursuant to ASC 820-10, with the net unrealized gains or losses reported as a component of accumulated other comprehensive income or loss. The cost of marketable securities sold and the amount reclassified out of accumulated other comprehensive income into earnings is determined using the specific identification method. We account for held-to-maturity securities at amortized cost basis. Credit losses for our debt securities are recognized in accordance with ASC 326. No allowance for loan losses were recognized for the three months ended March 31, 2025 and 2024. We account for equity marketable securities at fair value pursuant to ASC 820-10, with the net unrealized gains or losses reported in net income.</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2025 and December 31, 2024, we held the following marketable securities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6"/>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 - available-for-sale</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12,295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17,323</w:t>
            </w: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 - held-to-maturity</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w:t>
            </w:r>
          </w:p>
        </w:tc>
      </w:tr>
      <w:tr>
        <w:trPr>
          <w:trHeight w:val="23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 in marketable securities</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cost basis of the available-for-sale commercial mortgage-backed securities ("CMBS") was $12.9 million and $18.3 million as of March 31, 2025 and December 31, 2024, respectively. These securities mature at various times through 2030. As of March 31, 2025, one security was in an unrealized gain position of $0.1 million with a fair market value of $6.2 million, and one security was in an unrealized loss position of $0.7 million with a fair market value of $6.0 million. This marketable security was in a continuous unrealized loss position for less than 12 months. As of December 31, 2024 one security was in an unrealized gain position of $0.2 million with a fair market value of $5.5 million, and two securities were in an unrealized loss position of $1.5 million and fair market value of $11.8 million with one of the securities being in a continuous unrealized loss position for more than 12 months. We do not intend to sell our other securities, and it is more likely than not that we will not be required to sell the investment before the recovery of its amortized cost basis.</w:t>
      </w:r>
    </w:p>
    <w:p>
      <w:pPr>
        <w:spacing w:after="0" w:line="8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cost basis of the held-to-maturity CMBS was $5.5 million as of December 31, 2024 and was purchased at a $0.2 million discount. During the three months ended March 31, 2025, we received aggregate net proceeds of $5.7 million from the repayment of this security.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During the three months ended March 31, 2025, we received aggregate net proceeds of $5.3 million from the repayment of one debt marketable security.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dispose of any debt marketable securities during the three months ended December 31, 2024.</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held no equity marketable securities as of March 31, 2025 and December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CMBS Securitization Trusts</w:t>
      </w:r>
    </w:p>
    <w:p>
      <w:pPr>
        <w:spacing w:after="0" w:line="111"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may be contracted to provide special servicing activities for CMBS securitization trusts and, in certain cases, we may also acquire securities in these trusts. In certain cases, we may acquire the controlling class of the trust and we may have the right to designate, and remove, the special servicer for these trusts. These circumstances may result in our consolidating the securitization trusts on our financial statements. We evaluate all of our positions and special servicer appointments for consolidation, which are considered to be VIEs to the Company.</w:t>
      </w:r>
    </w:p>
    <w:p>
      <w:pPr>
        <w:spacing w:after="0" w:line="78"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As the special servicer, we provide services on defaulted loans within the trusts as permitted by the underlying contractual agreements. We receive a fee in exchange for these services. The rights provided to us as special servicer give us the ability to direct activities that could significantly impact the trust's economic performance, which requires consolidation of the securitization trust unless a third party has the right to unilaterally remove us as special servicer without cause. In such instances where we can be removed as special servicer without cause, we do not have the power to direct activities that most significantly impact the trust's economic performance and would not consolidate the securitization trust.</w:t>
      </w:r>
    </w:p>
    <w:p>
      <w:pPr>
        <w:spacing w:after="0" w:line="8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For CMBS securitization trusts in which we are determined to be the primary beneficiary, we consolidate the securitization trusts on our consolidated balance sheets. The consolidation of such securitization trusts results in a gross presentation of the underlying collateral loans as assets as well as the senior CMBS positions owned by third parties, which are presented as liabilities on our consolidated balance sheets. The assets of the consolidated securitization trust can only be used to satisfy the liabilities of that securitization and are not available to the Company for any other purpose. Additionally, the senior CMBS securitization trust obligations can only be satisfied through repayment of the underlying collateral loans as they do not have any recourse to the Company or our assets. The Company has not provided any guarantees with respect to the performance or repayment of the senior CMBS obligations.</w:t>
      </w:r>
    </w:p>
    <w:p>
      <w:pPr>
        <w:spacing w:after="0" w:line="8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While consolidation of the securitization trust increases the gross presentation of our consolidated balance sheets, it does not impact the economic exposure or performance of the Company as it is limited to that of the actual investment in the CMBS securitization trust, and not the consolidated senior obligations.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2025 and December 31, 2024, we consolidated the following CMBS securitization trusts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0" w:type="dxa"/>
            <w:vAlign w:val="bottom"/>
          </w:tcPr>
          <w:p>
            <w:pPr>
              <w:spacing w:after="0"/>
              <w:rPr>
                <w:sz w:val="24"/>
                <w:szCs w:val="24"/>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6"/>
              </w:rPr>
              <w:t xml:space="preserve">Fair Value </w:t>
            </w:r>
            <w:r>
              <w:rPr>
                <w:rFonts w:ascii="Times New Roman" w:cs="Times New Roman" w:eastAsia="Times New Roman" w:hAnsi="Times New Roman"/>
                <w:sz w:val="20"/>
                <w:szCs w:val="20"/>
                <w:b w:val="1"/>
                <w:bCs w:val="1"/>
                <w:color w:val="auto"/>
                <w:w w:val="96"/>
                <w:vertAlign w:val="superscript"/>
              </w:rPr>
              <w:t>(1)</w:t>
            </w:r>
          </w:p>
        </w:tc>
        <w:tc>
          <w:tcPr>
            <w:tcW w:w="1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Principal Value</w:t>
            </w:r>
          </w:p>
        </w:tc>
        <w:tc>
          <w:tcPr>
            <w:tcW w:w="140" w:type="dxa"/>
            <w:vAlign w:val="bottom"/>
          </w:tcPr>
          <w:p>
            <w:pPr>
              <w:spacing w:after="0"/>
              <w:rPr>
                <w:sz w:val="24"/>
                <w:szCs w:val="24"/>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4"/>
              </w:rPr>
              <w:t xml:space="preserve">Fair Value </w:t>
            </w:r>
            <w:r>
              <w:rPr>
                <w:rFonts w:ascii="Times New Roman" w:cs="Times New Roman" w:eastAsia="Times New Roman" w:hAnsi="Times New Roman"/>
                <w:sz w:val="20"/>
                <w:szCs w:val="20"/>
                <w:b w:val="1"/>
                <w:bCs w:val="1"/>
                <w:color w:val="auto"/>
                <w:w w:val="94"/>
                <w:vertAlign w:val="superscript"/>
              </w:rPr>
              <w:t>(2)</w:t>
            </w:r>
          </w:p>
        </w:tc>
        <w:tc>
          <w:tcPr>
            <w:tcW w:w="12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7"/>
              </w:rPr>
              <w:t>Principal Value</w:t>
            </w:r>
          </w:p>
        </w:tc>
        <w:tc>
          <w:tcPr>
            <w:tcW w:w="120" w:type="dxa"/>
            <w:vAlign w:val="bottom"/>
          </w:tcPr>
          <w:p>
            <w:pPr>
              <w:spacing w:after="0"/>
              <w:rPr>
                <w:sz w:val="24"/>
                <w:szCs w:val="24"/>
                <w:color w:val="auto"/>
              </w:rPr>
            </w:pPr>
          </w:p>
        </w:tc>
        <w:tc>
          <w:tcPr>
            <w:tcW w:w="1400" w:type="dxa"/>
            <w:vAlign w:val="bottom"/>
            <w:gridSpan w:val="2"/>
          </w:tcPr>
          <w:p>
            <w:pPr>
              <w:jc w:val="right"/>
              <w:ind w:right="489"/>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0" w:type="dxa"/>
            <w:vAlign w:val="bottom"/>
          </w:tcPr>
          <w:p>
            <w:pPr>
              <w:spacing w:after="0"/>
              <w:rPr>
                <w:sz w:val="1"/>
                <w:szCs w:val="1"/>
                <w:color w:val="auto"/>
              </w:rPr>
            </w:pPr>
          </w:p>
        </w:tc>
      </w:tr>
      <w:tr>
        <w:trPr>
          <w:trHeight w:val="204"/>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1,599,291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1,821,800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709,095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894,000</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2023 - 2025</w:t>
            </w:r>
          </w:p>
        </w:tc>
        <w:tc>
          <w:tcPr>
            <w:tcW w:w="300" w:type="dxa"/>
            <w:vAlign w:val="bottom"/>
            <w:tcBorders>
              <w:top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1,409,185</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1,549,044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590,131</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688,346</w:t>
            </w:r>
          </w:p>
        </w:tc>
        <w:tc>
          <w:tcPr>
            <w:tcW w:w="1520" w:type="dxa"/>
            <w:vAlign w:val="bottom"/>
            <w:tcBorders>
              <w:bottom w:val="single" w:sz="8" w:color="CCEEFF"/>
            </w:tcBorders>
            <w:gridSpan w:val="3"/>
          </w:tcPr>
          <w:p>
            <w:pPr>
              <w:jc w:val="right"/>
              <w:ind w:right="109"/>
              <w:spacing w:after="0" w:line="210" w:lineRule="exact"/>
              <w:rPr>
                <w:sz w:val="20"/>
                <w:szCs w:val="20"/>
                <w:color w:val="auto"/>
              </w:rPr>
            </w:pPr>
            <w:r>
              <w:rPr>
                <w:rFonts w:ascii="Times New Roman" w:cs="Times New Roman" w:eastAsia="Times New Roman" w:hAnsi="Times New Roman"/>
                <w:sz w:val="16"/>
                <w:szCs w:val="16"/>
                <w:color w:val="auto"/>
              </w:rPr>
              <w:t xml:space="preserve">2023 - 2025 </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Real estate loans held by consolidated securitization vehicles in excess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190,106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272,756</w:t>
            </w:r>
          </w:p>
        </w:tc>
        <w:tc>
          <w:tcPr>
            <w:tcW w:w="16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118,964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205,654</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senior obligations of consolidated securitization vehicles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00" w:hanging="395"/>
        <w:spacing w:after="0" w:line="254" w:lineRule="auto"/>
        <w:tabs>
          <w:tab w:leader="none" w:pos="3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$150.0 million commercial mortgage investment, net of reserves, that is accounted for on an amortized cost basis. The total investment was acquired in a series of transactions consummated at various discounts and was determined to be purchased with credit deterioration ("PCD"). This requires the establishment of an initial credit loss allowance, which is equal to the difference between the price paid for the investment and the par value of the investment. See Note 5, "Debt and Preferred Equity Investments."</w:t>
      </w:r>
    </w:p>
    <w:p>
      <w:pPr>
        <w:ind w:left="400" w:hanging="395"/>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$134.8 million and $34.2 million of assets and liabilities, respectively, for a loan that is accounted for on an amortized cost basis.</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respective borrowers on the resolution of the past maturities.</w:t>
      </w:r>
    </w:p>
    <w:p>
      <w:pPr>
        <w:spacing w:after="0" w:line="108" w:lineRule="exact"/>
        <w:rPr>
          <w:sz w:val="20"/>
          <w:szCs w:val="20"/>
          <w:color w:val="auto"/>
        </w:rPr>
      </w:pPr>
    </w:p>
    <w:p>
      <w:pPr>
        <w:jc w:val="both"/>
        <w:ind w:firstLine="434"/>
        <w:spacing w:after="0" w:line="289" w:lineRule="auto"/>
        <w:rPr>
          <w:sz w:val="20"/>
          <w:szCs w:val="20"/>
          <w:color w:val="auto"/>
        </w:rPr>
      </w:pPr>
      <w:r>
        <w:rPr>
          <w:rFonts w:ascii="Times New Roman" w:cs="Times New Roman" w:eastAsia="Times New Roman" w:hAnsi="Times New Roman"/>
          <w:sz w:val="16"/>
          <w:szCs w:val="16"/>
          <w:color w:val="auto"/>
        </w:rPr>
        <w:t>We have elected to record the associated interest income and interest expense for these investments as separate line items on our consolidated statements of operations. The amounts recorded in Interest income from real estate loans held by consolidated securitization vehicles on our consolidated statements of operations include the Company's interest income as well as the interest income associated with CMBS positions owned by third parties, which is offset by the amounts recorded in Interest expense on senior obligations of consolidated securitization vehicles on our consolidated statements of operations. As a result, the net impact is limited to the interest income on the CMBS securities we own directly and not the gross consolidated interest income and interest expense.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11"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Aside from charges noted in Note 6, "Investments in Unconsolidated Joint Ventures," we do not believe that the values of any of our equity investments were impaired at March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Lease Costs</w:t>
      </w:r>
    </w:p>
    <w:p>
      <w:pPr>
        <w:spacing w:after="0" w:line="11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Deferred lease costs consist of incremental fees and direct costs that would not have been incurred if the lease had not been obtained and are amortized on a straight-line basis over the related lease term.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Classification</w:t>
      </w:r>
    </w:p>
    <w:p>
      <w:pPr>
        <w:spacing w:after="0" w:line="111"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Rental revenue for operating leases is recognized on a straight-line basis over the term of the lease. Rental revenue recognition commences when the leased space is available for its intended use by the lessee.</w:t>
      </w:r>
    </w:p>
    <w:p>
      <w:pPr>
        <w:spacing w:after="0" w:line="64"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To determine whether the leased space is available for its intended use by the lessee, management evaluates whether we or the tenant are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w:t>
      </w:r>
    </w:p>
    <w:p>
      <w:pPr>
        <w:spacing w:after="0" w:line="8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excess of rents recognized over amounts contractually due pursuant to the underlying leases are included in deferred rents receivable on the consolidated balance sheets.</w:t>
      </w:r>
    </w:p>
    <w:p>
      <w:pPr>
        <w:spacing w:after="0" w:line="64" w:lineRule="exact"/>
        <w:rPr>
          <w:sz w:val="20"/>
          <w:szCs w:val="20"/>
          <w:color w:val="auto"/>
        </w:rPr>
      </w:pPr>
    </w:p>
    <w:p>
      <w:pPr>
        <w:jc w:val="both"/>
        <w:ind w:firstLine="434"/>
        <w:spacing w:after="0" w:line="281" w:lineRule="auto"/>
        <w:rPr>
          <w:sz w:val="20"/>
          <w:szCs w:val="20"/>
          <w:color w:val="auto"/>
        </w:rPr>
      </w:pPr>
      <w:r>
        <w:rPr>
          <w:rFonts w:ascii="Times New Roman" w:cs="Times New Roman" w:eastAsia="Times New Roman" w:hAnsi="Times New Roman"/>
          <w:sz w:val="16"/>
          <w:szCs w:val="16"/>
          <w:color w:val="auto"/>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56"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4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842.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We record a gain or loss on sale of real estate assets when we no longer have a controlling financial interest in the entity owning the real estate, a contract exists with a third party and that third party has control of the assets acquired.</w:t>
      </w:r>
    </w:p>
    <w:p>
      <w:pPr>
        <w:spacing w:after="0" w:line="6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spacing w:after="0" w:line="78"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spacing w:after="0" w:line="8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spacing w:after="0" w:line="78"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Asset management fees are recognized on a straight-line basis over the term of the asset management agreement.</w:t>
      </w:r>
    </w:p>
    <w:p>
      <w:pPr>
        <w:spacing w:after="0" w:line="10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Revenues from the sale of SUMMIT tickets are recognized upon admission or ticket expirations. Deferred revenue related to unused and unexpired tickets as of March 31, 2025 and December 31, 2024 was $4.3 million and $3.1 million, respectively, and is included in Deferred revenue on the consolidated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Preferred Equity Investments</w:t>
      </w:r>
    </w:p>
    <w:p>
      <w:pPr>
        <w:spacing w:after="0" w:line="111"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spacing w:after="0" w:line="8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w:t>
      </w:r>
    </w:p>
    <w:p>
      <w:pPr>
        <w:spacing w:after="0" w:line="8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ind w:firstLine="434"/>
        <w:spacing w:after="0" w:line="286" w:lineRule="auto"/>
        <w:rPr>
          <w:sz w:val="20"/>
          <w:szCs w:val="20"/>
          <w:color w:val="auto"/>
        </w:rPr>
      </w:pPr>
      <w:r>
        <w:rPr>
          <w:rFonts w:ascii="Times New Roman" w:cs="Times New Roman" w:eastAsia="Times New Roman" w:hAnsi="Times New Roman"/>
          <w:sz w:val="16"/>
          <w:szCs w:val="16"/>
          <w:color w:val="auto"/>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w:t>
      </w:r>
    </w:p>
    <w:p>
      <w:pPr>
        <w:jc w:val="both"/>
        <w:ind w:firstLine="5"/>
        <w:spacing w:after="0" w:line="246" w:lineRule="auto"/>
        <w:tabs>
          <w:tab w:leader="none" w:pos="1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spacing w:after="0" w:line="8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expected amount to be collected.</w:t>
      </w:r>
    </w:p>
    <w:p>
      <w:pPr>
        <w:spacing w:after="0" w:line="7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Other financing receivables that are included in balance sheet line items other than the Debt and preferred equity investments line are also measured at the net amount expected to be collected.</w:t>
      </w:r>
    </w:p>
    <w:p>
      <w:pPr>
        <w:spacing w:after="0" w:line="6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Accrued interest receivable amounts related to these debt and preferred equity investment and other financing receivables are recorded at the net amount expected to be collected within Other assets in the consolidated balance sheets. Accrued interest receivables that are written off are recognized as an expense in loan loss and other investment reserves.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1"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spacing w:after="0" w:line="75"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state and local corporate tax liability for these entities. During the three months ended March 31, 2025 and 2024, we recorded Federal, state, and local tax provisions totaling $0.5 million and $0.7 million, respectively, for these entities.</w:t>
      </w:r>
    </w:p>
    <w:p>
      <w:pPr>
        <w:spacing w:after="0" w:line="49"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SUMMIT is held in a TRS and pays Federal, state and local taxes. During the three months ended March 31, 2025 and 2024, we recorded Federal, state and local tax benefits for SUMMIT of less than $0.1 million and $1.3 million, respectively.</w:t>
      </w:r>
    </w:p>
    <w:p>
      <w:pPr>
        <w:spacing w:after="0" w:line="64"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New York City. See Note 5, "Debt and Preferred Equity Investments."</w:t>
      </w:r>
    </w:p>
    <w:p>
      <w:pPr>
        <w:spacing w:after="0" w:line="75"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potential source of funds to offset the economic costs associated with lost revenue from that tenant and the costs associated with re-tenanting a space. The properties in our real estate portfolio are located in the New York metropolitan area, principally in Manhattan. Our tenants operate in various industries. Other than one tenant, Paramount Global, which accounted for 5.4% of our share of annualized cash rent as of March 31, 2025, no other tenant in our portfolio accounted for more than 5.0% of our share of annualized cash rent, including our share of joint venture annualized cash rent, for the three months ended March 31, 2025.</w:t>
      </w:r>
    </w:p>
    <w:p>
      <w:pPr>
        <w:spacing w:after="0" w:line="8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2025, the following properties contributed more than 5.0% of our annualized cash rent from office properties, including our share of annualized cash rent from joint venture office properties: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6180" w:type="dxa"/>
            <w:vAlign w:val="bottom"/>
            <w:tcBorders>
              <w:bottom w:val="single" w:sz="8" w:color="auto"/>
            </w:tcBorders>
          </w:tcPr>
          <w:p>
            <w:pPr>
              <w:ind w:left="314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r>
      <w:tr>
        <w:trPr>
          <w:trHeight w:val="20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Vanderbilt Avenue</w:t>
            </w:r>
          </w:p>
        </w:tc>
        <w:tc>
          <w:tcPr>
            <w:tcW w:w="6180" w:type="dxa"/>
            <w:vAlign w:val="bottom"/>
            <w:shd w:val="clear" w:color="auto" w:fill="CCEEFF"/>
          </w:tcPr>
          <w:p>
            <w:pPr>
              <w:jc w:val="center"/>
              <w:ind w:left="2501"/>
              <w:spacing w:after="0"/>
              <w:rPr>
                <w:sz w:val="20"/>
                <w:szCs w:val="20"/>
                <w:color w:val="auto"/>
              </w:rPr>
            </w:pPr>
            <w:r>
              <w:rPr>
                <w:rFonts w:ascii="Times New Roman" w:cs="Times New Roman" w:eastAsia="Times New Roman" w:hAnsi="Times New Roman"/>
                <w:sz w:val="16"/>
                <w:szCs w:val="16"/>
                <w:color w:val="auto"/>
                <w:w w:val="96"/>
              </w:rPr>
              <w:t>14.4%</w:t>
            </w:r>
          </w:p>
        </w:tc>
      </w:tr>
      <w:tr>
        <w:trPr>
          <w:trHeight w:val="20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6180" w:type="dxa"/>
            <w:vAlign w:val="bottom"/>
          </w:tcPr>
          <w:p>
            <w:pPr>
              <w:jc w:val="center"/>
              <w:ind w:left="2501"/>
              <w:spacing w:after="0"/>
              <w:rPr>
                <w:sz w:val="20"/>
                <w:szCs w:val="20"/>
                <w:color w:val="auto"/>
              </w:rPr>
            </w:pPr>
            <w:r>
              <w:rPr>
                <w:rFonts w:ascii="Times New Roman" w:cs="Times New Roman" w:eastAsia="Times New Roman" w:hAnsi="Times New Roman"/>
                <w:sz w:val="16"/>
                <w:szCs w:val="16"/>
                <w:color w:val="auto"/>
                <w:w w:val="95"/>
              </w:rPr>
              <w:t>8.7%</w:t>
            </w: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Lexington Ave</w:t>
            </w:r>
          </w:p>
        </w:tc>
        <w:tc>
          <w:tcPr>
            <w:tcW w:w="6180" w:type="dxa"/>
            <w:vAlign w:val="bottom"/>
            <w:shd w:val="clear" w:color="auto" w:fill="CCEEFF"/>
          </w:tcPr>
          <w:p>
            <w:pPr>
              <w:jc w:val="center"/>
              <w:ind w:left="2501"/>
              <w:spacing w:after="0"/>
              <w:rPr>
                <w:sz w:val="20"/>
                <w:szCs w:val="20"/>
                <w:color w:val="auto"/>
              </w:rPr>
            </w:pPr>
            <w:r>
              <w:rPr>
                <w:rFonts w:ascii="Times New Roman" w:cs="Times New Roman" w:eastAsia="Times New Roman" w:hAnsi="Times New Roman"/>
                <w:sz w:val="16"/>
                <w:szCs w:val="16"/>
                <w:color w:val="auto"/>
                <w:w w:val="95"/>
              </w:rPr>
              <w:t>7.0%</w:t>
            </w:r>
          </w:p>
        </w:tc>
      </w:tr>
      <w:tr>
        <w:trPr>
          <w:trHeight w:val="209"/>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180" w:type="dxa"/>
            <w:vAlign w:val="bottom"/>
          </w:tcPr>
          <w:p>
            <w:pPr>
              <w:jc w:val="center"/>
              <w:ind w:left="2501"/>
              <w:spacing w:after="0"/>
              <w:rPr>
                <w:sz w:val="20"/>
                <w:szCs w:val="20"/>
                <w:color w:val="auto"/>
              </w:rPr>
            </w:pPr>
            <w:r>
              <w:rPr>
                <w:rFonts w:ascii="Times New Roman" w:cs="Times New Roman" w:eastAsia="Times New Roman" w:hAnsi="Times New Roman"/>
                <w:sz w:val="16"/>
                <w:szCs w:val="16"/>
                <w:color w:val="auto"/>
                <w:w w:val="95"/>
              </w:rPr>
              <w:t>6.8%</w:t>
            </w:r>
          </w:p>
        </w:tc>
      </w:tr>
      <w:tr>
        <w:trPr>
          <w:trHeight w:val="212"/>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6180" w:type="dxa"/>
            <w:vAlign w:val="bottom"/>
            <w:shd w:val="clear" w:color="auto" w:fill="CCEEFF"/>
          </w:tcPr>
          <w:p>
            <w:pPr>
              <w:jc w:val="center"/>
              <w:ind w:left="2501"/>
              <w:spacing w:after="0"/>
              <w:rPr>
                <w:sz w:val="20"/>
                <w:szCs w:val="20"/>
                <w:color w:val="auto"/>
              </w:rPr>
            </w:pPr>
            <w:r>
              <w:rPr>
                <w:rFonts w:ascii="Times New Roman" w:cs="Times New Roman" w:eastAsia="Times New Roman" w:hAnsi="Times New Roman"/>
                <w:sz w:val="16"/>
                <w:szCs w:val="16"/>
                <w:color w:val="auto"/>
                <w:w w:val="95"/>
              </w:rPr>
              <w:t>6.6%</w:t>
            </w:r>
          </w:p>
        </w:tc>
      </w:tr>
      <w:tr>
        <w:trPr>
          <w:trHeight w:val="20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6180" w:type="dxa"/>
            <w:vAlign w:val="bottom"/>
          </w:tcPr>
          <w:p>
            <w:pPr>
              <w:jc w:val="center"/>
              <w:ind w:left="2501"/>
              <w:spacing w:after="0"/>
              <w:rPr>
                <w:sz w:val="20"/>
                <w:szCs w:val="20"/>
                <w:color w:val="auto"/>
              </w:rPr>
            </w:pPr>
            <w:r>
              <w:rPr>
                <w:rFonts w:ascii="Times New Roman" w:cs="Times New Roman" w:eastAsia="Times New Roman" w:hAnsi="Times New Roman"/>
                <w:sz w:val="16"/>
                <w:szCs w:val="16"/>
                <w:color w:val="auto"/>
                <w:w w:val="95"/>
              </w:rPr>
              <w:t>5.8%</w:t>
            </w: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280</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180" w:type="dxa"/>
            <w:vAlign w:val="bottom"/>
            <w:shd w:val="clear" w:color="auto" w:fill="CCEEFF"/>
          </w:tcPr>
          <w:p>
            <w:pPr>
              <w:jc w:val="center"/>
              <w:ind w:left="2501"/>
              <w:spacing w:after="0"/>
              <w:rPr>
                <w:sz w:val="20"/>
                <w:szCs w:val="20"/>
                <w:color w:val="auto"/>
              </w:rPr>
            </w:pPr>
            <w:r>
              <w:rPr>
                <w:rFonts w:ascii="Times New Roman" w:cs="Times New Roman" w:eastAsia="Times New Roman" w:hAnsi="Times New Roman"/>
                <w:sz w:val="16"/>
                <w:szCs w:val="16"/>
                <w:color w:val="auto"/>
                <w:w w:val="95"/>
              </w:rPr>
              <w:t>5.0%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prior year balances have been reclassified to conform to our current year presentation.</w:t>
      </w:r>
    </w:p>
    <w:p>
      <w:pPr>
        <w:spacing w:after="0" w:line="10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Beginning in the second quarter of 2024, we reclassified amounts recorded for certain right-of-use assets classified as operating leases from a gross presentation above accumulated depreciation to a net presentation below accumulated depreciation in our consolidated balance sheets. This includes reclassifying the related amortization that was previously included in the accumulated depreciation. We believe this presentation enhances the Company's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11"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In November 2024, the FASB issued ASU No. 2024-03 Income Statement - Reporting Comprehensive Income - Expense Disaggregation Disclosures (Subtopic 220-40). The objective of this amendment is to help investors better understand a public entity's performance, better assess the entity's prospect for future cash flows, and compare the entity's performance over time and with that of other entities. The amendment will require public business entities to include a footnote disclosure about specific expenses by requiring them to disaggregate, in a tabular presentation, each relevant expense caption on the face of the income statement that includes purchases of inventory, employee compensation, depreciation, and intangible asset amortization. For any remaining items within each relevant expense caption, a qualitative disclosure is required for the amounts that are not separately disaggregated quantitatively. Additionally, the amendment provides guidance on the definition of selling expenses along with a requirement to disclose the total amount of selling expenses. The amendment does not change the requirements for the presentation of expenses on the face of the income statement. ASU 2024-03 is effective for annual periods beginning after December 15, 2026, and interim reporting periods beginning after December 15, 2027. Early adoption is permitted. We are currently evaluating the impact of ASU 2024-03 on our consolidated financial statements and will adopt this standard for the year ended December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jc w:val="both"/>
        <w:ind w:right="100" w:firstLine="395"/>
        <w:spacing w:after="0" w:line="247"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 Improvements to Income Tax Disclosures. The objective of the amendments in ASU 2023-09 related to the rate reconciliation and income taxes paid disclosures are to improve transparency of income tax disclosures by requiring consistent categories and greater disaggregation of information in the rate reconciliation, and income taxes paid disaggregated by jurisdiction. The amendment will require that public entities on an annual basis disclose specific categories in the rate reconciliation and provide additional information for reconciling items that meet a quantitative threshold. Additionally, the amendment will require that all entities disclose on an annual basis the amount of taxes paid (net of refunds received) disaggregated by federal, state and foreign taxes as well as disaggregated by individual jurisdictions that meet a quantitative threshold. ASU 2023-09 is effective prospectively for annual periods beginning after December 15, 2024. We adopted this guidance on January 1, 2025 and do not believe it will have a material impact on our consolidated financial statements.</w:t>
      </w:r>
    </w:p>
    <w:p>
      <w:pPr>
        <w:spacing w:after="0" w:line="85" w:lineRule="exact"/>
        <w:rPr>
          <w:sz w:val="20"/>
          <w:szCs w:val="20"/>
          <w:color w:val="auto"/>
        </w:rPr>
      </w:pPr>
    </w:p>
    <w:p>
      <w:pPr>
        <w:jc w:val="both"/>
        <w:ind w:right="100" w:firstLine="395"/>
        <w:spacing w:after="0" w:line="247" w:lineRule="auto"/>
        <w:rPr>
          <w:sz w:val="20"/>
          <w:szCs w:val="20"/>
          <w:color w:val="auto"/>
        </w:rPr>
      </w:pPr>
      <w:r>
        <w:rPr>
          <w:rFonts w:ascii="Times New Roman" w:cs="Times New Roman" w:eastAsia="Times New Roman" w:hAnsi="Times New Roman"/>
          <w:sz w:val="18"/>
          <w:szCs w:val="18"/>
          <w:color w:val="auto"/>
        </w:rPr>
        <w:t>In August 2023, the FASB issued ASU No. 2023-05 Business Combinations - Joint Venture Formations (Subtopic 805-60) Recognition and Initial Measurement. ASU 2023-05 addresses the accounting for contributions made to a joint venture, upon formation, in a joint venture's separate financial statements. The objectives of the amendments are to provide decision-useful information to investors and other allocators of capital in a joint venture's financial statements and reduce diversity in practice. The amendments require that a joint venture apply the following key adaptations from the business combinations guidance upon formation: (i) a joint venture is the formation of a new entity without an accounting acquirer, (ii) a joint venture measures its identifiable net assets and goodwill, if any, at the formation date, (iii) initial measurement of a joint venture's total net assets is equal to the fair value of 100 percent of the joint venture's equity, and (iv) a joint venture provides relevant disclosures. ASU 2023-05 is effective prospectively for all joint venture formations with a formation date on or after January 1, 2025. We adopted this guidance on January 1, 2025 and do not believe it will have a material impact on our consolidated financial statements.</w:t>
      </w:r>
    </w:p>
    <w:p>
      <w:pPr>
        <w:spacing w:after="0" w:line="81" w:lineRule="exact"/>
        <w:rPr>
          <w:sz w:val="20"/>
          <w:szCs w:val="20"/>
          <w:color w:val="auto"/>
        </w:rPr>
      </w:pPr>
    </w:p>
    <w:p>
      <w:pPr>
        <w:ind w:right="8040" w:firstLine="5"/>
        <w:spacing w:after="0" w:line="367" w:lineRule="auto"/>
        <w:tabs>
          <w:tab w:leader="none" w:pos="1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Acquisitions and Consolidations Property Acquisitions</w:t>
      </w: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properties acquired during the three months ended March 31, 2025:</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Acquisition Date</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Property Type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Approximate Square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Gross Asset Valuati</w:t>
            </w:r>
          </w:p>
        </w:tc>
        <w:tc>
          <w:tcPr>
            <w:tcW w:w="0" w:type="dxa"/>
            <w:vAlign w:val="bottom"/>
          </w:tcPr>
          <w:p>
            <w:pPr>
              <w:spacing w:after="0"/>
              <w:rPr>
                <w:sz w:val="1"/>
                <w:szCs w:val="1"/>
                <w:color w:val="auto"/>
              </w:rPr>
            </w:pPr>
          </w:p>
        </w:tc>
      </w:tr>
      <w:tr>
        <w:trPr>
          <w:trHeight w:val="211"/>
        </w:trPr>
        <w:tc>
          <w:tcPr>
            <w:tcW w:w="390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120" w:type="dxa"/>
            <w:vAlign w:val="bottom"/>
          </w:tcPr>
          <w:p>
            <w:pPr>
              <w:spacing w:after="0"/>
              <w:rPr>
                <w:sz w:val="18"/>
                <w:szCs w:val="18"/>
                <w:color w:val="auto"/>
              </w:rPr>
            </w:pPr>
          </w:p>
        </w:tc>
        <w:tc>
          <w:tcPr>
            <w:tcW w:w="134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(in millions)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4"/>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Park Avenue</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January 2025</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Fee Interest</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0" w:hanging="395"/>
        <w:spacing w:after="0"/>
        <w:tabs>
          <w:tab w:leader="none" w:pos="4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gross asset valuation of the property net of closing costs and adjustments.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Consolidations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March 31, 2025, we did not consolidate any existing unconsolidated joint venture properties.</w:t>
      </w:r>
    </w:p>
    <w:p>
      <w:pPr>
        <w:spacing w:after="0" w:line="107" w:lineRule="exact"/>
        <w:rPr>
          <w:sz w:val="20"/>
          <w:szCs w:val="20"/>
          <w:color w:val="auto"/>
        </w:rPr>
      </w:pPr>
    </w:p>
    <w:p>
      <w:pPr>
        <w:ind w:right="7360" w:firstLine="5"/>
        <w:spacing w:after="0" w:line="367" w:lineRule="auto"/>
        <w:tabs>
          <w:tab w:leader="none" w:pos="17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Properties Held for Sale and Property Dispositions Properties Held for Sale</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2025, no properties were classified as held for sale.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Dispositions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properties sold during the three months ended March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20" w:type="dxa"/>
            <w:vAlign w:val="bottom"/>
          </w:tcPr>
          <w:p>
            <w:pPr>
              <w:spacing w:after="0"/>
              <w:rPr>
                <w:sz w:val="16"/>
                <w:szCs w:val="16"/>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 xml:space="preserve">Sales Price </w:t>
            </w:r>
            <w:r>
              <w:rPr>
                <w:rFonts w:ascii="Times New Roman" w:cs="Times New Roman" w:eastAsia="Times New Roman" w:hAnsi="Times New Roman"/>
                <w:sz w:val="20"/>
                <w:szCs w:val="20"/>
                <w:b w:val="1"/>
                <w:bCs w:val="1"/>
                <w:color w:val="auto"/>
                <w:w w:val="93"/>
                <w:vertAlign w:val="superscript"/>
              </w:rPr>
              <w:t>(1)</w:t>
            </w:r>
          </w:p>
        </w:tc>
        <w:tc>
          <w:tcPr>
            <w:tcW w:w="220" w:type="dxa"/>
            <w:vAlign w:val="bottom"/>
          </w:tcPr>
          <w:p>
            <w:pPr>
              <w:spacing w:after="0"/>
              <w:rPr>
                <w:sz w:val="16"/>
                <w:szCs w:val="16"/>
                <w:color w:val="auto"/>
              </w:rPr>
            </w:pPr>
          </w:p>
        </w:tc>
        <w:tc>
          <w:tcPr>
            <w:tcW w:w="136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Gain on Sale</w:t>
            </w:r>
          </w:p>
        </w:tc>
        <w:tc>
          <w:tcPr>
            <w:tcW w:w="0" w:type="dxa"/>
            <w:vAlign w:val="bottom"/>
          </w:tcPr>
          <w:p>
            <w:pPr>
              <w:spacing w:after="0"/>
              <w:rPr>
                <w:sz w:val="1"/>
                <w:szCs w:val="1"/>
                <w:color w:val="auto"/>
              </w:rPr>
            </w:pPr>
          </w:p>
        </w:tc>
      </w:tr>
      <w:tr>
        <w:trPr>
          <w:trHeight w:val="158"/>
        </w:trPr>
        <w:tc>
          <w:tcPr>
            <w:tcW w:w="2820" w:type="dxa"/>
            <w:vAlign w:val="bottom"/>
            <w:vMerge w:val="restart"/>
          </w:tcPr>
          <w:p>
            <w:pPr>
              <w:ind w:left="1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00" w:type="dxa"/>
            <w:vAlign w:val="bottom"/>
            <w:vMerge w:val="restart"/>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Disposition Date</w:t>
            </w:r>
          </w:p>
        </w:tc>
        <w:tc>
          <w:tcPr>
            <w:tcW w:w="10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Property Type</w:t>
            </w:r>
          </w:p>
        </w:tc>
        <w:tc>
          <w:tcPr>
            <w:tcW w:w="100" w:type="dxa"/>
            <w:vAlign w:val="bottom"/>
            <w:vMerge w:val="restart"/>
          </w:tcPr>
          <w:p>
            <w:pPr>
              <w:spacing w:after="0"/>
              <w:rPr>
                <w:sz w:val="13"/>
                <w:szCs w:val="13"/>
                <w:color w:val="auto"/>
              </w:rPr>
            </w:pPr>
          </w:p>
        </w:tc>
        <w:tc>
          <w:tcPr>
            <w:tcW w:w="17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Approximate Usable</w:t>
            </w:r>
          </w:p>
        </w:tc>
        <w:tc>
          <w:tcPr>
            <w:tcW w:w="2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Square Feet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152"/>
        </w:trPr>
        <w:tc>
          <w:tcPr>
            <w:tcW w:w="28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Giorgio Armani Residences at 760</w:t>
            </w:r>
          </w:p>
        </w:tc>
        <w:tc>
          <w:tcPr>
            <w:tcW w:w="100" w:type="dxa"/>
            <w:vAlign w:val="bottom"/>
            <w:shd w:val="clear" w:color="auto" w:fill="CCEEFF"/>
          </w:tcPr>
          <w:p>
            <w:pPr>
              <w:spacing w:after="0"/>
              <w:rPr>
                <w:sz w:val="13"/>
                <w:szCs w:val="13"/>
                <w:color w:val="auto"/>
              </w:rPr>
            </w:pPr>
          </w:p>
        </w:tc>
        <w:tc>
          <w:tcPr>
            <w:tcW w:w="16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Multiple</w:t>
            </w:r>
          </w:p>
        </w:tc>
        <w:tc>
          <w:tcPr>
            <w:tcW w:w="16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27"/>
        </w:trPr>
        <w:tc>
          <w:tcPr>
            <w:tcW w:w="2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Madison Avenue (6 Condominium Units)</w:t>
            </w:r>
          </w:p>
        </w:tc>
        <w:tc>
          <w:tcPr>
            <w:tcW w:w="1680" w:type="dxa"/>
            <w:vAlign w:val="bottom"/>
            <w:gridSpan w:val="2"/>
            <w:vMerge w:val="continue"/>
            <w:shd w:val="clear" w:color="auto" w:fill="CCEEFF"/>
          </w:tcPr>
          <w:p>
            <w:pPr>
              <w:spacing w:after="0"/>
              <w:rPr>
                <w:sz w:val="11"/>
                <w:szCs w:val="11"/>
                <w:color w:val="auto"/>
              </w:rPr>
            </w:pPr>
          </w:p>
        </w:tc>
        <w:tc>
          <w:tcPr>
            <w:tcW w:w="1660" w:type="dxa"/>
            <w:vAlign w:val="bottom"/>
            <w:gridSpan w:val="2"/>
            <w:vMerge w:val="continue"/>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920" w:type="dxa"/>
            <w:vAlign w:val="bottom"/>
            <w:gridSpan w:val="2"/>
            <w:vMerge w:val="continue"/>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0" w:hanging="395"/>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price represents the gross sales price for a property or the gross asset valuation for interests in a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 and Preferred Equity Investments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Below is a summary of the activity in our consolidated debt and preferred equity investments for the three months ended March 31, 2025 and the twelve months ended December 31, 2024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6"/>
        </w:trPr>
        <w:tc>
          <w:tcPr>
            <w:tcW w:w="740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Balance at beginning of year </w:t>
            </w:r>
            <w:r>
              <w:rPr>
                <w:rFonts w:ascii="Times New Roman" w:cs="Times New Roman" w:eastAsia="Times New Roman" w:hAnsi="Times New Roman"/>
                <w:sz w:val="20"/>
                <w:szCs w:val="20"/>
                <w:color w:val="auto"/>
                <w:vertAlign w:val="superscript"/>
              </w:rPr>
              <w:t>(1)</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346,745</w:t>
            </w:r>
          </w:p>
        </w:tc>
      </w:tr>
      <w:tr>
        <w:trPr>
          <w:trHeight w:val="211"/>
        </w:trPr>
        <w:tc>
          <w:tcPr>
            <w:tcW w:w="74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Debt investment originations/fundings/accretion </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12,890</w:t>
            </w:r>
          </w:p>
        </w:tc>
      </w:tr>
      <w:tr>
        <w:trPr>
          <w:trHeight w:val="211"/>
        </w:trPr>
        <w:tc>
          <w:tcPr>
            <w:tcW w:w="74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Preferred equity investment originations/accretion </w:t>
            </w:r>
            <w:r>
              <w:rPr>
                <w:rFonts w:ascii="Times New Roman" w:cs="Times New Roman" w:eastAsia="Times New Roman" w:hAnsi="Times New Roman"/>
                <w:sz w:val="20"/>
                <w:szCs w:val="20"/>
                <w:color w:val="auto"/>
                <w:vertAlign w:val="superscript"/>
              </w:rPr>
              <w:t>(2) (3)</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Redemptions/sales/syndications/equity ownership/amortization</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(64,629)</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loan loss reserves</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400" w:type="dxa"/>
            <w:vAlign w:val="bottom"/>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Balance at end of period </w:t>
            </w:r>
            <w:r>
              <w:rPr>
                <w:rFonts w:ascii="Times New Roman" w:cs="Times New Roman" w:eastAsia="Times New Roman" w:hAnsi="Times New Roman"/>
                <w:sz w:val="20"/>
                <w:szCs w:val="20"/>
                <w:color w:val="auto"/>
                <w:vertAlign w:val="superscript"/>
              </w:rPr>
              <w:t>(1) (4)</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318,189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303,726</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00" w:hanging="395"/>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fees, discounts, and premiums.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Accretion includes amortization of fees and discounts and paid-in-kind investment income.</w:t>
      </w:r>
    </w:p>
    <w:p>
      <w:pPr>
        <w:spacing w:after="0" w:line="5" w:lineRule="exact"/>
        <w:rPr>
          <w:rFonts w:ascii="Times New Roman" w:cs="Times New Roman" w:eastAsia="Times New Roman" w:hAnsi="Times New Roman"/>
          <w:sz w:val="14"/>
          <w:szCs w:val="14"/>
          <w:color w:val="auto"/>
        </w:rPr>
      </w:pPr>
    </w:p>
    <w:p>
      <w:pPr>
        <w:ind w:left="400" w:hanging="395"/>
        <w:spacing w:after="0" w:line="255" w:lineRule="auto"/>
        <w:tabs>
          <w:tab w:leader="none" w:pos="3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$219.4 million preferred equity investment that is included in Investment in unconsolidated joint ventures in our consolidated balance sheet. See Note 6, "Investments in Unconsolidated Joint Ventures."</w:t>
      </w:r>
    </w:p>
    <w:p>
      <w:pPr>
        <w:ind w:left="400" w:hanging="395"/>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our consolidated debt and preferred equity investments as of March 31, 2025 (dollars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Floating Rate</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00" w:type="dxa"/>
            <w:vAlign w:val="bottom"/>
          </w:tcPr>
          <w:p>
            <w:pPr>
              <w:spacing w:after="0"/>
              <w:rPr>
                <w:sz w:val="20"/>
                <w:szCs w:val="20"/>
                <w:color w:val="auto"/>
              </w:rPr>
            </w:pPr>
          </w:p>
        </w:tc>
        <w:tc>
          <w:tcPr>
            <w:tcW w:w="78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20"/>
                <w:szCs w:val="20"/>
                <w:color w:val="auto"/>
              </w:rPr>
            </w:pPr>
          </w:p>
        </w:tc>
        <w:tc>
          <w:tcPr>
            <w:tcW w:w="880" w:type="dxa"/>
            <w:vAlign w:val="bottom"/>
            <w:vMerge w:val="restart"/>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w w:val="94"/>
              </w:rPr>
              <w:t>Face Value</w:t>
            </w: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6"/>
                <w:szCs w:val="16"/>
                <w:b w:val="1"/>
                <w:bCs w:val="1"/>
                <w:color w:val="auto"/>
                <w:w w:val="94"/>
              </w:rPr>
              <w:t>Face Value</w:t>
            </w: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10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 xml:space="preserve">Maturity </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11"/>
        </w:trPr>
        <w:tc>
          <w:tcPr>
            <w:tcW w:w="2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80" w:type="dxa"/>
            <w:vAlign w:val="bottom"/>
            <w:gridSpan w:val="2"/>
          </w:tcPr>
          <w:p>
            <w:pPr>
              <w:jc w:val="center"/>
              <w:ind w:right="140"/>
              <w:spacing w:after="0" w:line="210"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100" w:type="dxa"/>
            <w:vAlign w:val="bottom"/>
          </w:tcPr>
          <w:p>
            <w:pPr>
              <w:spacing w:after="0"/>
              <w:rPr>
                <w:sz w:val="18"/>
                <w:szCs w:val="18"/>
                <w:color w:val="auto"/>
              </w:rPr>
            </w:pPr>
          </w:p>
        </w:tc>
        <w:tc>
          <w:tcPr>
            <w:tcW w:w="78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2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Mezzanine Debt</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129,235</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130,003</w:t>
            </w:r>
          </w:p>
        </w:tc>
        <w:tc>
          <w:tcPr>
            <w:tcW w:w="860" w:type="dxa"/>
            <w:vAlign w:val="bottom"/>
            <w:tcBorders>
              <w:top w:val="single" w:sz="8" w:color="auto"/>
            </w:tcBorders>
            <w:shd w:val="clear" w:color="auto" w:fill="CCEEFF"/>
          </w:tcPr>
          <w:p>
            <w:pPr>
              <w:jc w:val="center"/>
              <w:spacing w:after="0" w:line="125" w:lineRule="exact"/>
              <w:rPr>
                <w:sz w:val="20"/>
                <w:szCs w:val="20"/>
                <w:color w:val="auto"/>
              </w:rPr>
            </w:pPr>
            <w:r>
              <w:rPr>
                <w:rFonts w:ascii="Times New Roman" w:cs="Times New Roman" w:eastAsia="Times New Roman" w:hAnsi="Times New Roman"/>
                <w:sz w:val="14"/>
                <w:szCs w:val="14"/>
                <w:color w:val="auto"/>
              </w:rPr>
              <w:t>S + 5.06% -</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50,000</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50,000</w:t>
            </w:r>
          </w:p>
        </w:tc>
        <w:tc>
          <w:tcPr>
            <w:tcW w:w="880" w:type="dxa"/>
            <w:vAlign w:val="bottom"/>
            <w:tcBorders>
              <w:top w:val="single" w:sz="8" w:color="auto"/>
            </w:tcBorders>
            <w:shd w:val="clear" w:color="auto" w:fill="CCEEFF"/>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8.00% -</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179,235 </w:t>
            </w:r>
            <w:r>
              <w:rPr>
                <w:rFonts w:ascii="Times New Roman" w:cs="Times New Roman" w:eastAsia="Times New Roman" w:hAnsi="Times New Roman"/>
                <w:sz w:val="28"/>
                <w:szCs w:val="28"/>
                <w:color w:val="auto"/>
                <w:vertAlign w:val="superscript"/>
              </w:rPr>
              <w:t>(3)</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812,021</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2024 - 2029</w:t>
            </w:r>
          </w:p>
        </w:tc>
        <w:tc>
          <w:tcPr>
            <w:tcW w:w="0" w:type="dxa"/>
            <w:vAlign w:val="bottom"/>
          </w:tcPr>
          <w:p>
            <w:pPr>
              <w:spacing w:after="0"/>
              <w:rPr>
                <w:sz w:val="1"/>
                <w:szCs w:val="1"/>
                <w:color w:val="auto"/>
              </w:rPr>
            </w:pPr>
          </w:p>
        </w:tc>
      </w:tr>
      <w:tr>
        <w:trPr>
          <w:trHeight w:val="197"/>
        </w:trPr>
        <w:tc>
          <w:tcPr>
            <w:tcW w:w="228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4"/>
                <w:szCs w:val="14"/>
                <w:color w:val="auto"/>
              </w:rPr>
              <w:t>11.63%</w:t>
            </w: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8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 xml:space="preserve">Preferred Equity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138,954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138,954</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138,954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16"/>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129,235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130,003</w:t>
            </w: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188,954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188,954</w:t>
            </w: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318,189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1,062,021</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0" w:hanging="395"/>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interest rates are presented with the stated spread over Term SOFR ("S").</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available extension options to the extent they have not been exercised as of the date of this filing.</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10" w:lineRule="exact"/>
        <w:rPr>
          <w:rFonts w:ascii="Times New Roman" w:cs="Times New Roman" w:eastAsia="Times New Roman" w:hAnsi="Times New Roman"/>
          <w:sz w:val="14"/>
          <w:szCs w:val="14"/>
          <w:color w:val="auto"/>
        </w:rPr>
      </w:pPr>
    </w:p>
    <w:p>
      <w:pPr>
        <w:ind w:left="400" w:hanging="395"/>
        <w:spacing w:after="0" w:line="250" w:lineRule="auto"/>
        <w:tabs>
          <w:tab w:leader="none" w:pos="39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$219.4 million preferred equity investment that is included in Investment in unconsolidated joint ventures in our consolidated balance sheet. See Note 6, "Investments in Unconsolidated Joint Ventures."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is a roll forward of our total allowance for loan losses for the three months ended March 31, 2025 and the twelve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6"/>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tcBorders>
            <w:shd w:val="clear" w:color="auto" w:fill="CCEEFF"/>
          </w:tcPr>
          <w:p>
            <w:pPr>
              <w:jc w:val="center"/>
              <w:ind w:left="941"/>
              <w:spacing w:after="0"/>
              <w:rPr>
                <w:sz w:val="20"/>
                <w:szCs w:val="20"/>
                <w:color w:val="auto"/>
              </w:rPr>
            </w:pPr>
            <w:r>
              <w:rPr>
                <w:rFonts w:ascii="Times New Roman" w:cs="Times New Roman" w:eastAsia="Times New Roman" w:hAnsi="Times New Roman"/>
                <w:sz w:val="16"/>
                <w:szCs w:val="16"/>
                <w:b w:val="1"/>
                <w:bCs w:val="1"/>
                <w:color w:val="auto"/>
                <w:w w:val="95"/>
              </w:rPr>
              <w:t>13,520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w:t>
            </w:r>
          </w:p>
        </w:tc>
      </w:tr>
      <w:tr>
        <w:trPr>
          <w:trHeight w:val="211"/>
        </w:trPr>
        <w:tc>
          <w:tcPr>
            <w:tcW w:w="74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Initial allowance for credit losses on PCD loans </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8"/>
                <w:szCs w:val="18"/>
                <w:color w:val="auto"/>
              </w:rPr>
            </w:pPr>
          </w:p>
        </w:tc>
        <w:tc>
          <w:tcPr>
            <w:tcW w:w="1600" w:type="dxa"/>
            <w:vAlign w:val="bottom"/>
          </w:tcPr>
          <w:p>
            <w:pPr>
              <w:jc w:val="center"/>
              <w:ind w:left="941"/>
              <w:spacing w:after="0"/>
              <w:rPr>
                <w:sz w:val="20"/>
                <w:szCs w:val="20"/>
                <w:color w:val="auto"/>
              </w:rPr>
            </w:pPr>
            <w:r>
              <w:rPr>
                <w:rFonts w:ascii="Times New Roman" w:cs="Times New Roman" w:eastAsia="Times New Roman" w:hAnsi="Times New Roman"/>
                <w:sz w:val="16"/>
                <w:szCs w:val="16"/>
                <w:b w:val="1"/>
                <w:bCs w:val="1"/>
                <w:color w:val="auto"/>
                <w:w w:val="95"/>
              </w:rPr>
              <w:t>99,039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Writeoffs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left="901"/>
              <w:spacing w:after="0"/>
              <w:rPr>
                <w:sz w:val="20"/>
                <w:szCs w:val="20"/>
                <w:color w:val="auto"/>
              </w:rPr>
            </w:pPr>
            <w:r>
              <w:rPr>
                <w:rFonts w:ascii="Times New Roman" w:cs="Times New Roman" w:eastAsia="Times New Roman" w:hAnsi="Times New Roman"/>
                <w:sz w:val="16"/>
                <w:szCs w:val="16"/>
                <w:b w:val="1"/>
                <w:bCs w:val="1"/>
                <w:color w:val="auto"/>
                <w:w w:val="98"/>
              </w:rPr>
              <w:t>(24,000)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4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Current period recoveries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left="901"/>
              <w:spacing w:after="0"/>
              <w:rPr>
                <w:sz w:val="20"/>
                <w:szCs w:val="20"/>
                <w:color w:val="auto"/>
              </w:rPr>
            </w:pPr>
            <w:r>
              <w:rPr>
                <w:rFonts w:ascii="Times New Roman" w:cs="Times New Roman" w:eastAsia="Times New Roman" w:hAnsi="Times New Roman"/>
                <w:sz w:val="16"/>
                <w:szCs w:val="16"/>
                <w:b w:val="1"/>
                <w:bCs w:val="1"/>
                <w:color w:val="auto"/>
                <w:w w:val="98"/>
              </w:rPr>
              <w:t>(25,039)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440" w:type="dxa"/>
            <w:vAlign w:val="bottom"/>
            <w:tcBorders>
              <w:bottom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Balance at end of period </w:t>
            </w:r>
            <w:r>
              <w:rPr>
                <w:rFonts w:ascii="Times New Roman" w:cs="Times New Roman" w:eastAsia="Times New Roman" w:hAnsi="Times New Roman"/>
                <w:sz w:val="20"/>
                <w:szCs w:val="20"/>
                <w:color w:val="auto"/>
                <w:vertAlign w:val="superscript"/>
              </w:rPr>
              <w:t>(2)</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center"/>
              <w:ind w:left="941"/>
              <w:spacing w:after="0"/>
              <w:rPr>
                <w:sz w:val="20"/>
                <w:szCs w:val="20"/>
                <w:color w:val="auto"/>
              </w:rPr>
            </w:pPr>
            <w:r>
              <w:rPr>
                <w:rFonts w:ascii="Times New Roman" w:cs="Times New Roman" w:eastAsia="Times New Roman" w:hAnsi="Times New Roman"/>
                <w:sz w:val="16"/>
                <w:szCs w:val="16"/>
                <w:b w:val="1"/>
                <w:bCs w:val="1"/>
                <w:color w:val="auto"/>
                <w:w w:val="95"/>
              </w:rPr>
              <w:t>63,520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400" w:hanging="395"/>
        <w:spacing w:after="0" w:line="254" w:lineRule="auto"/>
        <w:tabs>
          <w:tab w:leader="none" w:pos="3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2025, we completed a series of transactions to acquire 100% of a commercial mortgage investment that was in maturity default. These transactions were consummated at various discounts. Once the commercial mortgage investment was wholly-owned, an initial allowance of $99.0 million was established, which is equal to the difference between the price paid for the investment and the par value of the investment. Subsequent to the final transaction, we entered into a modification with the borrower to reduce the loan principal by $24.0 million with the remaining principal to be repaid by a specified date. As a result of the modification and the collection of $10.0 million, we recognized a $25.0 million reversal of the established allowance during the three months ended March 31, 2025.</w:t>
      </w:r>
    </w:p>
    <w:p>
      <w:pPr>
        <w:spacing w:after="0" w:line="2" w:lineRule="exact"/>
        <w:rPr>
          <w:rFonts w:ascii="Times New Roman" w:cs="Times New Roman" w:eastAsia="Times New Roman" w:hAnsi="Times New Roman"/>
          <w:sz w:val="14"/>
          <w:szCs w:val="14"/>
          <w:color w:val="auto"/>
        </w:rPr>
      </w:pPr>
    </w:p>
    <w:p>
      <w:pPr>
        <w:ind w:left="400" w:hanging="395"/>
        <w:spacing w:after="0" w:line="270" w:lineRule="auto"/>
        <w:tabs>
          <w:tab w:leader="none" w:pos="3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2025, all financing receivables on non-accrual had an allowance for loan loss except for one debt investment with a carrying value of $53.5 million, which is included in the Company's alternative strategy portfolio.</w:t>
      </w:r>
    </w:p>
    <w:p>
      <w:pPr>
        <w:spacing w:after="0" w:line="20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2025 and December 31, 2024, one investment, which is fully reserved, was not performing in accordance with its respective terms. This is further discussed in the Debt Investments table below.</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 other financing receivables were 90 days past due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carrying value of our consolidated debt and preferred equity investment portfolio by risk rating as of March 31, 2025 and December 31, 2024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11"/>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w:t>
            </w:r>
          </w:p>
        </w:tc>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Low Risk Assets - Low probability of loss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158,954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156,720</w:t>
            </w:r>
          </w:p>
        </w:tc>
      </w:tr>
      <w:tr>
        <w:trPr>
          <w:trHeight w:val="316"/>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w:t>
            </w:r>
          </w:p>
        </w:tc>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 Watch List Assets - Higher potential for loss </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24"/>
                <w:szCs w:val="24"/>
                <w:color w:val="auto"/>
              </w:rPr>
            </w:pP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159,235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147,006</w:t>
            </w:r>
          </w:p>
        </w:tc>
      </w:tr>
      <w:tr>
        <w:trPr>
          <w:trHeight w:val="210"/>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w:t>
            </w:r>
          </w:p>
        </w:tc>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High Risk Assets - Loss more likely than not</w:t>
            </w: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1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318,189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303,726</w:t>
            </w:r>
          </w:p>
        </w:tc>
      </w:tr>
      <w:tr>
        <w:trPr>
          <w:trHeight w:val="20"/>
        </w:trPr>
        <w:tc>
          <w:tcPr>
            <w:tcW w:w="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00" w:hanging="395"/>
        <w:spacing w:after="0"/>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10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carrying value of our consolidated debt and preferred equity investment portfolio by year of origination and risk rating as of March 31, 2025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9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8"/>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60"/>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60"/>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20"/>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0"/>
                <w:szCs w:val="20"/>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1"/>
              <w:spacing w:after="0" w:line="208" w:lineRule="exact"/>
              <w:rPr>
                <w:sz w:val="20"/>
                <w:szCs w:val="20"/>
                <w:color w:val="auto"/>
              </w:rPr>
            </w:pPr>
            <w:r>
              <w:rPr>
                <w:rFonts w:ascii="Times New Roman" w:cs="Times New Roman" w:eastAsia="Times New Roman" w:hAnsi="Times New Roman"/>
                <w:sz w:val="16"/>
                <w:szCs w:val="16"/>
                <w:b w:val="1"/>
                <w:bCs w:val="1"/>
                <w:color w:val="auto"/>
                <w:w w:val="96"/>
              </w:rPr>
              <w:t xml:space="preserve">Prior </w:t>
            </w:r>
            <w:r>
              <w:rPr>
                <w:rFonts w:ascii="Times New Roman" w:cs="Times New Roman" w:eastAsia="Times New Roman" w:hAnsi="Times New Roman"/>
                <w:sz w:val="20"/>
                <w:szCs w:val="20"/>
                <w:b w:val="1"/>
                <w:bCs w:val="1"/>
                <w:color w:val="auto"/>
                <w:w w:val="96"/>
                <w:vertAlign w:val="superscript"/>
              </w:rPr>
              <w:t>(1)</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09"/>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Low Risk Assets - Low probability of loss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158,954</w:t>
            </w:r>
          </w:p>
        </w:tc>
        <w:tc>
          <w:tcPr>
            <w:tcW w:w="6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158,954</w:t>
            </w:r>
          </w:p>
        </w:tc>
      </w:tr>
      <w:tr>
        <w:trPr>
          <w:trHeight w:val="313"/>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Watch List Assets - Higher potential for loss</w:t>
            </w:r>
          </w:p>
        </w:tc>
        <w:tc>
          <w:tcPr>
            <w:tcW w:w="260" w:type="dxa"/>
            <w:vAlign w:val="bottom"/>
          </w:tcPr>
          <w:p>
            <w:pPr>
              <w:spacing w:after="0"/>
              <w:rPr>
                <w:sz w:val="24"/>
                <w:szCs w:val="24"/>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159,235</w:t>
            </w:r>
          </w:p>
        </w:tc>
        <w:tc>
          <w:tcPr>
            <w:tcW w:w="30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w w:val="97"/>
              </w:rPr>
              <w:t>(2)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159,235</w:t>
            </w:r>
          </w:p>
        </w:tc>
      </w:tr>
      <w:tr>
        <w:trPr>
          <w:trHeight w:val="213"/>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High Risk Assets - Loss more likely than not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1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318,189</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318,189</w:t>
            </w:r>
          </w:p>
        </w:tc>
      </w:tr>
      <w:tr>
        <w:trPr>
          <w:trHeight w:val="20"/>
        </w:trPr>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400" w:hanging="395"/>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 in which the investment was originated or acquired by us or in which a material modification occurred.</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10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We have determined that we have one portfolio segment of financing receivables as of March 31, 2025 and December 31, 2024 comprised of commercial real estate which is primarily recorded in debt and preferred equity investments.</w:t>
      </w:r>
    </w:p>
    <w:p>
      <w:pPr>
        <w:spacing w:after="0" w:line="6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Included in Other assets is an additional amount of financing receivables representing loans to joint venture partners totaling $27.6 million and $23.7 million as of March 31, 2025 and December 31, 2024, respectively. The Company recorded no provisions for loan losses related to these financing receivables for the three months ended March 31, 2025 and 2024. All of the loans with a carrying value as of March 31, 2025 have a risk rating of 2 and were performing in accordance with their respective terms.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Investments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March 31, 2025 and December 31, 2024, we held the following consolidated debt investments with an aggregate weighted average current yield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6.68% as of March 31, 2025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March 31, 2025</w:t>
            </w:r>
          </w:p>
        </w:tc>
        <w:tc>
          <w:tcPr>
            <w:tcW w:w="17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March 31, 2025 Senior</w:t>
            </w:r>
          </w:p>
        </w:tc>
        <w:tc>
          <w:tcPr>
            <w:tcW w:w="160" w:type="dxa"/>
            <w:vAlign w:val="bottom"/>
          </w:tcPr>
          <w:p>
            <w:pPr>
              <w:spacing w:after="0"/>
              <w:rPr>
                <w:sz w:val="16"/>
                <w:szCs w:val="16"/>
                <w:color w:val="auto"/>
              </w:rPr>
            </w:pPr>
          </w:p>
        </w:tc>
        <w:tc>
          <w:tcPr>
            <w:tcW w:w="16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March 31, 2025</w:t>
            </w:r>
          </w:p>
        </w:tc>
        <w:tc>
          <w:tcPr>
            <w:tcW w:w="140" w:type="dxa"/>
            <w:vAlign w:val="bottom"/>
          </w:tcPr>
          <w:p>
            <w:pPr>
              <w:spacing w:after="0"/>
              <w:rPr>
                <w:sz w:val="16"/>
                <w:szCs w:val="16"/>
                <w:color w:val="auto"/>
              </w:rPr>
            </w:pPr>
          </w:p>
        </w:tc>
        <w:tc>
          <w:tcPr>
            <w:tcW w:w="15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6"/>
                <w:szCs w:val="16"/>
                <w:color w:val="auto"/>
              </w:rPr>
            </w:pPr>
          </w:p>
        </w:tc>
        <w:tc>
          <w:tcPr>
            <w:tcW w:w="144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0" w:type="dxa"/>
            <w:vAlign w:val="bottom"/>
          </w:tcPr>
          <w:p>
            <w:pPr>
              <w:spacing w:after="0"/>
              <w:rPr>
                <w:sz w:val="1"/>
                <w:szCs w:val="1"/>
                <w:color w:val="auto"/>
              </w:rPr>
            </w:pPr>
          </w:p>
        </w:tc>
      </w:tr>
      <w:tr>
        <w:trPr>
          <w:trHeight w:val="158"/>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 Type</w:t>
            </w:r>
          </w:p>
        </w:tc>
        <w:tc>
          <w:tcPr>
            <w:tcW w:w="200" w:type="dxa"/>
            <w:vAlign w:val="bottom"/>
          </w:tcPr>
          <w:p>
            <w:pPr>
              <w:spacing w:after="0"/>
              <w:rPr>
                <w:sz w:val="13"/>
                <w:szCs w:val="13"/>
                <w:color w:val="auto"/>
              </w:rPr>
            </w:pPr>
          </w:p>
        </w:tc>
        <w:tc>
          <w:tcPr>
            <w:tcW w:w="16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Future Funding</w:t>
            </w:r>
          </w:p>
        </w:tc>
        <w:tc>
          <w:tcPr>
            <w:tcW w:w="17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6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Obligations</w:t>
            </w:r>
          </w:p>
        </w:tc>
        <w:tc>
          <w:tcPr>
            <w:tcW w:w="3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line="210" w:lineRule="exact"/>
              <w:rPr>
                <w:sz w:val="20"/>
                <w:szCs w:val="20"/>
                <w:color w:val="auto"/>
              </w:rPr>
            </w:pPr>
            <w:r>
              <w:rPr>
                <w:rFonts w:ascii="Times New Roman" w:cs="Times New Roman" w:eastAsia="Times New Roman" w:hAnsi="Times New Roman"/>
                <w:sz w:val="16"/>
                <w:szCs w:val="16"/>
                <w:b w:val="1"/>
                <w:bCs w:val="1"/>
                <w:color w:val="auto"/>
                <w:w w:val="94"/>
              </w:rPr>
              <w:t xml:space="preserve">Carrying Value </w:t>
            </w:r>
            <w:r>
              <w:rPr>
                <w:rFonts w:ascii="Times New Roman" w:cs="Times New Roman" w:eastAsia="Times New Roman" w:hAnsi="Times New Roman"/>
                <w:sz w:val="20"/>
                <w:szCs w:val="20"/>
                <w:b w:val="1"/>
                <w:bCs w:val="1"/>
                <w:color w:val="auto"/>
                <w:w w:val="94"/>
                <w:vertAlign w:val="superscript"/>
              </w:rPr>
              <w:t>(1)</w:t>
            </w:r>
          </w:p>
        </w:tc>
        <w:tc>
          <w:tcPr>
            <w:tcW w:w="140" w:type="dxa"/>
            <w:vAlign w:val="bottom"/>
          </w:tcPr>
          <w:p>
            <w:pPr>
              <w:spacing w:after="0"/>
              <w:rPr>
                <w:sz w:val="18"/>
                <w:szCs w:val="18"/>
                <w:color w:val="auto"/>
              </w:rPr>
            </w:pPr>
          </w:p>
        </w:tc>
        <w:tc>
          <w:tcPr>
            <w:tcW w:w="1540" w:type="dxa"/>
            <w:vAlign w:val="bottom"/>
          </w:tcPr>
          <w:p>
            <w:pPr>
              <w:jc w:val="right"/>
              <w:ind w:right="161"/>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8"/>
                <w:szCs w:val="18"/>
                <w:color w:val="auto"/>
              </w:rPr>
            </w:pPr>
          </w:p>
        </w:tc>
        <w:tc>
          <w:tcPr>
            <w:tcW w:w="1440" w:type="dxa"/>
            <w:vAlign w:val="bottom"/>
          </w:tcPr>
          <w:p>
            <w:pPr>
              <w:jc w:val="right"/>
              <w:ind w:right="401"/>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Date </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04"/>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 Investments: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6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(3) (4)</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13,366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2024</w:t>
            </w:r>
          </w:p>
        </w:tc>
        <w:tc>
          <w:tcPr>
            <w:tcW w:w="0" w:type="dxa"/>
            <w:vAlign w:val="bottom"/>
          </w:tcPr>
          <w:p>
            <w:pPr>
              <w:spacing w:after="0"/>
              <w:rPr>
                <w:sz w:val="1"/>
                <w:szCs w:val="1"/>
                <w:color w:val="auto"/>
              </w:rPr>
            </w:pPr>
          </w:p>
        </w:tc>
      </w:tr>
      <w:tr>
        <w:trPr>
          <w:trHeight w:val="211"/>
        </w:trPr>
        <w:tc>
          <w:tcPr>
            <w:tcW w:w="266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2025</w:t>
            </w:r>
          </w:p>
        </w:tc>
        <w:tc>
          <w:tcPr>
            <w:tcW w:w="0" w:type="dxa"/>
            <w:vAlign w:val="bottom"/>
          </w:tcPr>
          <w:p>
            <w:pPr>
              <w:spacing w:after="0"/>
              <w:rPr>
                <w:sz w:val="1"/>
                <w:szCs w:val="1"/>
                <w:color w:val="auto"/>
              </w:rPr>
            </w:pPr>
          </w:p>
        </w:tc>
      </w:tr>
      <w:tr>
        <w:trPr>
          <w:trHeight w:val="21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2029</w:t>
            </w:r>
          </w:p>
        </w:tc>
        <w:tc>
          <w:tcPr>
            <w:tcW w:w="0" w:type="dxa"/>
            <w:vAlign w:val="bottom"/>
          </w:tcPr>
          <w:p>
            <w:pPr>
              <w:spacing w:after="0"/>
              <w:rPr>
                <w:sz w:val="1"/>
                <w:szCs w:val="1"/>
                <w:color w:val="auto"/>
              </w:rPr>
            </w:pPr>
          </w:p>
        </w:tc>
      </w:tr>
      <w:tr>
        <w:trPr>
          <w:trHeight w:val="205"/>
        </w:trPr>
        <w:tc>
          <w:tcPr>
            <w:tcW w:w="26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fixed rate</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63,366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63,366</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Floating Rate Investments:</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6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(6)</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2025</w:t>
            </w:r>
          </w:p>
        </w:tc>
        <w:tc>
          <w:tcPr>
            <w:tcW w:w="0" w:type="dxa"/>
            <w:vAlign w:val="bottom"/>
          </w:tcPr>
          <w:p>
            <w:pPr>
              <w:spacing w:after="0"/>
              <w:rPr>
                <w:sz w:val="1"/>
                <w:szCs w:val="1"/>
                <w:color w:val="auto"/>
              </w:rPr>
            </w:pPr>
          </w:p>
        </w:tc>
      </w:tr>
      <w:tr>
        <w:trPr>
          <w:trHeight w:val="211"/>
        </w:trPr>
        <w:tc>
          <w:tcPr>
            <w:tcW w:w="266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(4) (7)</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53,687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53,687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2025</w:t>
            </w:r>
          </w:p>
        </w:tc>
        <w:tc>
          <w:tcPr>
            <w:tcW w:w="0" w:type="dxa"/>
            <w:vAlign w:val="bottom"/>
          </w:tcPr>
          <w:p>
            <w:pPr>
              <w:spacing w:after="0"/>
              <w:rPr>
                <w:sz w:val="1"/>
                <w:szCs w:val="1"/>
                <w:color w:val="auto"/>
              </w:rPr>
            </w:pPr>
          </w:p>
        </w:tc>
      </w:tr>
      <w:tr>
        <w:trPr>
          <w:trHeight w:val="211"/>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190,021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66,434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2026</w:t>
            </w:r>
          </w:p>
        </w:tc>
        <w:tc>
          <w:tcPr>
            <w:tcW w:w="0" w:type="dxa"/>
            <w:vAlign w:val="bottom"/>
          </w:tcPr>
          <w:p>
            <w:pPr>
              <w:spacing w:after="0"/>
              <w:rPr>
                <w:sz w:val="1"/>
                <w:szCs w:val="1"/>
                <w:color w:val="auto"/>
              </w:rPr>
            </w:pPr>
          </w:p>
        </w:tc>
      </w:tr>
      <w:tr>
        <w:trPr>
          <w:trHeight w:val="203"/>
        </w:trPr>
        <w:tc>
          <w:tcPr>
            <w:tcW w:w="2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floating rate</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527,021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129,389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117,160</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loan loss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179,235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167,006</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0" w:hanging="395"/>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discounts, premiums, original issue discounts and deferred origination fees.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maturity, excluding any extension options to the extent they have not been exercised as of the date of this filing.</w:t>
      </w:r>
    </w:p>
    <w:p>
      <w:pPr>
        <w:spacing w:after="0" w:line="21" w:lineRule="exact"/>
        <w:rPr>
          <w:rFonts w:ascii="Times New Roman" w:cs="Times New Roman" w:eastAsia="Times New Roman" w:hAnsi="Times New Roman"/>
          <w:sz w:val="14"/>
          <w:szCs w:val="14"/>
          <w:color w:val="auto"/>
        </w:rPr>
      </w:pPr>
    </w:p>
    <w:p>
      <w:pPr>
        <w:jc w:val="both"/>
        <w:ind w:left="400" w:hanging="395"/>
        <w:spacing w:after="0" w:line="248" w:lineRule="auto"/>
        <w:tabs>
          <w:tab w:leader="none" w:pos="3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went into default and was put on non-accrual in June 2020 and remains on non-accrual as of March 31, 2025. No investment income has been recognized subsequent to it being put on non-accrual. In the first quarter of 2023, the Company fully reserved the balance of the investment. Additionally, we determined the borrower entity to be a VIE, in which we are not the primary beneficiary.</w:t>
      </w: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2025, the maturity date of the loan was extended to July 2027.</w:t>
      </w:r>
    </w:p>
    <w:p>
      <w:pPr>
        <w:spacing w:after="0" w:line="10" w:lineRule="exact"/>
        <w:rPr>
          <w:rFonts w:ascii="Times New Roman" w:cs="Times New Roman" w:eastAsia="Times New Roman" w:hAnsi="Times New Roman"/>
          <w:sz w:val="14"/>
          <w:szCs w:val="14"/>
          <w:color w:val="auto"/>
        </w:rPr>
      </w:pPr>
    </w:p>
    <w:p>
      <w:pPr>
        <w:ind w:left="400" w:hanging="395"/>
        <w:spacing w:after="0" w:line="248" w:lineRule="auto"/>
        <w:tabs>
          <w:tab w:leader="none" w:pos="3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went into default and was put on non-accrual in January 2025 and remains on non-accrual as of March 31, 2025. No investment income has been recognized subsequent to it being put on non-accrual. The Company is in discussions with the borrower with respect to the loan.</w:t>
      </w:r>
    </w:p>
    <w:p>
      <w:pPr>
        <w:jc w:val="both"/>
        <w:ind w:left="400" w:hanging="395"/>
        <w:spacing w:after="0" w:line="259" w:lineRule="auto"/>
        <w:tabs>
          <w:tab w:leader="none" w:pos="3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went into default and was put on non-accrual in January 2023 and remains on non-accrual as of March 31, 2025. No investment income has been recognized subsequent to it being put on non-accrual. In December 2024, the maturity date of the loan was extended to December 2025. Additionally, we determined the borrower entity to be a VIE in which we are not the primary beneficiary.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Equity Investments</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we held the following consolidated preferred equity investment with an aggregate weighted average current yield of 6.55% as of March 31, 2025 (dollars in thousands), excluding a $219.4 million preferred equity investment that is included in Investment in unconsolidated joint ventures in our consolidated balance sheet: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left="221"/>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March 31, 2025 Senior</w:t>
            </w:r>
          </w:p>
        </w:tc>
        <w:tc>
          <w:tcPr>
            <w:tcW w:w="180" w:type="dxa"/>
            <w:vAlign w:val="bottom"/>
          </w:tcPr>
          <w:p>
            <w:pPr>
              <w:spacing w:after="0"/>
              <w:rPr>
                <w:sz w:val="16"/>
                <w:szCs w:val="16"/>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60" w:type="dxa"/>
            <w:vAlign w:val="bottom"/>
          </w:tcPr>
          <w:p>
            <w:pPr>
              <w:spacing w:after="0"/>
              <w:rPr>
                <w:sz w:val="16"/>
                <w:szCs w:val="16"/>
                <w:color w:val="auto"/>
              </w:rPr>
            </w:pPr>
          </w:p>
        </w:tc>
        <w:tc>
          <w:tcPr>
            <w:tcW w:w="15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Mandatory</w:t>
            </w:r>
          </w:p>
        </w:tc>
        <w:tc>
          <w:tcPr>
            <w:tcW w:w="0" w:type="dxa"/>
            <w:vAlign w:val="bottom"/>
          </w:tcPr>
          <w:p>
            <w:pPr>
              <w:spacing w:after="0"/>
              <w:rPr>
                <w:sz w:val="1"/>
                <w:szCs w:val="1"/>
                <w:color w:val="auto"/>
              </w:rPr>
            </w:pPr>
          </w:p>
        </w:tc>
      </w:tr>
      <w:tr>
        <w:trPr>
          <w:trHeight w:val="158"/>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80" w:type="dxa"/>
            <w:vAlign w:val="bottom"/>
          </w:tcPr>
          <w:p>
            <w:pPr>
              <w:jc w:val="center"/>
              <w:ind w:left="221"/>
              <w:spacing w:after="0" w:line="158" w:lineRule="exact"/>
              <w:rPr>
                <w:sz w:val="20"/>
                <w:szCs w:val="20"/>
                <w:color w:val="auto"/>
              </w:rPr>
            </w:pPr>
            <w:r>
              <w:rPr>
                <w:rFonts w:ascii="Times New Roman" w:cs="Times New Roman" w:eastAsia="Times New Roman" w:hAnsi="Times New Roman"/>
                <w:sz w:val="16"/>
                <w:szCs w:val="16"/>
                <w:b w:val="1"/>
                <w:bCs w:val="1"/>
                <w:color w:val="auto"/>
                <w:w w:val="97"/>
              </w:rPr>
              <w:t>Future Funding</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420" w:type="dxa"/>
            <w:vAlign w:val="bottom"/>
            <w:gridSpan w:val="2"/>
            <w:vMerge w:val="continue"/>
          </w:tcPr>
          <w:p>
            <w:pPr>
              <w:spacing w:after="0"/>
              <w:rPr>
                <w:sz w:val="18"/>
                <w:szCs w:val="18"/>
                <w:color w:val="auto"/>
              </w:rPr>
            </w:pPr>
          </w:p>
        </w:tc>
        <w:tc>
          <w:tcPr>
            <w:tcW w:w="1480" w:type="dxa"/>
            <w:vAlign w:val="bottom"/>
          </w:tcPr>
          <w:p>
            <w:pPr>
              <w:jc w:val="center"/>
              <w:ind w:left="221"/>
              <w:spacing w:after="0"/>
              <w:rPr>
                <w:sz w:val="20"/>
                <w:szCs w:val="20"/>
                <w:color w:val="auto"/>
              </w:rPr>
            </w:pPr>
            <w:r>
              <w:rPr>
                <w:rFonts w:ascii="Times New Roman" w:cs="Times New Roman" w:eastAsia="Times New Roman" w:hAnsi="Times New Roman"/>
                <w:sz w:val="16"/>
                <w:szCs w:val="16"/>
                <w:b w:val="1"/>
                <w:bCs w:val="1"/>
                <w:color w:val="auto"/>
                <w:w w:val="98"/>
              </w:rPr>
              <w:t>Obligations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80" w:type="dxa"/>
            <w:vAlign w:val="bottom"/>
          </w:tcPr>
          <w:p>
            <w:pPr>
              <w:spacing w:after="0"/>
              <w:rPr>
                <w:sz w:val="18"/>
                <w:szCs w:val="18"/>
                <w:color w:val="auto"/>
              </w:rPr>
            </w:pPr>
          </w:p>
        </w:tc>
        <w:tc>
          <w:tcPr>
            <w:tcW w:w="1620" w:type="dxa"/>
            <w:vAlign w:val="bottom"/>
            <w:gridSpan w:val="2"/>
          </w:tcPr>
          <w:p>
            <w:pPr>
              <w:jc w:val="center"/>
              <w:ind w:right="260"/>
              <w:spacing w:after="0" w:line="210" w:lineRule="exact"/>
              <w:rPr>
                <w:sz w:val="20"/>
                <w:szCs w:val="20"/>
                <w:color w:val="auto"/>
              </w:rPr>
            </w:pPr>
            <w:r>
              <w:rPr>
                <w:rFonts w:ascii="Times New Roman" w:cs="Times New Roman" w:eastAsia="Times New Roman" w:hAnsi="Times New Roman"/>
                <w:sz w:val="16"/>
                <w:szCs w:val="16"/>
                <w:b w:val="1"/>
                <w:bCs w:val="1"/>
                <w:color w:val="auto"/>
                <w:w w:val="94"/>
              </w:rPr>
              <w:t xml:space="preserve">Carrying Value </w:t>
            </w:r>
            <w:r>
              <w:rPr>
                <w:rFonts w:ascii="Times New Roman" w:cs="Times New Roman" w:eastAsia="Times New Roman" w:hAnsi="Times New Roman"/>
                <w:sz w:val="20"/>
                <w:szCs w:val="20"/>
                <w:b w:val="1"/>
                <w:bCs w:val="1"/>
                <w:color w:val="auto"/>
                <w:w w:val="94"/>
                <w:vertAlign w:val="superscript"/>
              </w:rPr>
              <w:t>(1)</w:t>
            </w:r>
          </w:p>
        </w:tc>
        <w:tc>
          <w:tcPr>
            <w:tcW w:w="160" w:type="dxa"/>
            <w:vAlign w:val="bottom"/>
          </w:tcPr>
          <w:p>
            <w:pPr>
              <w:spacing w:after="0"/>
              <w:rPr>
                <w:sz w:val="18"/>
                <w:szCs w:val="18"/>
                <w:color w:val="auto"/>
              </w:rPr>
            </w:pPr>
          </w:p>
        </w:tc>
        <w:tc>
          <w:tcPr>
            <w:tcW w:w="1540" w:type="dxa"/>
            <w:vAlign w:val="bottom"/>
          </w:tcPr>
          <w:p>
            <w:pPr>
              <w:jc w:val="right"/>
              <w:ind w:right="161"/>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8"/>
                <w:szCs w:val="18"/>
                <w:color w:val="auto"/>
              </w:rPr>
            </w:pPr>
          </w:p>
        </w:tc>
        <w:tc>
          <w:tcPr>
            <w:tcW w:w="1440" w:type="dxa"/>
            <w:vAlign w:val="bottom"/>
          </w:tcPr>
          <w:p>
            <w:pPr>
              <w:jc w:val="center"/>
              <w:spacing w:after="0" w:line="210" w:lineRule="exact"/>
              <w:rPr>
                <w:sz w:val="20"/>
                <w:szCs w:val="20"/>
                <w:color w:val="auto"/>
              </w:rPr>
            </w:pPr>
            <w:r>
              <w:rPr>
                <w:rFonts w:ascii="Times New Roman" w:cs="Times New Roman" w:eastAsia="Times New Roman" w:hAnsi="Times New Roman"/>
                <w:sz w:val="16"/>
                <w:szCs w:val="16"/>
                <w:b w:val="1"/>
                <w:bCs w:val="1"/>
                <w:color w:val="auto"/>
                <w:w w:val="95"/>
              </w:rPr>
              <w:t xml:space="preserve">Redemption </w:t>
            </w:r>
            <w:r>
              <w:rPr>
                <w:rFonts w:ascii="Times New Roman" w:cs="Times New Roman" w:eastAsia="Times New Roman" w:hAnsi="Times New Roman"/>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204"/>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Equity</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ind w:right="1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138,954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136,720</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98"/>
              </w:rPr>
              <w:t>February 2027</w:t>
            </w:r>
          </w:p>
        </w:tc>
        <w:tc>
          <w:tcPr>
            <w:tcW w:w="0" w:type="dxa"/>
            <w:vAlign w:val="bottom"/>
          </w:tcPr>
          <w:p>
            <w:pPr>
              <w:spacing w:after="0"/>
              <w:rPr>
                <w:sz w:val="1"/>
                <w:szCs w:val="1"/>
                <w:color w:val="auto"/>
              </w:rPr>
            </w:pPr>
          </w:p>
        </w:tc>
      </w:tr>
      <w:tr>
        <w:trPr>
          <w:trHeight w:val="20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80" w:type="dxa"/>
            <w:vAlign w:val="bottom"/>
            <w:tcBorders>
              <w:bottom w:val="single" w:sz="8" w:color="auto"/>
            </w:tcBorders>
          </w:tcPr>
          <w:p>
            <w:pPr>
              <w:jc w:val="right"/>
              <w:ind w:right="1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138,954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136,720</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0" w:hanging="395"/>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deferred origination fees.</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redemption, excluding any unexercised extension options.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Joint Ventures</w:t>
      </w:r>
    </w:p>
    <w:p>
      <w:pPr>
        <w:spacing w:after="0" w:line="111" w:lineRule="exact"/>
        <w:rPr>
          <w:sz w:val="20"/>
          <w:szCs w:val="20"/>
          <w:color w:val="auto"/>
        </w:rPr>
      </w:pPr>
    </w:p>
    <w:p>
      <w:pPr>
        <w:jc w:val="both"/>
        <w:ind w:firstLine="434"/>
        <w:spacing w:after="0" w:line="332" w:lineRule="auto"/>
        <w:rPr>
          <w:sz w:val="20"/>
          <w:szCs w:val="20"/>
          <w:color w:val="auto"/>
        </w:rPr>
      </w:pPr>
      <w:r>
        <w:rPr>
          <w:rFonts w:ascii="Times New Roman" w:cs="Times New Roman" w:eastAsia="Times New Roman" w:hAnsi="Times New Roman"/>
          <w:sz w:val="16"/>
          <w:szCs w:val="16"/>
          <w:color w:val="auto"/>
        </w:rPr>
        <w:t>We have investments in several real estate joint ventures with various third-party partners. As of March 31, 2025, the book value of these investments was $2.7 billion, net of investments with negative book values totaling $135.9 million for which we have an implicit commitment to fund future capital needs.</w:t>
      </w:r>
    </w:p>
    <w:p>
      <w:pPr>
        <w:spacing w:after="0" w:line="17"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As of March 31, 2025 and December 31, 2024, 800 Third Avenue and our preferred equity investment in 625 Madison Avenue are VIEs in which we are not the primary beneficiary. Our net equity investment in these VIEs was $267.4 million and $263.8 million as of March 31, 2025 and December 31, 2024, respectively. Our maximum loss is limited to the amount of our equity investment in these VIEs. See the "Principles of Consolidation" section of Note 2, "Significant Accounting Policies." All other investments below are voting interest entities. As we have the ability to exercise significant influence over, but do not control, the joint ventures listed below, we account for them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provides general information on each of our joint ventures as of March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660" w:type="dxa"/>
            <w:vAlign w:val="bottom"/>
            <w:vMerge w:val="restart"/>
          </w:tcPr>
          <w:p>
            <w:pPr>
              <w:jc w:val="center"/>
              <w:ind w:left="681"/>
              <w:spacing w:after="0"/>
              <w:rPr>
                <w:sz w:val="20"/>
                <w:szCs w:val="20"/>
                <w:color w:val="auto"/>
              </w:rPr>
            </w:pPr>
            <w:r>
              <w:rPr>
                <w:rFonts w:ascii="Times New Roman" w:cs="Times New Roman" w:eastAsia="Times New Roman" w:hAnsi="Times New Roman"/>
                <w:sz w:val="16"/>
                <w:szCs w:val="16"/>
                <w:b w:val="1"/>
                <w:bCs w:val="1"/>
                <w:color w:val="auto"/>
                <w:w w:val="97"/>
              </w:rPr>
              <w:t>Economic</w:t>
            </w:r>
          </w:p>
        </w:tc>
        <w:tc>
          <w:tcPr>
            <w:tcW w:w="154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0" w:type="dxa"/>
            <w:vAlign w:val="bottom"/>
          </w:tcPr>
          <w:p>
            <w:pPr>
              <w:spacing w:after="0"/>
              <w:rPr>
                <w:sz w:val="1"/>
                <w:szCs w:val="1"/>
                <w:color w:val="auto"/>
              </w:rPr>
            </w:pPr>
          </w:p>
        </w:tc>
      </w:tr>
      <w:tr>
        <w:trPr>
          <w:trHeight w:val="158"/>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6060" w:type="dxa"/>
            <w:vAlign w:val="bottom"/>
            <w:vMerge w:val="restart"/>
          </w:tcPr>
          <w:p>
            <w:pPr>
              <w:ind w:left="3220"/>
              <w:spacing w:after="0"/>
              <w:rPr>
                <w:sz w:val="20"/>
                <w:szCs w:val="20"/>
                <w:color w:val="auto"/>
              </w:rPr>
            </w:pPr>
            <w:r>
              <w:rPr>
                <w:rFonts w:ascii="Times New Roman" w:cs="Times New Roman" w:eastAsia="Times New Roman" w:hAnsi="Times New Roman"/>
                <w:sz w:val="16"/>
                <w:szCs w:val="16"/>
                <w:b w:val="1"/>
                <w:bCs w:val="1"/>
                <w:color w:val="auto"/>
              </w:rPr>
              <w:t>Partner</w:t>
            </w:r>
          </w:p>
        </w:tc>
        <w:tc>
          <w:tcPr>
            <w:tcW w:w="1660" w:type="dxa"/>
            <w:vAlign w:val="bottom"/>
            <w:vMerge w:val="continue"/>
          </w:tcPr>
          <w:p>
            <w:pPr>
              <w:spacing w:after="0"/>
              <w:rPr>
                <w:sz w:val="13"/>
                <w:szCs w:val="13"/>
                <w:color w:val="auto"/>
              </w:rPr>
            </w:pPr>
          </w:p>
        </w:tc>
        <w:tc>
          <w:tcPr>
            <w:tcW w:w="1540" w:type="dxa"/>
            <w:vAlign w:val="bottom"/>
          </w:tcPr>
          <w:p>
            <w:pPr>
              <w:jc w:val="center"/>
              <w:ind w:left="1"/>
              <w:spacing w:after="0" w:line="158" w:lineRule="exact"/>
              <w:rPr>
                <w:sz w:val="20"/>
                <w:szCs w:val="20"/>
                <w:color w:val="auto"/>
              </w:rPr>
            </w:pPr>
            <w:r>
              <w:rPr>
                <w:rFonts w:ascii="Times New Roman" w:cs="Times New Roman" w:eastAsia="Times New Roman" w:hAnsi="Times New Roman"/>
                <w:sz w:val="16"/>
                <w:szCs w:val="16"/>
                <w:b w:val="1"/>
                <w:bCs w:val="1"/>
                <w:color w:val="auto"/>
                <w:w w:val="98"/>
              </w:rPr>
              <w:t>Approximate Square</w:t>
            </w:r>
          </w:p>
        </w:tc>
        <w:tc>
          <w:tcPr>
            <w:tcW w:w="0" w:type="dxa"/>
            <w:vAlign w:val="bottom"/>
          </w:tcPr>
          <w:p>
            <w:pPr>
              <w:spacing w:after="0"/>
              <w:rPr>
                <w:sz w:val="1"/>
                <w:szCs w:val="1"/>
                <w:color w:val="auto"/>
              </w:rPr>
            </w:pPr>
          </w:p>
        </w:tc>
      </w:tr>
      <w:tr>
        <w:trPr>
          <w:trHeight w:val="211"/>
        </w:trPr>
        <w:tc>
          <w:tcPr>
            <w:tcW w:w="1980" w:type="dxa"/>
            <w:vAlign w:val="bottom"/>
            <w:tcBorders>
              <w:bottom w:val="single" w:sz="8" w:color="auto"/>
            </w:tcBorders>
            <w:gridSpan w:val="2"/>
            <w:vMerge w:val="continue"/>
          </w:tcPr>
          <w:p>
            <w:pPr>
              <w:spacing w:after="0"/>
              <w:rPr>
                <w:sz w:val="18"/>
                <w:szCs w:val="18"/>
                <w:color w:val="auto"/>
              </w:rPr>
            </w:pPr>
          </w:p>
        </w:tc>
        <w:tc>
          <w:tcPr>
            <w:tcW w:w="606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jc w:val="center"/>
              <w:ind w:left="681"/>
              <w:spacing w:after="0" w:line="210" w:lineRule="exact"/>
              <w:rPr>
                <w:sz w:val="20"/>
                <w:szCs w:val="20"/>
                <w:color w:val="auto"/>
              </w:rPr>
            </w:pPr>
            <w:r>
              <w:rPr>
                <w:rFonts w:ascii="Times New Roman" w:cs="Times New Roman" w:eastAsia="Times New Roman" w:hAnsi="Times New Roman"/>
                <w:sz w:val="16"/>
                <w:szCs w:val="16"/>
                <w:b w:val="1"/>
                <w:bCs w:val="1"/>
                <w:color w:val="auto"/>
                <w:w w:val="96"/>
              </w:rPr>
              <w:t xml:space="preserve">Interest </w:t>
            </w:r>
            <w:r>
              <w:rPr>
                <w:rFonts w:ascii="Times New Roman" w:cs="Times New Roman" w:eastAsia="Times New Roman" w:hAnsi="Times New Roman"/>
                <w:sz w:val="20"/>
                <w:szCs w:val="20"/>
                <w:b w:val="1"/>
                <w:bCs w:val="1"/>
                <w:color w:val="auto"/>
                <w:w w:val="96"/>
                <w:vertAlign w:val="superscript"/>
              </w:rPr>
              <w:t>(1)</w:t>
            </w:r>
          </w:p>
        </w:tc>
        <w:tc>
          <w:tcPr>
            <w:tcW w:w="154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b w:val="1"/>
                <w:bCs w:val="1"/>
                <w:color w:val="auto"/>
              </w:rPr>
              <w:t>Feet</w:t>
            </w:r>
          </w:p>
        </w:tc>
        <w:tc>
          <w:tcPr>
            <w:tcW w:w="0" w:type="dxa"/>
            <w:vAlign w:val="bottom"/>
          </w:tcPr>
          <w:p>
            <w:pPr>
              <w:spacing w:after="0"/>
              <w:rPr>
                <w:sz w:val="1"/>
                <w:szCs w:val="1"/>
                <w:color w:val="auto"/>
              </w:rPr>
            </w:pPr>
          </w:p>
        </w:tc>
      </w:tr>
      <w:tr>
        <w:trPr>
          <w:trHeight w:val="204"/>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800</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Private Investors</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60.52%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526,000</w:t>
            </w:r>
          </w:p>
        </w:tc>
        <w:tc>
          <w:tcPr>
            <w:tcW w:w="0" w:type="dxa"/>
            <w:vAlign w:val="bottom"/>
          </w:tcPr>
          <w:p>
            <w:pPr>
              <w:spacing w:after="0"/>
              <w:rPr>
                <w:sz w:val="1"/>
                <w:szCs w:val="1"/>
                <w:color w:val="auto"/>
              </w:rPr>
            </w:pPr>
          </w:p>
        </w:tc>
      </w:tr>
      <w:tr>
        <w:trPr>
          <w:trHeight w:val="209"/>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919</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6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New York State Teacher's Retirement System</w:t>
            </w:r>
          </w:p>
        </w:tc>
        <w:tc>
          <w:tcPr>
            <w:tcW w:w="166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51.00%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1,454,000</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11 West 34th Street </w:t>
            </w:r>
            <w:r>
              <w:rPr>
                <w:rFonts w:ascii="Times New Roman" w:cs="Times New Roman" w:eastAsia="Times New Roman" w:hAnsi="Times New Roman"/>
                <w:sz w:val="20"/>
                <w:szCs w:val="20"/>
                <w:color w:val="auto"/>
                <w:vertAlign w:val="superscript"/>
              </w:rPr>
              <w:t>(2)</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Private Investor / Wharton Properties</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30.00%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17,150</w:t>
            </w:r>
          </w:p>
        </w:tc>
        <w:tc>
          <w:tcPr>
            <w:tcW w:w="0" w:type="dxa"/>
            <w:vAlign w:val="bottom"/>
          </w:tcPr>
          <w:p>
            <w:pPr>
              <w:spacing w:after="0"/>
              <w:rPr>
                <w:sz w:val="1"/>
                <w:szCs w:val="1"/>
                <w:color w:val="auto"/>
              </w:rPr>
            </w:pPr>
          </w:p>
        </w:tc>
      </w:tr>
      <w:tr>
        <w:trPr>
          <w:trHeight w:val="209"/>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280</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Vornado Realty Trust</w:t>
            </w:r>
          </w:p>
        </w:tc>
        <w:tc>
          <w:tcPr>
            <w:tcW w:w="166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50.00%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1,219,158</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1552-1560 Broadway </w:t>
            </w:r>
            <w:r>
              <w:rPr>
                <w:rFonts w:ascii="Times New Roman" w:cs="Times New Roman" w:eastAsia="Times New Roman" w:hAnsi="Times New Roman"/>
                <w:sz w:val="20"/>
                <w:szCs w:val="20"/>
                <w:color w:val="auto"/>
                <w:vertAlign w:val="superscript"/>
              </w:rPr>
              <w:t>(2) (3)</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Wharton Properties</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50.00%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57,718</w:t>
            </w:r>
          </w:p>
        </w:tc>
        <w:tc>
          <w:tcPr>
            <w:tcW w:w="0" w:type="dxa"/>
            <w:vAlign w:val="bottom"/>
          </w:tcPr>
          <w:p>
            <w:pPr>
              <w:spacing w:after="0"/>
              <w:rPr>
                <w:sz w:val="1"/>
                <w:szCs w:val="1"/>
                <w:color w:val="auto"/>
              </w:rPr>
            </w:pPr>
          </w:p>
        </w:tc>
      </w:tr>
      <w:tr>
        <w:trPr>
          <w:trHeight w:val="211"/>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650</w:t>
            </w:r>
          </w:p>
        </w:tc>
        <w:tc>
          <w:tcPr>
            <w:tcW w:w="17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Fifth Avenue </w:t>
            </w:r>
            <w:r>
              <w:rPr>
                <w:rFonts w:ascii="Times New Roman" w:cs="Times New Roman" w:eastAsia="Times New Roman" w:hAnsi="Times New Roman"/>
                <w:sz w:val="20"/>
                <w:szCs w:val="20"/>
                <w:color w:val="auto"/>
                <w:vertAlign w:val="superscript"/>
              </w:rPr>
              <w:t>(2) (4)</w:t>
            </w:r>
          </w:p>
        </w:tc>
        <w:tc>
          <w:tcPr>
            <w:tcW w:w="6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Wharton Properties</w:t>
            </w:r>
          </w:p>
        </w:tc>
        <w:tc>
          <w:tcPr>
            <w:tcW w:w="166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50.00%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69,214</w:t>
            </w: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PGIM Real Estate</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60.00%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2,314,000</w:t>
            </w:r>
          </w:p>
        </w:tc>
        <w:tc>
          <w:tcPr>
            <w:tcW w:w="0" w:type="dxa"/>
            <w:vAlign w:val="bottom"/>
          </w:tcPr>
          <w:p>
            <w:pPr>
              <w:spacing w:after="0"/>
              <w:rPr>
                <w:sz w:val="1"/>
                <w:szCs w:val="1"/>
                <w:color w:val="auto"/>
              </w:rPr>
            </w:pPr>
          </w:p>
        </w:tc>
      </w:tr>
      <w:tr>
        <w:trPr>
          <w:trHeight w:val="211"/>
        </w:trPr>
        <w:tc>
          <w:tcPr>
            <w:tcW w:w="198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One Vanderbilt Avenue </w:t>
            </w:r>
            <w:r>
              <w:rPr>
                <w:rFonts w:ascii="Times New Roman" w:cs="Times New Roman" w:eastAsia="Times New Roman" w:hAnsi="Times New Roman"/>
                <w:sz w:val="20"/>
                <w:szCs w:val="20"/>
                <w:color w:val="auto"/>
                <w:vertAlign w:val="superscript"/>
              </w:rPr>
              <w:t>(5)</w:t>
            </w:r>
          </w:p>
        </w:tc>
        <w:tc>
          <w:tcPr>
            <w:tcW w:w="6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National Pension Service of Korea / Hines Interest LP</w:t>
            </w:r>
          </w:p>
        </w:tc>
        <w:tc>
          <w:tcPr>
            <w:tcW w:w="166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60.01%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1,657,198</w:t>
            </w: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Worldwide Plaza </w:t>
            </w:r>
            <w:r>
              <w:rPr>
                <w:rFonts w:ascii="Times New Roman" w:cs="Times New Roman" w:eastAsia="Times New Roman" w:hAnsi="Times New Roman"/>
                <w:sz w:val="20"/>
                <w:szCs w:val="20"/>
                <w:color w:val="auto"/>
                <w:vertAlign w:val="superscript"/>
              </w:rPr>
              <w:t>(2)</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RXR Realty / New York REIT</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24.95%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2,048,725</w:t>
            </w:r>
          </w:p>
        </w:tc>
        <w:tc>
          <w:tcPr>
            <w:tcW w:w="0" w:type="dxa"/>
            <w:vAlign w:val="bottom"/>
          </w:tcPr>
          <w:p>
            <w:pPr>
              <w:spacing w:after="0"/>
              <w:rPr>
                <w:sz w:val="1"/>
                <w:szCs w:val="1"/>
                <w:color w:val="auto"/>
              </w:rPr>
            </w:pPr>
          </w:p>
        </w:tc>
      </w:tr>
      <w:tr>
        <w:trPr>
          <w:trHeight w:val="209"/>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6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Allianz Real Estate of America</w:t>
            </w:r>
          </w:p>
        </w:tc>
        <w:tc>
          <w:tcPr>
            <w:tcW w:w="166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56.87%</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1,750,000</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2 Herald Square </w:t>
            </w:r>
            <w:r>
              <w:rPr>
                <w:rFonts w:ascii="Times New Roman" w:cs="Times New Roman" w:eastAsia="Times New Roman" w:hAnsi="Times New Roman"/>
                <w:sz w:val="20"/>
                <w:szCs w:val="20"/>
                <w:color w:val="auto"/>
                <w:vertAlign w:val="superscript"/>
              </w:rPr>
              <w:t>(2)</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Israeli Institutional Investor</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95.00%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369,000</w:t>
            </w:r>
          </w:p>
        </w:tc>
        <w:tc>
          <w:tcPr>
            <w:tcW w:w="0" w:type="dxa"/>
            <w:vAlign w:val="bottom"/>
          </w:tcPr>
          <w:p>
            <w:pPr>
              <w:spacing w:after="0"/>
              <w:rPr>
                <w:sz w:val="1"/>
                <w:szCs w:val="1"/>
                <w:color w:val="auto"/>
              </w:rPr>
            </w:pPr>
          </w:p>
        </w:tc>
      </w:tr>
      <w:tr>
        <w:trPr>
          <w:trHeight w:val="211"/>
        </w:trPr>
        <w:tc>
          <w:tcPr>
            <w:tcW w:w="198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115 Spring Street </w:t>
            </w:r>
            <w:r>
              <w:rPr>
                <w:rFonts w:ascii="Times New Roman" w:cs="Times New Roman" w:eastAsia="Times New Roman" w:hAnsi="Times New Roman"/>
                <w:sz w:val="20"/>
                <w:szCs w:val="20"/>
                <w:color w:val="auto"/>
                <w:vertAlign w:val="superscript"/>
              </w:rPr>
              <w:t>(2)</w:t>
            </w:r>
          </w:p>
        </w:tc>
        <w:tc>
          <w:tcPr>
            <w:tcW w:w="6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Private Investor</w:t>
            </w:r>
          </w:p>
        </w:tc>
        <w:tc>
          <w:tcPr>
            <w:tcW w:w="166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51.00%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15 Beekman </w:t>
            </w:r>
            <w:r>
              <w:rPr>
                <w:rFonts w:ascii="Times New Roman" w:cs="Times New Roman" w:eastAsia="Times New Roman" w:hAnsi="Times New Roman"/>
                <w:sz w:val="20"/>
                <w:szCs w:val="20"/>
                <w:color w:val="auto"/>
                <w:vertAlign w:val="superscript"/>
              </w:rPr>
              <w:t>(5)</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20.00%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221,884</w:t>
            </w:r>
          </w:p>
        </w:tc>
        <w:tc>
          <w:tcPr>
            <w:tcW w:w="0" w:type="dxa"/>
            <w:vAlign w:val="bottom"/>
          </w:tcPr>
          <w:p>
            <w:pPr>
              <w:spacing w:after="0"/>
              <w:rPr>
                <w:sz w:val="1"/>
                <w:szCs w:val="1"/>
                <w:color w:val="auto"/>
              </w:rPr>
            </w:pPr>
          </w:p>
        </w:tc>
      </w:tr>
      <w:tr>
        <w:trPr>
          <w:trHeight w:val="211"/>
        </w:trPr>
        <w:tc>
          <w:tcPr>
            <w:tcW w:w="198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85 Fifth Avenue </w:t>
            </w:r>
            <w:r>
              <w:rPr>
                <w:rFonts w:ascii="Times New Roman" w:cs="Times New Roman" w:eastAsia="Times New Roman" w:hAnsi="Times New Roman"/>
                <w:sz w:val="20"/>
                <w:szCs w:val="20"/>
                <w:color w:val="auto"/>
                <w:vertAlign w:val="superscript"/>
              </w:rPr>
              <w:t>(6)</w:t>
            </w:r>
          </w:p>
        </w:tc>
        <w:tc>
          <w:tcPr>
            <w:tcW w:w="6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Wells Fargo</w:t>
            </w:r>
          </w:p>
        </w:tc>
        <w:tc>
          <w:tcPr>
            <w:tcW w:w="166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36.27%</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12,946</w:t>
            </w: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One Madison Avenue </w:t>
            </w:r>
            <w:r>
              <w:rPr>
                <w:rFonts w:ascii="Times New Roman" w:cs="Times New Roman" w:eastAsia="Times New Roman" w:hAnsi="Times New Roman"/>
                <w:sz w:val="20"/>
                <w:szCs w:val="20"/>
                <w:color w:val="auto"/>
                <w:vertAlign w:val="superscript"/>
              </w:rPr>
              <w:t>(7)</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National Pension Service of Korea / Hines Interest LP / International Investor</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25.50%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1,048,700</w:t>
            </w:r>
          </w:p>
        </w:tc>
        <w:tc>
          <w:tcPr>
            <w:tcW w:w="0" w:type="dxa"/>
            <w:vAlign w:val="bottom"/>
          </w:tcPr>
          <w:p>
            <w:pPr>
              <w:spacing w:after="0"/>
              <w:rPr>
                <w:sz w:val="1"/>
                <w:szCs w:val="1"/>
                <w:color w:val="auto"/>
              </w:rPr>
            </w:pPr>
          </w:p>
        </w:tc>
      </w:tr>
      <w:tr>
        <w:trPr>
          <w:trHeight w:val="209"/>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220</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East 42nd Street</w:t>
            </w:r>
          </w:p>
        </w:tc>
        <w:tc>
          <w:tcPr>
            <w:tcW w:w="6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66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51.00%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1,135,000</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450</w:t>
            </w:r>
          </w:p>
        </w:tc>
        <w:tc>
          <w:tcPr>
            <w:tcW w:w="17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0"/>
                <w:szCs w:val="20"/>
                <w:color w:val="auto"/>
                <w:vertAlign w:val="superscript"/>
              </w:rPr>
              <w:t>(8)</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Korean Institutional Investor / Israeli Institutional Investor</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25.10%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337,000</w:t>
            </w:r>
          </w:p>
        </w:tc>
        <w:tc>
          <w:tcPr>
            <w:tcW w:w="0" w:type="dxa"/>
            <w:vAlign w:val="bottom"/>
          </w:tcPr>
          <w:p>
            <w:pPr>
              <w:spacing w:after="0"/>
              <w:rPr>
                <w:sz w:val="1"/>
                <w:szCs w:val="1"/>
                <w:color w:val="auto"/>
              </w:rPr>
            </w:pPr>
          </w:p>
        </w:tc>
      </w:tr>
      <w:tr>
        <w:trPr>
          <w:trHeight w:val="209"/>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U.S. Affiliate of Mori Trust Co., Ltd</w:t>
            </w:r>
          </w:p>
        </w:tc>
        <w:tc>
          <w:tcPr>
            <w:tcW w:w="166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50.10%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1,782,793</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625</w:t>
            </w:r>
          </w:p>
        </w:tc>
        <w:tc>
          <w:tcPr>
            <w:tcW w:w="17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Madison Avenue </w:t>
            </w:r>
            <w:r>
              <w:rPr>
                <w:rFonts w:ascii="Times New Roman" w:cs="Times New Roman" w:eastAsia="Times New Roman" w:hAnsi="Times New Roman"/>
                <w:sz w:val="20"/>
                <w:szCs w:val="20"/>
                <w:color w:val="auto"/>
                <w:vertAlign w:val="superscript"/>
              </w:rPr>
              <w:t>(9)</w:t>
            </w:r>
          </w:p>
        </w:tc>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Private Investor</w:t>
            </w:r>
          </w:p>
        </w:tc>
        <w:tc>
          <w:tcPr>
            <w:tcW w:w="166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90.93%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0" w:hanging="395"/>
        <w:spacing w:after="0" w:line="254" w:lineRule="auto"/>
        <w:tabs>
          <w:tab w:leader="none" w:pos="3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interest represent the Company's interests in the joint venture as of March 31, 2025. Changes in ownership or economic interests within the current year are disclosed in the notes below.</w:t>
      </w:r>
    </w:p>
    <w:p>
      <w:pPr>
        <w:ind w:left="400" w:hanging="395"/>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joint venture owns a long-term leasehold interest in the retail space and certain other spaces at 1560 Broadway, which is adjacent to 1552 Broadway.</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joint venture owns a long-term leasehold interest in the retail space at 650 Fifth Avenue.</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2020, the Company formed a joint venture, which then entered into a long-term sublease with the Company.</w:t>
      </w:r>
    </w:p>
    <w:p>
      <w:pPr>
        <w:ind w:left="400" w:hanging="395"/>
        <w:spacing w:after="0" w:line="251" w:lineRule="auto"/>
        <w:tabs>
          <w:tab w:leader="none" w:pos="3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2025, following an assessment of the investment for recoverability, the Company recorded a charge of $1.8 million, which is included in Equity in net loss from unconsolidated joint ventures in the consolidated statements of operations. In April 2025, the Company, together with its joint venture partner, sold the property for a gross asset valuation of $47.0 million.</w:t>
      </w:r>
    </w:p>
    <w:p>
      <w:pPr>
        <w:spacing w:after="0" w:line="1" w:lineRule="exact"/>
        <w:rPr>
          <w:rFonts w:ascii="Times New Roman" w:cs="Times New Roman" w:eastAsia="Times New Roman" w:hAnsi="Times New Roman"/>
          <w:sz w:val="14"/>
          <w:szCs w:val="14"/>
          <w:color w:val="auto"/>
        </w:rPr>
      </w:pPr>
    </w:p>
    <w:p>
      <w:pPr>
        <w:jc w:val="both"/>
        <w:ind w:left="400" w:hanging="395"/>
        <w:spacing w:after="0" w:line="250" w:lineRule="auto"/>
        <w:tabs>
          <w:tab w:leader="none" w:pos="3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the Company admitted an additional partner to the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 at March 31, 2025 and December 31, 2024.</w:t>
      </w:r>
    </w:p>
    <w:p>
      <w:pPr>
        <w:spacing w:after="0" w:line="1" w:lineRule="exact"/>
        <w:rPr>
          <w:rFonts w:ascii="Times New Roman" w:cs="Times New Roman" w:eastAsia="Times New Roman" w:hAnsi="Times New Roman"/>
          <w:sz w:val="14"/>
          <w:szCs w:val="14"/>
          <w:color w:val="auto"/>
        </w:rPr>
      </w:pPr>
    </w:p>
    <w:p>
      <w:pPr>
        <w:jc w:val="both"/>
        <w:ind w:left="400" w:hanging="395"/>
        <w:spacing w:after="0" w:line="252" w:lineRule="auto"/>
        <w:tabs>
          <w:tab w:leader="none" w:pos="3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25.1% economic interest reflected in this table excludes a 25.0% economic interest held by a third party. The third-party's economic interest is held in a joint venture that we consolidate as a 50.1% ownership interest. The third-party's 25.0% economic interest is recognized in Noncontrolling interests in other partnerships on our consolidated balance sheet. A separate third-party owns the remaining 49.9% economic interest in the property.</w:t>
      </w:r>
    </w:p>
    <w:p>
      <w:pPr>
        <w:spacing w:after="0" w:line="2" w:lineRule="exact"/>
        <w:rPr>
          <w:rFonts w:ascii="Times New Roman" w:cs="Times New Roman" w:eastAsia="Times New Roman" w:hAnsi="Times New Roman"/>
          <w:sz w:val="14"/>
          <w:szCs w:val="14"/>
          <w:color w:val="auto"/>
        </w:rPr>
      </w:pPr>
    </w:p>
    <w:p>
      <w:pPr>
        <w:jc w:val="both"/>
        <w:ind w:left="400" w:hanging="395"/>
        <w:spacing w:after="0" w:line="252" w:lineRule="auto"/>
        <w:tabs>
          <w:tab w:leader="none" w:pos="3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fee ownership in the property, which closed in May 2024, the Company, together with its joint venture partner, originated a $235.4 million preferred equity investment in the property with a mandatory redemption date of December 2026. The Company's share, net of unamortized discounts, is $219.4 million with an aggregate weighted average current yield of 8.81% as of March 31,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Joint Venture Interests or Properties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dispose of any investments in unconsolidated joint ventures during the three months ended March 31,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 Mortgages and Other Loans Payable</w:t>
      </w:r>
    </w:p>
    <w:p>
      <w:pPr>
        <w:spacing w:after="0" w:line="11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We generally finance our joint ventures with non-recourse debt. In certain cases, we may provide guarantees or master leases, which terminate upon the satisfaction of specified circumstances or repayment of the underlying loans. The mortgage notes and other loans payable collateralized by the respective joint venture properties and assignment of leases as of March 31, 2025 and December 31, 2024, respectively,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240" w:type="dxa"/>
            <w:vAlign w:val="bottom"/>
          </w:tcPr>
          <w:p>
            <w:pPr>
              <w:spacing w:after="0"/>
              <w:rPr>
                <w:sz w:val="16"/>
                <w:szCs w:val="16"/>
                <w:color w:val="auto"/>
              </w:rPr>
            </w:pPr>
          </w:p>
        </w:tc>
        <w:tc>
          <w:tcPr>
            <w:tcW w:w="194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Current Maturity</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Final Maturity</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40" w:type="dxa"/>
            <w:vAlign w:val="bottom"/>
          </w:tcPr>
          <w:p>
            <w:pPr>
              <w:spacing w:after="0"/>
              <w:rPr>
                <w:sz w:val="17"/>
                <w:szCs w:val="17"/>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240" w:type="dxa"/>
            <w:vAlign w:val="bottom"/>
          </w:tcPr>
          <w:p>
            <w:pPr>
              <w:spacing w:after="0"/>
              <w:rPr>
                <w:sz w:val="17"/>
                <w:szCs w:val="17"/>
                <w:color w:val="auto"/>
              </w:rPr>
            </w:pPr>
          </w:p>
        </w:tc>
        <w:tc>
          <w:tcPr>
            <w:tcW w:w="194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1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8"/>
                <w:szCs w:val="18"/>
                <w:b w:val="1"/>
                <w:bCs w:val="1"/>
                <w:color w:val="auto"/>
                <w:vertAlign w:val="superscript"/>
              </w:rPr>
              <w:t>(1)</w:t>
            </w:r>
          </w:p>
        </w:tc>
        <w:tc>
          <w:tcPr>
            <w:tcW w:w="1480" w:type="dxa"/>
            <w:vAlign w:val="bottom"/>
            <w:vMerge w:val="restart"/>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 xml:space="preserve">Date </w:t>
            </w:r>
            <w:r>
              <w:rPr>
                <w:rFonts w:ascii="Times New Roman" w:cs="Times New Roman" w:eastAsia="Times New Roman" w:hAnsi="Times New Roman"/>
                <w:sz w:val="18"/>
                <w:szCs w:val="18"/>
                <w:b w:val="1"/>
                <w:bCs w:val="1"/>
                <w:color w:val="auto"/>
                <w:w w:val="92"/>
                <w:vertAlign w:val="superscript"/>
              </w:rPr>
              <w:t>(2)</w:t>
            </w: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2"/>
              </w:rPr>
              <w:t xml:space="preserve">Rate </w:t>
            </w:r>
            <w:r>
              <w:rPr>
                <w:rFonts w:ascii="Times New Roman" w:cs="Times New Roman" w:eastAsia="Times New Roman" w:hAnsi="Times New Roman"/>
                <w:sz w:val="18"/>
                <w:szCs w:val="18"/>
                <w:b w:val="1"/>
                <w:bCs w:val="1"/>
                <w:color w:val="auto"/>
                <w:w w:val="92"/>
                <w:vertAlign w:val="superscript"/>
              </w:rPr>
              <w:t>(3)</w:t>
            </w: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8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SLG Share</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SLG Share</w:t>
            </w:r>
          </w:p>
        </w:tc>
        <w:tc>
          <w:tcPr>
            <w:tcW w:w="0" w:type="dxa"/>
            <w:vAlign w:val="bottom"/>
          </w:tcPr>
          <w:p>
            <w:pPr>
              <w:spacing w:after="0"/>
              <w:rPr>
                <w:sz w:val="1"/>
                <w:szCs w:val="1"/>
                <w:color w:val="auto"/>
              </w:rPr>
            </w:pPr>
          </w:p>
        </w:tc>
      </w:tr>
      <w:tr>
        <w:trPr>
          <w:trHeight w:val="191"/>
        </w:trPr>
        <w:tc>
          <w:tcPr>
            <w:tcW w:w="1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Fixed Rate Debt:</w:t>
            </w:r>
          </w:p>
        </w:tc>
        <w:tc>
          <w:tcPr>
            <w:tcW w:w="1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8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 xml:space="preserve">115 Spring Street </w:t>
            </w:r>
            <w:r>
              <w:rPr>
                <w:rFonts w:ascii="Times New Roman" w:cs="Times New Roman" w:eastAsia="Times New Roman" w:hAnsi="Times New Roman"/>
                <w:sz w:val="18"/>
                <w:szCs w:val="18"/>
                <w:color w:val="auto"/>
                <w:vertAlign w:val="superscript"/>
              </w:rPr>
              <w:t>(4)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51.00 %</w:t>
            </w:r>
          </w:p>
        </w:tc>
        <w:tc>
          <w:tcPr>
            <w:tcW w:w="1480" w:type="dxa"/>
            <w:vAlign w:val="bottom"/>
          </w:tcPr>
          <w:p>
            <w:pPr>
              <w:jc w:val="right"/>
              <w:ind w:right="70"/>
              <w:spacing w:after="0" w:line="197" w:lineRule="exact"/>
              <w:rPr>
                <w:sz w:val="20"/>
                <w:szCs w:val="20"/>
                <w:color w:val="auto"/>
              </w:rPr>
            </w:pPr>
            <w:r>
              <w:rPr>
                <w:rFonts w:ascii="Times New Roman" w:cs="Times New Roman" w:eastAsia="Times New Roman" w:hAnsi="Times New Roman"/>
                <w:sz w:val="14"/>
                <w:szCs w:val="14"/>
                <w:color w:val="auto"/>
              </w:rPr>
              <w:t xml:space="preserve">March 2025 </w:t>
            </w:r>
            <w:r>
              <w:rPr>
                <w:rFonts w:ascii="Times New Roman" w:cs="Times New Roman" w:eastAsia="Times New Roman" w:hAnsi="Times New Roman"/>
                <w:sz w:val="18"/>
                <w:szCs w:val="18"/>
                <w:color w:val="auto"/>
                <w:vertAlign w:val="superscript"/>
              </w:rPr>
              <w:t>(5)</w:t>
            </w:r>
          </w:p>
        </w:tc>
        <w:tc>
          <w:tcPr>
            <w:tcW w:w="1420" w:type="dxa"/>
            <w:vAlign w:val="bottom"/>
            <w:gridSpan w:val="2"/>
          </w:tcPr>
          <w:p>
            <w:pPr>
              <w:jc w:val="right"/>
              <w:ind w:right="120"/>
              <w:spacing w:after="0" w:line="197" w:lineRule="exact"/>
              <w:rPr>
                <w:sz w:val="20"/>
                <w:szCs w:val="20"/>
                <w:color w:val="auto"/>
              </w:rPr>
            </w:pPr>
            <w:r>
              <w:rPr>
                <w:rFonts w:ascii="Times New Roman" w:cs="Times New Roman" w:eastAsia="Times New Roman" w:hAnsi="Times New Roman"/>
                <w:sz w:val="14"/>
                <w:szCs w:val="14"/>
                <w:color w:val="auto"/>
              </w:rPr>
              <w:t xml:space="preserve">March 2025 </w:t>
            </w:r>
            <w:r>
              <w:rPr>
                <w:rFonts w:ascii="Times New Roman" w:cs="Times New Roman" w:eastAsia="Times New Roman" w:hAnsi="Times New Roman"/>
                <w:sz w:val="18"/>
                <w:szCs w:val="18"/>
                <w:color w:val="auto"/>
                <w:vertAlign w:val="superscript"/>
              </w:rPr>
              <w:t>(5)</w:t>
            </w:r>
          </w:p>
        </w:tc>
        <w:tc>
          <w:tcPr>
            <w:tcW w:w="360" w:type="dxa"/>
            <w:vAlign w:val="bottom"/>
          </w:tcPr>
          <w:p>
            <w:pPr>
              <w:spacing w:after="0"/>
              <w:rPr>
                <w:sz w:val="17"/>
                <w:szCs w:val="17"/>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7"/>
                <w:szCs w:val="17"/>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65,550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33,431</w:t>
            </w:r>
          </w:p>
        </w:tc>
        <w:tc>
          <w:tcPr>
            <w:tcW w:w="80" w:type="dxa"/>
            <w:vAlign w:val="bottom"/>
          </w:tcPr>
          <w:p>
            <w:pPr>
              <w:spacing w:after="0"/>
              <w:rPr>
                <w:sz w:val="17"/>
                <w:szCs w:val="17"/>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33,431</w:t>
            </w: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450</w:t>
            </w: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Park Avenue</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25.10 %</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June 2025</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June 2027</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287,893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72,261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71,494</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650</w:t>
            </w:r>
          </w:p>
        </w:tc>
        <w:tc>
          <w:tcPr>
            <w:tcW w:w="154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color w:val="auto"/>
                <w:vertAlign w:val="superscript"/>
              </w:rPr>
              <w:t>(4)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50.00 %</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July 2025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July 2025</w:t>
            </w:r>
          </w:p>
        </w:tc>
        <w:tc>
          <w:tcPr>
            <w:tcW w:w="360" w:type="dxa"/>
            <w:vAlign w:val="bottom"/>
          </w:tcPr>
          <w:p>
            <w:pPr>
              <w:spacing w:after="0"/>
              <w:rPr>
                <w:sz w:val="17"/>
                <w:szCs w:val="17"/>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32,500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197"/>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 Madison Avenue</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60.00 %</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September 2025</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September 2025</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840,000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0" w:type="dxa"/>
            <w:vAlign w:val="bottom"/>
          </w:tcPr>
          <w:p>
            <w:pPr>
              <w:spacing w:after="0"/>
              <w:rPr>
                <w:sz w:val="1"/>
                <w:szCs w:val="1"/>
                <w:color w:val="auto"/>
              </w:rPr>
            </w:pPr>
          </w:p>
        </w:tc>
      </w:tr>
      <w:tr>
        <w:trPr>
          <w:trHeight w:val="191"/>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15 Beekman</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20.00 %</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January 2026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January 2028</w:t>
            </w:r>
          </w:p>
        </w:tc>
        <w:tc>
          <w:tcPr>
            <w:tcW w:w="360" w:type="dxa"/>
            <w:vAlign w:val="bottom"/>
          </w:tcPr>
          <w:p>
            <w:pPr>
              <w:spacing w:after="0"/>
              <w:rPr>
                <w:sz w:val="16"/>
                <w:szCs w:val="16"/>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24,000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0" w:type="dxa"/>
            <w:vAlign w:val="bottom"/>
          </w:tcPr>
          <w:p>
            <w:pPr>
              <w:spacing w:after="0"/>
              <w:rPr>
                <w:sz w:val="1"/>
                <w:szCs w:val="1"/>
                <w:color w:val="auto"/>
              </w:rPr>
            </w:pPr>
          </w:p>
        </w:tc>
      </w:tr>
      <w:tr>
        <w:trPr>
          <w:trHeight w:val="204"/>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800</w:t>
            </w: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Avenue</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60.52 %</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February 2026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February 2026</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107,120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107,120</w:t>
            </w:r>
          </w:p>
        </w:tc>
        <w:tc>
          <w:tcPr>
            <w:tcW w:w="0" w:type="dxa"/>
            <w:vAlign w:val="bottom"/>
          </w:tcPr>
          <w:p>
            <w:pPr>
              <w:spacing w:after="0"/>
              <w:rPr>
                <w:sz w:val="1"/>
                <w:szCs w:val="1"/>
                <w:color w:val="auto"/>
              </w:rPr>
            </w:pPr>
          </w:p>
        </w:tc>
      </w:tr>
      <w:tr>
        <w:trPr>
          <w:trHeight w:val="191"/>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1515 Broadway</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56.87 %</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March 2026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March 2028</w:t>
            </w:r>
          </w:p>
        </w:tc>
        <w:tc>
          <w:tcPr>
            <w:tcW w:w="360" w:type="dxa"/>
            <w:vAlign w:val="bottom"/>
          </w:tcPr>
          <w:p>
            <w:pPr>
              <w:spacing w:after="0"/>
              <w:rPr>
                <w:sz w:val="16"/>
                <w:szCs w:val="16"/>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735,429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418,231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740,947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421,369</w:t>
            </w:r>
          </w:p>
        </w:tc>
        <w:tc>
          <w:tcPr>
            <w:tcW w:w="0" w:type="dxa"/>
            <w:vAlign w:val="bottom"/>
          </w:tcPr>
          <w:p>
            <w:pPr>
              <w:spacing w:after="0"/>
              <w:rPr>
                <w:sz w:val="1"/>
                <w:szCs w:val="1"/>
                <w:color w:val="auto"/>
              </w:rPr>
            </w:pPr>
          </w:p>
        </w:tc>
      </w:tr>
      <w:tr>
        <w:trPr>
          <w:trHeight w:val="204"/>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919</w:t>
            </w: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Avenue</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51.00 %</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April 2026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April 2028</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255,000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280</w:t>
            </w: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Park Avenue</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50.00 %</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September 2026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September 2028</w:t>
            </w:r>
          </w:p>
        </w:tc>
        <w:tc>
          <w:tcPr>
            <w:tcW w:w="360" w:type="dxa"/>
            <w:vAlign w:val="bottom"/>
          </w:tcPr>
          <w:p>
            <w:pPr>
              <w:spacing w:after="0"/>
              <w:rPr>
                <w:sz w:val="16"/>
                <w:szCs w:val="16"/>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1,075,000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537,500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0" w:type="dxa"/>
            <w:vAlign w:val="bottom"/>
          </w:tcPr>
          <w:p>
            <w:pPr>
              <w:spacing w:after="0"/>
              <w:rPr>
                <w:sz w:val="1"/>
                <w:szCs w:val="1"/>
                <w:color w:val="auto"/>
              </w:rPr>
            </w:pPr>
          </w:p>
        </w:tc>
      </w:tr>
      <w:tr>
        <w:trPr>
          <w:trHeight w:val="204"/>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245</w:t>
            </w: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Park Avenue</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50.10 %</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June 2027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June 2027</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1,768,000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885,768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885,768</w:t>
            </w:r>
          </w:p>
        </w:tc>
        <w:tc>
          <w:tcPr>
            <w:tcW w:w="0" w:type="dxa"/>
            <w:vAlign w:val="bottom"/>
          </w:tcPr>
          <w:p>
            <w:pPr>
              <w:spacing w:after="0"/>
              <w:rPr>
                <w:sz w:val="1"/>
                <w:szCs w:val="1"/>
                <w:color w:val="auto"/>
              </w:rPr>
            </w:pPr>
          </w:p>
        </w:tc>
      </w:tr>
      <w:tr>
        <w:trPr>
          <w:trHeight w:val="197"/>
        </w:trPr>
        <w:tc>
          <w:tcPr>
            <w:tcW w:w="178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 xml:space="preserve">One Madison Avenue </w:t>
            </w:r>
            <w:r>
              <w:rPr>
                <w:rFonts w:ascii="Times New Roman" w:cs="Times New Roman" w:eastAsia="Times New Roman" w:hAnsi="Times New Roman"/>
                <w:sz w:val="18"/>
                <w:szCs w:val="18"/>
                <w:color w:val="auto"/>
                <w:vertAlign w:val="superscript"/>
              </w:rPr>
              <w:t>(6)</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25.50 %</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November 2027</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November 2027</w:t>
            </w:r>
          </w:p>
        </w:tc>
        <w:tc>
          <w:tcPr>
            <w:tcW w:w="360" w:type="dxa"/>
            <w:vAlign w:val="bottom"/>
          </w:tcPr>
          <w:p>
            <w:pPr>
              <w:spacing w:after="0"/>
              <w:rPr>
                <w:sz w:val="17"/>
                <w:szCs w:val="17"/>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679,536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173,282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658,357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167,881</w:t>
            </w:r>
          </w:p>
        </w:tc>
        <w:tc>
          <w:tcPr>
            <w:tcW w:w="0" w:type="dxa"/>
            <w:vAlign w:val="bottom"/>
          </w:tcPr>
          <w:p>
            <w:pPr>
              <w:spacing w:after="0"/>
              <w:rPr>
                <w:sz w:val="1"/>
                <w:szCs w:val="1"/>
                <w:color w:val="auto"/>
              </w:rPr>
            </w:pPr>
          </w:p>
        </w:tc>
      </w:tr>
      <w:tr>
        <w:trPr>
          <w:trHeight w:val="197"/>
        </w:trPr>
        <w:tc>
          <w:tcPr>
            <w:tcW w:w="17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 xml:space="preserve">Worldwide Plaza </w:t>
            </w:r>
            <w:r>
              <w:rPr>
                <w:rFonts w:ascii="Times New Roman" w:cs="Times New Roman" w:eastAsia="Times New Roman" w:hAnsi="Times New Roman"/>
                <w:sz w:val="18"/>
                <w:szCs w:val="18"/>
                <w:color w:val="auto"/>
                <w:vertAlign w:val="superscript"/>
              </w:rPr>
              <w:t>(4)</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24.95 %</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November 2027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November 2027</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299,400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299,400</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220</w:t>
            </w:r>
          </w:p>
        </w:tc>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East 42nd Street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51.00 %</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December 2027</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December 2027</w:t>
            </w:r>
          </w:p>
        </w:tc>
        <w:tc>
          <w:tcPr>
            <w:tcW w:w="360" w:type="dxa"/>
            <w:vAlign w:val="bottom"/>
          </w:tcPr>
          <w:p>
            <w:pPr>
              <w:spacing w:after="0"/>
              <w:rPr>
                <w:sz w:val="16"/>
                <w:szCs w:val="16"/>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496,412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253,170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253,170</w:t>
            </w:r>
          </w:p>
        </w:tc>
        <w:tc>
          <w:tcPr>
            <w:tcW w:w="0" w:type="dxa"/>
            <w:vAlign w:val="bottom"/>
          </w:tcPr>
          <w:p>
            <w:pPr>
              <w:spacing w:after="0"/>
              <w:rPr>
                <w:sz w:val="1"/>
                <w:szCs w:val="1"/>
                <w:color w:val="auto"/>
              </w:rPr>
            </w:pPr>
          </w:p>
        </w:tc>
      </w:tr>
      <w:tr>
        <w:trPr>
          <w:trHeight w:val="20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One Vanderbilt Avenue</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60.01 %</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July 2031</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July 2031</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3,000,000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1,800,300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1,800,300</w:t>
            </w:r>
          </w:p>
        </w:tc>
        <w:tc>
          <w:tcPr>
            <w:tcW w:w="0" w:type="dxa"/>
            <w:vAlign w:val="bottom"/>
          </w:tcPr>
          <w:p>
            <w:pPr>
              <w:spacing w:after="0"/>
              <w:rPr>
                <w:sz w:val="1"/>
                <w:szCs w:val="1"/>
                <w:color w:val="auto"/>
              </w:rPr>
            </w:pPr>
          </w:p>
        </w:tc>
      </w:tr>
      <w:tr>
        <w:trPr>
          <w:trHeight w:val="184"/>
        </w:trPr>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fixed rate debt</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11,569,820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5,731,963</w:t>
            </w:r>
          </w:p>
        </w:tc>
        <w:tc>
          <w:tcPr>
            <w:tcW w:w="8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11,551,101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5,728,933</w:t>
            </w:r>
          </w:p>
        </w:tc>
        <w:tc>
          <w:tcPr>
            <w:tcW w:w="0" w:type="dxa"/>
            <w:vAlign w:val="bottom"/>
          </w:tcPr>
          <w:p>
            <w:pPr>
              <w:spacing w:after="0"/>
              <w:rPr>
                <w:sz w:val="1"/>
                <w:szCs w:val="1"/>
                <w:color w:val="auto"/>
              </w:rPr>
            </w:pPr>
          </w:p>
        </w:tc>
      </w:tr>
      <w:tr>
        <w:trPr>
          <w:trHeight w:val="20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8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 xml:space="preserve">11 West 34th Street </w:t>
            </w:r>
            <w:r>
              <w:rPr>
                <w:rFonts w:ascii="Times New Roman" w:cs="Times New Roman" w:eastAsia="Times New Roman" w:hAnsi="Times New Roman"/>
                <w:sz w:val="18"/>
                <w:szCs w:val="18"/>
                <w:color w:val="auto"/>
                <w:vertAlign w:val="superscript"/>
              </w:rPr>
              <w:t>(4)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30.00 %</w:t>
            </w:r>
          </w:p>
        </w:tc>
        <w:tc>
          <w:tcPr>
            <w:tcW w:w="1480" w:type="dxa"/>
            <w:vAlign w:val="bottom"/>
          </w:tcPr>
          <w:p>
            <w:pPr>
              <w:jc w:val="right"/>
              <w:ind w:right="70"/>
              <w:spacing w:after="0" w:line="197" w:lineRule="exact"/>
              <w:rPr>
                <w:sz w:val="20"/>
                <w:szCs w:val="20"/>
                <w:color w:val="auto"/>
              </w:rPr>
            </w:pPr>
            <w:r>
              <w:rPr>
                <w:rFonts w:ascii="Times New Roman" w:cs="Times New Roman" w:eastAsia="Times New Roman" w:hAnsi="Times New Roman"/>
                <w:sz w:val="14"/>
                <w:szCs w:val="14"/>
                <w:color w:val="auto"/>
              </w:rPr>
              <w:t xml:space="preserve">February 2023 </w:t>
            </w:r>
            <w:r>
              <w:rPr>
                <w:rFonts w:ascii="Times New Roman" w:cs="Times New Roman" w:eastAsia="Times New Roman" w:hAnsi="Times New Roman"/>
                <w:sz w:val="18"/>
                <w:szCs w:val="18"/>
                <w:color w:val="auto"/>
                <w:vertAlign w:val="superscript"/>
              </w:rPr>
              <w:t>(7)</w:t>
            </w:r>
          </w:p>
        </w:tc>
        <w:tc>
          <w:tcPr>
            <w:tcW w:w="1420" w:type="dxa"/>
            <w:vAlign w:val="bottom"/>
            <w:gridSpan w:val="2"/>
          </w:tcPr>
          <w:p>
            <w:pPr>
              <w:jc w:val="right"/>
              <w:ind w:right="120"/>
              <w:spacing w:after="0" w:line="197" w:lineRule="exact"/>
              <w:rPr>
                <w:sz w:val="20"/>
                <w:szCs w:val="20"/>
                <w:color w:val="auto"/>
              </w:rPr>
            </w:pPr>
            <w:r>
              <w:rPr>
                <w:rFonts w:ascii="Times New Roman" w:cs="Times New Roman" w:eastAsia="Times New Roman" w:hAnsi="Times New Roman"/>
                <w:sz w:val="14"/>
                <w:szCs w:val="14"/>
                <w:color w:val="auto"/>
              </w:rPr>
              <w:t xml:space="preserve">February 2023 </w:t>
            </w:r>
            <w:r>
              <w:rPr>
                <w:rFonts w:ascii="Times New Roman" w:cs="Times New Roman" w:eastAsia="Times New Roman" w:hAnsi="Times New Roman"/>
                <w:sz w:val="18"/>
                <w:szCs w:val="18"/>
                <w:color w:val="auto"/>
                <w:vertAlign w:val="superscript"/>
              </w:rPr>
              <w:t>(7)</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7"/>
                <w:szCs w:val="17"/>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6,900</w:t>
            </w:r>
          </w:p>
        </w:tc>
        <w:tc>
          <w:tcPr>
            <w:tcW w:w="80" w:type="dxa"/>
            <w:vAlign w:val="bottom"/>
          </w:tcPr>
          <w:p>
            <w:pPr>
              <w:spacing w:after="0"/>
              <w:rPr>
                <w:sz w:val="17"/>
                <w:szCs w:val="17"/>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0" w:type="dxa"/>
            <w:vAlign w:val="bottom"/>
          </w:tcPr>
          <w:p>
            <w:pPr>
              <w:spacing w:after="0"/>
              <w:rPr>
                <w:sz w:val="1"/>
                <w:szCs w:val="1"/>
                <w:color w:val="auto"/>
              </w:rPr>
            </w:pPr>
          </w:p>
        </w:tc>
      </w:tr>
      <w:tr>
        <w:trPr>
          <w:trHeight w:val="197"/>
        </w:trPr>
        <w:tc>
          <w:tcPr>
            <w:tcW w:w="17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 xml:space="preserve">1552 Broadway </w:t>
            </w:r>
            <w:r>
              <w:rPr>
                <w:rFonts w:ascii="Times New Roman" w:cs="Times New Roman" w:eastAsia="Times New Roman" w:hAnsi="Times New Roman"/>
                <w:sz w:val="18"/>
                <w:szCs w:val="18"/>
                <w:color w:val="auto"/>
                <w:vertAlign w:val="superscript"/>
              </w:rPr>
              <w:t>(4)</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50.00 %</w:t>
            </w:r>
          </w:p>
        </w:tc>
        <w:tc>
          <w:tcPr>
            <w:tcW w:w="1480" w:type="dxa"/>
            <w:vAlign w:val="bottom"/>
            <w:shd w:val="clear" w:color="auto" w:fill="CCEEFF"/>
          </w:tcPr>
          <w:p>
            <w:pPr>
              <w:jc w:val="right"/>
              <w:ind w:right="70"/>
              <w:spacing w:after="0" w:line="197" w:lineRule="exact"/>
              <w:rPr>
                <w:sz w:val="20"/>
                <w:szCs w:val="20"/>
                <w:color w:val="auto"/>
              </w:rPr>
            </w:pPr>
            <w:r>
              <w:rPr>
                <w:rFonts w:ascii="Times New Roman" w:cs="Times New Roman" w:eastAsia="Times New Roman" w:hAnsi="Times New Roman"/>
                <w:sz w:val="14"/>
                <w:szCs w:val="14"/>
                <w:color w:val="auto"/>
              </w:rPr>
              <w:t xml:space="preserve">February 2024 </w:t>
            </w:r>
            <w:r>
              <w:rPr>
                <w:rFonts w:ascii="Times New Roman" w:cs="Times New Roman" w:eastAsia="Times New Roman" w:hAnsi="Times New Roman"/>
                <w:sz w:val="18"/>
                <w:szCs w:val="18"/>
                <w:color w:val="auto"/>
                <w:vertAlign w:val="superscript"/>
              </w:rPr>
              <w:t>(8)</w:t>
            </w:r>
          </w:p>
        </w:tc>
        <w:tc>
          <w:tcPr>
            <w:tcW w:w="1420" w:type="dxa"/>
            <w:vAlign w:val="bottom"/>
            <w:gridSpan w:val="2"/>
            <w:shd w:val="clear" w:color="auto" w:fill="CCEEFF"/>
          </w:tcPr>
          <w:p>
            <w:pPr>
              <w:jc w:val="right"/>
              <w:ind w:right="120"/>
              <w:spacing w:after="0" w:line="197" w:lineRule="exact"/>
              <w:rPr>
                <w:sz w:val="20"/>
                <w:szCs w:val="20"/>
                <w:color w:val="auto"/>
              </w:rPr>
            </w:pPr>
            <w:r>
              <w:rPr>
                <w:rFonts w:ascii="Times New Roman" w:cs="Times New Roman" w:eastAsia="Times New Roman" w:hAnsi="Times New Roman"/>
                <w:sz w:val="14"/>
                <w:szCs w:val="14"/>
                <w:color w:val="auto"/>
              </w:rPr>
              <w:t xml:space="preserve">February 2024 </w:t>
            </w:r>
            <w:r>
              <w:rPr>
                <w:rFonts w:ascii="Times New Roman" w:cs="Times New Roman" w:eastAsia="Times New Roman" w:hAnsi="Times New Roman"/>
                <w:sz w:val="18"/>
                <w:szCs w:val="18"/>
                <w:color w:val="auto"/>
                <w:vertAlign w:val="superscript"/>
              </w:rPr>
              <w:t>(8)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193,132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96,566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96,566</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650</w:t>
            </w:r>
          </w:p>
        </w:tc>
        <w:tc>
          <w:tcPr>
            <w:tcW w:w="154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color w:val="auto"/>
                <w:vertAlign w:val="superscript"/>
              </w:rPr>
              <w:t>(4)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50.00 %</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July 2025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July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105,000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0" w:type="dxa"/>
            <w:vAlign w:val="bottom"/>
          </w:tcPr>
          <w:p>
            <w:pPr>
              <w:spacing w:after="0"/>
              <w:rPr>
                <w:sz w:val="1"/>
                <w:szCs w:val="1"/>
                <w:color w:val="auto"/>
              </w:rPr>
            </w:pPr>
          </w:p>
        </w:tc>
      </w:tr>
      <w:tr>
        <w:trPr>
          <w:trHeight w:val="197"/>
        </w:trPr>
        <w:tc>
          <w:tcPr>
            <w:tcW w:w="17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 xml:space="preserve">One Madison Avenue </w:t>
            </w:r>
            <w:r>
              <w:rPr>
                <w:rFonts w:ascii="Times New Roman" w:cs="Times New Roman" w:eastAsia="Times New Roman" w:hAnsi="Times New Roman"/>
                <w:sz w:val="18"/>
                <w:szCs w:val="18"/>
                <w:color w:val="auto"/>
                <w:vertAlign w:val="superscript"/>
              </w:rPr>
              <w:t>(6)</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25.50 %</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November 2027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November 2027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366,625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93,489</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354,757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90,463</w:t>
            </w:r>
          </w:p>
        </w:tc>
        <w:tc>
          <w:tcPr>
            <w:tcW w:w="0" w:type="dxa"/>
            <w:vAlign w:val="bottom"/>
          </w:tcPr>
          <w:p>
            <w:pPr>
              <w:spacing w:after="0"/>
              <w:rPr>
                <w:sz w:val="1"/>
                <w:szCs w:val="1"/>
                <w:color w:val="auto"/>
              </w:rPr>
            </w:pPr>
          </w:p>
        </w:tc>
      </w:tr>
      <w:tr>
        <w:trPr>
          <w:trHeight w:val="184"/>
        </w:trPr>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floating rate debt</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792,757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301,955</w:t>
            </w:r>
          </w:p>
        </w:tc>
        <w:tc>
          <w:tcPr>
            <w:tcW w:w="8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780,889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298,929</w:t>
            </w:r>
          </w:p>
        </w:tc>
        <w:tc>
          <w:tcPr>
            <w:tcW w:w="0" w:type="dxa"/>
            <w:vAlign w:val="bottom"/>
          </w:tcPr>
          <w:p>
            <w:pPr>
              <w:spacing w:after="0"/>
              <w:rPr>
                <w:sz w:val="1"/>
                <w:szCs w:val="1"/>
                <w:color w:val="auto"/>
              </w:rPr>
            </w:pPr>
          </w:p>
        </w:tc>
      </w:tr>
      <w:tr>
        <w:trPr>
          <w:trHeight w:val="204"/>
        </w:trPr>
        <w:tc>
          <w:tcPr>
            <w:tcW w:w="4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joint venture mortgages and other loans payable</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12,362,577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6,033,918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12,331,990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6,027,862</w:t>
            </w:r>
          </w:p>
        </w:tc>
        <w:tc>
          <w:tcPr>
            <w:tcW w:w="0" w:type="dxa"/>
            <w:vAlign w:val="bottom"/>
          </w:tcPr>
          <w:p>
            <w:pPr>
              <w:spacing w:after="0"/>
              <w:rPr>
                <w:sz w:val="1"/>
                <w:szCs w:val="1"/>
                <w:color w:val="auto"/>
              </w:rPr>
            </w:pPr>
          </w:p>
        </w:tc>
      </w:tr>
      <w:tr>
        <w:trPr>
          <w:trHeight w:val="191"/>
        </w:trPr>
        <w:tc>
          <w:tcPr>
            <w:tcW w:w="1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Deferred financing costs, net</w:t>
            </w:r>
          </w:p>
        </w:tc>
        <w:tc>
          <w:tcPr>
            <w:tcW w:w="11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(91,632)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(46,097)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(97,729)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(49,058)</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joint venture mortgages and other loans payable, net</w:t>
            </w: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12,270,945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5,987,821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12,234,261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5,978,804</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0" w:hanging="395"/>
        <w:spacing w:after="0" w:line="263" w:lineRule="auto"/>
        <w:tabs>
          <w:tab w:leader="none" w:pos="3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interest represents the Company's interests in the joint venture as of March 31, 2025. Changes in ownership or economic interests, if any, within the current year are disclosed in the notes to the investment in unconsolidated joint ventures table above.</w:t>
      </w:r>
    </w:p>
    <w:p>
      <w:pPr>
        <w:spacing w:after="0" w:line="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 The ability to exercise extension options may be subject to certain conditions, including the operating performance of the property.</w:t>
      </w:r>
    </w:p>
    <w:p>
      <w:pPr>
        <w:spacing w:after="0" w:line="10" w:lineRule="exact"/>
        <w:rPr>
          <w:rFonts w:ascii="Times New Roman" w:cs="Times New Roman" w:eastAsia="Times New Roman" w:hAnsi="Times New Roman"/>
          <w:sz w:val="14"/>
          <w:szCs w:val="14"/>
          <w:color w:val="auto"/>
        </w:rPr>
      </w:pPr>
    </w:p>
    <w:p>
      <w:pPr>
        <w:ind w:left="400" w:hanging="395"/>
        <w:spacing w:after="0" w:line="248" w:lineRule="auto"/>
        <w:tabs>
          <w:tab w:leader="none" w:pos="3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as of March 31, 2025, taking into account interest rate hedges at the joint venture. Corporate interest rate hedges are not taken into consideration. Floating rate debt is presented with the stated spread over Term SOFR ("S").</w:t>
      </w:r>
    </w:p>
    <w:p>
      <w:pPr>
        <w:ind w:left="400" w:hanging="395"/>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2025, the maturity date of the loan was extended to July 2025.</w:t>
      </w:r>
    </w:p>
    <w:p>
      <w:pPr>
        <w:spacing w:after="0" w:line="10" w:lineRule="exact"/>
        <w:rPr>
          <w:rFonts w:ascii="Times New Roman" w:cs="Times New Roman" w:eastAsia="Times New Roman" w:hAnsi="Times New Roman"/>
          <w:sz w:val="14"/>
          <w:szCs w:val="14"/>
          <w:color w:val="auto"/>
        </w:rPr>
      </w:pPr>
    </w:p>
    <w:p>
      <w:pPr>
        <w:ind w:left="400" w:hanging="395"/>
        <w:spacing w:after="0" w:line="248" w:lineRule="auto"/>
        <w:tabs>
          <w:tab w:leader="none" w:pos="3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is a $1.25 billion construction facility, which was fully extended to November 2027. Advances under the loan are subject to costs incurred. In conjunction with the loan, the Company provided partial guarantees for interest and principal payments, the amounts of which are based on certain construction milestones and operating metrics.</w:t>
      </w:r>
    </w:p>
    <w:p>
      <w:pPr>
        <w:ind w:left="400" w:hanging="395"/>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joint venture partner is in discussions with the lender on resolution of the past maturity.</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lender on resolution of the past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We receive fees for providing management, leasing, construction supervision and asset management services to certain of our joint ventures. We earned $2.6 million and $4.9 million from these services, net of our ownership share of the joint ventures, for the three months ended March 31, 2025, and 2024 respectively. In addition, we have the ability to earn incentive fees based on the ultimate financial performance of certain of the joint venture properties.</w: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combined balance sheets for the unconsolidated joint ventures, at March 31, 2025 and December 31, 2024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3"/>
        </w:trPr>
        <w:tc>
          <w:tcPr>
            <w:tcW w:w="7460" w:type="dxa"/>
            <w:vAlign w:val="bottom"/>
            <w:tcBorders>
              <w:top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6"/>
                <w:szCs w:val="16"/>
                <w:b w:val="1"/>
                <w:bCs w:val="1"/>
                <w:i w:val="1"/>
                <w:iCs w:val="1"/>
                <w:color w:val="auto"/>
              </w:rPr>
              <w:t xml:space="preserve">Assets </w:t>
            </w:r>
            <w:r>
              <w:rPr>
                <w:rFonts w:ascii="Times New Roman" w:cs="Times New Roman" w:eastAsia="Times New Roman" w:hAnsi="Times New Roman"/>
                <w:sz w:val="20"/>
                <w:szCs w:val="20"/>
                <w:b w:val="1"/>
                <w:bCs w:val="1"/>
                <w:i w:val="1"/>
                <w:iCs w:val="1"/>
                <w:color w:val="auto"/>
                <w:vertAlign w:val="superscript"/>
              </w:rPr>
              <w:t>(1)</w:t>
            </w:r>
          </w:p>
        </w:tc>
        <w:tc>
          <w:tcPr>
            <w:tcW w:w="24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property, net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15,304,874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15,327,542</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restricted cash</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633,725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649,426</w:t>
            </w: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Tenant and other receivables, related party receivables, and deferred rents receivable</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652,409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621,748</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preferred equity investments,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241,921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236,512</w:t>
            </w: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913,639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919,658</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1,684,051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1,739,549</w:t>
            </w:r>
          </w:p>
        </w:tc>
      </w:tr>
      <w:tr>
        <w:trPr>
          <w:trHeight w:val="205"/>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19,430,619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19,494,435</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7"/>
        </w:trPr>
        <w:tc>
          <w:tcPr>
            <w:tcW w:w="74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i w:val="1"/>
                <w:iCs w:val="1"/>
                <w:color w:val="auto"/>
              </w:rPr>
              <w:t xml:space="preserve">Liabilities and equity </w:t>
            </w:r>
            <w:r>
              <w:rPr>
                <w:rFonts w:ascii="Times New Roman" w:cs="Times New Roman" w:eastAsia="Times New Roman" w:hAnsi="Times New Roman"/>
                <w:sz w:val="20"/>
                <w:szCs w:val="20"/>
                <w:b w:val="1"/>
                <w:bCs w:val="1"/>
                <w:i w:val="1"/>
                <w:iCs w:val="1"/>
                <w:color w:val="auto"/>
                <w:vertAlign w:val="superscript"/>
              </w:rPr>
              <w:t>(1)</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12,270,945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12,234,261</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945,454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956,217</w:t>
            </w: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1,004,846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1,008,085</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434,038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519,582</w:t>
            </w:r>
          </w:p>
        </w:tc>
      </w:tr>
      <w:tr>
        <w:trPr>
          <w:trHeight w:val="21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4,775,336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4,776,290</w:t>
            </w:r>
          </w:p>
        </w:tc>
      </w:tr>
      <w:tr>
        <w:trPr>
          <w:trHeight w:val="230"/>
        </w:trPr>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19,430,619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19,494,435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Company's investments in unconsolidated joint ventures</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2,712,582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2,690,138</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00" w:hanging="395"/>
        <w:spacing w:after="0" w:line="268" w:lineRule="auto"/>
        <w:tabs>
          <w:tab w:leader="none" w:pos="39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2025, $466.5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spacing w:after="0" w:line="79"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combined statements of operations for the unconsolidated joint ventures, from acquisition date through the three months ended March 31, 2025 and 2024, are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6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05"/>
        </w:trPr>
        <w:tc>
          <w:tcPr>
            <w:tcW w:w="74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0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16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371,925</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365,339</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16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68,015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65,750</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71,504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75,632</w:t>
            </w: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6,581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9,025</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128,896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149,854</w:t>
            </w: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6,019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121,305</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134,178</w:t>
            </w:r>
          </w:p>
        </w:tc>
      </w:tr>
      <w:tr>
        <w:trPr>
          <w:trHeight w:val="203"/>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116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402,320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440,511</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early extinguishment of debt</w:t>
            </w:r>
          </w:p>
        </w:tc>
        <w:tc>
          <w:tcPr>
            <w:tcW w:w="1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172,519</w:t>
            </w:r>
          </w:p>
        </w:tc>
      </w:tr>
      <w:tr>
        <w:trPr>
          <w:trHeight w:val="205"/>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before gain on sale</w:t>
            </w:r>
          </w:p>
        </w:tc>
        <w:tc>
          <w:tcPr>
            <w:tcW w:w="1160" w:type="dxa"/>
            <w:vAlign w:val="bottom"/>
            <w:tcBorders>
              <w:top w:val="single" w:sz="8" w:color="auto"/>
              <w:bottom w:val="single" w:sz="8" w:color="auto"/>
            </w:tcBorders>
          </w:tcPr>
          <w:p>
            <w:pPr>
              <w:jc w:val="right"/>
              <w:ind w:right="10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(30,395)</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97,347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Company's equity in net income from unconsolidated joint ventures</w:t>
            </w:r>
          </w:p>
        </w:tc>
        <w:tc>
          <w:tcPr>
            <w:tcW w:w="116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1,170</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111,160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Deferred Costs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costs as of March 31, 2025 and December 31, 2024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Pr>
          <w:p>
            <w:pPr>
              <w:spacing w:after="0"/>
              <w:rPr>
                <w:sz w:val="18"/>
                <w:szCs w:val="18"/>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6"/>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285,033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center"/>
              <w:ind w:left="1041"/>
              <w:spacing w:after="0"/>
              <w:rPr>
                <w:sz w:val="20"/>
                <w:szCs w:val="20"/>
                <w:color w:val="auto"/>
              </w:rPr>
            </w:pPr>
            <w:r>
              <w:rPr>
                <w:rFonts w:ascii="Times New Roman" w:cs="Times New Roman" w:eastAsia="Times New Roman" w:hAnsi="Times New Roman"/>
                <w:sz w:val="16"/>
                <w:szCs w:val="16"/>
                <w:color w:val="auto"/>
                <w:w w:val="99"/>
              </w:rPr>
              <w:t>426,055</w:t>
            </w:r>
          </w:p>
        </w:tc>
      </w:tr>
      <w:tr>
        <w:trPr>
          <w:trHeight w:val="210"/>
        </w:trPr>
        <w:tc>
          <w:tcPr>
            <w:tcW w:w="7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(170,716)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021"/>
              <w:spacing w:after="0"/>
              <w:rPr>
                <w:sz w:val="20"/>
                <w:szCs w:val="20"/>
                <w:color w:val="auto"/>
              </w:rPr>
            </w:pPr>
            <w:r>
              <w:rPr>
                <w:rFonts w:ascii="Times New Roman" w:cs="Times New Roman" w:eastAsia="Times New Roman" w:hAnsi="Times New Roman"/>
                <w:sz w:val="16"/>
                <w:szCs w:val="16"/>
                <w:color w:val="auto"/>
                <w:w w:val="98"/>
              </w:rPr>
              <w:t>(308,923)</w:t>
            </w:r>
          </w:p>
        </w:tc>
      </w:tr>
      <w:tr>
        <w:trPr>
          <w:trHeight w:val="23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114,317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center"/>
              <w:ind w:left="1061"/>
              <w:spacing w:after="0"/>
              <w:rPr>
                <w:sz w:val="20"/>
                <w:szCs w:val="20"/>
                <w:color w:val="auto"/>
              </w:rPr>
            </w:pPr>
            <w:r>
              <w:rPr>
                <w:rFonts w:ascii="Times New Roman" w:cs="Times New Roman" w:eastAsia="Times New Roman" w:hAnsi="Times New Roman"/>
                <w:sz w:val="16"/>
                <w:szCs w:val="16"/>
                <w:color w:val="auto"/>
                <w:w w:val="96"/>
              </w:rPr>
              <w:t>117,132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Mortgages and Other Loans Payable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mortgages and other loans payable collateralized by the respective properties and assignment of leases or debt investments as of March 31, 2025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respectively, were as follows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5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Current Maturity</w:t>
            </w: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Final Maturity Date </w:t>
            </w:r>
            <w:r>
              <w:rPr>
                <w:rFonts w:ascii="Times New Roman" w:cs="Times New Roman" w:eastAsia="Times New Roman" w:hAnsi="Times New Roman"/>
                <w:sz w:val="20"/>
                <w:szCs w:val="20"/>
                <w:b w:val="1"/>
                <w:bCs w:val="1"/>
                <w:color w:val="auto"/>
                <w:vertAlign w:val="superscript"/>
              </w:rPr>
              <w:t>(1)</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20" w:type="dxa"/>
            <w:vAlign w:val="bottom"/>
          </w:tcPr>
          <w:p>
            <w:pPr>
              <w:spacing w:after="0"/>
              <w:rPr>
                <w:sz w:val="16"/>
                <w:szCs w:val="16"/>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1"/>
        </w:trPr>
        <w:tc>
          <w:tcPr>
            <w:tcW w:w="4020" w:type="dxa"/>
            <w:vAlign w:val="bottom"/>
            <w:gridSpan w:val="3"/>
            <w:vMerge w:val="continue"/>
          </w:tcPr>
          <w:p>
            <w:pPr>
              <w:spacing w:after="0"/>
              <w:rPr>
                <w:sz w:val="18"/>
                <w:szCs w:val="18"/>
                <w:color w:val="auto"/>
              </w:rPr>
            </w:pPr>
          </w:p>
        </w:tc>
        <w:tc>
          <w:tcPr>
            <w:tcW w:w="158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Date</w:t>
            </w:r>
          </w:p>
        </w:tc>
        <w:tc>
          <w:tcPr>
            <w:tcW w:w="1680" w:type="dxa"/>
            <w:vAlign w:val="bottom"/>
            <w:gridSpan w:val="2"/>
            <w:vMerge w:val="continue"/>
          </w:tcPr>
          <w:p>
            <w:pPr>
              <w:spacing w:after="0"/>
              <w:rPr>
                <w:sz w:val="18"/>
                <w:szCs w:val="18"/>
                <w:color w:val="auto"/>
              </w:rPr>
            </w:pPr>
          </w:p>
        </w:tc>
        <w:tc>
          <w:tcPr>
            <w:tcW w:w="1160" w:type="dxa"/>
            <w:vAlign w:val="bottom"/>
            <w:gridSpan w:val="2"/>
          </w:tcPr>
          <w:p>
            <w:pPr>
              <w:jc w:val="center"/>
              <w:ind w:right="100"/>
              <w:spacing w:after="0" w:line="210" w:lineRule="exact"/>
              <w:rPr>
                <w:sz w:val="20"/>
                <w:szCs w:val="20"/>
                <w:color w:val="auto"/>
              </w:rPr>
            </w:pPr>
            <w:r>
              <w:rPr>
                <w:rFonts w:ascii="Times New Roman" w:cs="Times New Roman" w:eastAsia="Times New Roman" w:hAnsi="Times New Roman"/>
                <w:sz w:val="16"/>
                <w:szCs w:val="16"/>
                <w:b w:val="1"/>
                <w:bCs w:val="1"/>
                <w:color w:val="auto"/>
                <w:w w:val="89"/>
              </w:rPr>
              <w:t xml:space="preserve">Rate </w:t>
            </w:r>
            <w:r>
              <w:rPr>
                <w:rFonts w:ascii="Times New Roman" w:cs="Times New Roman" w:eastAsia="Times New Roman" w:hAnsi="Times New Roman"/>
                <w:sz w:val="20"/>
                <w:szCs w:val="20"/>
                <w:b w:val="1"/>
                <w:bCs w:val="1"/>
                <w:color w:val="auto"/>
                <w:w w:val="89"/>
                <w:vertAlign w:val="superscript"/>
              </w:rPr>
              <w:t>(2)</w:t>
            </w: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 Debt:</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 East 53rd Street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2025</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2028</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204,888</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0" w:type="dxa"/>
            <w:vAlign w:val="bottom"/>
          </w:tcPr>
          <w:p>
            <w:pPr>
              <w:spacing w:after="0"/>
              <w:rPr>
                <w:sz w:val="1"/>
                <w:szCs w:val="1"/>
                <w:color w:val="auto"/>
              </w:rPr>
            </w:pPr>
          </w:p>
        </w:tc>
      </w:tr>
      <w:tr>
        <w:trPr>
          <w:trHeight w:val="21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Church Street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0" w:type="dxa"/>
            <w:vAlign w:val="bottom"/>
          </w:tcPr>
          <w:p>
            <w:pPr>
              <w:spacing w:after="0"/>
              <w:rPr>
                <w:sz w:val="1"/>
                <w:szCs w:val="1"/>
                <w:color w:val="auto"/>
              </w:rPr>
            </w:pPr>
          </w:p>
        </w:tc>
      </w:tr>
      <w:tr>
        <w:trPr>
          <w:trHeight w:val="210"/>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7 Dey / 185 Broadway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2025</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November 2026</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190,148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0" w:type="dxa"/>
            <w:vAlign w:val="bottom"/>
          </w:tcPr>
          <w:p>
            <w:pPr>
              <w:spacing w:after="0"/>
              <w:rPr>
                <w:sz w:val="1"/>
                <w:szCs w:val="1"/>
                <w:color w:val="auto"/>
              </w:rPr>
            </w:pPr>
          </w:p>
        </w:tc>
      </w:tr>
      <w:tr>
        <w:trPr>
          <w:trHeight w:val="211"/>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Landmark Square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2027</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2027</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485</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2027</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21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500</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2028</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2030</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October 2040</w:t>
            </w:r>
          </w:p>
        </w:tc>
        <w:tc>
          <w:tcPr>
            <w:tcW w:w="16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October 2040</w:t>
            </w:r>
          </w:p>
        </w:tc>
        <w:tc>
          <w:tcPr>
            <w:tcW w:w="106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272,325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272,326</w:t>
            </w:r>
          </w:p>
        </w:tc>
        <w:tc>
          <w:tcPr>
            <w:tcW w:w="0" w:type="dxa"/>
            <w:vAlign w:val="bottom"/>
          </w:tcPr>
          <w:p>
            <w:pPr>
              <w:spacing w:after="0"/>
              <w:rPr>
                <w:sz w:val="1"/>
                <w:szCs w:val="1"/>
                <w:color w:val="auto"/>
              </w:rPr>
            </w:pPr>
          </w:p>
        </w:tc>
      </w:tr>
      <w:tr>
        <w:trPr>
          <w:trHeight w:val="205"/>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fixed rate debt</w:t>
            </w: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1,667,361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1,587,474</w:t>
            </w:r>
          </w:p>
        </w:tc>
        <w:tc>
          <w:tcPr>
            <w:tcW w:w="0" w:type="dxa"/>
            <w:vAlign w:val="bottom"/>
          </w:tcPr>
          <w:p>
            <w:pPr>
              <w:spacing w:after="0"/>
              <w:rPr>
                <w:sz w:val="1"/>
                <w:szCs w:val="1"/>
                <w:color w:val="auto"/>
              </w:rPr>
            </w:pPr>
          </w:p>
        </w:tc>
      </w:tr>
      <w:tr>
        <w:trPr>
          <w:trHeight w:val="190"/>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Floating Rate Debt:</w:t>
            </w: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S+  2.32%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369,366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360,000</w:t>
            </w:r>
          </w:p>
        </w:tc>
        <w:tc>
          <w:tcPr>
            <w:tcW w:w="0" w:type="dxa"/>
            <w:vAlign w:val="bottom"/>
          </w:tcPr>
          <w:p>
            <w:pPr>
              <w:spacing w:after="0"/>
              <w:rPr>
                <w:sz w:val="1"/>
                <w:szCs w:val="1"/>
                <w:color w:val="auto"/>
              </w:rPr>
            </w:pPr>
          </w:p>
        </w:tc>
      </w:tr>
      <w:tr>
        <w:trPr>
          <w:trHeight w:val="210"/>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CMBS Repurchase Facility</w:t>
            </w: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0" w:type="dxa"/>
            <w:vAlign w:val="bottom"/>
          </w:tcPr>
          <w:p>
            <w:pPr>
              <w:spacing w:after="0"/>
              <w:rPr>
                <w:sz w:val="1"/>
                <w:szCs w:val="1"/>
                <w:color w:val="auto"/>
              </w:rPr>
            </w:pPr>
          </w:p>
        </w:tc>
      </w:tr>
      <w:tr>
        <w:trPr>
          <w:trHeight w:val="205"/>
        </w:trPr>
        <w:tc>
          <w:tcPr>
            <w:tcW w:w="402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floating rate debt</w:t>
            </w:r>
          </w:p>
        </w:tc>
        <w:tc>
          <w:tcPr>
            <w:tcW w:w="15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369,366</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363,550</w:t>
            </w:r>
          </w:p>
        </w:tc>
        <w:tc>
          <w:tcPr>
            <w:tcW w:w="0" w:type="dxa"/>
            <w:vAlign w:val="bottom"/>
          </w:tcPr>
          <w:p>
            <w:pPr>
              <w:spacing w:after="0"/>
              <w:rPr>
                <w:sz w:val="1"/>
                <w:szCs w:val="1"/>
                <w:color w:val="auto"/>
              </w:rPr>
            </w:pPr>
          </w:p>
        </w:tc>
      </w:tr>
      <w:tr>
        <w:trPr>
          <w:trHeight w:val="203"/>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2,036,727</w:t>
            </w:r>
          </w:p>
        </w:tc>
        <w:tc>
          <w:tcPr>
            <w:tcW w:w="10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1,951,024</w:t>
            </w:r>
          </w:p>
        </w:tc>
        <w:tc>
          <w:tcPr>
            <w:tcW w:w="0" w:type="dxa"/>
            <w:vAlign w:val="bottom"/>
          </w:tcPr>
          <w:p>
            <w:pPr>
              <w:spacing w:after="0"/>
              <w:rPr>
                <w:sz w:val="1"/>
                <w:szCs w:val="1"/>
                <w:color w:val="auto"/>
              </w:rPr>
            </w:pPr>
          </w:p>
        </w:tc>
      </w:tr>
      <w:tr>
        <w:trPr>
          <w:trHeight w:val="211"/>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 net of amortization</w:t>
            </w: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05"/>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 net</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2,028,552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1,944,635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0" w:hanging="395"/>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 The ability to exercise extension options may be subject to certain conditions, including the operating performance of the property.</w:t>
      </w:r>
    </w:p>
    <w:p>
      <w:pPr>
        <w:spacing w:after="0" w:line="21" w:lineRule="exact"/>
        <w:rPr>
          <w:rFonts w:ascii="Times New Roman" w:cs="Times New Roman" w:eastAsia="Times New Roman" w:hAnsi="Times New Roman"/>
          <w:sz w:val="14"/>
          <w:szCs w:val="14"/>
          <w:color w:val="auto"/>
        </w:rPr>
      </w:pPr>
    </w:p>
    <w:p>
      <w:pPr>
        <w:ind w:left="400" w:hanging="395"/>
        <w:spacing w:after="0" w:line="270" w:lineRule="auto"/>
        <w:tabs>
          <w:tab w:leader="none" w:pos="3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March 31, 2025, taking into account interest rate hedges in effect during the period. Floating rate debt is presented with the stated spread over Term SOFR ("S"), unless otherwise specified.</w:t>
      </w:r>
    </w:p>
    <w:p>
      <w:pPr>
        <w:spacing w:after="0" w:line="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2025 and December 31, 2024, the gross book value of the properties collateralizing the mortgages and other loans payable was approximately $2.3 billion and $2.2 billion,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CMBS Securities Repurchase Facility</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December 2024, the Company entered into a repurchase facility for CMBS securities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March 31, 2025, there have been no margin calls on the CMBS Repurchase Facility. At March 31, 2025, there was no outstanding balance on the facility.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ind w:right="9260" w:firstLine="5"/>
        <w:spacing w:after="0" w:line="413" w:lineRule="auto"/>
        <w:tabs>
          <w:tab w:leader="none" w:pos="175"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Corporate Indebtedness 2021 Credit Facility</w:t>
      </w: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In December 2021, we entered into an amended and restated credit facility, referred to as the 2021 credit facility, that was previously amended by the Company in November 2017, and was originally entered into by the Company in November 2012. As of March 31, 2025, the 2021 credit facility consisted of a $1.25 billion revolving credit facility, a $1.05 billion term loan (or "Term Loan A"), and a $100.0 million term loan (or "Term Loan B") with maturity dates of May 15, 2026, May 15, 2027, and November 19, 2025, respectively. Term Loan B has two six-month, as-of-right extension options to November 19, 2026.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82"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As of March 31, 2025,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8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of March 31, 2025, the applicable spread over adjusted Term SOFR plus 10 basis points for the 2021 credit facility was 140 basis points for the revolving credit facility, 160 basis points for Term Loan A, and 180 basis points for Term Loan B. We are required to pay quarterly in arrears a 12.5 to 30 basis point facility fee on the total commitments under the revolving credit facility based on the credit rating assigned to the senior unsecured long term indebtedness of the Company. As of March 31, 2025, the facility fee was 30 basis points.</w:t>
      </w:r>
    </w:p>
    <w:p>
      <w:pPr>
        <w:spacing w:after="0" w:line="7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of March 31, 2025, we had $7.5 million of outstanding letters of credit, $490.0 million drawn under the revolving credit facility and $1.15 billion of outstanding term loans, with total undrawn capacity of $752.5 million under the 2021 credit facility. As of March 31, 2025 and December 31, 2024, the revolving credit facility had a carrying value of $486.6 million and $316.2 million, respectively, net of deferred financing costs. As of March 31, 2025 and December 31, 2024, the term loans had a carrying value of $1.1 billion and $1.1 billion, respectively, net of deferred financing costs.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and the Operating Partnership are borrowers jointly and severally obligated under the 2021 credit facility.</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2021 credit facility includes certain restrictions and covenants (see Restrictive Covenants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sets forth our senior unsecured notes and other related disclosures as of March 31, 2025 and December 31, 2024, respectively, by scheduled maturity date (dollars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March 31, 2025</w:t>
            </w:r>
          </w:p>
        </w:tc>
        <w:tc>
          <w:tcPr>
            <w:tcW w:w="10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March 31, 2025</w:t>
            </w:r>
          </w:p>
        </w:tc>
        <w:tc>
          <w:tcPr>
            <w:tcW w:w="140" w:type="dxa"/>
            <w:vAlign w:val="bottom"/>
          </w:tcPr>
          <w:p>
            <w:pPr>
              <w:spacing w:after="0"/>
              <w:rPr>
                <w:sz w:val="16"/>
                <w:szCs w:val="16"/>
                <w:color w:val="auto"/>
              </w:rPr>
            </w:pPr>
          </w:p>
        </w:tc>
        <w:tc>
          <w:tcPr>
            <w:tcW w:w="11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Unpaid</w:t>
            </w: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Initial Term</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Accreted</w:t>
            </w:r>
          </w:p>
        </w:tc>
        <w:tc>
          <w:tcPr>
            <w:tcW w:w="140" w:type="dxa"/>
            <w:vAlign w:val="bottom"/>
          </w:tcPr>
          <w:p>
            <w:pPr>
              <w:spacing w:after="0"/>
              <w:rPr>
                <w:sz w:val="13"/>
                <w:szCs w:val="13"/>
                <w:color w:val="auto"/>
              </w:rPr>
            </w:pPr>
          </w:p>
        </w:tc>
        <w:tc>
          <w:tcPr>
            <w:tcW w:w="116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rPr>
              <w:t>Accreted</w:t>
            </w:r>
          </w:p>
        </w:tc>
        <w:tc>
          <w:tcPr>
            <w:tcW w:w="1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1"/>
        </w:trPr>
        <w:tc>
          <w:tcPr>
            <w:tcW w:w="3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tcPr>
          <w:p>
            <w:pPr>
              <w:spacing w:after="0"/>
              <w:rPr>
                <w:sz w:val="18"/>
                <w:szCs w:val="18"/>
                <w:color w:val="auto"/>
              </w:rPr>
            </w:pPr>
          </w:p>
        </w:tc>
        <w:tc>
          <w:tcPr>
            <w:tcW w:w="116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line="210"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80" w:type="dxa"/>
            <w:vAlign w:val="bottom"/>
            <w:tcBorders>
              <w:top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December 17, 2015 </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8"/>
              </w:rPr>
              <w:t>December 2025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99,923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99,897</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0" w:hanging="395"/>
        <w:spacing w:after="0"/>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March 31, 2025.</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the Company and the Operating Partnership as co-obligors in a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terms of the 2021 credit facility and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March 31, 2025 and December 31, 2024, we were in compliance with all such covenants.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Junior Subordinated Deferrable Interest Debentures</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In June 2005, the Company and the Operating Partnership issued $100.0 million in unsecured trust preferred securities through a newly formed trust, SL Green Capital Trust I, or the Trust, which is a wholly-owned subsidiary of the Operating Partnership. The securities mature in 2035 and bear interest at a floating rate of 26 basis points over the three-month Term SOFR.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Maturities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Combined aggregate principal maturities of mortgages and other loans payable, the 2021 credit facility, trust preferred securities, senior unsecured notes and our share of joint venture debt as of March 31, 2025, including as-of-right extension options but excluding other extension options, were as follows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Unsecured Term</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Trust</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Senior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8"/>
              </w:rPr>
              <w:t>Joint</w:t>
            </w: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Credit</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Unsecured</w:t>
            </w:r>
          </w:p>
        </w:tc>
        <w:tc>
          <w:tcPr>
            <w:tcW w:w="2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860" w:type="dxa"/>
            <w:vAlign w:val="bottom"/>
          </w:tcPr>
          <w:p>
            <w:pPr>
              <w:jc w:val="center"/>
              <w:ind w:right="124"/>
              <w:spacing w:after="0" w:line="143" w:lineRule="exact"/>
              <w:rPr>
                <w:sz w:val="20"/>
                <w:szCs w:val="20"/>
                <w:color w:val="auto"/>
              </w:rPr>
            </w:pPr>
            <w:r>
              <w:rPr>
                <w:rFonts w:ascii="Times New Roman" w:cs="Times New Roman" w:eastAsia="Times New Roman" w:hAnsi="Times New Roman"/>
                <w:sz w:val="14"/>
                <w:szCs w:val="14"/>
                <w:b w:val="1"/>
                <w:bCs w:val="1"/>
                <w:color w:val="auto"/>
                <w:w w:val="93"/>
              </w:rPr>
              <w:t>Venture</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209"/>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1,196,030</w:t>
            </w:r>
          </w:p>
        </w:tc>
        <w:tc>
          <w:tcPr>
            <w:tcW w:w="0" w:type="dxa"/>
            <w:vAlign w:val="bottom"/>
          </w:tcPr>
          <w:p>
            <w:pPr>
              <w:spacing w:after="0"/>
              <w:rPr>
                <w:sz w:val="1"/>
                <w:szCs w:val="1"/>
                <w:color w:val="auto"/>
              </w:rPr>
            </w:pPr>
          </w:p>
        </w:tc>
      </w:tr>
      <w:tr>
        <w:trPr>
          <w:trHeight w:val="209"/>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290,148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936,639</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919,366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490,000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2,459,366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1,718,655</w:t>
            </w:r>
          </w:p>
        </w:tc>
        <w:tc>
          <w:tcPr>
            <w:tcW w:w="0" w:type="dxa"/>
            <w:vAlign w:val="bottom"/>
          </w:tcPr>
          <w:p>
            <w:pPr>
              <w:spacing w:after="0"/>
              <w:rPr>
                <w:sz w:val="1"/>
                <w:szCs w:val="1"/>
                <w:color w:val="auto"/>
              </w:rPr>
            </w:pPr>
          </w:p>
        </w:tc>
      </w:tr>
      <w:tr>
        <w:trPr>
          <w:trHeight w:val="209"/>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284,888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382,294</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372,325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1,800,300</w:t>
            </w:r>
          </w:p>
        </w:tc>
        <w:tc>
          <w:tcPr>
            <w:tcW w:w="0" w:type="dxa"/>
            <w:vAlign w:val="bottom"/>
          </w:tcPr>
          <w:p>
            <w:pPr>
              <w:spacing w:after="0"/>
              <w:rPr>
                <w:sz w:val="1"/>
                <w:szCs w:val="1"/>
                <w:color w:val="auto"/>
              </w:rPr>
            </w:pPr>
          </w:p>
        </w:tc>
      </w:tr>
      <w:tr>
        <w:trPr>
          <w:trHeight w:val="229"/>
        </w:trPr>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3,876,727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6,033,918</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Consolidated interest expense, excluding capitalized interest, was comprised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79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before capitalized interest</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52,048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48,869</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financing leases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(17,949)</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discount on assumed debt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r>
      <w:tr>
        <w:trPr>
          <w:trHeight w:val="205"/>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45,681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31,173</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ind w:right="8600" w:firstLine="5"/>
        <w:spacing w:after="0" w:line="413" w:lineRule="auto"/>
        <w:tabs>
          <w:tab w:leader="none" w:pos="263"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 One Vanderbilt Avenue Investment</w:t>
      </w: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In December 2016, we entered into agreements with entities owned and controlled by our Chairman, Chief Executive Officer ("CEO") and Interim President, Marc Holliday, and our former President,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Messrs. Holliday and Mathias paid $1.4 million and $1.0 million, respectively, which equaled the fair market value of the interests acquired as of the date the investment agreements were entered into as determined by an independent third party appraisal that we obtained.</w:t>
      </w:r>
    </w:p>
    <w:p>
      <w:pPr>
        <w:spacing w:after="0" w:line="8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based on the project's sale price, if applicable, or fair market value as determined by an independent third-party appraiser. In 2022, stabilization of the property (excluding SUMMIT One Vanderbilt) was achieved. Therefore, Messrs. Holiday and Mathias exercised their rights to tender 50% of their interests in the property (excluding SUMMIT One Vanderbilt) in July 2022. In 2023, stabilization of SUMMIT One Vanderbilt was achieved.</w:t>
      </w:r>
    </w:p>
    <w:p>
      <w:pPr>
        <w:spacing w:after="0" w:line="8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2025, Messrs. Holiday's and Mathias's remaining interests in the One Vanderbilt project are included in Preferred units and redeemable equity in the mezzanine equity section of the Company's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Vanderbilt Avenue Leases</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November 2018, we entered into a lease agreement with the One Vanderbilt Avenue joint venture covering certain floors at the property. In March 2021, the lease commenced and we relocated our corporate headquarters to the leased space. For the three months ended March 31, 2025 and 2024, we recorded $0.9 million and $0.7 million, respectively, of rent expense under the lease.</w:t>
      </w:r>
    </w:p>
    <w:p>
      <w:pPr>
        <w:spacing w:after="0" w:line="7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Additionally, in June 2021, we, through a consolidated subsidiary, entered into a lease agreement with the One Vanderbilt Avenue joint venture for SUMMIT One Vanderbilt, which commenced operations in October 2021. For the three months ended March 31, 2025 and 2024, we recorded $6.3 million and $6.3 million, respectively, of rent expense under the lease, including percentage rent, of which $3.5 million and $4.1 million, respectively, was recognized as income as a component of Equity in net income (loss) from unconsolidated joint ventures in our consolidated statements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 Madison Avenue Giorgio Armani Residence Condominium Unit</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July 2024, the Company entered into an agreement to sell one of the Giorgio Armani Residence condominium units located at 760 Madison Avenue to an entity owned by a trust of which the beneficiaries are the family members of our Chairman, CEO and Interim President, Marc Holliday, for $8.4 million. The transaction closed in February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receive fees for providing management, leasing, construction supervision and asset management services to certain of our joint ventures as further described in Note 6, "Investments in Unconsolidated Joint Ventures." Amounts due from joint ventures, inclusive of our ownership share of the joint ventures, and related parties as of March 31, 2025 and December 31, 2024 consisted of the following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6"/>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from joint ventures</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16,742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19,199</w:t>
            </w:r>
          </w:p>
        </w:tc>
      </w:tr>
      <w:tr>
        <w:trPr>
          <w:trHeight w:val="21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7,666</w:t>
            </w:r>
          </w:p>
        </w:tc>
      </w:tr>
      <w:tr>
        <w:trPr>
          <w:trHeight w:val="23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26,865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Noncontrolling Interests on the Company's Consolidated Financial Statements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Units of Limited Partnership Interest in the Operating Partnership</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the noncontrolling interest unit holders owned 6.59%, or 5,009,991 units, and 5.97%, or 4,509,953 units, of the Operating Partnership, respectively. As of March 31, 2025, 5,009,991 shares of our common stock were reserved for issuance upon the redemption of units of limited partnership interest of the Operating Partnership.</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Noncontrolling interests in the Operating Partnership is recorded at the greater of its cost basis or fair market value based on the closing stock price of our common stock at the end of the reporting period.</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Below is a summary of the activity relating to the noncontrolling interests in the Operating Partnership for the three months ended March 31, 2025 and the twelve months ended December 31, 2024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6"/>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288,941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238,051</w:t>
            </w: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(13,915)</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units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20,790</w:t>
            </w: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and conversion of common units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(28,663)</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 allocation</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72,030</w:t>
            </w:r>
          </w:p>
        </w:tc>
      </w:tr>
      <w:tr>
        <w:trPr>
          <w:trHeight w:val="205"/>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288,702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288,941</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Units of Limited Partnership Interest in the Operating Partnership</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preferred units of limited partnership interest in the Operating Partnership as of March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16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Conversion</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380" w:type="dxa"/>
            <w:vAlign w:val="bottom"/>
            <w:gridSpan w:val="2"/>
            <w:vMerge w:val="continue"/>
          </w:tcPr>
          <w:p>
            <w:pPr>
              <w:spacing w:after="0"/>
              <w:rPr>
                <w:sz w:val="13"/>
                <w:szCs w:val="13"/>
                <w:color w:val="auto"/>
              </w:rPr>
            </w:pPr>
          </w:p>
        </w:tc>
        <w:tc>
          <w:tcPr>
            <w:tcW w:w="12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Units</w:t>
            </w:r>
          </w:p>
        </w:tc>
        <w:tc>
          <w:tcPr>
            <w:tcW w:w="1240" w:type="dxa"/>
            <w:vAlign w:val="bottom"/>
            <w:gridSpan w:val="2"/>
            <w:vMerge w:val="continue"/>
          </w:tcPr>
          <w:p>
            <w:pPr>
              <w:spacing w:after="0"/>
              <w:rPr>
                <w:sz w:val="13"/>
                <w:szCs w:val="13"/>
                <w:color w:val="auto"/>
              </w:rPr>
            </w:pPr>
          </w:p>
        </w:tc>
        <w:tc>
          <w:tcPr>
            <w:tcW w:w="12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Units</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Dividend Per</w:t>
            </w:r>
          </w:p>
        </w:tc>
        <w:tc>
          <w:tcPr>
            <w:tcW w:w="124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Preference Per</w:t>
            </w: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0" w:type="dxa"/>
            <w:vAlign w:val="bottom"/>
          </w:tcPr>
          <w:p>
            <w:pPr>
              <w:spacing w:after="0"/>
              <w:rPr>
                <w:sz w:val="1"/>
                <w:szCs w:val="1"/>
                <w:color w:val="auto"/>
              </w:rPr>
            </w:pPr>
          </w:p>
        </w:tc>
      </w:tr>
      <w:tr>
        <w:trPr>
          <w:trHeight w:val="211"/>
        </w:trPr>
        <w:tc>
          <w:tcPr>
            <w:tcW w:w="1080" w:type="dxa"/>
            <w:vAlign w:val="bottom"/>
            <w:gridSpan w:val="2"/>
            <w:vMerge w:val="continue"/>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Distribution Rate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Units Issued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00"/>
              <w:spacing w:after="0" w:line="210"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0"/>
                <w:szCs w:val="20"/>
                <w:b w:val="1"/>
                <w:bCs w:val="1"/>
                <w:color w:val="auto"/>
                <w:w w:val="91"/>
                <w:vertAlign w:val="superscript"/>
              </w:rPr>
              <w:t>(1)</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line="210"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0"/>
                <w:szCs w:val="20"/>
                <w:b w:val="1"/>
                <w:bCs w:val="1"/>
                <w:color w:val="auto"/>
                <w:w w:val="91"/>
                <w:vertAlign w:val="superscript"/>
              </w:rPr>
              <w:t>(2)</w:t>
            </w:r>
          </w:p>
        </w:tc>
        <w:tc>
          <w:tcPr>
            <w:tcW w:w="1280" w:type="dxa"/>
            <w:vAlign w:val="bottom"/>
            <w:gridSpan w:val="3"/>
          </w:tcPr>
          <w:p>
            <w:pPr>
              <w:ind w:left="40"/>
              <w:spacing w:after="0" w:line="210" w:lineRule="exact"/>
              <w:rPr>
                <w:sz w:val="20"/>
                <w:szCs w:val="20"/>
                <w:color w:val="auto"/>
              </w:rPr>
            </w:pPr>
            <w:r>
              <w:rPr>
                <w:rFonts w:ascii="Times New Roman" w:cs="Times New Roman" w:eastAsia="Times New Roman" w:hAnsi="Times New Roman"/>
                <w:sz w:val="16"/>
                <w:szCs w:val="16"/>
                <w:b w:val="1"/>
                <w:bCs w:val="1"/>
                <w:color w:val="auto"/>
              </w:rPr>
              <w:t>Price Per Unit</w:t>
            </w:r>
            <w:r>
              <w:rPr>
                <w:rFonts w:ascii="Times New Roman" w:cs="Times New Roman" w:eastAsia="Times New Roman" w:hAnsi="Times New Roman"/>
                <w:sz w:val="20"/>
                <w:szCs w:val="20"/>
                <w:b w:val="1"/>
                <w:bCs w:val="1"/>
                <w:color w:val="auto"/>
                <w:vertAlign w:val="superscript"/>
              </w:rPr>
              <w:t>(3)</w:t>
            </w: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80" w:type="dxa"/>
            <w:vAlign w:val="bottom"/>
            <w:tcBorders>
              <w:top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Series A </w:t>
            </w:r>
            <w:r>
              <w:rPr>
                <w:rFonts w:ascii="Times New Roman" w:cs="Times New Roman" w:eastAsia="Times New Roman" w:hAnsi="Times New Roman"/>
                <w:sz w:val="20"/>
                <w:szCs w:val="20"/>
                <w:color w:val="auto"/>
                <w:vertAlign w:val="superscript"/>
              </w:rPr>
              <w:t>(4)</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6.00 %</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09"/>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F</w:t>
            </w:r>
          </w:p>
        </w:tc>
        <w:tc>
          <w:tcPr>
            <w:tcW w:w="1280" w:type="dxa"/>
            <w:vAlign w:val="bottom"/>
          </w:tcPr>
          <w:p>
            <w:pPr>
              <w:jc w:val="center"/>
              <w:ind w:left="701"/>
              <w:spacing w:after="0"/>
              <w:rPr>
                <w:sz w:val="20"/>
                <w:szCs w:val="20"/>
                <w:color w:val="auto"/>
              </w:rPr>
            </w:pPr>
            <w:r>
              <w:rPr>
                <w:rFonts w:ascii="Times New Roman" w:cs="Times New Roman" w:eastAsia="Times New Roman" w:hAnsi="Times New Roman"/>
                <w:sz w:val="16"/>
                <w:szCs w:val="16"/>
                <w:color w:val="auto"/>
              </w:rPr>
              <w:t>7.00 %</w:t>
            </w:r>
          </w:p>
        </w:tc>
        <w:tc>
          <w:tcPr>
            <w:tcW w:w="1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2007</w:t>
            </w:r>
          </w:p>
        </w:tc>
        <w:tc>
          <w:tcPr>
            <w:tcW w:w="0" w:type="dxa"/>
            <w:vAlign w:val="bottom"/>
          </w:tcPr>
          <w:p>
            <w:pPr>
              <w:spacing w:after="0"/>
              <w:rPr>
                <w:sz w:val="1"/>
                <w:szCs w:val="1"/>
                <w:color w:val="auto"/>
              </w:rPr>
            </w:pPr>
          </w:p>
        </w:tc>
      </w:tr>
      <w:tr>
        <w:trPr>
          <w:trHeight w:val="212"/>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K</w:t>
            </w:r>
          </w:p>
        </w:tc>
        <w:tc>
          <w:tcPr>
            <w:tcW w:w="1280" w:type="dxa"/>
            <w:vAlign w:val="bottom"/>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563,954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0.8750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2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L</w:t>
            </w:r>
          </w:p>
        </w:tc>
        <w:tc>
          <w:tcPr>
            <w:tcW w:w="1280" w:type="dxa"/>
            <w:vAlign w:val="bottom"/>
          </w:tcPr>
          <w:p>
            <w:pPr>
              <w:jc w:val="center"/>
              <w:ind w:left="701"/>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11"/>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R</w:t>
            </w:r>
          </w:p>
        </w:tc>
        <w:tc>
          <w:tcPr>
            <w:tcW w:w="1280" w:type="dxa"/>
            <w:vAlign w:val="bottom"/>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0.8750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09"/>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S</w:t>
            </w:r>
          </w:p>
        </w:tc>
        <w:tc>
          <w:tcPr>
            <w:tcW w:w="1280" w:type="dxa"/>
            <w:vAlign w:val="bottom"/>
          </w:tcPr>
          <w:p>
            <w:pPr>
              <w:jc w:val="center"/>
              <w:ind w:left="701"/>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12"/>
        </w:trPr>
        <w:tc>
          <w:tcPr>
            <w:tcW w:w="108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Series V </w:t>
            </w:r>
            <w:r>
              <w:rPr>
                <w:rFonts w:ascii="Times New Roman" w:cs="Times New Roman" w:eastAsia="Times New Roman" w:hAnsi="Times New Roman"/>
                <w:sz w:val="20"/>
                <w:szCs w:val="20"/>
                <w:color w:val="auto"/>
                <w:vertAlign w:val="superscript"/>
              </w:rPr>
              <w:t>(5)</w:t>
            </w:r>
          </w:p>
        </w:tc>
        <w:tc>
          <w:tcPr>
            <w:tcW w:w="1280" w:type="dxa"/>
            <w:vAlign w:val="bottom"/>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2019</w:t>
            </w:r>
          </w:p>
        </w:tc>
        <w:tc>
          <w:tcPr>
            <w:tcW w:w="0" w:type="dxa"/>
            <w:vAlign w:val="bottom"/>
          </w:tcPr>
          <w:p>
            <w:pPr>
              <w:spacing w:after="0"/>
              <w:rPr>
                <w:sz w:val="1"/>
                <w:szCs w:val="1"/>
                <w:color w:val="auto"/>
              </w:rPr>
            </w:pPr>
          </w:p>
        </w:tc>
      </w:tr>
      <w:tr>
        <w:trPr>
          <w:trHeight w:val="27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Series W </w:t>
            </w:r>
            <w:r>
              <w:rPr>
                <w:rFonts w:ascii="Times New Roman" w:cs="Times New Roman" w:eastAsia="Times New Roman" w:hAnsi="Times New Roman"/>
                <w:sz w:val="20"/>
                <w:szCs w:val="20"/>
                <w:color w:val="auto"/>
                <w:vertAlign w:val="superscript"/>
              </w:rPr>
              <w:t>(6)</w:t>
            </w:r>
          </w:p>
        </w:tc>
        <w:tc>
          <w:tcPr>
            <w:tcW w:w="1280" w:type="dxa"/>
            <w:vAlign w:val="bottom"/>
          </w:tcPr>
          <w:p>
            <w:pPr>
              <w:jc w:val="center"/>
              <w:ind w:left="701"/>
              <w:spacing w:after="0"/>
              <w:rPr>
                <w:sz w:val="20"/>
                <w:szCs w:val="20"/>
                <w:color w:val="auto"/>
              </w:rPr>
            </w:pPr>
            <w:r>
              <w:rPr>
                <w:rFonts w:ascii="Times New Roman" w:cs="Times New Roman" w:eastAsia="Times New Roman" w:hAnsi="Times New Roman"/>
                <w:sz w:val="16"/>
                <w:szCs w:val="16"/>
                <w:color w:val="auto"/>
                <w:w w:val="96"/>
              </w:rPr>
              <w:t>(6)</w:t>
            </w:r>
          </w:p>
        </w:tc>
        <w:tc>
          <w:tcPr>
            <w:tcW w:w="10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2020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00" w:hanging="395"/>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are cumulative, subject to certain provisions.</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are redeemable at any time at par for cash at the option of the unit holder unless otherwise specified.</w:t>
      </w:r>
    </w:p>
    <w:p>
      <w:pPr>
        <w:spacing w:after="0" w:line="10" w:lineRule="exact"/>
        <w:rPr>
          <w:rFonts w:ascii="Times New Roman" w:cs="Times New Roman" w:eastAsia="Times New Roman" w:hAnsi="Times New Roman"/>
          <w:sz w:val="14"/>
          <w:szCs w:val="14"/>
          <w:color w:val="auto"/>
        </w:rPr>
      </w:pPr>
    </w:p>
    <w:p>
      <w:pPr>
        <w:ind w:left="400" w:hanging="395"/>
        <w:spacing w:after="0" w:line="245" w:lineRule="auto"/>
        <w:tabs>
          <w:tab w:leader="none" w:pos="3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ind w:left="400" w:hanging="395"/>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through a consolidated subsidiary. The units are redeemable at any time after December 13, 2024 at par for cash at the option of the unit holder.</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V Preferred Units are redeemable at any time after January 1, 2025 at par for cash at the option of the unit holder.</w:t>
      </w:r>
    </w:p>
    <w:p>
      <w:pPr>
        <w:spacing w:after="0" w:line="10" w:lineRule="exact"/>
        <w:rPr>
          <w:rFonts w:ascii="Times New Roman" w:cs="Times New Roman" w:eastAsia="Times New Roman" w:hAnsi="Times New Roman"/>
          <w:sz w:val="14"/>
          <w:szCs w:val="14"/>
          <w:color w:val="auto"/>
        </w:rPr>
      </w:pPr>
    </w:p>
    <w:p>
      <w:pPr>
        <w:jc w:val="both"/>
        <w:ind w:left="400" w:hanging="395"/>
        <w:spacing w:after="0" w:line="253" w:lineRule="auto"/>
        <w:tabs>
          <w:tab w:leader="none" w:pos="3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spacing w:after="0" w:line="22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Below is a summary of the activity relating to the preferred units in the Operating Partnership for the three months ended March 31, 2025 and the twelve months ended December 31, 2024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164,210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166,501</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preferred units</w:t>
            </w: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preferred units</w:t>
            </w: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preferred units</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w:t>
            </w: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dividends on preferred units</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164,213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164,210</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8160" w:firstLine="5"/>
        <w:spacing w:after="0" w:line="367" w:lineRule="auto"/>
        <w:tabs>
          <w:tab w:leader="none" w:pos="26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of the Company Common Stock</w:t>
      </w:r>
    </w:p>
    <w:p>
      <w:pPr>
        <w:spacing w:after="0" w:line="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March 31, 2025, 71,016,448 shares of common stock and no shares of excess stock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Board of Directors approved a $3.5 billion share repurchase program under which we can buy shares of our common stock.</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2025, 36,107,719 shares have been repurchased under the program, excluding the redemption of OP units. We did not repurchase any shares under the program during the three months ended March 31,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Perpetual Preferred Stock</w:t>
      </w:r>
    </w:p>
    <w:p>
      <w:pPr>
        <w:spacing w:after="0" w:line="111"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any time, in whole or from time to time in part, at par for cash.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and Stock Purchase Plan ("DRSPP")</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February 2024, the Company filed a new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SL Green common stock issued, and proceeds received from dividend reinvestments and/or stock purchases under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DRSPP for the three months ended March 31, 2025 and 2024, respectively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6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05"/>
        </w:trPr>
        <w:tc>
          <w:tcPr>
            <w:tcW w:w="74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0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issued</w:t>
            </w: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r>
      <w:tr>
        <w:trPr>
          <w:trHeight w:val="209"/>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reinvestments/stock purchases under the DRSPP</w:t>
            </w:r>
          </w:p>
        </w:tc>
        <w:tc>
          <w:tcPr>
            <w:tcW w:w="1240" w:type="dxa"/>
            <w:vAlign w:val="bottom"/>
          </w:tcPr>
          <w:p>
            <w:pPr>
              <w:jc w:val="right"/>
              <w:ind w:right="10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75</w:t>
            </w:r>
          </w:p>
        </w:tc>
        <w:tc>
          <w:tcPr>
            <w:tcW w:w="100" w:type="dxa"/>
            <w:vAlign w:val="bottom"/>
          </w:tcPr>
          <w:p>
            <w:pPr>
              <w:spacing w:after="0"/>
              <w:rPr>
                <w:sz w:val="18"/>
                <w:szCs w:val="18"/>
                <w:color w:val="auto"/>
              </w:rPr>
            </w:pPr>
          </w:p>
        </w:tc>
        <w:tc>
          <w:tcPr>
            <w:tcW w:w="1260" w:type="dxa"/>
            <w:vAlign w:val="bottom"/>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11"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SL Green's earnings per share for the three months ended March 31, 2025 and 2024 are computed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 Earnings: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0"/>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income attributable to SL Green common stockholders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(21,075)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13,141</w:t>
            </w:r>
          </w:p>
        </w:tc>
      </w:tr>
      <w:tr>
        <w:trPr>
          <w:trHeight w:val="211"/>
        </w:trPr>
        <w:tc>
          <w:tcPr>
            <w:tcW w:w="8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3"/>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attributable to SL Green common stockholders (numerator for basic earnings per share)</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(21,437)</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12,707</w:t>
            </w:r>
          </w:p>
        </w:tc>
      </w:tr>
      <w:tr>
        <w:trPr>
          <w:trHeight w:val="211"/>
        </w:trPr>
        <w:tc>
          <w:tcPr>
            <w:tcW w:w="8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 shares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0"/>
        </w:trPr>
        <w:tc>
          <w:tcPr>
            <w:tcW w:w="8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 back: effect of dilutive securities (redemption of units to common shares)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30"/>
        </w:trPr>
        <w:tc>
          <w:tcPr>
            <w:tcW w:w="8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income attributable to SL Green common stockholders (numerator for diluted earnings per share)</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97"/>
        </w:trPr>
        <w:tc>
          <w:tcPr>
            <w:tcW w:w="8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Shares: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0"/>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stock outstanding</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70,424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64,328</w:t>
            </w: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Partnership units redeemable for common shares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w:t>
            </w:r>
          </w:p>
        </w:tc>
      </w:tr>
      <w:tr>
        <w:trPr>
          <w:trHeight w:val="211"/>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r>
      <w:tr>
        <w:trPr>
          <w:trHeight w:val="205"/>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stock outstanding</w:t>
            </w: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70,424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70,095</w:t>
            </w: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excluded 6,262,427 and 135,000 common stock equivalents from the calculation of diluted shares outstanding for the three months ended March 31, 2025 and 2024, respectively, as they were anti-dilutive.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Partners' Capital of the Operating Partnership</w:t>
      </w:r>
    </w:p>
    <w:p>
      <w:pPr>
        <w:spacing w:after="0" w:line="111"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The Company is the sole managing general partner of the Operating Partnership and at March 31, 2025 owned 71,016,448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income (loss) allocated to the preferred unitholders and common unitholders reflects their pro rata share of net income (loss) and distributions.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Partner Units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2025, limited partners, other than SL Green, owned 6.59%, or 5,009,991 common units, of the Operating Partnership.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Units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Preferred units not owned by SL Green are further described in Note 11, “Noncontrolling Interests on the Company's Consolidated Financial Statements - Preferred Units of Limited Partnership Interest in the Operating Partnership.”</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Unit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Operating Partnership's earnings per unit for the three months ended March 31, 2025 and 2024, respectively, are computed as follows (in thousands):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 Earnings:</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SLGOP common unitholders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(22,540)</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14,042</w:t>
            </w:r>
          </w:p>
        </w:tc>
      </w:tr>
      <w:tr>
        <w:trPr>
          <w:trHeight w:val="213"/>
        </w:trPr>
        <w:tc>
          <w:tcPr>
            <w:tcW w:w="7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3"/>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attributable to SLGOP common unitholders (numerator for basic earnings per unit)</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(23,783)</w:t>
            </w:r>
          </w:p>
        </w:tc>
        <w:tc>
          <w:tcPr>
            <w:tcW w:w="100" w:type="dxa"/>
            <w:vAlign w:val="bottom"/>
          </w:tcPr>
          <w:p>
            <w:pPr>
              <w:spacing w:after="0"/>
              <w:rPr>
                <w:sz w:val="17"/>
                <w:szCs w:val="17"/>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13,608</w:t>
            </w:r>
          </w:p>
        </w:tc>
      </w:tr>
      <w:tr>
        <w:trPr>
          <w:trHeight w:val="211"/>
        </w:trPr>
        <w:tc>
          <w:tcPr>
            <w:tcW w:w="7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 shares</w:t>
            </w: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4"/>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income attributable to SLGOP common unitholders (numerator for diluted earnings per unit)</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(23,783)</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14,042</w:t>
            </w:r>
          </w:p>
        </w:tc>
      </w:tr>
      <w:tr>
        <w:trPr>
          <w:trHeight w:val="20"/>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r>
      <w:tr>
        <w:trPr>
          <w:trHeight w:val="646"/>
        </w:trPr>
        <w:tc>
          <w:tcPr>
            <w:tcW w:w="7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units:</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74,527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68,767</w:t>
            </w:r>
          </w:p>
        </w:tc>
      </w:tr>
      <w:tr>
        <w:trPr>
          <w:trHeight w:val="21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4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r>
      <w:tr>
        <w:trPr>
          <w:trHeight w:val="230"/>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outstanding</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Operating Partnership has excluded 2,159,695 and 135,000 common unit equivalents from the diluted units outstanding for the three months ended March 31, 2025 and 2024, respectively, as they were anti-dilutive.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spacing w:after="0" w:line="75" w:lineRule="exact"/>
        <w:rPr>
          <w:sz w:val="20"/>
          <w:szCs w:val="20"/>
          <w:color w:val="auto"/>
        </w:rPr>
      </w:pPr>
    </w:p>
    <w:p>
      <w:pPr>
        <w:jc w:val="both"/>
        <w:ind w:firstLine="434"/>
        <w:spacing w:after="0" w:line="278" w:lineRule="auto"/>
        <w:rPr>
          <w:sz w:val="20"/>
          <w:szCs w:val="20"/>
          <w:color w:val="auto"/>
        </w:rPr>
      </w:pPr>
      <w:r>
        <w:rPr>
          <w:rFonts w:ascii="Times New Roman" w:cs="Times New Roman" w:eastAsia="Times New Roman" w:hAnsi="Times New Roman"/>
          <w:sz w:val="16"/>
          <w:szCs w:val="16"/>
          <w:color w:val="auto"/>
        </w:rPr>
        <w:t>The Fifth Amended and Restated 2005 Stock Option and Incentive Plan, or the 2005 Plan, was approved by the Company's Board of Directors in April 2022 and its stockholders in June 2022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32,210,000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2.59 Fungible Units per share subject to such awards, (2) stock options, stock appreciation rights and other awards that do not deliver full value and expire five years from the date of grant counting as 0.84 fungible units per share subject to such awards, and (3) all other awards (e.g., 10-year stock options) counting as 1.0 fungible units per share subject to such awards. Awards granted under the 2005 Plan prior to the approval of the fifth amendment and restatement in June 2022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32,210,000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1, 2032, which is the tenth anniversary of the date that the 2005 Plan was most recently approved by the Company's stockholders. As of March 31, 2025, 1.5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Class O LTIP Units</w:t>
      </w:r>
    </w:p>
    <w:p>
      <w:pPr>
        <w:spacing w:after="0" w:line="111" w:lineRule="exact"/>
        <w:rPr>
          <w:sz w:val="20"/>
          <w:szCs w:val="20"/>
          <w:color w:val="auto"/>
        </w:rPr>
      </w:pPr>
    </w:p>
    <w:p>
      <w:pPr>
        <w:jc w:val="both"/>
        <w:ind w:firstLine="434"/>
        <w:spacing w:after="0" w:line="284" w:lineRule="auto"/>
        <w:rPr>
          <w:sz w:val="20"/>
          <w:szCs w:val="20"/>
          <w:color w:val="auto"/>
        </w:rPr>
      </w:pPr>
      <w:r>
        <w:rPr>
          <w:rFonts w:ascii="Times New Roman" w:cs="Times New Roman" w:eastAsia="Times New Roman" w:hAnsi="Times New Roman"/>
          <w:sz w:val="16"/>
          <w:szCs w:val="16"/>
          <w:color w:val="auto"/>
        </w:rPr>
        <w:t>Options are granted with an exercise price at the fair market value of the Company's common stock on the date of grant and, subject to employment, generally expire five years or ten years from the date of grant, are not transferable other than on death, and generally vest in one year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w:t>
      </w:r>
    </w:p>
    <w:p>
      <w:pPr>
        <w:spacing w:after="0" w:line="5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December 2024, our Chairman, CEO and Interim President, Marc Holliday, received a grant of 217,917 Class O LTIP Units in connection with his new employment agreement, that are subject to both time-based vesting conditions and performance-based vesting conditions. The performance-based vesting conditions are satisfied if the average share price of the Company's common stock equals or exceeds $100.00 as of any trailing twenty trading day period between the grant date and the fifth anniversary thereafter. Subject to achievement of the performance hurdle and continued employment, the Class O LTIP Units vest ratably on December 31, 2025, December 31, 2026, and December 31, 2027.</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or LTIP Unit granted is estimated on the date of grant using the Black-Scholes option pricing model based on historical information with the following weighted average assumptions for grants during the three months ended March 31, 2025 and the year ended December 31,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6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5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none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5.5 %</w:t>
            </w:r>
          </w:p>
        </w:tc>
      </w:tr>
      <w:tr>
        <w:trPr>
          <w:trHeight w:val="21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life</w:t>
            </w:r>
          </w:p>
        </w:tc>
        <w:tc>
          <w:tcPr>
            <w:tcW w:w="6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zero</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 years</w:t>
            </w:r>
          </w:p>
        </w:tc>
      </w:tr>
      <w:tr>
        <w:trPr>
          <w:trHeight w:val="211"/>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6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none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4.45 %</w:t>
            </w:r>
          </w:p>
        </w:tc>
      </w:tr>
      <w:tr>
        <w:trPr>
          <w:trHeight w:val="20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6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none</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45.0 %</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status of the Company's stock options as of March 31, 2025 and December 31, 2024, and changes during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year ended December 31,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20" w:type="dxa"/>
            <w:vAlign w:val="bottom"/>
          </w:tcPr>
          <w:p>
            <w:pPr>
              <w:spacing w:after="0"/>
              <w:rPr>
                <w:sz w:val="18"/>
                <w:szCs w:val="18"/>
                <w:color w:val="auto"/>
              </w:rPr>
            </w:pPr>
          </w:p>
        </w:tc>
        <w:tc>
          <w:tcPr>
            <w:tcW w:w="296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60" w:type="dxa"/>
            <w:vAlign w:val="bottom"/>
            <w:gridSpan w:val="4"/>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21"/>
              <w:spacing w:after="0" w:line="154"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
              <w:spacing w:after="0" w:line="154"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8"/>
        </w:trPr>
        <w:tc>
          <w:tcPr>
            <w:tcW w:w="5420" w:type="dxa"/>
            <w:vAlign w:val="bottom"/>
          </w:tcPr>
          <w:p>
            <w:pPr>
              <w:spacing w:after="0"/>
              <w:rPr>
                <w:sz w:val="13"/>
                <w:szCs w:val="13"/>
                <w:color w:val="auto"/>
              </w:rPr>
            </w:pPr>
          </w:p>
        </w:tc>
        <w:tc>
          <w:tcPr>
            <w:tcW w:w="1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21"/>
              <w:spacing w:after="0" w:line="15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0" w:type="dxa"/>
            <w:vAlign w:val="bottom"/>
          </w:tcPr>
          <w:p>
            <w:pPr>
              <w:spacing w:after="0"/>
              <w:rPr>
                <w:sz w:val="1"/>
                <w:szCs w:val="1"/>
                <w:color w:val="auto"/>
              </w:rPr>
            </w:pPr>
          </w:p>
        </w:tc>
      </w:tr>
      <w:tr>
        <w:trPr>
          <w:trHeight w:val="205"/>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333,897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81.63</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115,980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103.52</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217,917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68.07</w:t>
            </w: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Lapsed or canceled</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5"/>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333,897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81.63</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333,897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end of period</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115,980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103.52</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115,980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remaining weighted average contractual life of the options outstanding was 6.7 years and the remaining average contractual life of the options exercisable was 1.7 years.</w:t>
      </w:r>
    </w:p>
    <w:p>
      <w:pPr>
        <w:spacing w:after="0" w:line="6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we recognized $0.4 million compensation expense related to options. As of March 31, 2025, there was $4.1 million unrecognized compensation cost related to unvested stock options.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11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Shares may be granted to certain employees, including our executives, and vesting occurs upon the completion of a service period or our meeting established financial performance criteria. Vesting occurs at rates ranging from 15% to 35% once performance criteria are reached.</w:t>
      </w:r>
    </w:p>
    <w:p>
      <w:pPr>
        <w:spacing w:after="0" w:line="6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 summary of the Company's restricted stock as of March 31, 2025 and December 31, 2024 and changes during the three months ended March 31, 2025 and the year ended December 31, 2024, are as follows:</w:t>
      </w:r>
    </w:p>
    <w:p>
      <w:pPr>
        <w:spacing w:after="0" w:line="106"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6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4,449,709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4,089,174</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6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371,285</w:t>
            </w:r>
          </w:p>
        </w:tc>
      </w:tr>
      <w:tr>
        <w:trPr>
          <w:trHeight w:val="21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(10,750)</w:t>
            </w:r>
          </w:p>
        </w:tc>
      </w:tr>
      <w:tr>
        <w:trPr>
          <w:trHeight w:val="205"/>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4,448,649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4,449,709</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during the period</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226,806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143,453</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expense recorded</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3,797,376</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10,939,602</w:t>
            </w:r>
          </w:p>
        </w:tc>
      </w:tr>
      <w:tr>
        <w:trPr>
          <w:trHeight w:val="21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fair value of restricted stock granted during the period</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24,676,422</w:t>
            </w:r>
          </w:p>
        </w:tc>
      </w:tr>
    </w:tbl>
    <w:p>
      <w:pPr>
        <w:spacing w:after="0" w:line="17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fair value of restricted stock that vested during the three months ended March 31, 2025 and the year ended December 31, 2024 was $10.9 million and $7.4 million, respectively. As of March 31, 2025, there was $28.7 million of total unrecognized compensation cost related to restricted stock, which is expected to be recognized over a weighted average period of 2.1 years.</w:t>
      </w:r>
    </w:p>
    <w:p>
      <w:pPr>
        <w:spacing w:after="0" w:line="75"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granted LTIP Units, which include bonus, time-based and performance-based awards, with a fair value of $16.6 million and $34.1 million as of March 31, 2025 and December 31, 2024, respectively. The grant date fair value of the LTIP Unit awards was calculated in accordance with ASC 718. A third-party consultant determined that the fair value of the LTIP Units has a discount to our common stock price. The discount was calculated by considering the inherent uncertainty that the LTIP Units will reach parity with other common partnership units and the illiquidity due to transfer restrictions. As of March 31, 2025, there was $35.9 million of total unrecognized compensation expense related to the time-based and performance-based awards, which is expected to be recognized over a weighted average period of 1.6 years.</w:t>
      </w:r>
    </w:p>
    <w:p>
      <w:pPr>
        <w:spacing w:after="0" w:line="8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recorded compensation expense related to bonus, time-based and performance-based awards of $5.1 million and $6.2 million, respectively.</w:t>
      </w:r>
    </w:p>
    <w:p>
      <w:pPr>
        <w:spacing w:after="0" w:line="6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2025, and 2024 $0.5 million and $0.3 million, respectively, was capitalized to assets associated with compensation expense related to our long-term compensation plans, restricted stock and stock options.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 for Directors</w:t>
      </w:r>
    </w:p>
    <w:p>
      <w:pPr>
        <w:spacing w:after="0" w:line="111"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8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14,393 phantom stock units and 10,311 shares of common stock were issued to our Board of Directors. We recorded compensation expense of $1.9 million and $2.1 million during the three months ended March 31, 2025, and 2024 respectively, related to the Deferred Compensation Plan.</w:t>
      </w:r>
    </w:p>
    <w:p>
      <w:pPr>
        <w:spacing w:after="0" w:line="75" w:lineRule="exact"/>
        <w:rPr>
          <w:sz w:val="20"/>
          <w:szCs w:val="20"/>
          <w:color w:val="auto"/>
        </w:rPr>
      </w:pPr>
    </w:p>
    <w:p>
      <w:pPr>
        <w:ind w:right="1320" w:firstLine="434"/>
        <w:spacing w:after="0" w:line="366" w:lineRule="auto"/>
        <w:rPr>
          <w:sz w:val="20"/>
          <w:szCs w:val="20"/>
          <w:color w:val="auto"/>
        </w:rPr>
      </w:pPr>
      <w:r>
        <w:rPr>
          <w:rFonts w:ascii="Times New Roman" w:cs="Times New Roman" w:eastAsia="Times New Roman" w:hAnsi="Times New Roman"/>
          <w:sz w:val="18"/>
          <w:szCs w:val="18"/>
          <w:color w:val="auto"/>
        </w:rPr>
        <w:t xml:space="preserve">As of March 31, 2025, there were 92,698 phantom stock units outstanding pursuant to our Non-Employee Director's Deferral Program. </w:t>
      </w:r>
      <w:r>
        <w:rPr>
          <w:rFonts w:ascii="Times New Roman" w:cs="Times New Roman" w:eastAsia="Times New Roman" w:hAnsi="Times New Roman"/>
          <w:sz w:val="18"/>
          <w:szCs w:val="18"/>
          <w:b w:val="1"/>
          <w:bCs w:val="1"/>
          <w:color w:val="auto"/>
        </w:rPr>
        <w:t>Employee Stock Purchase Plan</w:t>
      </w: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March 31, 2025, 250,924 shares of our common stock had been issued under the ESPP.</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set forth the changes in accumulated other comprehensive income by component as of March 31, 2025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SL Green’s share</w:t>
            </w: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Net unrealized gain</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of joint venture</w:t>
            </w:r>
          </w:p>
        </w:tc>
        <w:tc>
          <w:tcPr>
            <w:tcW w:w="12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Net unrealized (loss)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net unrealized loss on</w:t>
            </w: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(loss) on derivative</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gain on marketable</w:t>
            </w:r>
          </w:p>
        </w:tc>
        <w:tc>
          <w:tcPr>
            <w:tcW w:w="360" w:type="dxa"/>
            <w:vAlign w:val="bottom"/>
          </w:tcPr>
          <w:p>
            <w:pPr>
              <w:spacing w:after="0"/>
              <w:rPr>
                <w:sz w:val="12"/>
                <w:szCs w:val="12"/>
                <w:color w:val="auto"/>
              </w:rPr>
            </w:pPr>
          </w:p>
        </w:tc>
        <w:tc>
          <w:tcPr>
            <w:tcW w:w="1160" w:type="dxa"/>
            <w:vAlign w:val="bottom"/>
            <w:vMerge w:val="restart"/>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instruments </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7"/>
                <w:szCs w:val="7"/>
                <w:b w:val="1"/>
                <w:bCs w:val="1"/>
                <w:color w:val="auto"/>
              </w:rPr>
              <w:t>1</w:t>
            </w:r>
            <w:r>
              <w:rPr>
                <w:rFonts w:ascii="Times New Roman" w:cs="Times New Roman" w:eastAsia="Times New Roman" w:hAnsi="Times New Roman"/>
                <w:sz w:val="9"/>
                <w:szCs w:val="9"/>
                <w:b w:val="1"/>
                <w:bCs w:val="1"/>
                <w:color w:val="auto"/>
              </w:rPr>
              <w:t>)</w:t>
            </w:r>
          </w:p>
        </w:tc>
        <w:tc>
          <w:tcPr>
            <w:tcW w:w="100" w:type="dxa"/>
            <w:vAlign w:val="bottom"/>
          </w:tcPr>
          <w:p>
            <w:pPr>
              <w:spacing w:after="0"/>
              <w:rPr>
                <w:sz w:val="17"/>
                <w:szCs w:val="17"/>
                <w:color w:val="auto"/>
              </w:rPr>
            </w:pPr>
          </w:p>
        </w:tc>
        <w:tc>
          <w:tcPr>
            <w:tcW w:w="1520" w:type="dxa"/>
            <w:vAlign w:val="bottom"/>
            <w:gridSpan w:val="2"/>
          </w:tcPr>
          <w:p>
            <w:pPr>
              <w:jc w:val="center"/>
              <w:ind w:right="200"/>
              <w:spacing w:after="0" w:line="197" w:lineRule="exact"/>
              <w:rPr>
                <w:sz w:val="20"/>
                <w:szCs w:val="20"/>
                <w:color w:val="auto"/>
              </w:rPr>
            </w:pPr>
            <w:r>
              <w:rPr>
                <w:rFonts w:ascii="Times New Roman" w:cs="Times New Roman" w:eastAsia="Times New Roman" w:hAnsi="Times New Roman"/>
                <w:sz w:val="14"/>
                <w:szCs w:val="14"/>
                <w:b w:val="1"/>
                <w:bCs w:val="1"/>
                <w:color w:val="auto"/>
                <w:w w:val="95"/>
              </w:rPr>
              <w:t xml:space="preserve">instruments </w:t>
            </w:r>
            <w:r>
              <w:rPr>
                <w:rFonts w:ascii="Times New Roman" w:cs="Times New Roman" w:eastAsia="Times New Roman" w:hAnsi="Times New Roman"/>
                <w:sz w:val="18"/>
                <w:szCs w:val="18"/>
                <w:b w:val="1"/>
                <w:bCs w:val="1"/>
                <w:color w:val="auto"/>
                <w:w w:val="95"/>
                <w:vertAlign w:val="superscript"/>
              </w:rPr>
              <w:t>(</w:t>
            </w:r>
            <w:r>
              <w:rPr>
                <w:rFonts w:ascii="Times New Roman" w:cs="Times New Roman" w:eastAsia="Times New Roman" w:hAnsi="Times New Roman"/>
                <w:sz w:val="15"/>
                <w:szCs w:val="15"/>
                <w:b w:val="1"/>
                <w:bCs w:val="1"/>
                <w:color w:val="auto"/>
                <w:w w:val="95"/>
                <w:vertAlign w:val="superscript"/>
              </w:rPr>
              <w:t>2</w:t>
            </w:r>
            <w:r>
              <w:rPr>
                <w:rFonts w:ascii="Times New Roman" w:cs="Times New Roman" w:eastAsia="Times New Roman" w:hAnsi="Times New Roman"/>
                <w:sz w:val="18"/>
                <w:szCs w:val="18"/>
                <w:b w:val="1"/>
                <w:bCs w:val="1"/>
                <w:color w:val="auto"/>
                <w:w w:val="95"/>
                <w:vertAlign w:val="superscript"/>
              </w:rPr>
              <w:t>)</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18,196</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(16,884)</w:t>
            </w:r>
          </w:p>
        </w:tc>
        <w:tc>
          <w:tcPr>
            <w:tcW w:w="0" w:type="dxa"/>
            <w:vAlign w:val="bottom"/>
          </w:tcPr>
          <w:p>
            <w:pPr>
              <w:spacing w:after="0"/>
              <w:rPr>
                <w:sz w:val="1"/>
                <w:szCs w:val="1"/>
                <w:color w:val="auto"/>
              </w:rPr>
            </w:pPr>
          </w:p>
        </w:tc>
      </w:tr>
      <w:tr>
        <w:trPr>
          <w:trHeight w:val="160"/>
        </w:trPr>
        <w:tc>
          <w:tcPr>
            <w:tcW w:w="4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00" w:hanging="395"/>
        <w:spacing w:after="0" w:line="254" w:lineRule="auto"/>
        <w:tabs>
          <w:tab w:leader="none" w:pos="3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(loss) income is included in interest expense in the respective consolidated statements of operations. As of March 31, 2025 and December 31, 2024, the deferred net gains from these terminated hedges, which is included in accumulated other comprehensive (loss) income relating to net unrealized gain (loss) on derivative instruments, was ($0.2 million) and ($0.2 million), respectively.</w:t>
      </w:r>
    </w:p>
    <w:p>
      <w:pPr>
        <w:ind w:left="400" w:hanging="395"/>
        <w:spacing w:after="0" w:line="270" w:lineRule="auto"/>
        <w:tabs>
          <w:tab w:leader="none" w:pos="3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(loss) income is included in equity in net (loss) income from unconsolidated joint ventures in the respective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11"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We are required to disclose fair value information with regard to certain of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certain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8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tables set forth the assets and liabilities that we measure at fair value on a recurring and non-recurring basis by their levels in the fair value hierarchy as of March 31, 2025 and December 31, 2024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7"/>
              </w:rPr>
              <w:t>March 31, 2025</w:t>
            </w: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6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7"/>
                <w:szCs w:val="17"/>
                <w:color w:val="auto"/>
              </w:rPr>
            </w:pPr>
          </w:p>
        </w:tc>
        <w:tc>
          <w:tcPr>
            <w:tcW w:w="116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1"/>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6"/>
                <w:szCs w:val="16"/>
                <w:b w:val="1"/>
                <w:bCs w:val="1"/>
                <w:color w:val="auto"/>
                <w:w w:val="95"/>
              </w:rPr>
              <w:t>Assets:</w:t>
            </w:r>
          </w:p>
        </w:tc>
        <w:tc>
          <w:tcPr>
            <w:tcW w:w="44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12,295</w:t>
            </w:r>
          </w:p>
        </w:tc>
        <w:tc>
          <w:tcPr>
            <w:tcW w:w="16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12,295</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assets)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1,449,291</w:t>
            </w:r>
          </w:p>
        </w:tc>
        <w:tc>
          <w:tcPr>
            <w:tcW w:w="16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1,021,586</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427,705</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7"/>
              </w:rPr>
              <w:t>Liabilities:</w:t>
            </w:r>
          </w:p>
        </w:tc>
        <w:tc>
          <w:tcPr>
            <w:tcW w:w="4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liabilities)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16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1,409,185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985,982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423,203</w:t>
            </w:r>
          </w:p>
        </w:tc>
      </w:tr>
      <w:tr>
        <w:trPr>
          <w:trHeight w:val="269"/>
        </w:trPr>
        <w:tc>
          <w:tcPr>
            <w:tcW w:w="20" w:type="dxa"/>
            <w:vAlign w:val="bottom"/>
          </w:tcPr>
          <w:p>
            <w:pPr>
              <w:spacing w:after="0"/>
              <w:rPr>
                <w:sz w:val="23"/>
                <w:szCs w:val="23"/>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Secured borrowing </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254,447</w:t>
            </w:r>
          </w:p>
        </w:tc>
        <w:tc>
          <w:tcPr>
            <w:tcW w:w="160" w:type="dxa"/>
            <w:vAlign w:val="bottom"/>
          </w:tcPr>
          <w:p>
            <w:pPr>
              <w:spacing w:after="0"/>
              <w:rPr>
                <w:sz w:val="23"/>
                <w:szCs w:val="23"/>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254,447</w:t>
            </w:r>
          </w:p>
        </w:tc>
      </w:tr>
    </w:tbl>
    <w:p>
      <w:pPr>
        <w:spacing w:after="0" w:line="196" w:lineRule="exact"/>
        <w:rPr>
          <w:sz w:val="20"/>
          <w:szCs w:val="20"/>
          <w:color w:val="auto"/>
        </w:rPr>
      </w:pPr>
    </w:p>
    <w:p>
      <w:pPr>
        <w:ind w:left="400" w:hanging="395"/>
        <w:spacing w:after="0" w:line="287" w:lineRule="auto"/>
        <w:tabs>
          <w:tab w:leader="none" w:pos="3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admitted an additional partner to the One Madison Avenue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7"/>
                <w:szCs w:val="17"/>
                <w:color w:val="auto"/>
              </w:rPr>
            </w:pPr>
          </w:p>
        </w:tc>
        <w:tc>
          <w:tcPr>
            <w:tcW w:w="116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1"/>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6"/>
                <w:szCs w:val="16"/>
                <w:b w:val="1"/>
                <w:bCs w:val="1"/>
                <w:color w:val="auto"/>
                <w:w w:val="95"/>
              </w:rPr>
              <w:t>Assets:</w:t>
            </w:r>
          </w:p>
        </w:tc>
        <w:tc>
          <w:tcPr>
            <w:tcW w:w="44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17,323</w:t>
            </w:r>
          </w:p>
        </w:tc>
        <w:tc>
          <w:tcPr>
            <w:tcW w:w="16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17,323</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assets)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584,134</w:t>
            </w:r>
          </w:p>
        </w:tc>
        <w:tc>
          <w:tcPr>
            <w:tcW w:w="16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584,134</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7"/>
              </w:rPr>
              <w:t>Liabilities:</w:t>
            </w:r>
          </w:p>
        </w:tc>
        <w:tc>
          <w:tcPr>
            <w:tcW w:w="4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liabilities)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16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567,487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Secured borrowing</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251,096</w:t>
            </w:r>
          </w:p>
        </w:tc>
        <w:tc>
          <w:tcPr>
            <w:tcW w:w="160" w:type="dxa"/>
            <w:vAlign w:val="bottom"/>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251,096</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We do not intend to sell these securities and it is not more likely than not that we will be required to sell the investments before recovery of their amortized cost bases.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75"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The senior obligations of consolidated securitization vehicles represent CMBS that are not owned by the Company. A majority of these securities are either traded in the marketplace or are similar to other securities that are traded in the marketplace. As the valuation of these amounts are based upon quoted prices for similar instruments in active markets, we generally utilize third party pricing service providers to determine the fair value. The Company evaluates and assesses the third party pricing by referring to recent trades of similar securities, ratings, subordination levels, current market data and credit issues. The Company maximizes the use of observable inputs over unobservable inputs and uses the value of the senior obligations of consolidated securitization vehicles as an indicator of the fair value of the real estate loans held by consolidated securitization vehicles. Depending on the significance of the fair value inputs used in determining the fair value, these securities are classified in either Level 2 or Level 3 of the fair value hierarchy. As such, these investments may move between Level 2 and Level 3 of the fair value hierarchy if the significant fair value inputs used to price the CMBS become or cease to be observable.</w:t>
      </w:r>
    </w:p>
    <w:p>
      <w:pPr>
        <w:spacing w:after="0" w:line="6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our secured borrowing is determined by projecting future cash flows, which takes into consideration various factors including discount rate and exit capitalization rate, as well as related asset performance and local or macro real estate performance. The inputs used in determining the Company's secured borrowing are considered Level 3.</w:t>
      </w:r>
    </w:p>
    <w:p>
      <w:pPr>
        <w:spacing w:after="0" w:line="75"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provides the carrying value and fair value of these financial instruments as of March 31, 2025 and December 31, 2024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107"/>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100"/>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500" w:type="dxa"/>
            <w:vAlign w:val="bottom"/>
          </w:tcPr>
          <w:p>
            <w:pPr>
              <w:spacing w:after="0"/>
              <w:rPr>
                <w:sz w:val="17"/>
                <w:szCs w:val="17"/>
                <w:color w:val="auto"/>
              </w:rPr>
            </w:pPr>
          </w:p>
        </w:tc>
        <w:tc>
          <w:tcPr>
            <w:tcW w:w="1260" w:type="dxa"/>
            <w:vAlign w:val="bottom"/>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100"/>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7"/>
                <w:szCs w:val="17"/>
                <w:color w:val="auto"/>
              </w:rPr>
            </w:pPr>
          </w:p>
        </w:tc>
        <w:tc>
          <w:tcPr>
            <w:tcW w:w="1460" w:type="dxa"/>
            <w:vAlign w:val="bottom"/>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30"/>
        </w:trPr>
        <w:tc>
          <w:tcPr>
            <w:tcW w:w="38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Debt and preferred equity investments</w:t>
            </w:r>
          </w:p>
        </w:tc>
        <w:tc>
          <w:tcPr>
            <w:tcW w:w="1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318,189</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jc w:val="right"/>
              <w:ind w:right="747"/>
              <w:spacing w:after="0"/>
              <w:rPr>
                <w:sz w:val="20"/>
                <w:szCs w:val="20"/>
                <w:color w:val="auto"/>
              </w:rPr>
            </w:pP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1"/>
                <w:szCs w:val="11"/>
                <w:color w:val="auto"/>
              </w:rPr>
            </w:pPr>
          </w:p>
        </w:tc>
        <w:tc>
          <w:tcPr>
            <w:tcW w:w="1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303,726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jc w:val="right"/>
              <w:ind w:right="747"/>
              <w:spacing w:after="0"/>
              <w:rPr>
                <w:sz w:val="20"/>
                <w:szCs w:val="20"/>
                <w:color w:val="auto"/>
              </w:rPr>
            </w:pP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76"/>
        </w:trPr>
        <w:tc>
          <w:tcPr>
            <w:tcW w:w="38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3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Fixed rate debt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3,367,361</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3,372,590</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3,257,474</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3,225,767</w:t>
            </w:r>
          </w:p>
        </w:tc>
        <w:tc>
          <w:tcPr>
            <w:tcW w:w="0" w:type="dxa"/>
            <w:vAlign w:val="bottom"/>
          </w:tcPr>
          <w:p>
            <w:pPr>
              <w:spacing w:after="0"/>
              <w:rPr>
                <w:sz w:val="1"/>
                <w:szCs w:val="1"/>
                <w:color w:val="auto"/>
              </w:rPr>
            </w:pPr>
          </w:p>
        </w:tc>
      </w:tr>
      <w:tr>
        <w:trPr>
          <w:trHeight w:val="24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rate debt</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509,366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508,160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363,550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355,364</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3,876,727</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3,880,750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3,621,024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3,581,131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0" w:hanging="395"/>
        <w:spacing w:after="0"/>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net deferred financing costs.</w:t>
      </w:r>
    </w:p>
    <w:p>
      <w:pPr>
        <w:spacing w:after="0" w:line="21" w:lineRule="exact"/>
        <w:rPr>
          <w:rFonts w:ascii="Times New Roman" w:cs="Times New Roman" w:eastAsia="Times New Roman" w:hAnsi="Times New Roman"/>
          <w:sz w:val="14"/>
          <w:szCs w:val="14"/>
          <w:color w:val="auto"/>
        </w:rPr>
      </w:pPr>
    </w:p>
    <w:p>
      <w:pPr>
        <w:ind w:left="400" w:hanging="395"/>
        <w:spacing w:after="0" w:line="270" w:lineRule="auto"/>
        <w:tabs>
          <w:tab w:leader="none" w:pos="3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2025, debt and preferred equity investments had an estimated fair value of approximately $0.3 billion. As of December 31, 2024, debt and preferred equity investments had an estimated fair value of approximately $0.3 billion.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Disclosures regarding fair value of financial instruments was based on pertinent information available to us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Financial Instruments: Derivatives and Hedging</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the normal course of business, we use a variety of commonly used derivative instruments, including, but not limited to, interest rate swaps, caps, collars and floors, to manage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and other variables affecting the fair values of derivative instruments and hedged items, but will have no effect on cash flows. Currently, all of our designated derivative instruments are effective hedging instruments.</w:t>
      </w:r>
    </w:p>
    <w:p>
      <w:pPr>
        <w:spacing w:after="0" w:line="8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notional value at inception and fair value of our consolidated derivative financial instruments as of March 31, 2025 based on Level 2 information. The notional value is an indication of the extent of our involvement in these instruments at that time, but does not represent exposure to credit, interest rate or market risks (dollars in thousands).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Strike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Expiration</w:t>
            </w:r>
          </w:p>
        </w:tc>
        <w:tc>
          <w:tcPr>
            <w:tcW w:w="198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8"/>
              </w:rPr>
              <w:t>Balance Sheet Location</w:t>
            </w: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980" w:type="dxa"/>
            <w:vAlign w:val="bottom"/>
            <w:gridSpan w:val="3"/>
            <w:vMerge w:val="continue"/>
          </w:tcPr>
          <w:p>
            <w:pPr>
              <w:spacing w:after="0"/>
              <w:rPr>
                <w:sz w:val="18"/>
                <w:szCs w:val="18"/>
                <w:color w:val="auto"/>
              </w:rPr>
            </w:pPr>
          </w:p>
        </w:tc>
        <w:tc>
          <w:tcPr>
            <w:tcW w:w="9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5"/>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2024</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2025</w:t>
            </w:r>
          </w:p>
        </w:tc>
        <w:tc>
          <w:tcPr>
            <w:tcW w:w="19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68,678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July 2025</w:t>
            </w:r>
          </w:p>
        </w:tc>
        <w:tc>
          <w:tcPr>
            <w:tcW w:w="198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January 2026</w:t>
            </w:r>
          </w:p>
        </w:tc>
        <w:tc>
          <w:tcPr>
            <w:tcW w:w="19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2026</w:t>
            </w:r>
          </w:p>
        </w:tc>
        <w:tc>
          <w:tcPr>
            <w:tcW w:w="198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December 2026</w:t>
            </w:r>
          </w:p>
        </w:tc>
        <w:tc>
          <w:tcPr>
            <w:tcW w:w="19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2026</w:t>
            </w:r>
          </w:p>
        </w:tc>
        <w:tc>
          <w:tcPr>
            <w:tcW w:w="198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9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98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9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98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July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2027</w:t>
            </w:r>
          </w:p>
        </w:tc>
        <w:tc>
          <w:tcPr>
            <w:tcW w:w="19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January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2027</w:t>
            </w:r>
          </w:p>
        </w:tc>
        <w:tc>
          <w:tcPr>
            <w:tcW w:w="198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November 2022</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19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68,678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198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4.487 %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November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November 2027</w:t>
            </w:r>
          </w:p>
        </w:tc>
        <w:tc>
          <w:tcPr>
            <w:tcW w:w="19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January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2028</w:t>
            </w:r>
          </w:p>
        </w:tc>
        <w:tc>
          <w:tcPr>
            <w:tcW w:w="198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2028</w:t>
            </w:r>
          </w:p>
        </w:tc>
        <w:tc>
          <w:tcPr>
            <w:tcW w:w="19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204,963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2025</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2028</w:t>
            </w:r>
          </w:p>
        </w:tc>
        <w:tc>
          <w:tcPr>
            <w:tcW w:w="198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During the three months ended March 31, 2025, we recorded a loss of $3.1 million based on the changes in the fair value of mark-to-market interest rate swaps, which is included in Purchase price and other fair value adjustments in the consolidated statements of operations. During the three months ended March 31, 2024, we recorded a gain of $5.2 million, based on the changes in fair value of a forward-starting interest rate swap, which is included in Purchase price and other fair value adjustments in the consolidated statements of operations. During the three months ended March 31, 2025, we recorded a loss of less than $0.1 million on the changes in fair value, which is included in interest expense in the consolidated statements of operations. During the three months ended March 31, 2024, we recorded a loss of less than $0.1 million on the changes in fair value, which is included in interest expense in the consolidated statements of operations.</w:t>
      </w:r>
    </w:p>
    <w:p>
      <w:pPr>
        <w:spacing w:after="0" w:line="8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Certain agreements the Company has with each of its derivative counterparties contain a provision where if the Company defaults on any of its indebtedness, then the Company could also be declared in default on its derivative obligations. As of March 31, 2025, the fair value of derivatives in a net liability position, including accrued interest but excluding any adjustment for nonperformance risk related to these agreements, was ($13.8 million). As of March 31, 2025, the Company was not required to post any collateral related to these agreements and was not in breach of any agreement provisions. If the Company had breached any of these provisions, it could have been required to settle its obligations under the agreements at their aggregate termination value of $14.4 million as of March 31, 2025.</w:t>
      </w:r>
    </w:p>
    <w:p>
      <w:pPr>
        <w:spacing w:after="0" w:line="80"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Gains and losses on terminated hedges are included in accumulated other comprehensive income, and are recognized into earnings over the term of the related obligation. Over time, the realized and unrealized gains and losses held in accumulated other comprehensive income will be reclassified into earnings as an adjustment to interest expense in the same periods in which the hedged interest payments affect earnings. We estimate that ($39.1 million) of the current balance held in accumulated other comprehensive income will be reclassified into interest expense and ($0.1 million) of the portion related to our share of joint venture accumulated other comprehensive income will be reclassified into equity in net loss from unconsolidated joint ventures within the next 12 months.</w:t>
      </w:r>
    </w:p>
    <w:p>
      <w:pPr>
        <w:spacing w:after="0" w:line="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effects of our derivative financial instruments and our share of our joint ventures' derivative financial instruments that are designated and qualify as hedging instruments on the consolidated statements of operations for the three months ended March 31, 2025 and 2024, respectively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4"/>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Amount of Gain Recognized in</w:t>
            </w:r>
          </w:p>
        </w:tc>
        <w:tc>
          <w:tcPr>
            <w:tcW w:w="1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4"/>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Amount of Gain Reclassified from</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gridSpan w:val="4"/>
          </w:tcPr>
          <w:p>
            <w:pPr>
              <w:jc w:val="center"/>
              <w:ind w:right="143"/>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0" w:type="dxa"/>
            <w:vAlign w:val="bottom"/>
          </w:tcPr>
          <w:p>
            <w:pPr>
              <w:spacing w:after="0"/>
              <w:rPr>
                <w:sz w:val="1"/>
                <w:szCs w:val="1"/>
                <w:color w:val="auto"/>
              </w:rPr>
            </w:pPr>
          </w:p>
        </w:tc>
      </w:tr>
      <w:tr>
        <w:trPr>
          <w:trHeight w:val="191"/>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Other Comprehensive (Loss) Income</w:t>
            </w: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(Loss) Income into Income</w:t>
            </w:r>
          </w:p>
        </w:tc>
        <w:tc>
          <w:tcPr>
            <w:tcW w:w="0" w:type="dxa"/>
            <w:vAlign w:val="bottom"/>
          </w:tcPr>
          <w:p>
            <w:pPr>
              <w:spacing w:after="0"/>
              <w:rPr>
                <w:sz w:val="1"/>
                <w:szCs w:val="1"/>
                <w:color w:val="auto"/>
              </w:rPr>
            </w:pPr>
          </w:p>
        </w:tc>
      </w:tr>
      <w:tr>
        <w:trPr>
          <w:trHeight w:val="225"/>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4"/>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120" w:type="dxa"/>
            <w:vAlign w:val="bottom"/>
          </w:tcPr>
          <w:p>
            <w:pPr>
              <w:spacing w:after="0"/>
              <w:rPr>
                <w:sz w:val="19"/>
                <w:szCs w:val="19"/>
                <w:color w:val="auto"/>
              </w:rPr>
            </w:pP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Reclassified from</w:t>
            </w:r>
          </w:p>
        </w:tc>
        <w:tc>
          <w:tcPr>
            <w:tcW w:w="200" w:type="dxa"/>
            <w:vAlign w:val="bottom"/>
          </w:tcPr>
          <w:p>
            <w:pPr>
              <w:spacing w:after="0"/>
              <w:rPr>
                <w:sz w:val="19"/>
                <w:szCs w:val="19"/>
                <w:color w:val="auto"/>
              </w:rPr>
            </w:pPr>
          </w:p>
        </w:tc>
        <w:tc>
          <w:tcPr>
            <w:tcW w:w="2440" w:type="dxa"/>
            <w:vAlign w:val="bottom"/>
            <w:gridSpan w:val="4"/>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06"/>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6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2"/>
            <w:vMerge w:val="restart"/>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 Other Comprehensive (Loss)</w:t>
            </w:r>
          </w:p>
        </w:tc>
        <w:tc>
          <w:tcPr>
            <w:tcW w:w="200" w:type="dxa"/>
            <w:vAlign w:val="bottom"/>
          </w:tcPr>
          <w:p>
            <w:pPr>
              <w:spacing w:after="0"/>
              <w:rPr>
                <w:sz w:val="9"/>
                <w:szCs w:val="9"/>
                <w:color w:val="auto"/>
              </w:rPr>
            </w:pPr>
          </w:p>
        </w:tc>
        <w:tc>
          <w:tcPr>
            <w:tcW w:w="24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6"/>
                <w:szCs w:val="16"/>
                <w:color w:val="auto"/>
              </w:rPr>
            </w:pPr>
          </w:p>
        </w:tc>
        <w:tc>
          <w:tcPr>
            <w:tcW w:w="1120" w:type="dxa"/>
            <w:vAlign w:val="bottom"/>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Income into Income</w:t>
            </w:r>
          </w:p>
        </w:tc>
        <w:tc>
          <w:tcPr>
            <w:tcW w:w="200" w:type="dxa"/>
            <w:vAlign w:val="bottom"/>
          </w:tcPr>
          <w:p>
            <w:pPr>
              <w:spacing w:after="0"/>
              <w:rPr>
                <w:sz w:val="16"/>
                <w:szCs w:val="16"/>
                <w:color w:val="auto"/>
              </w:rPr>
            </w:pPr>
          </w:p>
        </w:tc>
        <w:tc>
          <w:tcPr>
            <w:tcW w:w="1060" w:type="dxa"/>
            <w:vAlign w:val="bottom"/>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Swaps/Caps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(12,314)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31,156</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9,763</w:t>
            </w:r>
          </w:p>
        </w:tc>
        <w:tc>
          <w:tcPr>
            <w:tcW w:w="0" w:type="dxa"/>
            <w:vAlign w:val="bottom"/>
          </w:tcPr>
          <w:p>
            <w:pPr>
              <w:spacing w:after="0"/>
              <w:rPr>
                <w:sz w:val="1"/>
                <w:szCs w:val="1"/>
                <w:color w:val="auto"/>
              </w:rPr>
            </w:pPr>
          </w:p>
        </w:tc>
      </w:tr>
      <w:tr>
        <w:trPr>
          <w:trHeight w:val="158"/>
        </w:trPr>
        <w:tc>
          <w:tcPr>
            <w:tcW w:w="29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Share of unconsolidated joint ventures'</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(6,448)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120" w:type="dxa"/>
            <w:vAlign w:val="bottom"/>
          </w:tcPr>
          <w:p>
            <w:pPr>
              <w:spacing w:after="0"/>
              <w:rPr>
                <w:sz w:val="13"/>
                <w:szCs w:val="13"/>
                <w:color w:val="auto"/>
              </w:rPr>
            </w:pPr>
          </w:p>
        </w:tc>
        <w:tc>
          <w:tcPr>
            <w:tcW w:w="294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Equity in net (loss) income from</w:t>
            </w:r>
          </w:p>
        </w:tc>
        <w:tc>
          <w:tcPr>
            <w:tcW w:w="2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872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3,884</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unconsolidated joint ventures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36,861</w:t>
            </w:r>
          </w:p>
        </w:tc>
        <w:tc>
          <w:tcPr>
            <w:tcW w:w="12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13,647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632"/>
        <w:spacing w:after="0" w:line="286" w:lineRule="auto"/>
        <w:rPr>
          <w:sz w:val="20"/>
          <w:szCs w:val="20"/>
          <w:color w:val="auto"/>
        </w:rPr>
      </w:pPr>
      <w:r>
        <w:rPr>
          <w:rFonts w:ascii="Times New Roman" w:cs="Times New Roman" w:eastAsia="Times New Roman" w:hAnsi="Times New Roman"/>
          <w:sz w:val="16"/>
          <w:szCs w:val="16"/>
          <w:color w:val="auto"/>
        </w:rPr>
        <w:t>The following table summarizes the notional value at inception and fair value of our joint ventures' derivative financial instruments as of March 31, 2025 based on Level 2 information. The notional value is an indication of the extent of our involvement in these instruments at that time, but does not represent</w:t>
      </w: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exposure</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credit,</w:t>
            </w:r>
          </w:p>
        </w:tc>
        <w:tc>
          <w:tcPr>
            <w:tcW w:w="11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interest</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rate</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w:t>
            </w:r>
          </w:p>
        </w:tc>
        <w:tc>
          <w:tcPr>
            <w:tcW w:w="12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market</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risks</w:t>
            </w: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(dollars</w:t>
            </w:r>
          </w:p>
        </w:tc>
        <w:tc>
          <w:tcPr>
            <w:tcW w:w="112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color w:val="auto"/>
              </w:rPr>
              <w:t>in</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6"/>
              </w:rPr>
              <w:t>thousands).</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6"/>
                <w:szCs w:val="16"/>
                <w:b w:val="1"/>
                <w:bCs w:val="1"/>
                <w:color w:val="auto"/>
                <w:w w:val="98"/>
              </w:rPr>
              <w:t>Notional</w:t>
            </w:r>
          </w:p>
        </w:tc>
        <w:tc>
          <w:tcPr>
            <w:tcW w:w="122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Strike</w:t>
            </w:r>
          </w:p>
        </w:tc>
        <w:tc>
          <w:tcPr>
            <w:tcW w:w="1760" w:type="dxa"/>
            <w:vAlign w:val="bottom"/>
            <w:gridSpan w:val="4"/>
          </w:tcPr>
          <w:p>
            <w:pPr>
              <w:jc w:val="center"/>
              <w:ind w:right="360"/>
              <w:spacing w:after="0" w:line="167" w:lineRule="exact"/>
              <w:rPr>
                <w:sz w:val="20"/>
                <w:szCs w:val="20"/>
                <w:color w:val="auto"/>
              </w:rPr>
            </w:pPr>
            <w:r>
              <w:rPr>
                <w:rFonts w:ascii="Times New Roman" w:cs="Times New Roman" w:eastAsia="Times New Roman" w:hAnsi="Times New Roman"/>
                <w:sz w:val="16"/>
                <w:szCs w:val="16"/>
                <w:b w:val="1"/>
                <w:bCs w:val="1"/>
                <w:color w:val="auto"/>
                <w:w w:val="99"/>
              </w:rPr>
              <w:t>Effective</w:t>
            </w:r>
          </w:p>
        </w:tc>
        <w:tc>
          <w:tcPr>
            <w:tcW w:w="1400" w:type="dxa"/>
            <w:vAlign w:val="bottom"/>
            <w:gridSpan w:val="2"/>
          </w:tcPr>
          <w:p>
            <w:pPr>
              <w:jc w:val="center"/>
              <w:ind w:right="340"/>
              <w:spacing w:after="0" w:line="167"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980" w:type="dxa"/>
            <w:vAlign w:val="bottom"/>
            <w:gridSpan w:val="4"/>
            <w:vMerge w:val="restart"/>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980" w:type="dxa"/>
            <w:vAlign w:val="bottom"/>
            <w:gridSpan w:val="2"/>
          </w:tcPr>
          <w:p>
            <w:pPr>
              <w:ind w:left="200"/>
              <w:spacing w:after="0" w:line="167"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480" w:type="dxa"/>
            <w:vAlign w:val="bottom"/>
          </w:tcPr>
          <w:p>
            <w:pPr>
              <w:spacing w:after="0"/>
              <w:rPr>
                <w:sz w:val="18"/>
                <w:szCs w:val="18"/>
                <w:color w:val="auto"/>
              </w:rPr>
            </w:pPr>
          </w:p>
        </w:tc>
        <w:tc>
          <w:tcPr>
            <w:tcW w:w="128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980" w:type="dxa"/>
            <w:vAlign w:val="bottom"/>
            <w:gridSpan w:val="4"/>
            <w:vMerge w:val="continue"/>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5"/>
        </w:trPr>
        <w:tc>
          <w:tcPr>
            <w:tcW w:w="1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618,406</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2024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2025</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Asset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285,000</w:t>
            </w:r>
          </w:p>
        </w:tc>
        <w:tc>
          <w:tcPr>
            <w:tcW w:w="10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August 2024</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2025</w:t>
            </w:r>
          </w:p>
        </w:tc>
        <w:tc>
          <w:tcPr>
            <w:tcW w:w="860" w:type="dxa"/>
            <w:vAlign w:val="bottom"/>
          </w:tcPr>
          <w:p>
            <w:pPr>
              <w:spacing w:after="0"/>
              <w:rPr>
                <w:sz w:val="18"/>
                <w:szCs w:val="18"/>
                <w:color w:val="auto"/>
              </w:rPr>
            </w:pPr>
          </w:p>
        </w:tc>
        <w:tc>
          <w:tcPr>
            <w:tcW w:w="1120" w:type="dxa"/>
            <w:vAlign w:val="bottom"/>
            <w:gridSpan w:val="3"/>
          </w:tcPr>
          <w:p>
            <w:pPr>
              <w:jc w:val="right"/>
              <w:ind w:right="281"/>
              <w:spacing w:after="0"/>
              <w:rPr>
                <w:sz w:val="20"/>
                <w:szCs w:val="20"/>
                <w:color w:val="auto"/>
              </w:rPr>
            </w:pPr>
            <w:r>
              <w:rPr>
                <w:rFonts w:ascii="Times New Roman" w:cs="Times New Roman" w:eastAsia="Times New Roman" w:hAnsi="Times New Roman"/>
                <w:sz w:val="16"/>
                <w:szCs w:val="16"/>
                <w:color w:val="auto"/>
              </w:rPr>
              <w:t>Asset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3.608 %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April 2023</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8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Asset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3.608 %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April 2023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860" w:type="dxa"/>
            <w:vAlign w:val="bottom"/>
          </w:tcPr>
          <w:p>
            <w:pPr>
              <w:spacing w:after="0"/>
              <w:rPr>
                <w:sz w:val="18"/>
                <w:szCs w:val="18"/>
                <w:color w:val="auto"/>
              </w:rPr>
            </w:pPr>
          </w:p>
        </w:tc>
        <w:tc>
          <w:tcPr>
            <w:tcW w:w="1120" w:type="dxa"/>
            <w:vAlign w:val="bottom"/>
            <w:gridSpan w:val="3"/>
          </w:tcPr>
          <w:p>
            <w:pPr>
              <w:jc w:val="right"/>
              <w:ind w:right="281"/>
              <w:spacing w:after="0"/>
              <w:rPr>
                <w:sz w:val="20"/>
                <w:szCs w:val="20"/>
                <w:color w:val="auto"/>
              </w:rPr>
            </w:pPr>
            <w:r>
              <w:rPr>
                <w:rFonts w:ascii="Times New Roman" w:cs="Times New Roman" w:eastAsia="Times New Roman" w:hAnsi="Times New Roman"/>
                <w:sz w:val="16"/>
                <w:szCs w:val="16"/>
                <w:color w:val="auto"/>
              </w:rPr>
              <w:t>Asset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1.555 %</w:t>
            </w:r>
          </w:p>
        </w:tc>
        <w:tc>
          <w:tcPr>
            <w:tcW w:w="1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December 2022</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8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Asset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268,750</w:t>
            </w:r>
          </w:p>
        </w:tc>
        <w:tc>
          <w:tcPr>
            <w:tcW w:w="10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4.039 %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July 2024</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860" w:type="dxa"/>
            <w:vAlign w:val="bottom"/>
          </w:tcPr>
          <w:p>
            <w:pPr>
              <w:spacing w:after="0"/>
              <w:rPr>
                <w:sz w:val="18"/>
                <w:szCs w:val="18"/>
                <w:color w:val="auto"/>
              </w:rPr>
            </w:pPr>
          </w:p>
        </w:tc>
        <w:tc>
          <w:tcPr>
            <w:tcW w:w="1120" w:type="dxa"/>
            <w:vAlign w:val="bottom"/>
            <w:gridSpan w:val="3"/>
          </w:tcPr>
          <w:p>
            <w:pPr>
              <w:jc w:val="right"/>
              <w:ind w:right="281"/>
              <w:spacing w:after="0"/>
              <w:rPr>
                <w:sz w:val="20"/>
                <w:szCs w:val="20"/>
                <w:color w:val="auto"/>
              </w:rPr>
            </w:pPr>
            <w:r>
              <w:rPr>
                <w:rFonts w:ascii="Times New Roman" w:cs="Times New Roman" w:eastAsia="Times New Roman" w:hAnsi="Times New Roman"/>
                <w:sz w:val="16"/>
                <w:szCs w:val="16"/>
                <w:color w:val="auto"/>
              </w:rPr>
              <w:t>Liability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268,750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4.058 %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July 2024</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8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537,500</w:t>
            </w:r>
          </w:p>
        </w:tc>
        <w:tc>
          <w:tcPr>
            <w:tcW w:w="10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4.065 %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July 2024</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860" w:type="dxa"/>
            <w:vAlign w:val="bottom"/>
          </w:tcPr>
          <w:p>
            <w:pPr>
              <w:spacing w:after="0"/>
              <w:rPr>
                <w:sz w:val="18"/>
                <w:szCs w:val="18"/>
                <w:color w:val="auto"/>
              </w:rPr>
            </w:pPr>
          </w:p>
        </w:tc>
        <w:tc>
          <w:tcPr>
            <w:tcW w:w="1120" w:type="dxa"/>
            <w:vAlign w:val="bottom"/>
            <w:gridSpan w:val="3"/>
          </w:tcPr>
          <w:p>
            <w:pPr>
              <w:jc w:val="right"/>
              <w:ind w:right="281"/>
              <w:spacing w:after="0"/>
              <w:rPr>
                <w:sz w:val="20"/>
                <w:szCs w:val="20"/>
                <w:color w:val="auto"/>
              </w:rPr>
            </w:pPr>
            <w:r>
              <w:rPr>
                <w:rFonts w:ascii="Times New Roman" w:cs="Times New Roman" w:eastAsia="Times New Roman" w:hAnsi="Times New Roman"/>
                <w:sz w:val="16"/>
                <w:szCs w:val="16"/>
                <w:color w:val="auto"/>
              </w:rPr>
              <w:t>Liability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Lease Income</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Operating Partnership is the lessor and the sublessor to tenants under operating and sales-type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spacing w:after="0" w:line="7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components of lease income from operating leases in our consolidated statements of operations during the three months ended March 31, 2025 and 2024 were as follows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lease payments</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146,127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128,252</w:t>
            </w:r>
          </w:p>
        </w:tc>
      </w:tr>
      <w:tr>
        <w:trPr>
          <w:trHeight w:val="21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payments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18,501</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13,301</w:t>
            </w:r>
          </w:p>
        </w:tc>
      </w:tr>
      <w:tr>
        <w:trPr>
          <w:trHeight w:val="205"/>
        </w:trPr>
        <w:tc>
          <w:tcPr>
            <w:tcW w:w="8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Total lease payments </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164,628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141,553</w:t>
            </w:r>
          </w:p>
        </w:tc>
      </w:tr>
      <w:tr>
        <w:trPr>
          <w:trHeight w:val="21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acquired above and below-market leases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rental revenue</w:t>
            </w: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163,019</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141,504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400" w:hanging="395"/>
        <w:spacing w:after="0"/>
        <w:tabs>
          <w:tab w:leader="none" w:pos="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$46.1 million and $48.4 million of sublease income during the three months ended March 31, 2025, and 2024 respectively,</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income from sales-type leases during the three months ended March 31, 2025 and 2024 were as follows (in thousands):</w:t>
      </w:r>
    </w:p>
    <w:p>
      <w:pPr>
        <w:spacing w:after="0" w:line="151"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5384165</wp:posOffset>
            </wp:positionH>
            <wp:positionV relativeFrom="paragraph">
              <wp:posOffset>18415</wp:posOffset>
            </wp:positionV>
            <wp:extent cx="17462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46250" cy="8255"/>
                    </a:xfrm>
                    <a:prstGeom prst="rect">
                      <a:avLst/>
                    </a:prstGeom>
                    <a:noFill/>
                  </pic:spPr>
                </pic:pic>
              </a:graphicData>
            </a:graphic>
          </wp:anchor>
        </w:drawing>
      </w:r>
    </w:p>
    <w:p>
      <w:pPr>
        <w:spacing w:after="0" w:line="20"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7118985" cy="142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8985" cy="142240"/>
                    </a:xfrm>
                    <a:prstGeom prst="rect">
                      <a:avLst/>
                    </a:prstGeom>
                    <a:noFill/>
                  </pic:spPr>
                </pic:pic>
              </a:graphicData>
            </a:graphic>
          </wp:anchor>
        </w:drawing>
      </w:r>
    </w:p>
    <w:p>
      <w:pPr>
        <w:spacing w:after="0" w:line="13" w:lineRule="exact"/>
        <w:rPr>
          <w:sz w:val="20"/>
          <w:szCs w:val="20"/>
          <w:color w:val="auto"/>
        </w:rPr>
      </w:pPr>
    </w:p>
    <w:p>
      <w:pPr>
        <w:ind w:left="40"/>
        <w:spacing w:after="0"/>
        <w:tabs>
          <w:tab w:leader="none" w:pos="8480" w:val="left"/>
          <w:tab w:leader="none" w:pos="9360" w:val="left"/>
          <w:tab w:leader="none" w:pos="9920" w:val="left"/>
          <w:tab w:leader="none" w:pos="10780" w:val="left"/>
        </w:tabs>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0"/>
          <w:szCs w:val="20"/>
          <w:color w:val="auto"/>
          <w:vertAlign w:val="superscript"/>
        </w:rPr>
        <w:t>(1)</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1,134</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1,120</w:t>
      </w:r>
    </w:p>
    <w:p>
      <w:pPr>
        <w:spacing w:after="0" w:line="73" w:lineRule="exact"/>
        <w:rPr>
          <w:sz w:val="20"/>
          <w:szCs w:val="20"/>
          <w:color w:val="auto"/>
        </w:rPr>
      </w:pPr>
    </w:p>
    <w:p>
      <w:pPr>
        <w:ind w:left="400" w:hanging="395"/>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included in Interest expense, net of interest income in our consolidated statements of operations.</w:t>
      </w:r>
    </w:p>
    <w:p>
      <w:pPr>
        <w:spacing w:after="0" w:line="236" w:lineRule="exact"/>
        <w:rPr>
          <w:sz w:val="20"/>
          <w:szCs w:val="20"/>
          <w:color w:val="auto"/>
        </w:rPr>
      </w:pPr>
    </w:p>
    <w:p>
      <w:pPr>
        <w:ind w:right="8480" w:firstLine="5"/>
        <w:spacing w:after="0" w:line="367" w:lineRule="auto"/>
        <w:tabs>
          <w:tab w:leader="none" w:pos="263"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March 31, 2025,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has three operating and reportable segments, real estate, debt and preferred equity investments, and SUMMIT. The results of these segments are provided to and reviewed by the CEO, our chief operating decision maker (“CODM”), who uses this information to assess performance and inform key decisions regarding operations, resources and capital allocation.</w:t>
      </w:r>
    </w:p>
    <w:p>
      <w:pPr>
        <w:spacing w:after="0" w:line="7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2024, our CODM revised the approach for reviewing results of the operating and reportable segments to be more specific to the respective businesses of each. Previously, the same profit or loss measure was utilized across all segments. With the continued growth and diversification of the Company's revenue sources, we determined that this approach needed to evolve accordingly.</w:t>
      </w:r>
    </w:p>
    <w:p>
      <w:pPr>
        <w:spacing w:after="0" w:line="75"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As a result, our CODM now evaluates real estate performance and allocates resources based on net operating income ("NOI"), which serves as the profit or loss measure for the real estate operating segment. For our debt and preferred equity investments and SUMMIT operating segment performance, our CODM evaluates and allocates resources based on net income. The CODM does not review asset information, by segment, as a measure to assess performance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reportable segment profit or loss measures for the three months ended March 31, 2025 and 2024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6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400" w:type="dxa"/>
            <w:vAlign w:val="bottom"/>
          </w:tcPr>
          <w:p>
            <w:pPr>
              <w:spacing w:after="0"/>
              <w:rPr>
                <w:sz w:val="17"/>
                <w:szCs w:val="17"/>
                <w:color w:val="auto"/>
              </w:rPr>
            </w:pPr>
          </w:p>
        </w:tc>
        <w:tc>
          <w:tcPr>
            <w:tcW w:w="1340" w:type="dxa"/>
            <w:vAlign w:val="bottom"/>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185,217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22,534</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32,095</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239,846</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56,062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37,217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136,016</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income from unconsolidated joint ventures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8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Interest expense on senior obligations of consolidated</w:t>
            </w: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(13,972)</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securitization vehicles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SUMMIT Net income and DPE Net income</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41,035</w:t>
            </w:r>
          </w:p>
        </w:tc>
        <w:tc>
          <w:tcPr>
            <w:tcW w:w="1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41,090</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net loss from unconsolidated joint ventures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(52,152)</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(21,724)</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(8,546)</w:t>
            </w:r>
          </w:p>
        </w:tc>
        <w:tc>
          <w:tcPr>
            <w:tcW w:w="0" w:type="dxa"/>
            <w:vAlign w:val="bottom"/>
          </w:tcPr>
          <w:p>
            <w:pPr>
              <w:spacing w:after="0"/>
              <w:rPr>
                <w:sz w:val="1"/>
                <w:szCs w:val="1"/>
                <w:color w:val="auto"/>
              </w:rPr>
            </w:pPr>
          </w:p>
        </w:tc>
      </w:tr>
      <w:tr>
        <w:trPr>
          <w:trHeight w:val="160"/>
        </w:trPr>
        <w:tc>
          <w:tcPr>
            <w:tcW w:w="38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Depreciable real estate reserves in unconsolidated joint</w:t>
            </w: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(63,738)</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(38,636)</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6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400" w:type="dxa"/>
            <w:vAlign w:val="bottom"/>
          </w:tcPr>
          <w:p>
            <w:pPr>
              <w:spacing w:after="0"/>
              <w:rPr>
                <w:sz w:val="17"/>
                <w:szCs w:val="17"/>
                <w:color w:val="auto"/>
              </w:rPr>
            </w:pPr>
          </w:p>
        </w:tc>
        <w:tc>
          <w:tcPr>
            <w:tcW w:w="1340" w:type="dxa"/>
            <w:vAlign w:val="bottom"/>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154,875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25,604</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7,403</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187,882</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21,858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SUMMIT Operator tax benefit</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31,606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184,468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257,724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257,724</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SUMMIT Net income and DPE Net income</w:t>
            </w:r>
          </w:p>
        </w:tc>
        <w:tc>
          <w:tcPr>
            <w:tcW w:w="14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4,453</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net loss from unconsolidated joint ventures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(73,308)</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(21,313)</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(52,118)</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(50,492)</w:t>
            </w:r>
          </w:p>
        </w:tc>
        <w:tc>
          <w:tcPr>
            <w:tcW w:w="0" w:type="dxa"/>
            <w:vAlign w:val="bottom"/>
          </w:tcPr>
          <w:p>
            <w:pPr>
              <w:spacing w:after="0"/>
              <w:rPr>
                <w:sz w:val="1"/>
                <w:szCs w:val="1"/>
                <w:color w:val="auto"/>
              </w:rPr>
            </w:pPr>
          </w:p>
        </w:tc>
      </w:tr>
      <w:tr>
        <w:trPr>
          <w:trHeight w:val="160"/>
        </w:trPr>
        <w:tc>
          <w:tcPr>
            <w:tcW w:w="38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Equity in net gain on sale of interest in unconsolidated</w:t>
            </w: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26,764</w:t>
            </w: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venture/real estate</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(47,996)</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0" w:type="dxa"/>
            <w:vAlign w:val="bottom"/>
          </w:tcPr>
          <w:p>
            <w:pPr>
              <w:spacing w:after="0"/>
              <w:rPr>
                <w:sz w:val="1"/>
                <w:szCs w:val="1"/>
                <w:color w:val="auto"/>
              </w:rPr>
            </w:pPr>
          </w:p>
        </w:tc>
      </w:tr>
      <w:tr>
        <w:trPr>
          <w:trHeight w:val="231"/>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For the real estate segment, the primary sources of revenue are tenant rents and escalations and reimbursement revenue. See Note 5, "Debt and Preferred Equity Investments," for additional details on our debt and preferred equity investments. We allocate loan loss reserves, net of recoveries, and transaction related costs to the debt and preferred equity segment. SUMMIT currently operates one location at One Vanderbilt Avenue in midtown Manhattan with the primary source of revenue generated from ticket sales.</w:t>
      </w:r>
    </w:p>
    <w:p>
      <w:pPr>
        <w:spacing w:after="0" w:line="7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There were no transactions between the above three segments other than the SUMMIT lease with our One Vanderbilt Avenue joint venture, which is part of the real estate segment. See Note 10,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500"/>
        <w:spacing w:after="0" w:line="36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SL Green Realty Corp., which is referred to as SL Green or the Company,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Company is a self-managed real estate investment trust, or REIT, engaged in the ownership, management, operation, acquisition, development, redevelopment, repositioning and financing of commercial real estate properties, principally office properties, located in the New York metropolitan area, principally Manhattan. Unless the context requires otherwise, all references to "we," "our" and "us" means the Company and all entities owned or controlled by the Company, including the Operating Partnership.</w:t>
      </w:r>
    </w:p>
    <w:p>
      <w:pPr>
        <w:spacing w:after="0" w:line="53"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The following discussion related to our consolidated financial statements should be read in conjunction with the financial statements appearing in this Quarterly Report on this Form 10-Q and in Item 8 of our Annual Report on Form 10-K for the year ended December 31, 2024.</w:t>
      </w:r>
    </w:p>
    <w:p>
      <w:pPr>
        <w:spacing w:after="0" w:line="7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March 31, 2025, we owned the following interests in properties in the New York metropolitan area, primarily in midtown Manhattan. Our investments located outside of Manhattan are referred to as the Suburban properties: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920" w:type="dxa"/>
            <w:vAlign w:val="bottom"/>
          </w:tcPr>
          <w:p>
            <w:pPr>
              <w:spacing w:after="0"/>
              <w:rPr>
                <w:sz w:val="16"/>
                <w:szCs w:val="16"/>
                <w:color w:val="auto"/>
              </w:rPr>
            </w:pPr>
          </w:p>
        </w:tc>
        <w:tc>
          <w:tcPr>
            <w:tcW w:w="126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80" w:type="dxa"/>
            <w:vAlign w:val="bottom"/>
          </w:tcPr>
          <w:p>
            <w:pPr>
              <w:spacing w:after="0"/>
              <w:rPr>
                <w:sz w:val="2"/>
                <w:szCs w:val="2"/>
                <w:color w:val="auto"/>
              </w:rPr>
            </w:pPr>
          </w:p>
        </w:tc>
        <w:tc>
          <w:tcPr>
            <w:tcW w:w="19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25"/>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2"/>
            <w:vMerge w:val="continue"/>
          </w:tcPr>
          <w:p>
            <w:pPr>
              <w:spacing w:after="0"/>
              <w:rPr>
                <w:sz w:val="10"/>
                <w:szCs w:val="10"/>
                <w:color w:val="auto"/>
              </w:rPr>
            </w:pPr>
          </w:p>
        </w:tc>
        <w:tc>
          <w:tcPr>
            <w:tcW w:w="940" w:type="dxa"/>
            <w:vAlign w:val="bottom"/>
            <w:tcBorders>
              <w:top w:val="single" w:sz="8" w:color="auto"/>
            </w:tcBorders>
          </w:tcPr>
          <w:p>
            <w:pPr>
              <w:jc w:val="right"/>
              <w:ind w:right="70"/>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Approximate</w:t>
            </w:r>
          </w:p>
        </w:tc>
        <w:tc>
          <w:tcPr>
            <w:tcW w:w="12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0"/>
                <w:szCs w:val="10"/>
                <w:color w:val="auto"/>
              </w:rPr>
            </w:pPr>
          </w:p>
        </w:tc>
        <w:tc>
          <w:tcPr>
            <w:tcW w:w="920" w:type="dxa"/>
            <w:vAlign w:val="bottom"/>
            <w:tcBorders>
              <w:top w:val="single" w:sz="8" w:color="auto"/>
            </w:tcBorders>
          </w:tcPr>
          <w:p>
            <w:pPr>
              <w:jc w:val="right"/>
              <w:ind w:right="30"/>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90"/>
              <w:spacing w:after="0" w:line="125"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980" w:type="dxa"/>
            <w:vAlign w:val="bottom"/>
            <w:vMerge w:val="continue"/>
          </w:tcPr>
          <w:p>
            <w:pPr>
              <w:spacing w:after="0"/>
              <w:rPr>
                <w:sz w:val="16"/>
                <w:szCs w:val="16"/>
                <w:color w:val="auto"/>
              </w:rPr>
            </w:pPr>
          </w:p>
        </w:tc>
        <w:tc>
          <w:tcPr>
            <w:tcW w:w="19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Square Feet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Leased Occupancy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7"/>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9,788,852</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12,175,149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21,964,001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91.9 %</w:t>
            </w:r>
          </w:p>
        </w:tc>
        <w:tc>
          <w:tcPr>
            <w:tcW w:w="0" w:type="dxa"/>
            <w:vAlign w:val="bottom"/>
          </w:tcPr>
          <w:p>
            <w:pPr>
              <w:spacing w:after="0"/>
              <w:rPr>
                <w:sz w:val="1"/>
                <w:szCs w:val="1"/>
                <w:color w:val="auto"/>
              </w:rPr>
            </w:pPr>
          </w:p>
        </w:tc>
      </w:tr>
      <w:tr>
        <w:trPr>
          <w:trHeight w:val="205"/>
        </w:trPr>
        <w:tc>
          <w:tcPr>
            <w:tcW w:w="9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Development/Redevelopment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93"/>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844,845</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1,385,484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2,230,329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7"/>
        </w:trPr>
        <w:tc>
          <w:tcPr>
            <w:tcW w:w="9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10,664,193</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24,237,772</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92.0 %</w:t>
            </w:r>
          </w:p>
        </w:tc>
        <w:tc>
          <w:tcPr>
            <w:tcW w:w="0" w:type="dxa"/>
            <w:vAlign w:val="bottom"/>
          </w:tcPr>
          <w:p>
            <w:pPr>
              <w:spacing w:after="0"/>
              <w:rPr>
                <w:sz w:val="1"/>
                <w:szCs w:val="1"/>
                <w:color w:val="auto"/>
              </w:rPr>
            </w:pPr>
          </w:p>
        </w:tc>
      </w:tr>
      <w:tr>
        <w:trPr>
          <w:trHeight w:val="191"/>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Suburban</w:t>
            </w: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73.2 %</w:t>
            </w:r>
          </w:p>
        </w:tc>
        <w:tc>
          <w:tcPr>
            <w:tcW w:w="0" w:type="dxa"/>
            <w:vAlign w:val="bottom"/>
          </w:tcPr>
          <w:p>
            <w:pPr>
              <w:spacing w:after="0"/>
              <w:rPr>
                <w:sz w:val="1"/>
                <w:szCs w:val="1"/>
                <w:color w:val="auto"/>
              </w:rPr>
            </w:pPr>
          </w:p>
        </w:tc>
      </w:tr>
      <w:tr>
        <w:trPr>
          <w:trHeight w:val="197"/>
        </w:trPr>
        <w:tc>
          <w:tcPr>
            <w:tcW w:w="294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 properties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11,526,993</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25,100,572</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91.3 %</w:t>
            </w:r>
          </w:p>
        </w:tc>
        <w:tc>
          <w:tcPr>
            <w:tcW w:w="0" w:type="dxa"/>
            <w:vAlign w:val="bottom"/>
          </w:tcPr>
          <w:p>
            <w:pPr>
              <w:spacing w:after="0"/>
              <w:rPr>
                <w:sz w:val="1"/>
                <w:szCs w:val="1"/>
                <w:color w:val="auto"/>
              </w:rPr>
            </w:pPr>
          </w:p>
        </w:tc>
      </w:tr>
      <w:tr>
        <w:trPr>
          <w:trHeight w:val="171"/>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93"/>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140,382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99.6 %</w:t>
            </w:r>
          </w:p>
        </w:tc>
        <w:tc>
          <w:tcPr>
            <w:tcW w:w="0" w:type="dxa"/>
            <w:vAlign w:val="bottom"/>
          </w:tcPr>
          <w:p>
            <w:pPr>
              <w:spacing w:after="0"/>
              <w:rPr>
                <w:sz w:val="1"/>
                <w:szCs w:val="1"/>
                <w:color w:val="auto"/>
              </w:rPr>
            </w:pPr>
          </w:p>
        </w:tc>
      </w:tr>
      <w:tr>
        <w:trPr>
          <w:trHeight w:val="191"/>
        </w:trPr>
        <w:tc>
          <w:tcPr>
            <w:tcW w:w="29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core portfolio</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11,667,375</w:t>
            </w:r>
          </w:p>
        </w:tc>
        <w:tc>
          <w:tcPr>
            <w:tcW w:w="1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13,795,463</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25,462,838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91.4 %</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9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Alternative Strategy Portfolio</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00" w:hanging="395"/>
        <w:spacing w:after="0" w:line="260" w:lineRule="auto"/>
        <w:tabs>
          <w:tab w:leader="none" w:pos="39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leased occupancy for commercial properties represents the total leased square feet divided by the total square footage at acquisition. The weighted average leased occupancy for residential properties represents the total leased units divided by the total available units. Properties under construction are not included in the calculation of weighted average leased occupancy.</w:t>
      </w:r>
    </w:p>
    <w:p>
      <w:pPr>
        <w:spacing w:after="0" w:line="1" w:lineRule="exact"/>
        <w:rPr>
          <w:rFonts w:ascii="Times New Roman" w:cs="Times New Roman" w:eastAsia="Times New Roman" w:hAnsi="Times New Roman"/>
          <w:sz w:val="14"/>
          <w:szCs w:val="14"/>
          <w:color w:val="auto"/>
        </w:rPr>
      </w:pPr>
    </w:p>
    <w:p>
      <w:pPr>
        <w:jc w:val="both"/>
        <w:ind w:left="400" w:hanging="395"/>
        <w:spacing w:after="0" w:line="252" w:lineRule="auto"/>
        <w:tabs>
          <w:tab w:leader="none" w:pos="39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2025, we owned a building at 7 Dey Street / 185 Broadway that was comprised of approximately 140,382 square feet of residential space and approximately 50,206 square feet of office and retail space that is under development.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spacing w:after="0" w:line="9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of March 31, 2025, we also managed one office building and one retail building owned by a third party encompassing approximately 0.4 million square feet, and held debt and preferred equity investments with a book value of $318.2 million, excluding credit losses and approximately $24.8 million of debt and preferred equity investments and other financing receivables that are included in other balance sheet line items other than the Debt and preferred equity investments line item.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Refer to the 2024 Annual Report on Form 10-K of the Company and the Operating Partnership for a discussion of our critical accounting estimates, which include investment in commercial real estate properties and investment in unconsolidated joint ventures. During the three months ended March 31, 2025, there were no material changes to these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to the three months ended March 31, 2024</w:t>
      </w:r>
    </w:p>
    <w:p>
      <w:pPr>
        <w:spacing w:after="0" w:line="16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comparison for the three months ended March 31, 2025, or 2025, to the three months ended March 31, 2024, or 2024, makes reference to the effect of the following:</w:t>
      </w:r>
    </w:p>
    <w:p>
      <w:pPr>
        <w:spacing w:after="0" w:line="117" w:lineRule="exact"/>
        <w:rPr>
          <w:sz w:val="20"/>
          <w:szCs w:val="20"/>
          <w:color w:val="auto"/>
        </w:rPr>
      </w:pPr>
    </w:p>
    <w:p>
      <w:pPr>
        <w:ind w:left="640" w:hanging="240"/>
        <w:spacing w:after="0" w:line="254" w:lineRule="auto"/>
        <w:tabs>
          <w:tab w:leader="none" w:pos="6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Properties,” which represents all operating properties owned by us at January 1, 2024 and still owned by us in the same manner as of March 31, 2025 (Same-Store Properties totaled 21 of our 28 consolidated operating properties),</w:t>
      </w:r>
    </w:p>
    <w:p>
      <w:pPr>
        <w:ind w:left="640" w:hanging="240"/>
        <w:spacing w:after="0" w:line="244" w:lineRule="auto"/>
        <w:tabs>
          <w:tab w:leader="none" w:pos="6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Properties,” which represents all properties or interests in properties acquired in 2025 and 2024 and all non-Same-Store Properties, including properties that are under development, redevelopment or were deconsolidated during the period,</w:t>
      </w:r>
    </w:p>
    <w:p>
      <w:pPr>
        <w:ind w:left="620" w:hanging="220"/>
        <w:spacing w:after="0"/>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"Disposed Properties," which represents all properties or interests in properties sold or partially sold in 2025 and 2024,</w:t>
      </w:r>
    </w:p>
    <w:p>
      <w:pPr>
        <w:spacing w:after="0" w:line="3" w:lineRule="exact"/>
        <w:rPr>
          <w:rFonts w:ascii="Times New Roman" w:cs="Times New Roman" w:eastAsia="Times New Roman" w:hAnsi="Times New Roman"/>
          <w:sz w:val="18"/>
          <w:szCs w:val="18"/>
          <w:color w:val="auto"/>
        </w:rPr>
      </w:pPr>
    </w:p>
    <w:p>
      <w:pPr>
        <w:ind w:left="620" w:hanging="220"/>
        <w:spacing w:after="0"/>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Strategy Portfolio," which represents non-core assets, and</w:t>
      </w:r>
    </w:p>
    <w:p>
      <w:pPr>
        <w:spacing w:after="0" w:line="3" w:lineRule="exact"/>
        <w:rPr>
          <w:rFonts w:ascii="Times New Roman" w:cs="Times New Roman" w:eastAsia="Times New Roman" w:hAnsi="Times New Roman"/>
          <w:sz w:val="18"/>
          <w:szCs w:val="18"/>
          <w:color w:val="auto"/>
        </w:rPr>
      </w:pPr>
    </w:p>
    <w:p>
      <w:pPr>
        <w:ind w:left="640" w:hanging="240"/>
        <w:spacing w:after="0" w:line="248" w:lineRule="auto"/>
        <w:tabs>
          <w:tab w:leader="none" w:pos="6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which represents properties that were partially sold resulting in deconsolidation and corporate level items not allocable to specific properties, as well as the Service Corporation and eEmerge Inc.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Same-Store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400"/>
              <w:spacing w:after="0"/>
              <w:rPr>
                <w:sz w:val="20"/>
                <w:szCs w:val="20"/>
                <w:color w:val="auto"/>
              </w:rPr>
            </w:pPr>
            <w:r>
              <w:rPr>
                <w:rFonts w:ascii="Times New Roman" w:cs="Times New Roman" w:eastAsia="Times New Roman" w:hAnsi="Times New Roman"/>
                <w:sz w:val="12"/>
                <w:szCs w:val="12"/>
                <w:b w:val="1"/>
                <w:bCs w:val="1"/>
                <w:color w:val="auto"/>
              </w:rPr>
              <w:t>Disposed</w:t>
            </w:r>
          </w:p>
        </w:tc>
        <w:tc>
          <w:tcPr>
            <w:tcW w:w="52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940" w:type="dxa"/>
            <w:vAlign w:val="bottom"/>
          </w:tcPr>
          <w:p>
            <w:pPr>
              <w:spacing w:after="0"/>
              <w:rPr>
                <w:sz w:val="14"/>
                <w:szCs w:val="14"/>
                <w:color w:val="auto"/>
              </w:rPr>
            </w:pPr>
          </w:p>
        </w:tc>
      </w:tr>
      <w:tr>
        <w:trPr>
          <w:trHeight w:val="118"/>
        </w:trPr>
        <w:tc>
          <w:tcPr>
            <w:tcW w:w="17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right"/>
              <w:ind w:right="219"/>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79"/>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239"/>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339"/>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77"/>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5"/>
                <w:szCs w:val="15"/>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5"/>
                <w:szCs w:val="15"/>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92"/>
        </w:trPr>
        <w:tc>
          <w:tcPr>
            <w:tcW w:w="17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Rental revenue</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8.6 %  $</w:t>
            </w: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r>
        <w:trPr>
          <w:trHeight w:val="205"/>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SUMMIT Operator revenue</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Investment income</w:t>
            </w:r>
          </w:p>
        </w:tc>
        <w:tc>
          <w:tcPr>
            <w:tcW w:w="2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117.6 %</w:t>
            </w:r>
          </w:p>
        </w:tc>
        <w:tc>
          <w:tcPr>
            <w:tcW w:w="0" w:type="dxa"/>
            <w:vAlign w:val="bottom"/>
          </w:tcPr>
          <w:p>
            <w:pPr>
              <w:spacing w:after="0"/>
              <w:rPr>
                <w:sz w:val="1"/>
                <w:szCs w:val="1"/>
                <w:color w:val="auto"/>
              </w:rPr>
            </w:pPr>
          </w:p>
        </w:tc>
      </w:tr>
      <w:tr>
        <w:trPr>
          <w:trHeight w:val="126"/>
        </w:trPr>
        <w:tc>
          <w:tcPr>
            <w:tcW w:w="17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Interest income from real estate</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loans held by consolidated</w:t>
            </w: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16.0</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securitization vehicles</w:t>
            </w: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income</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275.0 %</w:t>
            </w:r>
          </w:p>
        </w:tc>
        <w:tc>
          <w:tcPr>
            <w:tcW w:w="240" w:type="dxa"/>
            <w:vAlign w:val="bottom"/>
          </w:tcPr>
          <w:p>
            <w:pPr>
              <w:spacing w:after="0"/>
              <w:rPr>
                <w:sz w:val="16"/>
                <w:szCs w:val="16"/>
                <w:color w:val="auto"/>
              </w:rPr>
            </w:pP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65.7 %</w:t>
            </w:r>
          </w:p>
        </w:tc>
        <w:tc>
          <w:tcPr>
            <w:tcW w:w="0" w:type="dxa"/>
            <w:vAlign w:val="bottom"/>
          </w:tcPr>
          <w:p>
            <w:pPr>
              <w:spacing w:after="0"/>
              <w:rPr>
                <w:sz w:val="1"/>
                <w:szCs w:val="1"/>
                <w:color w:val="auto"/>
              </w:rPr>
            </w:pPr>
          </w:p>
        </w:tc>
      </w:tr>
      <w:tr>
        <w:trPr>
          <w:trHeight w:val="191"/>
        </w:trPr>
        <w:tc>
          <w:tcPr>
            <w:tcW w:w="17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revenues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2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10.9 %</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51.9</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27.6 %</w:t>
            </w:r>
          </w:p>
        </w:tc>
        <w:tc>
          <w:tcPr>
            <w:tcW w:w="0" w:type="dxa"/>
            <w:vAlign w:val="bottom"/>
          </w:tcPr>
          <w:p>
            <w:pPr>
              <w:spacing w:after="0"/>
              <w:rPr>
                <w:sz w:val="1"/>
                <w:szCs w:val="1"/>
                <w:color w:val="auto"/>
              </w:rPr>
            </w:pPr>
          </w:p>
        </w:tc>
      </w:tr>
      <w:tr>
        <w:trPr>
          <w:trHeight w:val="92"/>
        </w:trPr>
        <w:tc>
          <w:tcPr>
            <w:tcW w:w="1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operating expenses</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16.7 %</w:t>
            </w:r>
          </w:p>
        </w:tc>
        <w:tc>
          <w:tcPr>
            <w:tcW w:w="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SUMMIT Operator expenses</w:t>
            </w:r>
          </w:p>
        </w:tc>
        <w:tc>
          <w:tcPr>
            <w:tcW w:w="2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5"/>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18"/>
        </w:trPr>
        <w:tc>
          <w:tcPr>
            <w:tcW w:w="178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Marketing, general and</w:t>
            </w:r>
          </w:p>
        </w:tc>
        <w:tc>
          <w:tcPr>
            <w:tcW w:w="20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60"/>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administrative</w:t>
            </w:r>
          </w:p>
        </w:tc>
        <w:tc>
          <w:tcPr>
            <w:tcW w:w="2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16.7 %</w:t>
            </w:r>
          </w:p>
        </w:tc>
        <w:tc>
          <w:tcPr>
            <w:tcW w:w="2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0" w:type="dxa"/>
            <w:vAlign w:val="bottom"/>
          </w:tcPr>
          <w:p>
            <w:pPr>
              <w:spacing w:after="0"/>
              <w:rPr>
                <w:sz w:val="1"/>
                <w:szCs w:val="1"/>
                <w:color w:val="auto"/>
              </w:rPr>
            </w:pPr>
          </w:p>
        </w:tc>
      </w:tr>
      <w:tr>
        <w:trPr>
          <w:trHeight w:val="92"/>
        </w:trPr>
        <w:tc>
          <w:tcPr>
            <w:tcW w:w="1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income (expenses):</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78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Interest expense and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78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amortization of deferred</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financing costs, net of interest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SUMMIT Operator tax benefit</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18"/>
        </w:trPr>
        <w:tc>
          <w:tcPr>
            <w:tcW w:w="178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Interest expense on senior</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78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obligations of consolidated</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securitization vehicles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0" w:type="dxa"/>
            <w:vAlign w:val="bottom"/>
          </w:tcPr>
          <w:p>
            <w:pPr>
              <w:spacing w:after="0"/>
              <w:rPr>
                <w:sz w:val="1"/>
                <w:szCs w:val="1"/>
                <w:color w:val="auto"/>
              </w:rPr>
            </w:pPr>
          </w:p>
        </w:tc>
      </w:tr>
      <w:tr>
        <w:trPr>
          <w:trHeight w:val="118"/>
        </w:trPr>
        <w:tc>
          <w:tcPr>
            <w:tcW w:w="178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Equity in net income from</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160"/>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unconsolidated joint ventures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78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Equity in net gain on sale of</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interest in unconsolidated joint</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venture/real estate</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78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Purchase price and other fair</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40.9</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160"/>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value adjustments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on sale of real estate, net</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18"/>
        </w:trPr>
        <w:tc>
          <w:tcPr>
            <w:tcW w:w="178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Depreciable real estate reserves</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43.6</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0" w:type="dxa"/>
            <w:vAlign w:val="bottom"/>
          </w:tcPr>
          <w:p>
            <w:pPr>
              <w:spacing w:after="0"/>
              <w:rPr>
                <w:sz w:val="1"/>
                <w:szCs w:val="1"/>
                <w:color w:val="auto"/>
              </w:rPr>
            </w:pPr>
          </w:p>
        </w:tc>
      </w:tr>
      <w:tr>
        <w:trPr>
          <w:trHeight w:val="160"/>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and impairment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78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Loan loss and other investment</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25.0</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84"/>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reserves, net of recoveries</w:t>
            </w: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(loss) income</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Revenue</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Rental revenues increased due primarily to the consolidation of 100 Park Avenue ($10.0 million) at the end of the fourth quarter of 2024 and 10 East 53rd Street ($8.1 million) at the end of the first quarter of 2024 and the acquisition of 500 Park Avenue ($3.8 million) in the first quarter of 2025.</w:t>
      </w:r>
    </w:p>
    <w:p>
      <w:pPr>
        <w:spacing w:after="0" w:line="64"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a summary of the commenced leasing activity for the three months ended March 31, 2025 in our Manhattan and Suburban portfolio: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New</w:t>
            </w:r>
          </w:p>
        </w:tc>
        <w:tc>
          <w:tcPr>
            <w:tcW w:w="1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Prev.</w:t>
            </w:r>
          </w:p>
        </w:tc>
        <w:tc>
          <w:tcPr>
            <w:tcW w:w="1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TI/LC</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Escalated</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Free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Usable</w:t>
            </w: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Rentable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7"/>
              </w:rPr>
              <w:t>Rent (per</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1100" w:type="dxa"/>
            <w:vAlign w:val="bottom"/>
            <w:gridSpan w:val="2"/>
            <w:vMerge w:val="continue"/>
          </w:tcPr>
          <w:p>
            <w:pPr>
              <w:spacing w:after="0"/>
              <w:rPr>
                <w:sz w:val="11"/>
                <w:szCs w:val="11"/>
                <w:color w:val="auto"/>
              </w:rPr>
            </w:pP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rentable</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1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Rent (in</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Term (in</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line="197" w:lineRule="exact"/>
              <w:rPr>
                <w:sz w:val="20"/>
                <w:szCs w:val="20"/>
                <w:color w:val="auto"/>
              </w:rPr>
            </w:pPr>
            <w:r>
              <w:rPr>
                <w:rFonts w:ascii="Times New Roman" w:cs="Times New Roman" w:eastAsia="Times New Roman" w:hAnsi="Times New Roman"/>
                <w:sz w:val="14"/>
                <w:szCs w:val="14"/>
                <w:b w:val="1"/>
                <w:bCs w:val="1"/>
                <w:color w:val="auto"/>
                <w:w w:val="88"/>
              </w:rPr>
              <w:t xml:space="preserve">SF) </w:t>
            </w:r>
            <w:r>
              <w:rPr>
                <w:rFonts w:ascii="Times New Roman" w:cs="Times New Roman" w:eastAsia="Times New Roman" w:hAnsi="Times New Roman"/>
                <w:sz w:val="18"/>
                <w:szCs w:val="18"/>
                <w:b w:val="1"/>
                <w:bCs w:val="1"/>
                <w:color w:val="auto"/>
                <w:w w:val="88"/>
                <w:vertAlign w:val="superscript"/>
              </w:rPr>
              <w:t>(1)</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line="197" w:lineRule="exact"/>
              <w:rPr>
                <w:sz w:val="20"/>
                <w:szCs w:val="20"/>
                <w:color w:val="auto"/>
              </w:rPr>
            </w:pPr>
            <w:r>
              <w:rPr>
                <w:rFonts w:ascii="Times New Roman" w:cs="Times New Roman" w:eastAsia="Times New Roman" w:hAnsi="Times New Roman"/>
                <w:sz w:val="14"/>
                <w:szCs w:val="14"/>
                <w:b w:val="1"/>
                <w:bCs w:val="1"/>
                <w:color w:val="auto"/>
                <w:w w:val="93"/>
              </w:rPr>
              <w:t xml:space="preserve">SF) </w:t>
            </w:r>
            <w:r>
              <w:rPr>
                <w:rFonts w:ascii="Times New Roman" w:cs="Times New Roman" w:eastAsia="Times New Roman" w:hAnsi="Times New Roman"/>
                <w:sz w:val="18"/>
                <w:szCs w:val="18"/>
                <w:b w:val="1"/>
                <w:bCs w:val="1"/>
                <w:color w:val="auto"/>
                <w:w w:val="93"/>
                <w:vertAlign w:val="superscript"/>
              </w:rPr>
              <w:t>(2)</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0" w:type="dxa"/>
            <w:vAlign w:val="bottom"/>
          </w:tcPr>
          <w:p>
            <w:pPr>
              <w:spacing w:after="0"/>
              <w:rPr>
                <w:sz w:val="1"/>
                <w:szCs w:val="1"/>
                <w:color w:val="auto"/>
              </w:rPr>
            </w:pPr>
          </w:p>
        </w:tc>
      </w:tr>
      <w:tr>
        <w:trPr>
          <w:trHeight w:val="171"/>
        </w:trPr>
        <w:tc>
          <w:tcPr>
            <w:tcW w:w="3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Manhattan</w:t>
            </w: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Space available at beginning of the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2,628,302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vacancies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Space which became available during the period </w:t>
            </w:r>
            <w:r>
              <w:rPr>
                <w:rFonts w:ascii="Times New Roman" w:cs="Times New Roman" w:eastAsia="Times New Roman" w:hAnsi="Times New Roman"/>
                <w:sz w:val="18"/>
                <w:szCs w:val="18"/>
                <w:color w:val="auto"/>
                <w:vertAlign w:val="superscript"/>
              </w:rPr>
              <w:t>(3)</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340,177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Retail</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359,018</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space available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2,998,438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Leased space commenced during the period: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4"/>
                <w:szCs w:val="14"/>
                <w:color w:val="auto"/>
              </w:rPr>
              <w:t>Office</w:t>
            </w:r>
            <w:r>
              <w:rPr>
                <w:rFonts w:ascii="Times New Roman" w:cs="Times New Roman" w:eastAsia="Times New Roman" w:hAnsi="Times New Roman"/>
                <w:sz w:val="18"/>
                <w:szCs w:val="18"/>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476,509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515,650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Retail</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1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8,534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4,695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84"/>
        </w:trPr>
        <w:tc>
          <w:tcPr>
            <w:tcW w:w="10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Total leased space commenced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488,110</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528,879</w:t>
            </w:r>
          </w:p>
        </w:tc>
        <w:tc>
          <w:tcPr>
            <w:tcW w:w="2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111.84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123.29</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7"/>
        </w:trPr>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available space at end of period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2,510,328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Early renewals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4"/>
              </w:rPr>
              <w:t>Office</w:t>
            </w:r>
          </w:p>
        </w:tc>
        <w:tc>
          <w:tcPr>
            <w:tcW w:w="2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149,942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155,891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1"/>
        </w:trPr>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939</w:t>
            </w:r>
          </w:p>
        </w:tc>
        <w:tc>
          <w:tcPr>
            <w:tcW w:w="2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62"/>
        </w:trPr>
        <w:tc>
          <w:tcPr>
            <w:tcW w:w="10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early renewals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150,827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156,830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9"/>
        </w:trPr>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spacing w:after="0"/>
              <w:rPr>
                <w:sz w:val="11"/>
                <w:szCs w:val="11"/>
                <w:color w:val="auto"/>
              </w:rPr>
            </w:pPr>
          </w:p>
        </w:tc>
        <w:tc>
          <w:tcPr>
            <w:tcW w:w="32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Total commenced leases, including replaced previous</w:t>
            </w: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vacancy</w:t>
            </w:r>
          </w:p>
        </w:tc>
        <w:tc>
          <w:tcPr>
            <w:tcW w:w="2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4"/>
              </w:rPr>
              <w:t>Office</w:t>
            </w:r>
          </w:p>
        </w:tc>
        <w:tc>
          <w:tcPr>
            <w:tcW w:w="2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671,541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Retail</w:t>
            </w:r>
          </w:p>
        </w:tc>
        <w:tc>
          <w:tcPr>
            <w:tcW w:w="2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8,534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1"/>
        </w:trPr>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5,634</w:t>
            </w:r>
          </w:p>
        </w:tc>
        <w:tc>
          <w:tcPr>
            <w:tcW w:w="2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56.39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22"/>
        </w:trPr>
        <w:tc>
          <w:tcPr>
            <w:tcW w:w="100" w:type="dxa"/>
            <w:vAlign w:val="bottom"/>
            <w:tcBorders>
              <w:bottom w:val="single" w:sz="8" w:color="CCEEFF"/>
            </w:tcBorders>
            <w:shd w:val="clear" w:color="auto" w:fill="CCEEFF"/>
          </w:tcPr>
          <w:p>
            <w:pPr>
              <w:spacing w:after="0"/>
              <w:rPr>
                <w:sz w:val="18"/>
                <w:szCs w:val="18"/>
                <w:color w:val="auto"/>
              </w:rPr>
            </w:pPr>
          </w:p>
        </w:tc>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commenced leases</w:t>
            </w: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685,709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0" w:hanging="395"/>
        <w:spacing w:after="0"/>
        <w:tabs>
          <w:tab w:leader="none" w:pos="4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initial base rent.</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Escalated rent includes base rent plus all additional amounts paid by the tenant in the form of real estate taxes, operating expenses, porters wage or a consumer price index (CPI) adjustment.</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expiring space, relocating tenants and move-outs where tenants vacated. Excludes lease expirations where tenants held over.</w:t>
      </w:r>
    </w:p>
    <w:p>
      <w:pPr>
        <w:spacing w:after="0" w:line="10" w:lineRule="exact"/>
        <w:rPr>
          <w:rFonts w:ascii="Times New Roman" w:cs="Times New Roman" w:eastAsia="Times New Roman" w:hAnsi="Times New Roman"/>
          <w:sz w:val="14"/>
          <w:szCs w:val="14"/>
          <w:color w:val="auto"/>
        </w:rPr>
      </w:pPr>
    </w:p>
    <w:p>
      <w:pPr>
        <w:ind w:left="400" w:hanging="395"/>
        <w:spacing w:after="0" w:line="270" w:lineRule="auto"/>
        <w:tabs>
          <w:tab w:leader="none" w:pos="3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starting office rent excluding new tenants replacing vacancies was $99.16 per rentable square feet for 127,345 rentable square feet. Average starting office rent for office space (leased and early renewals, excluding new tenants replacing vacancies) was $84.80 per rentable square feet for 283,236 rentable square feet.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Operator Revenue</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SUMMIT Operator revenues were lower for the three months ended March 31, 2025 as compared to the same period in 2024 primarily due to the timing of insurance proceeds received in 2024.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Investment income increased primarily due to interest payments received on one CMBS investment ($10.0 million). This increase was partially offset by a lower weighted average debt and preferred equity investment balance and weighted average yield for the three months ended March 31, 2025 as compared to the same period in 2024. For the three months ended March 31, 2025, the weighted average debt and preferred equity investment balance outstanding and weighted average yield were $333.3 million and 6.4%, respectively, as compared to $366.8 million and 7.8%, respectively, for the three months ended March 31,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from Real Estate Loans Held by Consolidated Securitization Vehicles</w:t>
      </w:r>
    </w:p>
    <w:p>
      <w:pPr>
        <w:spacing w:after="0" w:line="111"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During the three months ended September 2024 and the three months ended March 31, 2025, we acquired securities in CMBS securitization trusts that resulted in consolidation of the trusts on our financial statements. The amounts recorded include our interest income as well as the interest income associated with CMBS positions owned by third parties, which is offset by the amounts recorded in Interest expense on senior obligations of consolidated securitization vehicles. As a result, the net impact is limited to the interest income on the CMBS securities we own directly and not the consolidated interest income and interest expense. We did not hold any investments in CMBS securitization trusts that resulted in consolidation during the three months ended March 31,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Other income increased due primarily to lease termination income ($3.8 million) and management fees earned from third-party investors of the SLG Opportunistic Debt Fund ($1.8 million) during the three months ended March 31, 2025. Special servicing income increased for the three months ended March 31, 2025 ($1.3 million), as compared to the three months ended March 31, 2024 ($0.4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Property operating expenses increased due primarily to the consolidation of 100 Park Avenue ($6.9 million) at the end of the fourth quarter of 2024 and 10 East 53rd Street ($4.0 million) at the end of the first quarter of 2024, variable expenses increased at our Same-Store properties ($4.5 million) and we acquired 500 Park Avenue ($2.2 million) in the first quarter of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Operator Expenses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SUMMIT Operator expenses were lower for the three months ended March 31, 2025 as compared to the same period in 2024 due to decreased variable expenses.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Financing Costs, Net of Interest Income</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Interest expense and amortization of deferred financing costs, net of interest income, increased due primarily to a decrease in interest capitalization at properties that are under development or redevelopment ($10.2 million) and the consolidation of 100 Park Avenue ($6.1 million) and 10 East 53rd Street ($3.1 million) as a result of the agreement to acquire the partners' interests in the joint ventures during the fourth and first quarters of 2024, respectively. These increases were offset by decreased interest expense from the revolving credit facility ($4.4 million) due to a lower outstanding balance, and the repayment of unsecured corporate term loans ($2.0 million) in the fourth quarter of 2024. The weighted average consolidated debt balance outstanding was $3.8 billion for the three months ended March 31, 2025, compared to $3.6 billion for the three months ended March 31, 2024. The consolidated weighted average interest rate was 5.38% for the three months ended March 31, 2025, as compared to 5.19% for the three months ended March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Operator Tax Benefit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decrease in SUMMIT Operator tax benefit for the three months ended March 31, 2025 as compared to the same period in 2024 is attributable to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tax reduction adjustment recorded in the first quarter of 2024.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on Senior Obligations of Consolidated Securitization Vehicles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the three months ended September 30, 2024 and the three months ended March 31, 2025, we acquired securities in CMBS securitization trusts that resulted in consolidation of the trusts on our financial statements. The amounts include the interest expense associated with CMBS positions owned by third parties, which is an offset to the third party interest income recognized in Interest income from real estate loans held by consolidated securitization vehicles. As a result, the impact is limited to interest income on the CMBS securities we own directly and not the consolidated interest income and interest expense. We did not hold any investments in CMBS securitization trusts that resulted in consolidation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Depreciation and amortization increased due primarily to the consolidation of 100 Park Avenue at the end of the fourth quarter of 2024 ($4.7 million) and 10 East 53rd Street at the end of the first quarter of 2024 ($3.8 million). Depreciation and amortization also increased due to tenant improvements placed into service at 485 Lexington Avenue ($3.0 million) and the acquisition of 500 Park Avenue ($1.0 million) during the first quarter of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Net Income from Unconsolidated Joint Ventures</w:t>
      </w:r>
    </w:p>
    <w:p>
      <w:pPr>
        <w:spacing w:after="0" w:line="11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Equity in net income from unconsolidated joint ventures decreased primarily due to higher income at 2 Herald Square ($121.4 million) as a result of a gain on discounted debt extinguishment at the property during the three months ended March 31, 2024. This was partially offset by increased income recognized during the three months ended March 31, 2025 at 280 Park Avenue ($3.8 million) and 919 Third Avenue ($3.3 million) due to increased occupancy.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Net Gain on Sale of Interest in Unconsolidated Joint Venture/Real Estate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we did not dispose of any interests in our unconsolidated joint ventures. During the three months ended March 31, 2024, we recognized a gain on the sale of our interest in 717 Fifth Avenue ($26.9 million).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and Other Fair Value Adjustments</w:t>
      </w:r>
    </w:p>
    <w:p>
      <w:pPr>
        <w:spacing w:after="0" w:line="111"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During the three months ended March 31, 2025, we recorded a $5.9 million negative fair value adjustment for the secured borrowing related to the previous sale of an interest in One Madison Avenue and a $3.1 million negative fair value adjustment related to derivatives that are not designated as hedges for accounting purposes. During the three months ended March 31, 2024, we recorded a $55.7 million negative fair value adjustment relating to the consolidation of 10 East 53rd Street, partially offset by a $5.2 million positive fair value adjustment related to a derivative that was not designated as a hedge.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Depreciable Real Estate Reserves and Impairment</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we recognized depreciable real estate reserves and impairments at 760 Madison Avenue ($8.5 million) to reduce the carrying value of our investment. During the three months ended March 31, 2024, we recognized depreciable real estate reserves and impairments at 719 Seventh Avenue ($46.3 million) to reduce the carrying value of our investment to the sale price per the contract that was entered into in April 2024. In addition, we recognized depreciable real estate reserves and impairments related to our investment at 625 Madison Avenue ($5.9 million), which remained under contract for sale as of March 31, 2024, prior to the sale closing in the second quarter of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Loss and Other Investment Reserves, Net of Recoveries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we recognized a loan loss recovery of $25.0 million related to the expected resolution of a commercial mortgage investment. During the three months ended March 31, 2024, we did not recognize any loan loss and other investment reserves.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currently expect that the principal sources of funds to meet our short-term and long-term liquidity requirements for working capital, acquisitions, development or redevelopment of properties, tenant improvements, leasing costs, dividends to shareholders, distributions to unitholders, repurchases or repayments of outstanding indebtedness and for debt and preferred equity investments will include:</w:t>
      </w:r>
    </w:p>
    <w:p>
      <w:pPr>
        <w:spacing w:after="0" w:line="75" w:lineRule="exact"/>
        <w:rPr>
          <w:sz w:val="20"/>
          <w:szCs w:val="20"/>
          <w:color w:val="auto"/>
        </w:rPr>
      </w:pPr>
    </w:p>
    <w:p>
      <w:pPr>
        <w:ind w:left="1260" w:hanging="702"/>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w:t>
      </w:r>
    </w:p>
    <w:p>
      <w:pPr>
        <w:spacing w:after="0" w:line="21" w:lineRule="exact"/>
        <w:rPr>
          <w:rFonts w:ascii="Times New Roman" w:cs="Times New Roman" w:eastAsia="Times New Roman" w:hAnsi="Times New Roman"/>
          <w:sz w:val="18"/>
          <w:szCs w:val="18"/>
          <w:color w:val="auto"/>
        </w:rPr>
      </w:pPr>
    </w:p>
    <w:p>
      <w:pPr>
        <w:ind w:left="1260" w:hanging="702"/>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hand;</w:t>
      </w:r>
    </w:p>
    <w:p>
      <w:pPr>
        <w:spacing w:after="0" w:line="3" w:lineRule="exact"/>
        <w:rPr>
          <w:rFonts w:ascii="Times New Roman" w:cs="Times New Roman" w:eastAsia="Times New Roman" w:hAnsi="Times New Roman"/>
          <w:sz w:val="18"/>
          <w:szCs w:val="18"/>
          <w:color w:val="auto"/>
        </w:rPr>
      </w:pPr>
    </w:p>
    <w:p>
      <w:pPr>
        <w:ind w:left="1260" w:hanging="702"/>
        <w:spacing w:after="0" w:line="244" w:lineRule="auto"/>
        <w:tabs>
          <w:tab w:leader="none" w:pos="12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divestitures of properties and redemptions, participations, dispositions and repayments of debt and preferred equity investments;</w:t>
      </w:r>
    </w:p>
    <w:p>
      <w:pPr>
        <w:ind w:left="1260" w:hanging="702"/>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revolving credit facility;</w:t>
      </w:r>
    </w:p>
    <w:p>
      <w:pPr>
        <w:spacing w:after="0" w:line="3" w:lineRule="exact"/>
        <w:rPr>
          <w:rFonts w:ascii="Times New Roman" w:cs="Times New Roman" w:eastAsia="Times New Roman" w:hAnsi="Times New Roman"/>
          <w:sz w:val="18"/>
          <w:szCs w:val="18"/>
          <w:color w:val="auto"/>
        </w:rPr>
      </w:pPr>
    </w:p>
    <w:p>
      <w:pPr>
        <w:ind w:left="1260" w:hanging="702"/>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secured or unsecured financing; and</w:t>
      </w:r>
    </w:p>
    <w:p>
      <w:pPr>
        <w:spacing w:after="0" w:line="3" w:lineRule="exact"/>
        <w:rPr>
          <w:rFonts w:ascii="Times New Roman" w:cs="Times New Roman" w:eastAsia="Times New Roman" w:hAnsi="Times New Roman"/>
          <w:sz w:val="18"/>
          <w:szCs w:val="18"/>
          <w:color w:val="auto"/>
        </w:rPr>
      </w:pPr>
    </w:p>
    <w:p>
      <w:pPr>
        <w:ind w:left="1260" w:hanging="702"/>
        <w:spacing w:after="0" w:line="248" w:lineRule="auto"/>
        <w:tabs>
          <w:tab w:leader="none" w:pos="12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common or preferred equity or debt offerings by the Company or the Operating Partnership (including issuances of units of limited partnership interest in the Operating Partnership and Trust preferred securities).</w:t>
      </w:r>
    </w:p>
    <w:p>
      <w:pPr>
        <w:spacing w:after="0" w:line="8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Cash flow from operations is primarily dependent upon the collectability of rent,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combined aggregate principal maturities of mortgages and other loans payable, the 2021 credit facility, senior unsecured notes (net of discount), trust preferred securities, our share of joint venture debt, including as-of-right extension options, estimated interest expense, and our obligations under our financing and operating leases, as of March 31, 2025 are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6"/>
                <w:szCs w:val="16"/>
                <w:color w:val="auto"/>
              </w:rPr>
            </w:pPr>
          </w:p>
        </w:tc>
        <w:tc>
          <w:tcPr>
            <w:tcW w:w="8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6"/>
                <w:szCs w:val="16"/>
                <w:color w:val="auto"/>
              </w:rPr>
            </w:pPr>
          </w:p>
        </w:tc>
        <w:tc>
          <w:tcPr>
            <w:tcW w:w="90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mortgages and other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919,366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284,888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272,325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2,036,727</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term loans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1,150,000</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 preferred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leases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209,194</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1,154,422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1,410,761</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interest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729,554</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 debt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1,196,030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936,639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1,718,655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6,033,918</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1,846,942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1,450,884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4,324,033</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756,565</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3,795,902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12,260,154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434"/>
        <w:spacing w:after="0" w:line="286" w:lineRule="auto"/>
        <w:rPr>
          <w:sz w:val="20"/>
          <w:szCs w:val="20"/>
          <w:color w:val="auto"/>
        </w:rPr>
      </w:pPr>
      <w:r>
        <w:rPr>
          <w:rFonts w:ascii="Times New Roman" w:cs="Times New Roman" w:eastAsia="Times New Roman" w:hAnsi="Times New Roman"/>
          <w:sz w:val="16"/>
          <w:szCs w:val="16"/>
          <w:color w:val="auto"/>
        </w:rPr>
        <w:t>We estimate that for the remainder of the year ending December 31, 2025, we expect to incur $113.7 million of leasing capital expenditures and $20.9 million of recurring capital expenditures on existing consolidated properties, of which $24.6 million will be funded by loan reserves. In addition, we expect to incur $20.8 million of development or redevelopment expenditures on existing consolidated properties, none of which will be funded by construction financing facilities or loan reserves. We expect our share of capital expenditures at our joint venture properties will be $113.5 million, of which $42.2 million will be funded by construction financing facilities or loan reserves. We expect to fund capital expenditures from operating cash flow, existing liquidity, and borrowings from construction financing facilities. Future property acquisitions may require substantial capital investments for refurbishment and leasing costs.</w:t>
      </w:r>
    </w:p>
    <w:p>
      <w:pPr>
        <w:spacing w:after="0" w:line="53" w:lineRule="exact"/>
        <w:rPr>
          <w:sz w:val="20"/>
          <w:szCs w:val="20"/>
          <w:color w:val="auto"/>
        </w:rPr>
      </w:pPr>
    </w:p>
    <w:p>
      <w:pPr>
        <w:jc w:val="both"/>
        <w:ind w:firstLine="434"/>
        <w:spacing w:after="0" w:line="286" w:lineRule="auto"/>
        <w:rPr>
          <w:sz w:val="20"/>
          <w:szCs w:val="20"/>
          <w:color w:val="auto"/>
        </w:rPr>
      </w:pPr>
      <w:r>
        <w:rPr>
          <w:rFonts w:ascii="Times New Roman" w:cs="Times New Roman" w:eastAsia="Times New Roman" w:hAnsi="Times New Roman"/>
          <w:sz w:val="16"/>
          <w:szCs w:val="16"/>
          <w:color w:val="auto"/>
        </w:rPr>
        <w:t>As of March 31, 2025, we had liquidity of $0.9 billion, comprised of $752.5 million of availability under our revolving credit facility and $192.4 million of consolidated cash on hand, inclusive of $12.3 million of available-for-sale marketable securities. This liquidity excludes $129.5 million representing our share of cash at unconsolidated joint venture properties. We may seek to divest of properties, interests in properties or debt and preferred equity investments or access private and public debt and equity capital when the opportunity presents itself, although there is no guarantee that this capital will be made available to us at efficient levels or at all. Management believes that these sources of liquidity, if we are able to access them, along with potential refinancing opportunities for secured and unsecured debt, will allow us to satisfy our debt and other obligations, as described above, upon maturity, if not before.</w:t>
      </w:r>
    </w:p>
    <w:p>
      <w:pPr>
        <w:spacing w:after="0" w:line="5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have investments in several real estate joint ventures with various partners who are generally considered to be financially stable. Most of our joint ventures are financed with non-recourse debt. We believe that property level cash flows along with unfunded committed indebtedness and proceeds from the refinancing of outstanding secured indebtedness will be sufficient to fund the capital needs of our joint venture properties.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summary discussion of our cash flows is based on our consolidated statements of cash flows in "Item 1. Financial Statements" and is not meant to be an all-inclusive discussion of the changes in our cash flows for the periods presented below.</w:t>
      </w:r>
    </w:p>
    <w:p>
      <w:pPr>
        <w:spacing w:after="0" w:line="6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Cash, restricted cash, and cash equivalents were $337.0 million and $318.5 million as of March 31, 2025 and 2024, respectively, representing a decrease of $18.5 million. The decrease was a result of the following changes in cash flows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Three Months Ended March 31,</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05"/>
        </w:trPr>
        <w:tc>
          <w:tcPr>
            <w:tcW w:w="50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(Decrease) Increase</w:t>
            </w:r>
          </w:p>
        </w:tc>
      </w:tr>
      <w:tr>
        <w:trPr>
          <w:trHeight w:val="20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6,710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31,387</w:t>
            </w: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(176,273)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(172,560)</w:t>
            </w: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174,953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163,586</w:t>
            </w:r>
          </w:p>
        </w:tc>
      </w:tr>
    </w:tbl>
    <w:p>
      <w:pPr>
        <w:spacing w:after="0" w:line="16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Our principal sources of operating cash flow are the properties in our consolidated and joint venture portfolios, third-party fees and our debt and preferred equity portfolio. These sources generate a relatively consistent stream of cash flow that provides us with resources to pay operating expenses, debt service and fund dividend and distribution requirements.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three months ended March 31, 2025, when compared to the three months ended March 31, 2024, we used cash primarily for the following investing activities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of real estate</w:t>
            </w: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(112,440)</w:t>
            </w:r>
          </w:p>
        </w:tc>
      </w:tr>
      <w:tr>
        <w:trPr>
          <w:trHeight w:val="20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and capitalized interest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(18,923)</w:t>
            </w:r>
          </w:p>
        </w:tc>
      </w:tr>
      <w:tr>
        <w:trPr>
          <w:trHeight w:val="21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12,817</w:t>
            </w:r>
          </w:p>
        </w:tc>
      </w:tr>
      <w:tr>
        <w:trPr>
          <w:trHeight w:val="20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Joint venture investments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(12,956)</w:t>
            </w:r>
          </w:p>
        </w:tc>
      </w:tr>
      <w:tr>
        <w:trPr>
          <w:trHeight w:val="21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joint ventures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(62,085)</w:t>
            </w:r>
          </w:p>
        </w:tc>
      </w:tr>
      <w:tr>
        <w:trPr>
          <w:trHeight w:val="20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real estate/partial interest in property</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67,100</w:t>
            </w:r>
          </w:p>
        </w:tc>
      </w:tr>
      <w:tr>
        <w:trPr>
          <w:trHeight w:val="211"/>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preferred equity and other investments</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(46,073)</w:t>
            </w:r>
          </w:p>
        </w:tc>
      </w:tr>
      <w:tr>
        <w:trPr>
          <w:trHeight w:val="206"/>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net cash used in investing activities</w:t>
            </w: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(172,560)</w:t>
            </w:r>
          </w:p>
        </w:tc>
      </w:tr>
      <w:tr>
        <w:trPr>
          <w:trHeight w:val="20"/>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34"/>
        <w:spacing w:after="0" w:line="332" w:lineRule="auto"/>
        <w:rPr>
          <w:sz w:val="20"/>
          <w:szCs w:val="20"/>
          <w:color w:val="auto"/>
        </w:rPr>
      </w:pPr>
      <w:r>
        <w:rPr>
          <w:rFonts w:ascii="Times New Roman" w:cs="Times New Roman" w:eastAsia="Times New Roman" w:hAnsi="Times New Roman"/>
          <w:sz w:val="16"/>
          <w:szCs w:val="16"/>
          <w:color w:val="auto"/>
        </w:rPr>
        <w:t>Funds spent on capital expenditures, which are comprised of building and tenant improvements, increased from $55.3 million for the three months ended March 31, 2024 to $74.2 million for the three months ended March 31, 2025 due to increased spending on development and redevelopment properties.</w:t>
      </w:r>
    </w:p>
    <w:p>
      <w:pPr>
        <w:spacing w:after="0" w:line="1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generally fund our investment activity through the sale of real estate, the sale or repayment of debt and preferred equity investments, property-level financing, our corporate credit facilities, or construction facilities. From time to time, the Company may issue common or preferred stock or equity-linked securities, or the Operating Partnership may issue common or preferred units of limited partnership interest.</w:t>
      </w:r>
    </w:p>
    <w:p>
      <w:pPr>
        <w:spacing w:after="0" w:line="75"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when compared to the three months ended March 31, 2024, cash was provided by the following financing activities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our debt obligations</w:t>
            </w: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378,760</w:t>
            </w:r>
          </w:p>
        </w:tc>
      </w:tr>
      <w:tr>
        <w:trPr>
          <w:trHeight w:val="20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our debt obligations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(212,049)</w:t>
            </w:r>
          </w:p>
        </w:tc>
      </w:tr>
      <w:tr>
        <w:trPr>
          <w:trHeight w:val="21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distribution to noncontrolling interests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0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1"/>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and distributions paid</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w:t>
            </w:r>
          </w:p>
        </w:tc>
      </w:tr>
      <w:tr>
        <w:trPr>
          <w:trHeight w:val="206"/>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net cash provided by financing activities</w:t>
            </w: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163,586</w:t>
            </w:r>
          </w:p>
        </w:tc>
      </w:tr>
      <w:tr>
        <w:trPr>
          <w:trHeight w:val="20"/>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260,000,000 shares, $0.01 par value per share, consisting of 160,000,000 shares of common stock, $0.01 par value per share, 75,000,000 shares of excess stock, at $0.01 par value per share, and 25,000,000 shares of preferred stock, $0.01 par value per share. As of March 31, 2025, 71,016,448 shares of common stock and no shares of excess stock were issued and outstanding.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Board of Directors approved a $3.5 billion share repurchase program under which we can buy shares of our common stock.</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2025, 36,107,719 shares have been repurchased under the program, excluding the redemption of OP units. We did not repurchase any shares under the program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and Stock Purchase Plan ("DRSPP")</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February 2024, the Company filed a new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SL Green common stock issued, and proceeds received from dividend reinvestments and/or stock purchases under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DRSPP for the three months ended March 31, 2025 and 2024, respectively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6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05"/>
        </w:trPr>
        <w:tc>
          <w:tcPr>
            <w:tcW w:w="74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0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issued</w:t>
            </w: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r>
      <w:tr>
        <w:trPr>
          <w:trHeight w:val="209"/>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reinvestments/stock purchases under the DRSPP</w:t>
            </w:r>
          </w:p>
        </w:tc>
        <w:tc>
          <w:tcPr>
            <w:tcW w:w="1240" w:type="dxa"/>
            <w:vAlign w:val="bottom"/>
          </w:tcPr>
          <w:p>
            <w:pPr>
              <w:jc w:val="right"/>
              <w:ind w:right="10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75</w:t>
            </w:r>
          </w:p>
        </w:tc>
        <w:tc>
          <w:tcPr>
            <w:tcW w:w="100" w:type="dxa"/>
            <w:vAlign w:val="bottom"/>
          </w:tcPr>
          <w:p>
            <w:pPr>
              <w:spacing w:after="0"/>
              <w:rPr>
                <w:sz w:val="18"/>
                <w:szCs w:val="18"/>
                <w:color w:val="auto"/>
              </w:rPr>
            </w:pPr>
          </w:p>
        </w:tc>
        <w:tc>
          <w:tcPr>
            <w:tcW w:w="1260" w:type="dxa"/>
            <w:vAlign w:val="bottom"/>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Fifth Amended and Restated 2005 Stock Option and Incentive Plan</w:t>
      </w:r>
    </w:p>
    <w:p>
      <w:pPr>
        <w:spacing w:after="0" w:line="13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Fifth Amended and Restated 2005 Stock Option and Incentive Plan, or the 2005 Plan, was approved by the Company's Board of Directors in April 2022 and its stockholders in June 2022 at the Company's annual meeting of stockholders. Subject to adjustments upon certain corporate transactions or events, awards with respect to up to a maximum of 32,210,000 fungible units may be granted as options, restricted stock, phantom shares, dividend equivalent rights and other equity-based awards under the 2005 Plan. As of March 31, 2025, 1.5 million fungible units were available for issuance under the 2005 Plan after reserving for shares underlying outstanding restricted stock units, and phantom stock units granted pursuant to our Non-Employee Directors' Deferral Program and LTIP Units.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 for Directors</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14,393 phantom stock units and 10,311 shares of common stock were issued to our Board of Directors. We recorded compensation expense of $1.9 million and $2.1 million during the three months ended March 31, 2025, and 2024 respectively, related to the Deferred Compensation Plan.</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2025, there were 92,698 phantom stock units outstanding pursuant to our Non-Employee Director's Deferral Program.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1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table below summarizes our consolidated mortgages and other loans payable, 2021 credit facility, 2022 term loan, senior unsecured notes and trust preferred securities outstanding as of March 31, 2025 and December 31, 2024, (amounts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Summary:</w:t>
            </w:r>
          </w:p>
        </w:tc>
        <w:tc>
          <w:tcPr>
            <w:tcW w:w="30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60" w:type="dxa"/>
            <w:vAlign w:val="bottom"/>
          </w:tcPr>
          <w:p>
            <w:pPr>
              <w:spacing w:after="0"/>
              <w:rPr>
                <w:sz w:val="18"/>
                <w:szCs w:val="18"/>
                <w:color w:val="auto"/>
              </w:rPr>
            </w:pPr>
          </w:p>
        </w:tc>
        <w:tc>
          <w:tcPr>
            <w:tcW w:w="18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3"/>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30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r>
      <w:tr>
        <w:trPr>
          <w:trHeight w:val="210"/>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1,112,473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1,182,474</w:t>
            </w:r>
          </w:p>
        </w:tc>
      </w:tr>
      <w:tr>
        <w:trPr>
          <w:trHeight w:val="21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rate—hedged</w:t>
            </w:r>
          </w:p>
        </w:tc>
        <w:tc>
          <w:tcPr>
            <w:tcW w:w="3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2,254,888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2,075,000</w:t>
            </w:r>
          </w:p>
        </w:tc>
      </w:tr>
      <w:tr>
        <w:trPr>
          <w:trHeight w:val="203"/>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fixed rate</w:t>
            </w:r>
          </w:p>
        </w:tc>
        <w:tc>
          <w:tcPr>
            <w:tcW w:w="300" w:type="dxa"/>
            <w:vAlign w:val="bottom"/>
          </w:tcPr>
          <w:p>
            <w:pPr>
              <w:spacing w:after="0"/>
              <w:rPr>
                <w:sz w:val="17"/>
                <w:szCs w:val="17"/>
                <w:color w:val="auto"/>
              </w:rPr>
            </w:pPr>
          </w:p>
        </w:tc>
        <w:tc>
          <w:tcPr>
            <w:tcW w:w="18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3,367,361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3,257,474</w:t>
            </w:r>
          </w:p>
        </w:tc>
      </w:tr>
      <w:tr>
        <w:trPr>
          <w:trHeight w:val="211"/>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variable rate</w:t>
            </w:r>
          </w:p>
        </w:tc>
        <w:tc>
          <w:tcPr>
            <w:tcW w:w="3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509,366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363,550</w:t>
            </w:r>
          </w:p>
        </w:tc>
      </w:tr>
      <w:tr>
        <w:trPr>
          <w:trHeight w:val="205"/>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3,876,727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3,621,024</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0"/>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preferred equity, and other investments subject to variable rate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129,235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117,006</w:t>
            </w:r>
          </w:p>
        </w:tc>
      </w:tr>
      <w:tr>
        <w:trPr>
          <w:trHeight w:val="21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exposure to variable rate debt</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380,131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246,544</w:t>
            </w: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Percent of Total Debt</w:t>
            </w:r>
            <w:r>
              <w:rPr>
                <w:rFonts w:ascii="Times New Roman" w:cs="Times New Roman" w:eastAsia="Times New Roman" w:hAnsi="Times New Roman"/>
                <w:sz w:val="16"/>
                <w:szCs w:val="16"/>
                <w:color w:val="auto"/>
              </w:rPr>
              <w: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0"/>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86.9 %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90.0 %</w:t>
            </w:r>
          </w:p>
        </w:tc>
      </w:tr>
      <w:tr>
        <w:trPr>
          <w:trHeight w:val="211"/>
        </w:trPr>
        <w:tc>
          <w:tcPr>
            <w:tcW w:w="6920" w:type="dxa"/>
            <w:vAlign w:val="bottom"/>
            <w:shd w:val="clear" w:color="auto" w:fill="CCEEFF"/>
          </w:tcPr>
          <w:p>
            <w:pPr>
              <w:ind w:left="140"/>
              <w:spacing w:after="0" w:line="211" w:lineRule="exact"/>
              <w:rPr>
                <w:sz w:val="20"/>
                <w:szCs w:val="20"/>
                <w:color w:val="auto"/>
              </w:rPr>
            </w:pPr>
            <w:r>
              <w:rPr>
                <w:rFonts w:ascii="Times New Roman" w:cs="Times New Roman" w:eastAsia="Times New Roman" w:hAnsi="Times New Roman"/>
                <w:sz w:val="16"/>
                <w:szCs w:val="16"/>
                <w:color w:val="auto"/>
              </w:rPr>
              <w:t xml:space="preserve">Variable rate </w:t>
            </w:r>
            <w:r>
              <w:rPr>
                <w:rFonts w:ascii="Times New Roman" w:cs="Times New Roman" w:eastAsia="Times New Roman" w:hAnsi="Times New Roman"/>
                <w:sz w:val="20"/>
                <w:szCs w:val="20"/>
                <w:color w:val="auto"/>
                <w:vertAlign w:val="superscript"/>
              </w:rPr>
              <w:t>(1)</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13.1 %</w:t>
            </w:r>
          </w:p>
        </w:tc>
        <w:tc>
          <w:tcPr>
            <w:tcW w:w="10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4"/>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10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77"/>
        </w:trPr>
        <w:tc>
          <w:tcPr>
            <w:tcW w:w="69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Effective Interest Rate for the Year:</w:t>
            </w: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10"/>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5.18 %</w:t>
            </w:r>
          </w:p>
        </w:tc>
      </w:tr>
      <w:tr>
        <w:trPr>
          <w:trHeight w:val="211"/>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rate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6.32 %</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5.17 %</w:t>
            </w:r>
          </w:p>
        </w:tc>
      </w:tr>
      <w:tr>
        <w:trPr>
          <w:trHeight w:val="209"/>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interest rate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5.38 %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5.17 %</w:t>
            </w:r>
          </w:p>
        </w:tc>
      </w:tr>
    </w:tbl>
    <w:p>
      <w:pPr>
        <w:spacing w:after="0" w:line="177" w:lineRule="exact"/>
        <w:rPr>
          <w:sz w:val="20"/>
          <w:szCs w:val="20"/>
          <w:color w:val="auto"/>
        </w:rPr>
      </w:pPr>
    </w:p>
    <w:p>
      <w:pPr>
        <w:ind w:left="400" w:hanging="395"/>
        <w:spacing w:after="0" w:line="268" w:lineRule="auto"/>
        <w:tabs>
          <w:tab w:leader="none" w:pos="33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the mitigating effect of our debt, preferred equity, and other investments subject to variable rates, the percent of total debt of our net exposure to variable rate debt was 10.1% and 7.0% as of March 31, 2025 and December 31, 2024, respectively.</w:t>
      </w:r>
    </w:p>
    <w:p>
      <w:pPr>
        <w:spacing w:after="0" w:line="79" w:lineRule="exact"/>
        <w:rPr>
          <w:sz w:val="20"/>
          <w:szCs w:val="20"/>
          <w:color w:val="auto"/>
        </w:rPr>
      </w:pPr>
    </w:p>
    <w:p>
      <w:pPr>
        <w:jc w:val="both"/>
        <w:ind w:right="20" w:firstLine="434"/>
        <w:spacing w:after="0" w:line="268" w:lineRule="auto"/>
        <w:rPr>
          <w:sz w:val="20"/>
          <w:szCs w:val="20"/>
          <w:color w:val="auto"/>
        </w:rPr>
      </w:pPr>
      <w:r>
        <w:rPr>
          <w:rFonts w:ascii="Times New Roman" w:cs="Times New Roman" w:eastAsia="Times New Roman" w:hAnsi="Times New Roman"/>
          <w:sz w:val="18"/>
          <w:szCs w:val="18"/>
          <w:color w:val="auto"/>
        </w:rPr>
        <w:t>The variable rate debt shown above generally bears interest at an interest rate based on adjusted Term SOFR (4.32% and 4.33% as of March 31, 2025 and December 31, 2024, respectively). Our consolidated debt as of March 31, 2025 had a weighted average term to maturity of 2.46 years.</w:t>
      </w:r>
    </w:p>
    <w:p>
      <w:pPr>
        <w:spacing w:after="0" w:line="6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Certain of our debt and equity investments and other investments, with carrying values of $129.2 million as of March 31, 2025 and $117.0 million as of December 31, 2024, are variable rate investments which mitigate our exposure to interest rate changes on our unhedged variable rate debt. Inclusive of the mitigating effect of these investments, the net ratio of our consolidated variable rate debt to total debt was 10.1% and 7.0%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Indebtedness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Credit Facility</w:t>
      </w:r>
    </w:p>
    <w:p>
      <w:pPr>
        <w:spacing w:after="0" w:line="111"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In December 2021, we entered into an amended and restated credit facility, referred to as the 2021 credit facility, that was previously amended by the Company in November 2017, and was originally entered into by the Company in November 2012. As of March 31, 2025, the 2021 credit facility consisted of a $1.25 billion revolving credit facility, a $1.05 billion term loan (or "Term Loan A"), and a $100.0 million term loan (or "Term Loan B") with maturity dates of May 15, 2026, May 15, 2027, and November 19, 2025, respectively. Term Loan B has two six-month, as-of-right extension options to November 19, 2026.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82"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As of March 31, 2025,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8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of March 31, 2025, the applicable spread over adjusted Term SOFR plus 10 basis points for the 2021 credit facility was 140 basis points for the revolving credit facility, 160 basis points for Term Loan A, and 180 basis points for Term Loan B. We are required to pay quarterly in arrears a 12.5 to 30 basis point facility fee on the total commitments under the revolving credit facility based on the credit rating assigned to the senior unsecured long term indebtedness of the Company. As of March 31, 2025, the facility fee was 30 basis points.</w:t>
      </w:r>
    </w:p>
    <w:p>
      <w:pPr>
        <w:spacing w:after="0" w:line="7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of March 31, 2025, we had $7.5 million of outstanding letters of credit, $490.0 million drawn under the revolving credit facility and $1.15 billion of outstanding term loans, with total undrawn capacity of $752.5 million under the 2021 credit facility. As of March 31, 2025 and December 31, 2024, the revolving credit facility had a carrying value of $486.6 million and $316.2 million, respectively, net of deferred financing costs. As of March 31, 2025 and December 31, 2024, the term loans had a carrying value of $1.1 billion and $1.1 billion, respectively, net of deferred financing costs.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and the Operating Partnership are borrowers jointly and severally obligated under the 2021 credit facility.</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2021 credit facility includes certain restrictions and covenants (see Restrictive Covenants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CMBS Securities Repurchase Facility</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December 2024, the Company entered into a repurchase facility for CMBS securities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March 31, 2025, there have been no margin calls on the CMBS Repurchase Facility. At March 31, 2025, there was no outstanding balance on the facility.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terms of the 2021 credit facility and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March 31, 2025 and December 31, 2024,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1"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are exposed to changes in interest rates primarily from our variable rate debt. Our exposure to interest rate fluctuations are managed through the use of interest rate derivative instruments and through our variable rate debt and preferred equity investments. As of March 31, 2025, $3.4 billion of our consolidated long-term debt and $5.7 billion of our share of joint venture long-term debt bears interest at fixed rates. Our variable rate debt and variable rate joint venture debt as of March 31, 2025 bore interest based on a spread to LIBOR of 145 basis points and Term SOFR of 148 basis points to 275 basis points. Based on the debt outstanding as of March 31, 2025, a hypothetical 100 basis point increase in the applicable floating interest rate curve would increase our share of consolidated annual interest cost, net of interest income from variable rate debt and preferred equity investments, by $1.8 million and would increase our share of joint venture annual interest cost by $1.9 million. As of March 31, 2025, $0.1 billion of our debt and preferred equity portfolio was indexed to SOFR.</w:t>
      </w:r>
    </w:p>
    <w:p>
      <w:pPr>
        <w:spacing w:after="0" w:line="8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recognize most derivatives on the balance sheet at fair value. Derivatives that are not hedges for accounting purposes are adjusted to fair value through income. If a derivative is considered a hedge for accounting purposes, depending on the nature of the hedge, changes in the fair value of the derivative will either be offset against the change in fair value of the hedged asset, liability, or firm commitment through earnings, or recognized in other comprehensive income (loss) until the hedged item is recognized in earnings.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1"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We have off-balance sheet investments, including joint ventures and debt and preferred equity investments. These investments all have varying ownership structures. A majority of our joint venture arrangements are accounted for under the equity method of accounting as we have the ability to exercise significant influence, but not control, over the operating and financial decisions of these joint venture arrangements. Our off-balance sheet arrangements are discussed in Note 5, "Debt and Preferred Equity Investments" and Note 6, "Investments in Unconsolidated Joint Ventures" in the accompanying consolidated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Dividends/Distributions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expect to pay dividends to our stockholders based on the distributions we receive from our Operating Partnership.</w:t>
      </w:r>
    </w:p>
    <w:p>
      <w:pPr>
        <w:spacing w:after="0" w:line="109"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To maintain our qualification as a REIT, we must pay annual dividends to our stockholders of at least 90% of our REIT taxable income, determined before taking into consideration the dividends paid deduction and net capital gains.</w:t>
      </w:r>
    </w:p>
    <w:p>
      <w:pPr>
        <w:spacing w:after="0" w:line="6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Any dividend we pay may be in the form of cash, stock or a combination thereof, subject to IRS limitations on the use of stock for dividends. Additionally, if our REIT taxable income in a particular year exceeds the amount of cash dividends we pay in that year, we may pay stock dividends in order to maintain our REIT status and avoid certain REIT-level taxes.</w:t>
      </w:r>
    </w:p>
    <w:p>
      <w:pPr>
        <w:spacing w:after="0" w:line="7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Before we pay any cash dividend, whether for Federal income tax purposes or otherwise, which would only be paid out of available cash to the extent permitted under the 2021 credit facility and senior unsecured notes, we must first meet both our operating requirements and scheduled debt service on our mortgages and loans payable.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11"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spacing w:after="0" w:line="8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FFO is a widely recognized non-GAAP financial measure of REIT performance. The Company computes FFO in accordance with standards established by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8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FFO for the three months ended March 31, 2025 and 2024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8"/>
              </w:rPr>
              <w:t>Three Months Ended March 31,</w:t>
            </w:r>
          </w:p>
        </w:tc>
      </w:tr>
      <w:tr>
        <w:trPr>
          <w:trHeight w:val="205"/>
        </w:trPr>
        <w:tc>
          <w:tcPr>
            <w:tcW w:w="8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SL Green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w:t>
            </w:r>
          </w:p>
        </w:tc>
      </w:tr>
      <w:tr>
        <w:trPr>
          <w:trHeight w:val="209"/>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64,498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48,584</w:t>
            </w:r>
          </w:p>
        </w:tc>
      </w:tr>
      <w:tr>
        <w:trPr>
          <w:trHeight w:val="210"/>
        </w:trPr>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Joint venture depreciation and noncontrolling interest adjustments</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53,361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74,258</w:t>
            </w:r>
          </w:p>
        </w:tc>
      </w:tr>
      <w:tr>
        <w:trPr>
          <w:trHeight w:val="211"/>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09"/>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gain on sale of interest in unconsolidated joint venture/real estate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26,764</w:t>
            </w:r>
          </w:p>
        </w:tc>
      </w:tr>
      <w:tr>
        <w:trPr>
          <w:trHeight w:val="210"/>
        </w:trPr>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(55,652)</w:t>
            </w:r>
          </w:p>
        </w:tc>
      </w:tr>
      <w:tr>
        <w:trPr>
          <w:trHeight w:val="211"/>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(52,118)</w:t>
            </w:r>
          </w:p>
        </w:tc>
      </w:tr>
      <w:tr>
        <w:trPr>
          <w:trHeight w:val="211"/>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in unconsolidated joint venture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on non-rental real estate assets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w:t>
            </w:r>
          </w:p>
        </w:tc>
      </w:tr>
      <w:tr>
        <w:trPr>
          <w:trHeight w:val="230"/>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from Operations attributable to SL Green common stockholders and unit 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106,511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215,443</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Our business at SUMMIT is subject to tourism trends and weather conditions, resulting in seasonal fluctuation. In 2024, approximately 19.0% of our annual SUMMIT revenue was realized in the first quarter, 26.0% was realized in the second quarter, 28.0% was realized in the third quarter, and 27.0% was realized in the fourth quarter. We do not consider any other components of our business to be subject to material seasonal fluctuations.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1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Accounting Standards Updates are discussed in Note 2, "Significant Accounting Policies Accounting Standards Updates"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1"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occupancy,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8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7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75" w:lineRule="exact"/>
        <w:rPr>
          <w:sz w:val="20"/>
          <w:szCs w:val="20"/>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business and financial conditions, and their effect on the New York City real estate market in particular;</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New York City real estate market;</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real estate acquisitions, dispositions, development and redevelopment, including the cost of construction delays and cost overruns;</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debt and preferred equity investments;</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creditworthiness of prospective tenants and borrowers;</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a major tenant or a significant number of smaller tenants or borrowers;</w:t>
      </w:r>
    </w:p>
    <w:p>
      <w:pPr>
        <w:spacing w:after="0" w:line="108" w:lineRule="exact"/>
        <w:rPr>
          <w:rFonts w:ascii="Times New Roman" w:cs="Times New Roman" w:eastAsia="Times New Roman" w:hAnsi="Times New Roman"/>
          <w:sz w:val="18"/>
          <w:szCs w:val="18"/>
          <w:color w:val="auto"/>
        </w:rPr>
      </w:pPr>
    </w:p>
    <w:p>
      <w:pPr>
        <w:ind w:left="1260" w:hanging="623"/>
        <w:spacing w:after="0" w:line="268" w:lineRule="auto"/>
        <w:tabs>
          <w:tab w:leader="none" w:pos="1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markets, including reduced demand for office space, increasing vacancy, and increasing availability of sublease space;</w:t>
      </w:r>
    </w:p>
    <w:p>
      <w:pPr>
        <w:spacing w:after="0" w:line="64"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debt and equity capital for our operational needs and investment strategy;</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financing and other costs, including a rise in interest rates;</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financial covenants in our debt instruments;</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investing through joint venture structures, including the fulfillment by our partners of their financial obligations;</w:t>
      </w:r>
    </w:p>
    <w:p>
      <w:pPr>
        <w:spacing w:after="0" w:line="108"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terrorist attacks;</w:t>
      </w:r>
    </w:p>
    <w:p>
      <w:pPr>
        <w:spacing w:after="0" w:line="108" w:lineRule="exact"/>
        <w:rPr>
          <w:rFonts w:ascii="Times New Roman" w:cs="Times New Roman" w:eastAsia="Times New Roman" w:hAnsi="Times New Roman"/>
          <w:sz w:val="18"/>
          <w:szCs w:val="18"/>
          <w:color w:val="auto"/>
        </w:rPr>
      </w:pPr>
    </w:p>
    <w:p>
      <w:pPr>
        <w:ind w:left="1260" w:hanging="623"/>
        <w:spacing w:after="0" w:line="268" w:lineRule="auto"/>
        <w:tabs>
          <w:tab w:leader="none" w:pos="1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insurance coverage at a reasonable cost and the potential for losses in excess of our insurance coverage, including as a result of environmental contamination;</w:t>
      </w:r>
    </w:p>
    <w:p>
      <w:pPr>
        <w:spacing w:after="0" w:line="64" w:lineRule="exact"/>
        <w:rPr>
          <w:rFonts w:ascii="Times New Roman" w:cs="Times New Roman" w:eastAsia="Times New Roman" w:hAnsi="Times New Roman"/>
          <w:sz w:val="18"/>
          <w:szCs w:val="18"/>
          <w:color w:val="auto"/>
        </w:rPr>
      </w:pPr>
    </w:p>
    <w:p>
      <w:pPr>
        <w:ind w:left="1260" w:hanging="623"/>
        <w:spacing w:after="0" w:line="268" w:lineRule="auto"/>
        <w:tabs>
          <w:tab w:leader="none" w:pos="1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asset management business, including our ability to identify suitable investments, manage actual and potential conflicts of interest and comply with regulations on our asset management subsidiary under the Investment Advisers Act of 1940; and</w:t>
      </w:r>
    </w:p>
    <w:p>
      <w:pPr>
        <w:spacing w:after="0" w:line="64" w:lineRule="exact"/>
        <w:rPr>
          <w:rFonts w:ascii="Times New Roman" w:cs="Times New Roman" w:eastAsia="Times New Roman" w:hAnsi="Times New Roman"/>
          <w:sz w:val="18"/>
          <w:szCs w:val="18"/>
          <w:color w:val="auto"/>
        </w:rPr>
      </w:pPr>
    </w:p>
    <w:p>
      <w:pPr>
        <w:ind w:left="1260" w:hanging="623"/>
        <w:spacing w:after="0" w:line="268" w:lineRule="auto"/>
        <w:tabs>
          <w:tab w:leader="none" w:pos="1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6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Other factors and risks to our business, many of which are beyond our control, are described in other sections of this report and in our other filings with the SEC. Except to the extent required by law, we undertake no obligation to publicly update or revise any forward-looking statements, whether as a result of future events,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7"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Item 2, "Management's Discussion and Analysis of Financial Condition and Results of Operation - Interest Rate Risk" in this Quarterly Report on Form 10-Q for the three months ended March 31, 2025 for the Company and the Operating Partnership and Item 7, "Management's Discussion and Analysis of Financial Condition and Results of Operations - Interest Rate Risk" in the Annual Report on Form 10-K for the year ended December 31, 2024 for the Company and the Operating Partnership. Our exposures to market risk have not changed materially since December 31,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SL GREEN REALTY CORP.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1"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6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March 31, 2025 that has materially affected, or is reasonably likely to materially affect, its internal control over financial reporting.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SL GREEN OPERATING PARTNERSHIP, L.P.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1"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6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There have been no changes in the Operating Partnership's internal control over financial reporting during the quarter ended March 31, 2025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As of March 31, 2025,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As of March 31, 2025, there have been no material changes to the Risk Factors disclosed in "Part I. Item 1A. Risk Factors" in the Company's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Board of Directors approved a $3.5 billion share repurchase program under which we can buy shares of our common stock.</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share repurchases executed under the program, excluding the redemption of OP units, during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Total number of shares</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number of shares</w:t>
            </w:r>
          </w:p>
        </w:tc>
        <w:tc>
          <w:tcPr>
            <w:tcW w:w="0" w:type="dxa"/>
            <w:vAlign w:val="bottom"/>
          </w:tcPr>
          <w:p>
            <w:pPr>
              <w:spacing w:after="0"/>
              <w:rPr>
                <w:sz w:val="1"/>
                <w:szCs w:val="1"/>
                <w:color w:val="auto"/>
              </w:rPr>
            </w:pPr>
          </w:p>
        </w:tc>
      </w:tr>
      <w:tr>
        <w:trPr>
          <w:trHeight w:val="158"/>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40" w:type="dxa"/>
            <w:vAlign w:val="bottom"/>
            <w:gridSpan w:val="2"/>
            <w:vMerge w:val="continue"/>
          </w:tcPr>
          <w:p>
            <w:pPr>
              <w:spacing w:after="0"/>
              <w:rPr>
                <w:sz w:val="13"/>
                <w:szCs w:val="13"/>
                <w:color w:val="auto"/>
              </w:rPr>
            </w:pP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 price paid per share</w:t>
            </w:r>
          </w:p>
        </w:tc>
        <w:tc>
          <w:tcPr>
            <w:tcW w:w="2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repurchased as part of the</w:t>
            </w: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repurchased</w:t>
            </w:r>
          </w:p>
        </w:tc>
        <w:tc>
          <w:tcPr>
            <w:tcW w:w="2260" w:type="dxa"/>
            <w:vAlign w:val="bottom"/>
            <w:gridSpan w:val="2"/>
            <w:vMerge w:val="continue"/>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repurchase plan or programs</w:t>
            </w:r>
          </w:p>
        </w:tc>
        <w:tc>
          <w:tcPr>
            <w:tcW w:w="0" w:type="dxa"/>
            <w:vAlign w:val="bottom"/>
          </w:tcPr>
          <w:p>
            <w:pPr>
              <w:spacing w:after="0"/>
              <w:rPr>
                <w:sz w:val="1"/>
                <w:szCs w:val="1"/>
                <w:color w:val="auto"/>
              </w:rPr>
            </w:pPr>
          </w:p>
        </w:tc>
      </w:tr>
      <w:tr>
        <w:trPr>
          <w:trHeight w:val="81"/>
        </w:trPr>
        <w:tc>
          <w:tcPr>
            <w:tcW w:w="45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1-31</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36,107,719</w:t>
            </w:r>
          </w:p>
        </w:tc>
        <w:tc>
          <w:tcPr>
            <w:tcW w:w="0" w:type="dxa"/>
            <w:vAlign w:val="bottom"/>
          </w:tcPr>
          <w:p>
            <w:pPr>
              <w:spacing w:after="0"/>
              <w:rPr>
                <w:sz w:val="1"/>
                <w:szCs w:val="1"/>
                <w:color w:val="auto"/>
              </w:rPr>
            </w:pPr>
          </w:p>
        </w:tc>
      </w:tr>
      <w:tr>
        <w:trPr>
          <w:trHeight w:val="20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1-28</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36,107,719</w:t>
            </w:r>
          </w:p>
        </w:tc>
        <w:tc>
          <w:tcPr>
            <w:tcW w:w="0" w:type="dxa"/>
            <w:vAlign w:val="bottom"/>
          </w:tcPr>
          <w:p>
            <w:pPr>
              <w:spacing w:after="0"/>
              <w:rPr>
                <w:sz w:val="1"/>
                <w:szCs w:val="1"/>
                <w:color w:val="auto"/>
              </w:rPr>
            </w:pPr>
          </w:p>
        </w:tc>
      </w:tr>
      <w:tr>
        <w:trPr>
          <w:trHeight w:val="212"/>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1-31</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36,107,719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required by Item 601 of Regulation S-K are filed herewith or incorporated herein by reference and are listed in the attached Exhibit Index.</w:t>
      </w:r>
    </w:p>
    <w:p>
      <w:pPr>
        <w:spacing w:after="0" w:line="282" w:lineRule="exact"/>
        <w:rPr>
          <w:sz w:val="20"/>
          <w:szCs w:val="20"/>
          <w:color w:val="auto"/>
        </w:rPr>
      </w:pPr>
    </w:p>
    <w:p>
      <w:pPr>
        <w:ind w:left="380"/>
        <w:spacing w:after="0"/>
        <w:tabs>
          <w:tab w:leader="none" w:pos="58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54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2"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6"/>
          <w:szCs w:val="16"/>
          <w:u w:val="single" w:color="auto"/>
          <w:color w:val="0000FF"/>
        </w:rPr>
        <w:t>31.1</w:t>
      </w:r>
      <w:r>
        <w:rPr>
          <w:sz w:val="20"/>
          <w:szCs w:val="20"/>
          <w:color w:val="auto"/>
        </w:rPr>
        <w:tab/>
      </w:r>
      <w:r>
        <w:rPr>
          <w:rFonts w:ascii="Times New Roman" w:cs="Times New Roman" w:eastAsia="Times New Roman" w:hAnsi="Times New Roman"/>
          <w:sz w:val="15"/>
          <w:szCs w:val="15"/>
          <w:color w:val="auto"/>
        </w:rPr>
        <w:t>Certification by the Chairman and Chief Executive Officer of the Company pursuant to Section 302 of the Sarbanes-Oxley Act of 2002, filed herewith.</w:t>
      </w:r>
    </w:p>
    <w:p>
      <w:pPr>
        <w:spacing w:after="0" w:line="27"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6"/>
          <w:szCs w:val="16"/>
          <w:u w:val="single" w:color="auto"/>
          <w:color w:val="0000FF"/>
        </w:rPr>
        <w:t>31.2</w:t>
      </w:r>
      <w:r>
        <w:rPr>
          <w:sz w:val="20"/>
          <w:szCs w:val="20"/>
          <w:color w:val="auto"/>
        </w:rPr>
        <w:tab/>
      </w:r>
      <w:r>
        <w:rPr>
          <w:rFonts w:ascii="Times New Roman" w:cs="Times New Roman" w:eastAsia="Times New Roman" w:hAnsi="Times New Roman"/>
          <w:sz w:val="15"/>
          <w:szCs w:val="15"/>
          <w:color w:val="auto"/>
        </w:rPr>
        <w:t>Certification by the Chief Financial Officer of the Company pursuant to Section 302 of the Sarbanes-Oxley Act of 2002, filed herewith.</w:t>
      </w:r>
    </w:p>
    <w:p>
      <w:pPr>
        <w:spacing w:after="0" w:line="27" w:lineRule="exact"/>
        <w:rPr>
          <w:sz w:val="20"/>
          <w:szCs w:val="20"/>
          <w:color w:val="auto"/>
        </w:rPr>
      </w:pPr>
    </w:p>
    <w:p>
      <w:pPr>
        <w:ind w:left="1280" w:right="40" w:hanging="416"/>
        <w:spacing w:after="0" w:line="237" w:lineRule="auto"/>
        <w:tabs>
          <w:tab w:leader="none" w:pos="1260" w:val="left"/>
        </w:tabs>
        <w:rPr>
          <w:sz w:val="20"/>
          <w:szCs w:val="20"/>
          <w:color w:val="auto"/>
        </w:rPr>
      </w:pPr>
      <w:r>
        <w:rPr>
          <w:rFonts w:ascii="Times New Roman" w:cs="Times New Roman" w:eastAsia="Times New Roman" w:hAnsi="Times New Roman"/>
          <w:sz w:val="16"/>
          <w:szCs w:val="16"/>
          <w:u w:val="single" w:color="auto"/>
          <w:color w:val="0000FF"/>
        </w:rPr>
        <w:t>31.3</w:t>
      </w:r>
      <w:r>
        <w:rPr>
          <w:sz w:val="20"/>
          <w:szCs w:val="20"/>
          <w:color w:val="auto"/>
        </w:rPr>
        <w:tab/>
      </w:r>
      <w:r>
        <w:rPr>
          <w:rFonts w:ascii="Times New Roman" w:cs="Times New Roman" w:eastAsia="Times New Roman" w:hAnsi="Times New Roman"/>
          <w:sz w:val="16"/>
          <w:szCs w:val="16"/>
          <w:color w:val="auto"/>
        </w:rPr>
        <w:t>Certification by the Chairman and Chief Executive Officer of the Company, the sole general partner of the Operating Partnership pursuant to Section 302 of the Sarbanes-Oxley Act of 2002, filed herewith.</w:t>
      </w:r>
    </w:p>
    <w:p>
      <w:pPr>
        <w:spacing w:after="0" w:line="5" w:lineRule="exact"/>
        <w:rPr>
          <w:sz w:val="20"/>
          <w:szCs w:val="20"/>
          <w:color w:val="auto"/>
        </w:rPr>
      </w:pPr>
    </w:p>
    <w:p>
      <w:pPr>
        <w:ind w:left="1280" w:right="120" w:hanging="416"/>
        <w:spacing w:after="0" w:line="237" w:lineRule="auto"/>
        <w:tabs>
          <w:tab w:leader="none" w:pos="1260" w:val="left"/>
        </w:tabs>
        <w:rPr>
          <w:sz w:val="20"/>
          <w:szCs w:val="20"/>
          <w:color w:val="auto"/>
        </w:rPr>
      </w:pPr>
      <w:r>
        <w:rPr>
          <w:rFonts w:ascii="Times New Roman" w:cs="Times New Roman" w:eastAsia="Times New Roman" w:hAnsi="Times New Roman"/>
          <w:sz w:val="16"/>
          <w:szCs w:val="16"/>
          <w:u w:val="single" w:color="auto"/>
          <w:color w:val="0000FF"/>
        </w:rPr>
        <w:t>31.4</w:t>
      </w:r>
      <w:r>
        <w:rPr>
          <w:sz w:val="20"/>
          <w:szCs w:val="20"/>
          <w:color w:val="auto"/>
        </w:rPr>
        <w:tab/>
      </w:r>
      <w:r>
        <w:rPr>
          <w:rFonts w:ascii="Times New Roman" w:cs="Times New Roman" w:eastAsia="Times New Roman" w:hAnsi="Times New Roman"/>
          <w:sz w:val="16"/>
          <w:szCs w:val="16"/>
          <w:color w:val="auto"/>
        </w:rPr>
        <w:t>Certification by the Chief Financial Officer of the Company, the sole general partner of the Operating Partnership pursuant to Section 302 of the Sarbanes-Oxley Act of 2002, filed herewith.</w:t>
      </w:r>
    </w:p>
    <w:p>
      <w:pPr>
        <w:spacing w:after="0" w:line="5" w:lineRule="exact"/>
        <w:rPr>
          <w:sz w:val="20"/>
          <w:szCs w:val="20"/>
          <w:color w:val="auto"/>
        </w:rPr>
      </w:pPr>
    </w:p>
    <w:p>
      <w:pPr>
        <w:ind w:left="1280" w:right="200" w:hanging="416"/>
        <w:spacing w:after="0" w:line="237" w:lineRule="auto"/>
        <w:tabs>
          <w:tab w:leader="none" w:pos="1260" w:val="left"/>
        </w:tabs>
        <w:rPr>
          <w:sz w:val="20"/>
          <w:szCs w:val="20"/>
          <w:color w:val="auto"/>
        </w:rPr>
      </w:pPr>
      <w:r>
        <w:rPr>
          <w:rFonts w:ascii="Times New Roman" w:cs="Times New Roman" w:eastAsia="Times New Roman" w:hAnsi="Times New Roman"/>
          <w:sz w:val="16"/>
          <w:szCs w:val="16"/>
          <w:u w:val="single" w:color="auto"/>
          <w:color w:val="0000FF"/>
        </w:rPr>
        <w:t>32.1</w:t>
      </w:r>
      <w:r>
        <w:rPr>
          <w:sz w:val="20"/>
          <w:szCs w:val="20"/>
          <w:color w:val="auto"/>
        </w:rPr>
        <w:tab/>
      </w:r>
      <w:r>
        <w:rPr>
          <w:rFonts w:ascii="Times New Roman" w:cs="Times New Roman" w:eastAsia="Times New Roman" w:hAnsi="Times New Roman"/>
          <w:sz w:val="16"/>
          <w:szCs w:val="16"/>
          <w:color w:val="auto"/>
        </w:rPr>
        <w:t>Certification by the Chairman and Chief Executive Officer pursuant to 18 U.S.C. section 1350, as adopted pursuant to Section 906 of the Sarbanes-Oxley Act of 2002, furnished herewith.</w:t>
      </w:r>
    </w:p>
    <w:p>
      <w:pPr>
        <w:spacing w:after="0" w:line="5" w:lineRule="exact"/>
        <w:rPr>
          <w:sz w:val="20"/>
          <w:szCs w:val="20"/>
          <w:color w:val="auto"/>
        </w:rPr>
      </w:pPr>
    </w:p>
    <w:p>
      <w:pPr>
        <w:ind w:left="1280" w:right="340" w:hanging="416"/>
        <w:spacing w:after="0" w:line="237" w:lineRule="auto"/>
        <w:tabs>
          <w:tab w:leader="none" w:pos="1260" w:val="left"/>
        </w:tabs>
        <w:rPr>
          <w:sz w:val="20"/>
          <w:szCs w:val="20"/>
          <w:color w:val="auto"/>
        </w:rPr>
      </w:pPr>
      <w:r>
        <w:rPr>
          <w:rFonts w:ascii="Times New Roman" w:cs="Times New Roman" w:eastAsia="Times New Roman" w:hAnsi="Times New Roman"/>
          <w:sz w:val="16"/>
          <w:szCs w:val="16"/>
          <w:u w:val="single" w:color="auto"/>
          <w:color w:val="0000FF"/>
        </w:rPr>
        <w:t>32.2</w:t>
      </w:r>
      <w:r>
        <w:rPr>
          <w:sz w:val="20"/>
          <w:szCs w:val="20"/>
          <w:color w:val="auto"/>
        </w:rPr>
        <w:tab/>
      </w:r>
      <w:r>
        <w:rPr>
          <w:rFonts w:ascii="Times New Roman" w:cs="Times New Roman" w:eastAsia="Times New Roman" w:hAnsi="Times New Roman"/>
          <w:sz w:val="16"/>
          <w:szCs w:val="16"/>
          <w:color w:val="auto"/>
        </w:rPr>
        <w:t>Certification by the Chief Financial Officer pursuant to 18 U.S.C. section 1350, as adopted pursuant to Section 906 of the Sarbanes-Oxley Act of 2002, furnished herewith.</w:t>
      </w:r>
    </w:p>
    <w:p>
      <w:pPr>
        <w:ind w:left="860"/>
        <w:spacing w:after="0"/>
        <w:tabs>
          <w:tab w:leader="none" w:pos="1260" w:val="left"/>
        </w:tabs>
        <w:rPr>
          <w:sz w:val="20"/>
          <w:szCs w:val="20"/>
          <w:color w:val="auto"/>
        </w:rPr>
      </w:pPr>
      <w:r>
        <w:rPr>
          <w:rFonts w:ascii="Times New Roman" w:cs="Times New Roman" w:eastAsia="Times New Roman" w:hAnsi="Times New Roman"/>
          <w:sz w:val="16"/>
          <w:szCs w:val="16"/>
          <w:u w:val="single" w:color="auto"/>
          <w:color w:val="0000FF"/>
        </w:rPr>
        <w:t>32.3</w:t>
      </w:r>
      <w:r>
        <w:rPr>
          <w:sz w:val="20"/>
          <w:szCs w:val="20"/>
          <w:color w:val="auto"/>
        </w:rPr>
        <w:tab/>
      </w:r>
      <w:r>
        <w:rPr>
          <w:rFonts w:ascii="Times New Roman" w:cs="Times New Roman" w:eastAsia="Times New Roman" w:hAnsi="Times New Roman"/>
          <w:sz w:val="15"/>
          <w:szCs w:val="15"/>
          <w:color w:val="auto"/>
        </w:rPr>
        <w:t>Certification by the Chairman and Chief Executive Officer of the Company, the sole general partner of the Operating Partnership pursuant to 18 U.S.C.</w:t>
      </w:r>
    </w:p>
    <w:p>
      <w:pPr>
        <w:ind w:left="1280"/>
        <w:spacing w:after="0"/>
        <w:rPr>
          <w:sz w:val="20"/>
          <w:szCs w:val="20"/>
          <w:color w:val="auto"/>
        </w:rPr>
      </w:pPr>
      <w:r>
        <w:rPr>
          <w:rFonts w:ascii="Times New Roman" w:cs="Times New Roman" w:eastAsia="Times New Roman" w:hAnsi="Times New Roman"/>
          <w:sz w:val="16"/>
          <w:szCs w:val="16"/>
          <w:color w:val="auto"/>
        </w:rPr>
        <w:t>section 1350, as adopted pursuant to Section 906 of the Sarbanes-Oxley Act of 2002, furnished herewith.</w:t>
      </w:r>
    </w:p>
    <w:p>
      <w:pPr>
        <w:spacing w:after="0" w:line="9" w:lineRule="exact"/>
        <w:rPr>
          <w:sz w:val="20"/>
          <w:szCs w:val="20"/>
          <w:color w:val="auto"/>
        </w:rPr>
      </w:pPr>
    </w:p>
    <w:p>
      <w:pPr>
        <w:ind w:left="1280" w:right="260" w:hanging="416"/>
        <w:spacing w:after="0" w:line="237" w:lineRule="auto"/>
        <w:tabs>
          <w:tab w:leader="none" w:pos="1260" w:val="left"/>
        </w:tabs>
        <w:rPr>
          <w:sz w:val="20"/>
          <w:szCs w:val="20"/>
          <w:color w:val="auto"/>
        </w:rPr>
      </w:pPr>
      <w:r>
        <w:rPr>
          <w:rFonts w:ascii="Times New Roman" w:cs="Times New Roman" w:eastAsia="Times New Roman" w:hAnsi="Times New Roman"/>
          <w:sz w:val="16"/>
          <w:szCs w:val="16"/>
          <w:u w:val="single" w:color="auto"/>
          <w:color w:val="0000FF"/>
        </w:rPr>
        <w:t>32.4</w:t>
      </w:r>
      <w:r>
        <w:rPr>
          <w:sz w:val="20"/>
          <w:szCs w:val="20"/>
          <w:color w:val="auto"/>
        </w:rPr>
        <w:tab/>
      </w:r>
      <w:r>
        <w:rPr>
          <w:rFonts w:ascii="Times New Roman" w:cs="Times New Roman" w:eastAsia="Times New Roman" w:hAnsi="Times New Roman"/>
          <w:sz w:val="16"/>
          <w:szCs w:val="16"/>
          <w:color w:val="auto"/>
        </w:rPr>
        <w:t>Certification by the Chief Financial Officer of the Company, the sole general partner of the Operating Partnership pursuant to 18 U.S.C. section 1350, as adopted pursuant to Section 906 of the Sarbanes-Oxley Act of 2002, furnished herewith.</w:t>
      </w:r>
    </w:p>
    <w:p>
      <w:pPr>
        <w:spacing w:after="0" w:line="5" w:lineRule="exact"/>
        <w:rPr>
          <w:sz w:val="20"/>
          <w:szCs w:val="20"/>
          <w:color w:val="auto"/>
        </w:rPr>
      </w:pPr>
    </w:p>
    <w:p>
      <w:pPr>
        <w:ind w:left="1280" w:hanging="419"/>
        <w:spacing w:after="0" w:line="218" w:lineRule="auto"/>
        <w:tabs>
          <w:tab w:leader="none" w:pos="12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SL Green Realty Corp. and SL Green Operating Partnership L.P.’s Quarterly Report on Form 10-Q for the quarter ended March 31, 2025, formatted in Inline XBRL: (i) Consolidated Balance Sheets (unaudited), (ii) Consolidated Statements of Operations (unaudited), (iii) Consolidated Statements of Comprehensive (Loss) Income (unaudited), (iv) Consolidated Statements of Equity (unaudited), (v) Consolidated Statements of Capital (unaudited) (vi) Consolidated Statements of Cash Flows (unaudited), and (vii) Notes to Consolidated Financial Statements (unaudited), detail tagged and filed herewith.</w:t>
      </w:r>
    </w:p>
    <w:p>
      <w:pPr>
        <w:spacing w:after="0" w:line="7" w:lineRule="exact"/>
        <w:rPr>
          <w:sz w:val="20"/>
          <w:szCs w:val="20"/>
          <w:color w:val="auto"/>
        </w:rPr>
      </w:pPr>
    </w:p>
    <w:p>
      <w:pPr>
        <w:ind w:left="1280" w:hanging="419"/>
        <w:spacing w:after="0"/>
        <w:tabs>
          <w:tab w:leader="none" w:pos="12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12" w:lineRule="exact"/>
        <w:rPr>
          <w:sz w:val="20"/>
          <w:szCs w:val="20"/>
          <w:color w:val="auto"/>
        </w:rPr>
      </w:pPr>
    </w:p>
    <w:tbl>
      <w:tblPr>
        <w:tblLayout w:type="fixed"/>
        <w:tblInd w:w="460" w:type="dxa"/>
        <w:tblCellMar>
          <w:top w:w="0" w:type="dxa"/>
          <w:left w:w="0" w:type="dxa"/>
          <w:bottom w:w="0" w:type="dxa"/>
          <w:right w:w="0" w:type="dxa"/>
        </w:tblCellMar>
      </w:tblPr>
      <w:tr>
        <w:trPr>
          <w:trHeight w:val="226"/>
        </w:trPr>
        <w:tc>
          <w:tcPr>
            <w:tcW w:w="3280" w:type="dxa"/>
            <w:vAlign w:val="bottom"/>
          </w:tcPr>
          <w:p>
            <w:pPr>
              <w:spacing w:after="0"/>
              <w:rPr>
                <w:sz w:val="19"/>
                <w:szCs w:val="19"/>
                <w:color w:val="auto"/>
              </w:rPr>
            </w:pPr>
          </w:p>
        </w:tc>
        <w:tc>
          <w:tcPr>
            <w:tcW w:w="73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SL GREEN REALTY CORP.</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19"/>
                <w:szCs w:val="19"/>
                <w:color w:val="auto"/>
              </w:rPr>
            </w:pP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SL Green Realty Corp.</w:t>
            </w:r>
          </w:p>
        </w:tc>
        <w:tc>
          <w:tcPr>
            <w:tcW w:w="0" w:type="dxa"/>
            <w:vAlign w:val="bottom"/>
          </w:tcPr>
          <w:p>
            <w:pPr>
              <w:spacing w:after="0"/>
              <w:rPr>
                <w:sz w:val="1"/>
                <w:szCs w:val="1"/>
                <w:color w:val="auto"/>
              </w:rPr>
            </w:pPr>
          </w:p>
        </w:tc>
      </w:tr>
      <w:tr>
        <w:trPr>
          <w:trHeight w:val="382"/>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May 1, 2025</w:t>
            </w:r>
          </w:p>
        </w:tc>
        <w:tc>
          <w:tcPr>
            <w:tcW w:w="28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DiLiberto</w:t>
            </w:r>
          </w:p>
        </w:tc>
        <w:tc>
          <w:tcPr>
            <w:tcW w:w="0" w:type="dxa"/>
            <w:vAlign w:val="bottom"/>
          </w:tcPr>
          <w:p>
            <w:pPr>
              <w:spacing w:after="0"/>
              <w:rPr>
                <w:sz w:val="1"/>
                <w:szCs w:val="1"/>
                <w:color w:val="auto"/>
              </w:rPr>
            </w:pPr>
          </w:p>
        </w:tc>
      </w:tr>
      <w:tr>
        <w:trPr>
          <w:trHeight w:val="165"/>
        </w:trPr>
        <w:tc>
          <w:tcPr>
            <w:tcW w:w="3280" w:type="dxa"/>
            <w:vAlign w:val="bottom"/>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45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Matthew J. DiLiberto</w:t>
            </w: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5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ind w:left="6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6140" w:type="dxa"/>
            <w:vAlign w:val="bottom"/>
          </w:tcPr>
          <w:p>
            <w:pPr>
              <w:ind w:left="514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165"/>
        </w:trPr>
        <w:tc>
          <w:tcPr>
            <w:tcW w:w="614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Dated: May 1, 2025</w:t>
            </w:r>
          </w:p>
        </w:tc>
        <w:tc>
          <w:tcPr>
            <w:tcW w:w="452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Matthew J. DiLiberto</w:t>
            </w:r>
          </w:p>
        </w:tc>
      </w:tr>
      <w:tr>
        <w:trPr>
          <w:trHeight w:val="171"/>
        </w:trPr>
        <w:tc>
          <w:tcPr>
            <w:tcW w:w="6140" w:type="dxa"/>
            <w:vAlign w:val="bottom"/>
          </w:tcPr>
          <w:p>
            <w:pPr>
              <w:spacing w:after="0"/>
              <w:rPr>
                <w:sz w:val="14"/>
                <w:szCs w:val="14"/>
                <w:color w:val="auto"/>
              </w:rPr>
            </w:pPr>
          </w:p>
        </w:tc>
        <w:tc>
          <w:tcPr>
            <w:tcW w:w="45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7"/>
              </w:rPr>
              <w:t>Chief Financial Officer of SL Green, the sole general partner of</w:t>
            </w:r>
          </w:p>
        </w:tc>
      </w:tr>
      <w:tr>
        <w:trPr>
          <w:trHeight w:val="179"/>
        </w:trPr>
        <w:tc>
          <w:tcPr>
            <w:tcW w:w="6140" w:type="dxa"/>
            <w:vAlign w:val="bottom"/>
          </w:tcPr>
          <w:p>
            <w:pPr>
              <w:spacing w:after="0"/>
              <w:rPr>
                <w:sz w:val="15"/>
                <w:szCs w:val="15"/>
                <w:color w:val="auto"/>
              </w:rPr>
            </w:pPr>
          </w:p>
        </w:tc>
        <w:tc>
          <w:tcPr>
            <w:tcW w:w="45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w w:val="99"/>
              </w:rPr>
              <w:t>the Operating Partnership (Principal Financial and Accounting</w:t>
            </w:r>
          </w:p>
        </w:tc>
      </w:tr>
      <w:tr>
        <w:trPr>
          <w:trHeight w:val="228"/>
        </w:trPr>
        <w:tc>
          <w:tcPr>
            <w:tcW w:w="614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121" w:right="4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Marc Holliday, certify that:</w:t>
      </w:r>
    </w:p>
    <w:p>
      <w:pPr>
        <w:spacing w:after="0" w:line="374" w:lineRule="exact"/>
        <w:rPr>
          <w:sz w:val="20"/>
          <w:szCs w:val="20"/>
          <w:color w:val="auto"/>
        </w:rPr>
      </w:pPr>
    </w:p>
    <w:p>
      <w:pPr>
        <w:ind w:left="640" w:hanging="635"/>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Realty Corp. (the “registrant”);</w:t>
      </w:r>
    </w:p>
    <w:p>
      <w:pPr>
        <w:spacing w:after="0" w:line="161"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hanging="623"/>
        <w:spacing w:after="0" w:line="254" w:lineRule="auto"/>
        <w:tabs>
          <w:tab w:leader="none" w:pos="125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3"/>
        <w:spacing w:after="0" w:line="248" w:lineRule="auto"/>
        <w:tabs>
          <w:tab w:leader="none" w:pos="125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pacing w:after="0" w:line="2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27908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0825" cy="8255"/>
                    </a:xfrm>
                    <a:prstGeom prst="rect">
                      <a:avLst/>
                    </a:prstGeom>
                    <a:noFill/>
                  </pic:spPr>
                </pic:pic>
              </a:graphicData>
            </a:graphic>
          </wp:anchor>
        </w:drawing>
      </w:r>
    </w:p>
    <w:p>
      <w:pPr>
        <w:spacing w:after="0" w:line="36"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Holliday</w:t>
      </w:r>
    </w:p>
    <w:p>
      <w:pPr>
        <w:spacing w:after="0" w:line="30"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86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Matthew J. DiLiberto, certify that:</w:t>
      </w:r>
    </w:p>
    <w:p>
      <w:pPr>
        <w:spacing w:after="0" w:line="348" w:lineRule="exact"/>
        <w:rPr>
          <w:sz w:val="20"/>
          <w:szCs w:val="20"/>
          <w:color w:val="auto"/>
        </w:rPr>
      </w:pPr>
    </w:p>
    <w:p>
      <w:pPr>
        <w:ind w:left="640" w:hanging="635"/>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Realty Corp. (the “registrant”);</w:t>
      </w:r>
    </w:p>
    <w:p>
      <w:pPr>
        <w:spacing w:after="0" w:line="161"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hanging="623"/>
        <w:spacing w:after="0" w:line="254" w:lineRule="auto"/>
        <w:tabs>
          <w:tab w:leader="none" w:pos="125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3"/>
        <w:spacing w:after="0" w:line="248" w:lineRule="auto"/>
        <w:tabs>
          <w:tab w:leader="none" w:pos="125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6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Marc Holliday, certify that:</w:t>
      </w:r>
    </w:p>
    <w:p>
      <w:pPr>
        <w:spacing w:after="0" w:line="374" w:lineRule="exact"/>
        <w:rPr>
          <w:sz w:val="20"/>
          <w:szCs w:val="20"/>
          <w:color w:val="auto"/>
        </w:rPr>
      </w:pPr>
    </w:p>
    <w:p>
      <w:pPr>
        <w:ind w:left="640" w:hanging="635"/>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Operating Partnership, L.P. (the “registrant”);</w:t>
      </w:r>
    </w:p>
    <w:p>
      <w:pPr>
        <w:spacing w:after="0" w:line="161"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hanging="623"/>
        <w:spacing w:after="0" w:line="254" w:lineRule="auto"/>
        <w:tabs>
          <w:tab w:leader="none" w:pos="12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3"/>
        <w:spacing w:after="0" w:line="248" w:lineRule="auto"/>
        <w:tabs>
          <w:tab w:leader="none" w:pos="12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pacing w:after="0" w:line="2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27908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0825" cy="8255"/>
                    </a:xfrm>
                    <a:prstGeom prst="rect">
                      <a:avLst/>
                    </a:prstGeom>
                    <a:noFill/>
                  </pic:spPr>
                </pic:pic>
              </a:graphicData>
            </a:graphic>
          </wp:anchor>
        </w:drawing>
      </w:r>
    </w:p>
    <w:p>
      <w:pPr>
        <w:spacing w:after="0" w:line="36"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Holliday</w:t>
      </w:r>
    </w:p>
    <w:p>
      <w:pPr>
        <w:spacing w:after="0" w:line="30"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and Chief Executive Officer</w:t>
      </w:r>
    </w:p>
    <w:p>
      <w:pPr>
        <w:spacing w:after="0" w:line="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of SL Green Realty Corp., the</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general partner of the registrant</w:t>
      </w:r>
    </w:p>
    <w:p>
      <w:pPr>
        <w:sectPr>
          <w:pgSz w:w="11900" w:h="16838" w:orient="portrait"/>
          <w:cols w:equalWidth="0" w:num="1">
            <w:col w:w="11240"/>
          </w:cols>
          <w:pgMar w:left="320" w:top="86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Matthew J. DiLiberto, certify that:</w:t>
      </w:r>
    </w:p>
    <w:p>
      <w:pPr>
        <w:spacing w:after="0" w:line="374" w:lineRule="exact"/>
        <w:rPr>
          <w:sz w:val="20"/>
          <w:szCs w:val="20"/>
          <w:color w:val="auto"/>
        </w:rPr>
      </w:pPr>
    </w:p>
    <w:p>
      <w:pPr>
        <w:ind w:left="640" w:hanging="635"/>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Operating Partnership, L.P. (the “registrant”);</w:t>
      </w:r>
    </w:p>
    <w:p>
      <w:pPr>
        <w:spacing w:after="0" w:line="161"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hanging="623"/>
        <w:spacing w:after="0" w:line="254" w:lineRule="auto"/>
        <w:tabs>
          <w:tab w:leader="none" w:pos="12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3"/>
        <w:spacing w:after="0" w:line="248" w:lineRule="auto"/>
        <w:tabs>
          <w:tab w:leader="none" w:pos="12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4"/>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SL Green Realty Corp., the</w:t>
            </w:r>
          </w:p>
        </w:tc>
      </w:tr>
      <w:tr>
        <w:trPr>
          <w:trHeight w:val="228"/>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partner of the registrant</w:t>
            </w:r>
          </w:p>
        </w:tc>
      </w:tr>
    </w:tbl>
    <w:p>
      <w:pPr>
        <w:sectPr>
          <w:pgSz w:w="11900" w:h="16838" w:orient="portrait"/>
          <w:cols w:equalWidth="0" w:num="1">
            <w:col w:w="11240"/>
          </w:cols>
          <w:pgMar w:left="320" w:top="86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SL Green Realty Corp. (the “Company”) on Form 10-Q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spacing w:after="0" w:line="180" w:lineRule="exact"/>
        <w:rPr>
          <w:sz w:val="20"/>
          <w:szCs w:val="20"/>
          <w:color w:val="auto"/>
        </w:rPr>
      </w:pPr>
    </w:p>
    <w:p>
      <w:pPr>
        <w:ind w:left="640" w:hanging="635"/>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Holliday</w:t>
            </w: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Holliday</w:t>
            </w:r>
          </w:p>
        </w:tc>
      </w:tr>
      <w:tr>
        <w:trPr>
          <w:trHeight w:val="22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4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May 1, 2025</w:t>
            </w:r>
          </w:p>
        </w:tc>
        <w:tc>
          <w:tcPr>
            <w:tcW w:w="4520" w:type="dxa"/>
            <w:vAlign w:val="bottom"/>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SL Green Realty Corp. (the “Company”) on Form 10-Q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spacing w:after="0" w:line="180" w:lineRule="exact"/>
        <w:rPr>
          <w:sz w:val="20"/>
          <w:szCs w:val="20"/>
          <w:color w:val="auto"/>
        </w:rPr>
      </w:pPr>
    </w:p>
    <w:p>
      <w:pPr>
        <w:ind w:left="640" w:hanging="63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2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4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May 1, 2025</w:t>
            </w:r>
          </w:p>
        </w:tc>
        <w:tc>
          <w:tcPr>
            <w:tcW w:w="4520" w:type="dxa"/>
            <w:vAlign w:val="bottom"/>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Quarterly Report of SL Green Operating Partnership, L.P. (the “Operating Partnership”) on Form 10-Q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spacing w:after="0" w:line="210" w:lineRule="exact"/>
        <w:rPr>
          <w:sz w:val="20"/>
          <w:szCs w:val="20"/>
          <w:color w:val="auto"/>
        </w:rPr>
      </w:pPr>
    </w:p>
    <w:p>
      <w:pPr>
        <w:ind w:left="300" w:hanging="295"/>
        <w:spacing w:after="0"/>
        <w:tabs>
          <w:tab w:leader="none" w:pos="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40" w:lineRule="exact"/>
        <w:rPr>
          <w:rFonts w:ascii="Times New Roman" w:cs="Times New Roman" w:eastAsia="Times New Roman" w:hAnsi="Times New Roman"/>
          <w:sz w:val="18"/>
          <w:szCs w:val="18"/>
          <w:color w:val="auto"/>
        </w:rPr>
      </w:pPr>
    </w:p>
    <w:p>
      <w:pPr>
        <w:ind w:left="640" w:hanging="635"/>
        <w:spacing w:after="0" w:line="268" w:lineRule="auto"/>
        <w:tabs>
          <w:tab w:leader="none" w:pos="43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Operating Partnership.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Holliday</w:t>
            </w: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Holliday</w:t>
            </w:r>
          </w:p>
        </w:tc>
      </w:tr>
      <w:tr>
        <w:trPr>
          <w:trHeight w:val="22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4"/>
        </w:trPr>
        <w:tc>
          <w:tcPr>
            <w:tcW w:w="9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SL Green Realty Corp., the</w:t>
            </w:r>
          </w:p>
        </w:tc>
      </w:tr>
      <w:tr>
        <w:trPr>
          <w:trHeight w:val="228"/>
        </w:trPr>
        <w:tc>
          <w:tcPr>
            <w:tcW w:w="9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 of the Operating Partnership</w:t>
            </w:r>
          </w:p>
        </w:tc>
      </w:tr>
      <w:tr>
        <w:trPr>
          <w:trHeight w:val="44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May 1, 2025</w:t>
            </w:r>
          </w:p>
        </w:tc>
        <w:tc>
          <w:tcPr>
            <w:tcW w:w="4520" w:type="dxa"/>
            <w:vAlign w:val="bottom"/>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connection with the Quarterly Report of SL Green Operating Partnership, L.P. (the “Operating Partnership”) on Form 10-Q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spacing w:after="0" w:line="172" w:lineRule="exact"/>
        <w:rPr>
          <w:sz w:val="20"/>
          <w:szCs w:val="20"/>
          <w:color w:val="auto"/>
        </w:rPr>
      </w:pPr>
    </w:p>
    <w:p>
      <w:pPr>
        <w:ind w:left="300" w:hanging="295"/>
        <w:spacing w:after="0"/>
        <w:tabs>
          <w:tab w:leader="none" w:pos="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40" w:lineRule="exact"/>
        <w:rPr>
          <w:rFonts w:ascii="Times New Roman" w:cs="Times New Roman" w:eastAsia="Times New Roman" w:hAnsi="Times New Roman"/>
          <w:sz w:val="18"/>
          <w:szCs w:val="18"/>
          <w:color w:val="auto"/>
        </w:rPr>
      </w:pPr>
    </w:p>
    <w:p>
      <w:pPr>
        <w:ind w:left="640" w:hanging="635"/>
        <w:spacing w:after="0" w:line="268" w:lineRule="auto"/>
        <w:tabs>
          <w:tab w:leader="none" w:pos="43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Operating Partnership.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2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4"/>
        </w:trPr>
        <w:tc>
          <w:tcPr>
            <w:tcW w:w="9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SL Green Realty Corp., the</w:t>
            </w:r>
          </w:p>
        </w:tc>
      </w:tr>
      <w:tr>
        <w:trPr>
          <w:trHeight w:val="228"/>
        </w:trPr>
        <w:tc>
          <w:tcPr>
            <w:tcW w:w="9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 of the Operating Partnership</w:t>
            </w:r>
          </w:p>
        </w:tc>
      </w:tr>
      <w:tr>
        <w:trPr>
          <w:trHeight w:val="44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May 1, 2025</w:t>
            </w:r>
          </w:p>
        </w:tc>
        <w:tc>
          <w:tcPr>
            <w:tcW w:w="4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lvl w:ilvl="1">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2"/>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3"/>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4"/>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2"/>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9"/>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0"/>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2"/>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9"/>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lowerRoman"/>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01"/>
    </w:lvl>
  </w:abstractNum>
  <w:abstractNum w:abstractNumId="44">
    <w:nsid w:val="684A481A"/>
    <w:multiLevelType w:val="hybridMultilevel"/>
    <w:lvl w:ilvl="0">
      <w:lvlJc w:val="left"/>
      <w:lvlText w:val="%1"/>
      <w:numFmt w:val="decimal"/>
      <w:start w:val="104"/>
    </w:lvl>
  </w:abstractNum>
  <w:abstractNum w:abstractNumId="45">
    <w:nsid w:val="579478FE"/>
    <w:multiLevelType w:val="hybridMultilevel"/>
    <w:lvl w:ilvl="0">
      <w:lvlJc w:val="left"/>
      <w:lvlText w:val="%1."/>
      <w:numFmt w:val="decimal"/>
      <w:start w:val="1"/>
    </w:lvl>
    <w:lvl w:ilvl="1">
      <w:lvlJc w:val="left"/>
      <w:lvlText w:val="(%2)"/>
      <w:numFmt w:val="lowerLetter"/>
      <w:start w:val="1"/>
    </w:lvl>
  </w:abstractNum>
  <w:abstractNum w:abstractNumId="46">
    <w:nsid w:val="749ABB43"/>
    <w:multiLevelType w:val="hybridMultilevel"/>
    <w:lvl w:ilvl="0">
      <w:lvlJc w:val="left"/>
      <w:lvlText w:val="%1."/>
      <w:numFmt w:val="decimal"/>
      <w:start w:val="1"/>
    </w:lvl>
    <w:lvl w:ilvl="1">
      <w:lvlJc w:val="left"/>
      <w:lvlText w:val="(%2)"/>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2025-05-01T08:26:41Z</dcterms:created>
  <dcterms:modified xsi:type="dcterms:W3CDTF">2025-05-01T08:26:41Z</dcterms:modified>
</cp:coreProperties>
</file>