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60" w:lineRule="exact"/>
        <w:rPr>
          <w:sz w:val="24"/>
          <w:szCs w:val="24"/>
          <w:color w:val="auto"/>
        </w:rPr>
      </w:pPr>
    </w:p>
    <w:p>
      <w:pPr>
        <w:spacing w:after="0" w:line="242" w:lineRule="exact"/>
        <w:tabs>
          <w:tab w:leader="none" w:pos="320" w:val="left"/>
          <w:tab w:leader="none" w:pos="7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09"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ind w:left="540" w:hanging="460"/>
        <w:spacing w:after="0" w:line="181" w:lineRule="auto"/>
        <w:tabs>
          <w:tab w:leader="none" w:pos="540"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14"/>
          <w:szCs w:val="14"/>
          <w:color w:val="auto"/>
        </w:rPr>
        <w:t>Preliminary Proxy Statement</w:t>
      </w:r>
    </w:p>
    <w:p>
      <w:pPr>
        <w:spacing w:after="0" w:line="60" w:lineRule="exact"/>
        <w:rPr>
          <w:rFonts w:ascii="MS PGothic" w:cs="MS PGothic" w:eastAsia="MS PGothic" w:hAnsi="MS PGothic"/>
          <w:sz w:val="29"/>
          <w:szCs w:val="29"/>
          <w:color w:val="auto"/>
          <w:vertAlign w:val="subscript"/>
        </w:rPr>
      </w:pPr>
    </w:p>
    <w:p>
      <w:pPr>
        <w:ind w:left="540" w:hanging="460"/>
        <w:spacing w:after="0" w:line="180" w:lineRule="auto"/>
        <w:tabs>
          <w:tab w:leader="none" w:pos="5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Confidential, For Use of the Commission Only (as permitted by Rule 14a-6(e)(2))</w:t>
      </w:r>
    </w:p>
    <w:p>
      <w:pPr>
        <w:ind w:left="540" w:hanging="460"/>
        <w:spacing w:after="0" w:line="180" w:lineRule="auto"/>
        <w:tabs>
          <w:tab w:leader="none" w:pos="54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6"/>
          <w:szCs w:val="16"/>
          <w:color w:val="auto"/>
        </w:rPr>
        <w:t>Definitive Proxy Statement</w:t>
      </w:r>
    </w:p>
    <w:p>
      <w:pPr>
        <w:ind w:left="540" w:hanging="460"/>
        <w:spacing w:after="0" w:line="180" w:lineRule="auto"/>
        <w:tabs>
          <w:tab w:leader="none" w:pos="540" w:val="left"/>
        </w:tabs>
        <w:numPr>
          <w:ilvl w:val="0"/>
          <w:numId w:val="3"/>
        </w:numPr>
        <w:rPr>
          <w:rFonts w:ascii="MS PGothic" w:cs="MS PGothic" w:eastAsia="MS PGothic" w:hAnsi="MS PGothic"/>
          <w:sz w:val="36"/>
          <w:szCs w:val="36"/>
          <w:color w:val="auto"/>
          <w:vertAlign w:val="subscript"/>
        </w:rPr>
      </w:pPr>
      <w:r>
        <w:rPr>
          <w:rFonts w:ascii="Arial" w:cs="Arial" w:eastAsia="Arial" w:hAnsi="Arial"/>
          <w:sz w:val="16"/>
          <w:szCs w:val="16"/>
          <w:color w:val="auto"/>
        </w:rPr>
        <w:t>Definitive Additional Materials</w:t>
      </w:r>
    </w:p>
    <w:p>
      <w:pPr>
        <w:spacing w:after="0" w:line="60" w:lineRule="exact"/>
        <w:rPr>
          <w:rFonts w:ascii="MS PGothic" w:cs="MS PGothic" w:eastAsia="MS PGothic" w:hAnsi="MS PGothic"/>
          <w:sz w:val="36"/>
          <w:szCs w:val="36"/>
          <w:color w:val="auto"/>
          <w:vertAlign w:val="subscript"/>
        </w:rPr>
      </w:pPr>
    </w:p>
    <w:p>
      <w:pPr>
        <w:ind w:left="540" w:hanging="460"/>
        <w:spacing w:after="0" w:line="180" w:lineRule="auto"/>
        <w:tabs>
          <w:tab w:leader="none" w:pos="540" w:val="left"/>
        </w:tabs>
        <w:numPr>
          <w:ilvl w:val="0"/>
          <w:numId w:val="3"/>
        </w:numPr>
        <w:rPr>
          <w:rFonts w:ascii="MS PGothic" w:cs="MS PGothic" w:eastAsia="MS PGothic" w:hAnsi="MS PGothic"/>
          <w:sz w:val="28"/>
          <w:szCs w:val="28"/>
          <w:color w:val="auto"/>
          <w:vertAlign w:val="subscript"/>
        </w:rPr>
      </w:pPr>
      <w:r>
        <w:rPr>
          <w:rFonts w:ascii="Arial" w:cs="Arial" w:eastAsia="Arial" w:hAnsi="Arial"/>
          <w:sz w:val="14"/>
          <w:szCs w:val="14"/>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173355</wp:posOffset>
            </wp:positionV>
            <wp:extent cx="1285875" cy="368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SL Green Realty Corp.</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19"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22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22755"/>
                    </a:xfrm>
                    <a:prstGeom prst="rect">
                      <a:avLst/>
                    </a:prstGeom>
                    <a:noFill/>
                  </pic:spPr>
                </pic:pic>
              </a:graphicData>
            </a:graphic>
          </wp:anchor>
        </w:drawing>
      </w:r>
    </w:p>
    <w:p>
      <w:pPr>
        <w:ind w:left="540" w:hanging="460"/>
        <w:spacing w:after="0" w:line="181" w:lineRule="auto"/>
        <w:tabs>
          <w:tab w:leader="none" w:pos="540" w:val="left"/>
        </w:tabs>
        <w:numPr>
          <w:ilvl w:val="0"/>
          <w:numId w:val="4"/>
        </w:numPr>
        <w:rPr>
          <w:rFonts w:ascii="MS PGothic" w:cs="MS PGothic" w:eastAsia="MS PGothic" w:hAnsi="MS PGothic"/>
          <w:sz w:val="29"/>
          <w:szCs w:val="29"/>
          <w:color w:val="auto"/>
          <w:vertAlign w:val="subscript"/>
        </w:rPr>
      </w:pPr>
      <w:r>
        <w:rPr>
          <w:rFonts w:ascii="Arial" w:cs="Arial" w:eastAsia="Arial" w:hAnsi="Arial"/>
          <w:sz w:val="14"/>
          <w:szCs w:val="14"/>
          <w:color w:val="auto"/>
        </w:rPr>
        <w:t>No fee required.</w:t>
      </w:r>
    </w:p>
    <w:p>
      <w:pPr>
        <w:ind w:left="540" w:hanging="460"/>
        <w:spacing w:after="0" w:line="180" w:lineRule="auto"/>
        <w:tabs>
          <w:tab w:leader="none" w:pos="540" w:val="left"/>
        </w:tabs>
        <w:numPr>
          <w:ilvl w:val="0"/>
          <w:numId w:val="5"/>
        </w:numPr>
        <w:rPr>
          <w:rFonts w:ascii="MS PGothic" w:cs="MS PGothic" w:eastAsia="MS PGothic" w:hAnsi="MS PGothic"/>
          <w:sz w:val="36"/>
          <w:szCs w:val="36"/>
          <w:color w:val="auto"/>
          <w:vertAlign w:val="subscript"/>
        </w:rPr>
      </w:pPr>
      <w:r>
        <w:rPr>
          <w:rFonts w:ascii="Arial" w:cs="Arial" w:eastAsia="Arial" w:hAnsi="Arial"/>
          <w:sz w:val="16"/>
          <w:szCs w:val="16"/>
          <w:color w:val="auto"/>
        </w:rPr>
        <w:t>Fee computed on table below per Exchange Act Rules 14a-6(i)(1) and 0-11.</w:t>
      </w:r>
    </w:p>
    <w:p>
      <w:pPr>
        <w:spacing w:after="0" w:line="42" w:lineRule="exact"/>
        <w:rPr>
          <w:rFonts w:ascii="MS PGothic" w:cs="MS PGothic" w:eastAsia="MS PGothic" w:hAnsi="MS PGothic"/>
          <w:sz w:val="36"/>
          <w:szCs w:val="36"/>
          <w:color w:val="auto"/>
          <w:vertAlign w:val="subscript"/>
        </w:rPr>
      </w:pP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hanging="4"/>
        <w:spacing w:after="0" w:line="238" w:lineRule="auto"/>
        <w:tabs>
          <w:tab w:leader="none" w:pos="857" w:val="left"/>
        </w:tabs>
        <w:numPr>
          <w:ilvl w:val="1"/>
          <w:numId w:val="5"/>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2" w:lineRule="exact"/>
        <w:rPr>
          <w:rFonts w:ascii="Arial" w:cs="Arial" w:eastAsia="Arial" w:hAnsi="Arial"/>
          <w:sz w:val="13"/>
          <w:szCs w:val="13"/>
          <w:color w:val="auto"/>
        </w:rPr>
      </w:pPr>
    </w:p>
    <w:p>
      <w:pPr>
        <w:ind w:left="540" w:hanging="460"/>
        <w:spacing w:after="0" w:line="183" w:lineRule="auto"/>
        <w:tabs>
          <w:tab w:leader="none" w:pos="540" w:val="left"/>
        </w:tabs>
        <w:numPr>
          <w:ilvl w:val="0"/>
          <w:numId w:val="5"/>
        </w:numPr>
        <w:rPr>
          <w:rFonts w:ascii="MS PGothic" w:cs="MS PGothic" w:eastAsia="MS PGothic" w:hAnsi="MS PGothic"/>
          <w:sz w:val="28"/>
          <w:szCs w:val="28"/>
          <w:color w:val="auto"/>
          <w:vertAlign w:val="subscript"/>
        </w:rPr>
      </w:pPr>
      <w:r>
        <w:rPr>
          <w:rFonts w:ascii="Arial" w:cs="Arial" w:eastAsia="Arial" w:hAnsi="Arial"/>
          <w:sz w:val="14"/>
          <w:szCs w:val="14"/>
          <w:color w:val="auto"/>
        </w:rPr>
        <w:t>Fee paid previously with preliminary materials:</w:t>
      </w:r>
    </w:p>
    <w:p>
      <w:pPr>
        <w:spacing w:after="0" w:line="60" w:lineRule="exact"/>
        <w:rPr>
          <w:rFonts w:ascii="MS PGothic" w:cs="MS PGothic" w:eastAsia="MS PGothic" w:hAnsi="MS PGothic"/>
          <w:sz w:val="28"/>
          <w:szCs w:val="28"/>
          <w:color w:val="auto"/>
          <w:vertAlign w:val="subscript"/>
        </w:rPr>
      </w:pPr>
    </w:p>
    <w:p>
      <w:pPr>
        <w:ind w:left="540" w:right="300" w:hanging="460"/>
        <w:spacing w:after="0" w:line="184" w:lineRule="auto"/>
        <w:tabs>
          <w:tab w:leader="none" w:pos="540" w:val="left"/>
        </w:tabs>
        <w:numPr>
          <w:ilvl w:val="0"/>
          <w:numId w:val="5"/>
        </w:numPr>
        <w:rPr>
          <w:rFonts w:ascii="MS PGothic" w:cs="MS PGothic" w:eastAsia="MS PGothic" w:hAnsi="MS PGothic"/>
          <w:sz w:val="35"/>
          <w:szCs w:val="35"/>
          <w:color w:val="auto"/>
          <w:vertAlign w:val="subscript"/>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1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53275" cy="8197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819721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2021 PROXY STATEMENT HIGHLIGHTS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0" w:type="dxa"/>
            <w:vAlign w:val="bottom"/>
          </w:tcPr>
          <w:p>
            <w:pPr>
              <w:spacing w:after="0"/>
              <w:rPr>
                <w:sz w:val="21"/>
                <w:szCs w:val="21"/>
                <w:color w:val="auto"/>
              </w:rPr>
            </w:pPr>
          </w:p>
        </w:tc>
        <w:tc>
          <w:tcPr>
            <w:tcW w:w="4020" w:type="dxa"/>
            <w:vAlign w:val="bottom"/>
          </w:tcPr>
          <w:p>
            <w:pPr>
              <w:ind w:left="640"/>
              <w:spacing w:after="0"/>
              <w:rPr>
                <w:sz w:val="20"/>
                <w:szCs w:val="20"/>
                <w:color w:val="auto"/>
              </w:rPr>
            </w:pPr>
            <w:r>
              <w:rPr>
                <w:rFonts w:ascii="Arial" w:cs="Arial" w:eastAsia="Arial" w:hAnsi="Arial"/>
                <w:sz w:val="20"/>
                <w:szCs w:val="20"/>
                <w:b w:val="1"/>
                <w:bCs w:val="1"/>
                <w:color w:val="355A89"/>
              </w:rPr>
              <w:t>Date &amp; Time</w:t>
            </w:r>
          </w:p>
        </w:tc>
        <w:tc>
          <w:tcPr>
            <w:tcW w:w="4660" w:type="dxa"/>
            <w:vAlign w:val="bottom"/>
          </w:tcPr>
          <w:p>
            <w:pPr>
              <w:ind w:left="20"/>
              <w:spacing w:after="0"/>
              <w:rPr>
                <w:sz w:val="20"/>
                <w:szCs w:val="20"/>
                <w:color w:val="auto"/>
              </w:rPr>
            </w:pPr>
            <w:r>
              <w:rPr>
                <w:rFonts w:ascii="Arial" w:cs="Arial" w:eastAsia="Arial" w:hAnsi="Arial"/>
                <w:sz w:val="20"/>
                <w:szCs w:val="20"/>
                <w:b w:val="1"/>
                <w:bCs w:val="1"/>
                <w:color w:val="355A89"/>
              </w:rPr>
              <w:t>Virtual-Only Location</w:t>
            </w:r>
          </w:p>
        </w:tc>
        <w:tc>
          <w:tcPr>
            <w:tcW w:w="1860" w:type="dxa"/>
            <w:vAlign w:val="bottom"/>
            <w:gridSpan w:val="3"/>
          </w:tcPr>
          <w:p>
            <w:pPr>
              <w:spacing w:after="0"/>
              <w:rPr>
                <w:sz w:val="20"/>
                <w:szCs w:val="20"/>
                <w:color w:val="auto"/>
              </w:rPr>
            </w:pPr>
            <w:r>
              <w:rPr>
                <w:rFonts w:ascii="Arial" w:cs="Arial" w:eastAsia="Arial" w:hAnsi="Arial"/>
                <w:sz w:val="20"/>
                <w:szCs w:val="20"/>
                <w:b w:val="1"/>
                <w:bCs w:val="1"/>
                <w:color w:val="355A89"/>
              </w:rPr>
              <w:t>Record Date</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020" w:type="dxa"/>
            <w:vAlign w:val="bottom"/>
          </w:tcPr>
          <w:p>
            <w:pPr>
              <w:ind w:left="640"/>
              <w:spacing w:after="0" w:line="202" w:lineRule="exact"/>
              <w:rPr>
                <w:sz w:val="20"/>
                <w:szCs w:val="20"/>
                <w:color w:val="auto"/>
              </w:rPr>
            </w:pPr>
            <w:r>
              <w:rPr>
                <w:rFonts w:ascii="Arial" w:cs="Arial" w:eastAsia="Arial" w:hAnsi="Arial"/>
                <w:sz w:val="18"/>
                <w:szCs w:val="18"/>
                <w:color w:val="auto"/>
              </w:rPr>
              <w:t>June 8, 2021</w:t>
            </w:r>
          </w:p>
        </w:tc>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www.virtualshareholdermeeting.com/SLG2021</w:t>
            </w:r>
          </w:p>
        </w:tc>
        <w:tc>
          <w:tcPr>
            <w:tcW w:w="1860" w:type="dxa"/>
            <w:vAlign w:val="bottom"/>
            <w:gridSpan w:val="3"/>
          </w:tcPr>
          <w:p>
            <w:pPr>
              <w:spacing w:after="0" w:line="202" w:lineRule="exact"/>
              <w:rPr>
                <w:sz w:val="20"/>
                <w:szCs w:val="20"/>
                <w:color w:val="auto"/>
              </w:rPr>
            </w:pPr>
            <w:r>
              <w:rPr>
                <w:rFonts w:ascii="Arial" w:cs="Arial" w:eastAsia="Arial" w:hAnsi="Arial"/>
                <w:sz w:val="18"/>
                <w:szCs w:val="18"/>
                <w:color w:val="auto"/>
              </w:rPr>
              <w:t>March 31, 2021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at 12:00 p.m., Eastern Time</w:t>
            </w: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3"/>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25"/>
                <w:szCs w:val="25"/>
                <w:b w:val="1"/>
                <w:bCs w:val="1"/>
                <w:color w:val="auto"/>
              </w:rPr>
              <w:t>Roadmap of Voting Matters</w:t>
            </w:r>
          </w:p>
        </w:tc>
        <w:tc>
          <w:tcPr>
            <w:tcW w:w="4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140" w:type="dxa"/>
            <w:vAlign w:val="bottom"/>
            <w:gridSpan w:val="2"/>
          </w:tcPr>
          <w:p>
            <w:pPr>
              <w:spacing w:after="0"/>
              <w:rPr>
                <w:sz w:val="20"/>
                <w:szCs w:val="20"/>
                <w:color w:val="auto"/>
              </w:rPr>
            </w:pPr>
            <w:r>
              <w:rPr>
                <w:rFonts w:ascii="Arial" w:cs="Arial" w:eastAsia="Arial" w:hAnsi="Arial"/>
                <w:sz w:val="18"/>
                <w:szCs w:val="18"/>
                <w:color w:val="auto"/>
                <w:w w:val="97"/>
              </w:rPr>
              <w:t>You are being asked to vote on the following matters:</w:t>
            </w: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7"/>
        </w:trPr>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3"/>
                <w:szCs w:val="13"/>
                <w:b w:val="1"/>
                <w:bCs w:val="1"/>
                <w:color w:val="355A89"/>
              </w:rPr>
              <w:t>Board</w:t>
            </w:r>
          </w:p>
        </w:tc>
        <w:tc>
          <w:tcPr>
            <w:tcW w:w="920" w:type="dxa"/>
            <w:vAlign w:val="bottom"/>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Arial" w:cs="Arial" w:eastAsia="Arial" w:hAnsi="Arial"/>
                <w:sz w:val="13"/>
                <w:szCs w:val="13"/>
                <w:b w:val="1"/>
                <w:bCs w:val="1"/>
                <w:color w:val="355A89"/>
              </w:rPr>
              <w:t>See</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020" w:type="dxa"/>
            <w:vAlign w:val="bottom"/>
          </w:tcPr>
          <w:p>
            <w:pPr>
              <w:ind w:left="260"/>
              <w:spacing w:after="0"/>
              <w:rPr>
                <w:sz w:val="20"/>
                <w:szCs w:val="20"/>
                <w:color w:val="auto"/>
              </w:rPr>
            </w:pPr>
            <w:r>
              <w:rPr>
                <w:rFonts w:ascii="Arial" w:cs="Arial" w:eastAsia="Arial" w:hAnsi="Arial"/>
                <w:sz w:val="13"/>
                <w:szCs w:val="13"/>
                <w:b w:val="1"/>
                <w:bCs w:val="1"/>
                <w:color w:val="355A89"/>
              </w:rPr>
              <w:t>Proposal</w:t>
            </w:r>
          </w:p>
        </w:tc>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200"/>
              <w:spacing w:after="0"/>
              <w:rPr>
                <w:sz w:val="20"/>
                <w:szCs w:val="20"/>
                <w:color w:val="auto"/>
              </w:rPr>
            </w:pPr>
            <w:r>
              <w:rPr>
                <w:rFonts w:ascii="Arial" w:cs="Arial" w:eastAsia="Arial" w:hAnsi="Arial"/>
                <w:sz w:val="13"/>
                <w:szCs w:val="13"/>
                <w:b w:val="1"/>
                <w:bCs w:val="1"/>
                <w:color w:val="355A89"/>
              </w:rPr>
              <w:t>Recommendation</w:t>
            </w:r>
          </w:p>
        </w:tc>
        <w:tc>
          <w:tcPr>
            <w:tcW w:w="580" w:type="dxa"/>
            <w:vAlign w:val="bottom"/>
            <w:gridSpan w:val="2"/>
          </w:tcPr>
          <w:p>
            <w:pPr>
              <w:ind w:left="140"/>
              <w:spacing w:after="0"/>
              <w:rPr>
                <w:sz w:val="20"/>
                <w:szCs w:val="20"/>
                <w:color w:val="auto"/>
              </w:rPr>
            </w:pPr>
            <w:r>
              <w:rPr>
                <w:rFonts w:ascii="Arial" w:cs="Arial" w:eastAsia="Arial" w:hAnsi="Arial"/>
                <w:sz w:val="13"/>
                <w:szCs w:val="13"/>
                <w:b w:val="1"/>
                <w:bCs w:val="1"/>
                <w:color w:val="355A89"/>
              </w:rPr>
              <w:t>Page</w:t>
            </w: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4020" w:type="dxa"/>
            <w:vAlign w:val="bottom"/>
            <w:tcBorders>
              <w:top w:val="single" w:sz="8" w:color="355989"/>
            </w:tcBorders>
          </w:tcPr>
          <w:p>
            <w:pPr>
              <w:spacing w:after="0"/>
              <w:rPr>
                <w:sz w:val="20"/>
                <w:szCs w:val="20"/>
                <w:color w:val="auto"/>
              </w:rPr>
            </w:pPr>
            <w:r>
              <w:rPr>
                <w:rFonts w:ascii="Arial" w:cs="Arial" w:eastAsia="Arial" w:hAnsi="Arial"/>
                <w:sz w:val="20"/>
                <w:szCs w:val="20"/>
                <w:b w:val="1"/>
                <w:bCs w:val="1"/>
                <w:color w:val="355A89"/>
              </w:rPr>
              <w:t>1  Election of Directors</w:t>
            </w:r>
          </w:p>
        </w:tc>
        <w:tc>
          <w:tcPr>
            <w:tcW w:w="4660" w:type="dxa"/>
            <w:vAlign w:val="bottom"/>
            <w:tcBorders>
              <w:top w:val="single" w:sz="8" w:color="355989"/>
            </w:tcBorders>
          </w:tcPr>
          <w:p>
            <w:pPr>
              <w:spacing w:after="0"/>
              <w:rPr>
                <w:sz w:val="22"/>
                <w:szCs w:val="22"/>
                <w:color w:val="auto"/>
              </w:rPr>
            </w:pPr>
          </w:p>
        </w:tc>
        <w:tc>
          <w:tcPr>
            <w:tcW w:w="260" w:type="dxa"/>
            <w:vAlign w:val="bottom"/>
            <w:tcBorders>
              <w:top w:val="single" w:sz="8" w:color="355989"/>
            </w:tcBorders>
          </w:tcPr>
          <w:p>
            <w:pPr>
              <w:spacing w:after="0"/>
              <w:rPr>
                <w:sz w:val="22"/>
                <w:szCs w:val="22"/>
                <w:color w:val="auto"/>
              </w:rPr>
            </w:pPr>
          </w:p>
        </w:tc>
        <w:tc>
          <w:tcPr>
            <w:tcW w:w="680" w:type="dxa"/>
            <w:vAlign w:val="bottom"/>
            <w:tcBorders>
              <w:top w:val="single" w:sz="8" w:color="355989"/>
            </w:tcBorders>
            <w:vMerge w:val="restart"/>
          </w:tcPr>
          <w:p>
            <w:pPr>
              <w:ind w:left="200"/>
              <w:spacing w:after="0" w:line="221" w:lineRule="exact"/>
              <w:rPr>
                <w:sz w:val="20"/>
                <w:szCs w:val="20"/>
                <w:color w:val="auto"/>
              </w:rPr>
            </w:pPr>
            <w:r>
              <w:rPr>
                <w:rFonts w:ascii="MS PGothic" w:cs="MS PGothic" w:eastAsia="MS PGothic" w:hAnsi="MS PGothic"/>
                <w:sz w:val="22"/>
                <w:szCs w:val="22"/>
                <w:color w:val="auto"/>
                <w:shd w:val="clear" w:color="auto" w:fill="355A89"/>
              </w:rPr>
              <w:t>✓</w:t>
            </w:r>
          </w:p>
        </w:tc>
        <w:tc>
          <w:tcPr>
            <w:tcW w:w="920" w:type="dxa"/>
            <w:vAlign w:val="bottom"/>
            <w:tcBorders>
              <w:top w:val="single" w:sz="8" w:color="355989"/>
            </w:tcBorders>
            <w:vMerge w:val="restart"/>
          </w:tcPr>
          <w:p>
            <w:pPr>
              <w:ind w:left="80"/>
              <w:spacing w:after="0"/>
              <w:rPr>
                <w:sz w:val="20"/>
                <w:szCs w:val="20"/>
                <w:color w:val="auto"/>
              </w:rPr>
            </w:pPr>
            <w:r>
              <w:rPr>
                <w:rFonts w:ascii="Arial" w:cs="Arial" w:eastAsia="Arial" w:hAnsi="Arial"/>
                <w:sz w:val="18"/>
                <w:szCs w:val="18"/>
                <w:b w:val="1"/>
                <w:bCs w:val="1"/>
                <w:color w:val="355A89"/>
              </w:rPr>
              <w:t>FOR</w:t>
            </w:r>
          </w:p>
        </w:tc>
        <w:tc>
          <w:tcPr>
            <w:tcW w:w="480" w:type="dxa"/>
            <w:vAlign w:val="bottom"/>
            <w:tcBorders>
              <w:top w:val="single" w:sz="8" w:color="355989"/>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8680" w:type="dxa"/>
            <w:vAlign w:val="bottom"/>
            <w:gridSpan w:val="2"/>
          </w:tcPr>
          <w:p>
            <w:pPr>
              <w:ind w:left="260"/>
              <w:spacing w:after="0"/>
              <w:rPr>
                <w:sz w:val="20"/>
                <w:szCs w:val="20"/>
                <w:color w:val="auto"/>
              </w:rPr>
            </w:pPr>
            <w:r>
              <w:rPr>
                <w:rFonts w:ascii="Arial" w:cs="Arial" w:eastAsia="Arial" w:hAnsi="Arial"/>
                <w:sz w:val="18"/>
                <w:szCs w:val="18"/>
                <w:color w:val="auto"/>
                <w:w w:val="96"/>
              </w:rPr>
              <w:t>The Board unanimously recommends a vote for each of John H. Alschuler, Betsy Atkins, Edwin T. Burton, III,</w:t>
            </w: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940" w:type="dxa"/>
            <w:vAlign w:val="bottom"/>
            <w:gridSpan w:val="3"/>
          </w:tcPr>
          <w:p>
            <w:pPr>
              <w:ind w:left="260"/>
              <w:spacing w:after="0" w:line="202" w:lineRule="exact"/>
              <w:rPr>
                <w:sz w:val="20"/>
                <w:szCs w:val="20"/>
                <w:color w:val="auto"/>
              </w:rPr>
            </w:pPr>
            <w:r>
              <w:rPr>
                <w:rFonts w:ascii="Arial" w:cs="Arial" w:eastAsia="Arial" w:hAnsi="Arial"/>
                <w:sz w:val="18"/>
                <w:szCs w:val="18"/>
                <w:color w:val="auto"/>
                <w:w w:val="98"/>
              </w:rPr>
              <w:t>Lauren B. Dillard, Stephen L. Green, Craig M. Hatkoff, Marc Holliday, John S. Levy and Andrew W. Mathias to</w:t>
            </w:r>
          </w:p>
        </w:tc>
        <w:tc>
          <w:tcPr>
            <w:tcW w:w="680" w:type="dxa"/>
            <w:vAlign w:val="bottom"/>
          </w:tcPr>
          <w:p>
            <w:pPr>
              <w:spacing w:after="0"/>
              <w:rPr>
                <w:sz w:val="17"/>
                <w:szCs w:val="17"/>
                <w:color w:val="auto"/>
              </w:rPr>
            </w:pPr>
          </w:p>
        </w:tc>
        <w:tc>
          <w:tcPr>
            <w:tcW w:w="920" w:type="dxa"/>
            <w:vAlign w:val="bottom"/>
          </w:tcPr>
          <w:p>
            <w:pPr>
              <w:ind w:left="80"/>
              <w:spacing w:after="0" w:line="202" w:lineRule="exact"/>
              <w:rPr>
                <w:sz w:val="20"/>
                <w:szCs w:val="20"/>
                <w:color w:val="auto"/>
              </w:rPr>
            </w:pPr>
            <w:r>
              <w:rPr>
                <w:rFonts w:ascii="Arial" w:cs="Arial" w:eastAsia="Arial" w:hAnsi="Arial"/>
                <w:sz w:val="18"/>
                <w:szCs w:val="18"/>
                <w:color w:val="auto"/>
              </w:rPr>
              <w:t>Each</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68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8"/>
              </w:rPr>
              <w:t>serve as directors until the 2022 annual meeting of stockholders and until their successors are duly elected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ind w:left="80"/>
              <w:spacing w:after="0" w:line="202" w:lineRule="exact"/>
              <w:rPr>
                <w:sz w:val="20"/>
                <w:szCs w:val="20"/>
                <w:color w:val="auto"/>
              </w:rPr>
            </w:pPr>
            <w:r>
              <w:rPr>
                <w:rFonts w:ascii="Arial" w:cs="Arial" w:eastAsia="Arial" w:hAnsi="Arial"/>
                <w:sz w:val="18"/>
                <w:szCs w:val="18"/>
                <w:color w:val="auto"/>
              </w:rPr>
              <w:t>Nominee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and qualify.</w:t>
            </w: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0"/>
                <w:szCs w:val="20"/>
                <w:b w:val="1"/>
                <w:bCs w:val="1"/>
                <w:color w:val="355A89"/>
              </w:rPr>
              <w:t>2  Advisory Approval of Executive Compensation</w:t>
            </w:r>
          </w:p>
        </w:tc>
        <w:tc>
          <w:tcPr>
            <w:tcW w:w="260" w:type="dxa"/>
            <w:vAlign w:val="bottom"/>
          </w:tcPr>
          <w:p>
            <w:pPr>
              <w:spacing w:after="0"/>
              <w:rPr>
                <w:sz w:val="24"/>
                <w:szCs w:val="24"/>
                <w:color w:val="auto"/>
              </w:rPr>
            </w:pPr>
          </w:p>
        </w:tc>
        <w:tc>
          <w:tcPr>
            <w:tcW w:w="68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shd w:val="clear" w:color="auto" w:fill="355A89"/>
              </w:rPr>
              <w:t>✓</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8680" w:type="dxa"/>
            <w:vAlign w:val="bottom"/>
            <w:gridSpan w:val="2"/>
          </w:tcPr>
          <w:p>
            <w:pPr>
              <w:ind w:left="260"/>
              <w:spacing w:after="0"/>
              <w:rPr>
                <w:sz w:val="20"/>
                <w:szCs w:val="20"/>
                <w:color w:val="auto"/>
              </w:rPr>
            </w:pPr>
            <w:r>
              <w:rPr>
                <w:rFonts w:ascii="Arial" w:cs="Arial" w:eastAsia="Arial" w:hAnsi="Arial"/>
                <w:sz w:val="18"/>
                <w:szCs w:val="18"/>
                <w:color w:val="auto"/>
              </w:rPr>
              <w:t>The Company seeks non-binding stockholder approval of the compensation of the Company’s named</w:t>
            </w:r>
          </w:p>
        </w:tc>
        <w:tc>
          <w:tcPr>
            <w:tcW w:w="26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920" w:type="dxa"/>
            <w:vAlign w:val="bottom"/>
          </w:tcPr>
          <w:p>
            <w:pPr>
              <w:ind w:left="80"/>
              <w:spacing w:after="0"/>
              <w:rPr>
                <w:sz w:val="20"/>
                <w:szCs w:val="20"/>
                <w:color w:val="auto"/>
              </w:rPr>
            </w:pPr>
            <w:r>
              <w:rPr>
                <w:rFonts w:ascii="Arial" w:cs="Arial" w:eastAsia="Arial" w:hAnsi="Arial"/>
                <w:sz w:val="18"/>
                <w:szCs w:val="18"/>
                <w:b w:val="1"/>
                <w:bCs w:val="1"/>
                <w:color w:val="355A89"/>
              </w:rPr>
              <w:t>FOR</w:t>
            </w:r>
          </w:p>
        </w:tc>
        <w:tc>
          <w:tcPr>
            <w:tcW w:w="480" w:type="dxa"/>
            <w:vAlign w:val="bottom"/>
          </w:tcPr>
          <w:p>
            <w:pPr>
              <w:ind w:lef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6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executive officers, as described in the Compensation Discussion and Analysis section and compensation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4020" w:type="dxa"/>
            <w:vAlign w:val="bottom"/>
          </w:tcPr>
          <w:p>
            <w:pPr>
              <w:ind w:left="260"/>
              <w:spacing w:after="0"/>
              <w:rPr>
                <w:sz w:val="20"/>
                <w:szCs w:val="20"/>
                <w:color w:val="auto"/>
              </w:rPr>
            </w:pPr>
            <w:r>
              <w:rPr>
                <w:rFonts w:ascii="Arial" w:cs="Arial" w:eastAsia="Arial" w:hAnsi="Arial"/>
                <w:sz w:val="18"/>
                <w:szCs w:val="18"/>
                <w:color w:val="auto"/>
              </w:rPr>
              <w:t>tables included in this proxy statement.</w:t>
            </w: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0"/>
                <w:szCs w:val="20"/>
                <w:b w:val="1"/>
                <w:bCs w:val="1"/>
                <w:color w:val="355A89"/>
              </w:rPr>
              <w:t>3  Ratification of Independent Registered Public Accounting Firm</w:t>
            </w:r>
          </w:p>
        </w:tc>
        <w:tc>
          <w:tcPr>
            <w:tcW w:w="260" w:type="dxa"/>
            <w:vAlign w:val="bottom"/>
          </w:tcPr>
          <w:p>
            <w:pPr>
              <w:spacing w:after="0"/>
              <w:rPr>
                <w:sz w:val="24"/>
                <w:szCs w:val="24"/>
                <w:color w:val="auto"/>
              </w:rPr>
            </w:pPr>
          </w:p>
        </w:tc>
        <w:tc>
          <w:tcPr>
            <w:tcW w:w="68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shd w:val="clear" w:color="auto" w:fill="355A89"/>
              </w:rPr>
              <w:t>✓</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9"/>
              </w:rPr>
              <w:t>The Audit Committee and the Board believe that the continued appointment of Ernst &amp; Young LLP to serve as</w:t>
            </w:r>
          </w:p>
        </w:tc>
        <w:tc>
          <w:tcPr>
            <w:tcW w:w="680" w:type="dxa"/>
            <w:vAlign w:val="bottom"/>
            <w:vMerge w:val="continue"/>
          </w:tcPr>
          <w:p>
            <w:pPr>
              <w:spacing w:after="0"/>
              <w:rPr>
                <w:sz w:val="21"/>
                <w:szCs w:val="21"/>
                <w:color w:val="auto"/>
              </w:rPr>
            </w:pPr>
          </w:p>
        </w:tc>
        <w:tc>
          <w:tcPr>
            <w:tcW w:w="920" w:type="dxa"/>
            <w:vAlign w:val="bottom"/>
          </w:tcPr>
          <w:p>
            <w:pPr>
              <w:ind w:left="80"/>
              <w:spacing w:after="0"/>
              <w:rPr>
                <w:sz w:val="20"/>
                <w:szCs w:val="20"/>
                <w:color w:val="auto"/>
              </w:rPr>
            </w:pPr>
            <w:r>
              <w:rPr>
                <w:rFonts w:ascii="Arial" w:cs="Arial" w:eastAsia="Arial" w:hAnsi="Arial"/>
                <w:sz w:val="18"/>
                <w:szCs w:val="18"/>
                <w:b w:val="1"/>
                <w:bCs w:val="1"/>
                <w:color w:val="355A89"/>
              </w:rPr>
              <w:t>FOR</w:t>
            </w:r>
          </w:p>
        </w:tc>
        <w:tc>
          <w:tcPr>
            <w:tcW w:w="480" w:type="dxa"/>
            <w:vAlign w:val="bottom"/>
          </w:tcPr>
          <w:p>
            <w:pPr>
              <w:ind w:left="1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94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our independent registered public accounting firm for the fiscal year ending December 31, 2021 is in the best</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-2341880</wp:posOffset>
            </wp:positionV>
            <wp:extent cx="7132320" cy="2537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-3515995</wp:posOffset>
            </wp:positionV>
            <wp:extent cx="37719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190" cy="3257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-3515995</wp:posOffset>
            </wp:positionV>
            <wp:extent cx="37719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190" cy="31750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-3515995</wp:posOffset>
            </wp:positionV>
            <wp:extent cx="37719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 cy="3257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interest of the Company and its stockholders.</w:t>
      </w:r>
    </w:p>
    <w:p>
      <w:pPr>
        <w:spacing w:after="0" w:line="32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Vote is Important—Vote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Your vote is very important to us. Please vote as soon as possible by one of the methods shown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40" w:type="dxa"/>
            <w:vAlign w:val="bottom"/>
          </w:tcPr>
          <w:p>
            <w:pPr>
              <w:ind w:left="760"/>
              <w:spacing w:after="0"/>
              <w:rPr>
                <w:sz w:val="20"/>
                <w:szCs w:val="20"/>
                <w:color w:val="auto"/>
              </w:rPr>
            </w:pPr>
            <w:r>
              <w:rPr>
                <w:rFonts w:ascii="Arial" w:cs="Arial" w:eastAsia="Arial" w:hAnsi="Arial"/>
                <w:sz w:val="20"/>
                <w:szCs w:val="20"/>
                <w:b w:val="1"/>
                <w:bCs w:val="1"/>
                <w:color w:val="355A89"/>
              </w:rPr>
              <w:t>By Internet</w:t>
            </w:r>
          </w:p>
        </w:tc>
        <w:tc>
          <w:tcPr>
            <w:tcW w:w="4300" w:type="dxa"/>
            <w:vAlign w:val="bottom"/>
          </w:tcPr>
          <w:p>
            <w:pPr>
              <w:ind w:left="960"/>
              <w:spacing w:after="0"/>
              <w:rPr>
                <w:sz w:val="20"/>
                <w:szCs w:val="20"/>
                <w:color w:val="auto"/>
              </w:rPr>
            </w:pPr>
            <w:r>
              <w:rPr>
                <w:rFonts w:ascii="Arial" w:cs="Arial" w:eastAsia="Arial" w:hAnsi="Arial"/>
                <w:sz w:val="20"/>
                <w:szCs w:val="20"/>
                <w:b w:val="1"/>
                <w:bCs w:val="1"/>
                <w:color w:val="355A89"/>
              </w:rPr>
              <w:t>By Tablet or Smartphone</w:t>
            </w:r>
          </w:p>
        </w:tc>
        <w:tc>
          <w:tcPr>
            <w:tcW w:w="3320" w:type="dxa"/>
            <w:vAlign w:val="bottom"/>
          </w:tcPr>
          <w:p>
            <w:pPr>
              <w:ind w:left="540"/>
              <w:spacing w:after="0"/>
              <w:rPr>
                <w:sz w:val="20"/>
                <w:szCs w:val="20"/>
                <w:color w:val="auto"/>
              </w:rPr>
            </w:pPr>
            <w:r>
              <w:rPr>
                <w:rFonts w:ascii="Arial" w:cs="Arial" w:eastAsia="Arial" w:hAnsi="Arial"/>
                <w:sz w:val="20"/>
                <w:szCs w:val="20"/>
                <w:b w:val="1"/>
                <w:bCs w:val="1"/>
                <w:color w:val="355A89"/>
              </w:rPr>
              <w:t>By Telephone</w:t>
            </w:r>
          </w:p>
        </w:tc>
      </w:tr>
      <w:tr>
        <w:trPr>
          <w:trHeight w:val="203"/>
        </w:trPr>
        <w:tc>
          <w:tcPr>
            <w:tcW w:w="3640" w:type="dxa"/>
            <w:vAlign w:val="bottom"/>
          </w:tcPr>
          <w:p>
            <w:pPr>
              <w:ind w:left="760"/>
              <w:spacing w:after="0" w:line="202" w:lineRule="exact"/>
              <w:rPr>
                <w:sz w:val="20"/>
                <w:szCs w:val="20"/>
                <w:color w:val="auto"/>
              </w:rPr>
            </w:pPr>
            <w:r>
              <w:rPr>
                <w:rFonts w:ascii="Arial" w:cs="Arial" w:eastAsia="Arial" w:hAnsi="Arial"/>
                <w:sz w:val="18"/>
                <w:szCs w:val="18"/>
                <w:color w:val="auto"/>
              </w:rPr>
              <w:t>Visit www.proxyvote.com</w:t>
            </w:r>
          </w:p>
        </w:tc>
        <w:tc>
          <w:tcPr>
            <w:tcW w:w="4300" w:type="dxa"/>
            <w:vAlign w:val="bottom"/>
          </w:tcPr>
          <w:p>
            <w:pPr>
              <w:ind w:left="960"/>
              <w:spacing w:after="0" w:line="202" w:lineRule="exact"/>
              <w:rPr>
                <w:sz w:val="20"/>
                <w:szCs w:val="20"/>
                <w:color w:val="auto"/>
              </w:rPr>
            </w:pPr>
            <w:r>
              <w:rPr>
                <w:rFonts w:ascii="Arial" w:cs="Arial" w:eastAsia="Arial" w:hAnsi="Arial"/>
                <w:sz w:val="18"/>
                <w:szCs w:val="18"/>
                <w:color w:val="auto"/>
              </w:rPr>
              <w:t>Scan this QR code to vote with your</w:t>
            </w:r>
          </w:p>
        </w:tc>
        <w:tc>
          <w:tcPr>
            <w:tcW w:w="3320" w:type="dxa"/>
            <w:vAlign w:val="bottom"/>
          </w:tcPr>
          <w:p>
            <w:pPr>
              <w:ind w:left="540"/>
              <w:spacing w:after="0" w:line="202" w:lineRule="exact"/>
              <w:rPr>
                <w:sz w:val="20"/>
                <w:szCs w:val="20"/>
                <w:color w:val="auto"/>
              </w:rPr>
            </w:pPr>
            <w:r>
              <w:rPr>
                <w:rFonts w:ascii="Arial" w:cs="Arial" w:eastAsia="Arial" w:hAnsi="Arial"/>
                <w:sz w:val="18"/>
                <w:szCs w:val="18"/>
                <w:color w:val="auto"/>
              </w:rPr>
              <w:t>Call 1-800-454-8683</w:t>
            </w:r>
          </w:p>
        </w:tc>
      </w:tr>
      <w:tr>
        <w:trPr>
          <w:trHeight w:val="211"/>
        </w:trPr>
        <w:tc>
          <w:tcPr>
            <w:tcW w:w="3640" w:type="dxa"/>
            <w:vAlign w:val="bottom"/>
          </w:tcPr>
          <w:p>
            <w:pPr>
              <w:spacing w:after="0"/>
              <w:rPr>
                <w:sz w:val="18"/>
                <w:szCs w:val="18"/>
                <w:color w:val="auto"/>
              </w:rPr>
            </w:pPr>
          </w:p>
        </w:tc>
        <w:tc>
          <w:tcPr>
            <w:tcW w:w="4300" w:type="dxa"/>
            <w:vAlign w:val="bottom"/>
          </w:tcPr>
          <w:p>
            <w:pPr>
              <w:ind w:left="960"/>
              <w:spacing w:after="0"/>
              <w:rPr>
                <w:sz w:val="20"/>
                <w:szCs w:val="20"/>
                <w:color w:val="auto"/>
              </w:rPr>
            </w:pPr>
            <w:r>
              <w:rPr>
                <w:rFonts w:ascii="Arial" w:cs="Arial" w:eastAsia="Arial" w:hAnsi="Arial"/>
                <w:sz w:val="18"/>
                <w:szCs w:val="18"/>
                <w:color w:val="auto"/>
              </w:rPr>
              <w:t>mobile device</w:t>
            </w:r>
          </w:p>
        </w:tc>
        <w:tc>
          <w:tcPr>
            <w:tcW w:w="3320" w:type="dxa"/>
            <w:vAlign w:val="bottom"/>
          </w:tcPr>
          <w:p>
            <w:pPr>
              <w:spacing w:after="0"/>
              <w:rPr>
                <w:sz w:val="18"/>
                <w:szCs w:val="18"/>
                <w:color w:val="auto"/>
              </w:rPr>
            </w:pPr>
          </w:p>
        </w:tc>
      </w:tr>
      <w:tr>
        <w:trPr>
          <w:trHeight w:val="418"/>
        </w:trPr>
        <w:tc>
          <w:tcPr>
            <w:tcW w:w="3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320" w:type="dxa"/>
            <w:vAlign w:val="bottom"/>
          </w:tcPr>
          <w:p>
            <w:pPr>
              <w:ind w:left="1360"/>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1</w:t>
            </w:r>
          </w:p>
        </w:tc>
      </w:tr>
      <w:tr>
        <w:trPr>
          <w:trHeight w:val="215"/>
        </w:trPr>
        <w:tc>
          <w:tcPr>
            <w:tcW w:w="3640" w:type="dxa"/>
            <w:vAlign w:val="bottom"/>
            <w:tcBorders>
              <w:bottom w:val="single" w:sz="8" w:color="808080"/>
            </w:tcBorders>
          </w:tcPr>
          <w:p>
            <w:pPr>
              <w:spacing w:after="0"/>
              <w:rPr>
                <w:sz w:val="18"/>
                <w:szCs w:val="18"/>
                <w:color w:val="auto"/>
              </w:rPr>
            </w:pPr>
          </w:p>
        </w:tc>
        <w:tc>
          <w:tcPr>
            <w:tcW w:w="4300" w:type="dxa"/>
            <w:vAlign w:val="bottom"/>
            <w:tcBorders>
              <w:bottom w:val="single" w:sz="8" w:color="808080"/>
            </w:tcBorders>
          </w:tcPr>
          <w:p>
            <w:pPr>
              <w:spacing w:after="0"/>
              <w:rPr>
                <w:sz w:val="18"/>
                <w:szCs w:val="18"/>
                <w:color w:val="auto"/>
              </w:rPr>
            </w:pPr>
          </w:p>
        </w:tc>
        <w:tc>
          <w:tcPr>
            <w:tcW w:w="33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-815975</wp:posOffset>
            </wp:positionV>
            <wp:extent cx="37719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 cy="33464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-815975</wp:posOffset>
            </wp:positionV>
            <wp:extent cx="31750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500" cy="3257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-815975</wp:posOffset>
            </wp:positionV>
            <wp:extent cx="21463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630" cy="3346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2021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Business Overview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We Are</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20" w:right="360"/>
        <w:spacing w:after="0" w:line="258" w:lineRule="auto"/>
        <w:rPr>
          <w:sz w:val="20"/>
          <w:szCs w:val="20"/>
          <w:color w:val="auto"/>
        </w:rPr>
      </w:pPr>
      <w:r>
        <w:rPr>
          <w:rFonts w:ascii="Arial" w:cs="Arial" w:eastAsia="Arial" w:hAnsi="Arial"/>
          <w:sz w:val="13"/>
          <w:szCs w:val="13"/>
          <w:color w:val="auto"/>
        </w:rPr>
        <w:t>SL Green Realty Corp., Manhattan’s largest office landlord, is a fully integrated real estate investment trust, or REIT, that is focused primarily on acquiring, developing, managing, and maximizing the value of Manhattan commercial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1412240</wp:posOffset>
            </wp:positionH>
            <wp:positionV relativeFrom="paragraph">
              <wp:posOffset>53340</wp:posOffset>
            </wp:positionV>
            <wp:extent cx="889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53340</wp:posOffset>
            </wp:positionV>
            <wp:extent cx="825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44577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53340</wp:posOffset>
            </wp:positionV>
            <wp:extent cx="889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44577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vMerge w:val="restart"/>
            <w:shd w:val="clear" w:color="auto" w:fill="8F98B7"/>
          </w:tcPr>
          <w:p>
            <w:pPr>
              <w:jc w:val="center"/>
              <w:spacing w:after="0"/>
              <w:rPr>
                <w:sz w:val="20"/>
                <w:szCs w:val="20"/>
                <w:color w:val="auto"/>
              </w:rPr>
            </w:pPr>
            <w:r>
              <w:rPr>
                <w:rFonts w:ascii="Arial" w:cs="Arial" w:eastAsia="Arial" w:hAnsi="Arial"/>
                <w:sz w:val="22"/>
                <w:szCs w:val="22"/>
                <w:b w:val="1"/>
                <w:bCs w:val="1"/>
                <w:color w:val="FFFFFF"/>
                <w:w w:val="98"/>
              </w:rPr>
              <w:t>$1.6 Billion</w:t>
            </w:r>
          </w:p>
        </w:tc>
        <w:tc>
          <w:tcPr>
            <w:tcW w:w="2320" w:type="dxa"/>
            <w:vAlign w:val="bottom"/>
            <w:shd w:val="clear" w:color="auto" w:fill="8F98B7"/>
          </w:tcPr>
          <w:p>
            <w:pPr>
              <w:jc w:val="center"/>
              <w:spacing w:after="0"/>
              <w:rPr>
                <w:sz w:val="20"/>
                <w:szCs w:val="20"/>
                <w:color w:val="auto"/>
              </w:rPr>
            </w:pPr>
            <w:r>
              <w:rPr>
                <w:rFonts w:ascii="Arial" w:cs="Arial" w:eastAsia="Arial" w:hAnsi="Arial"/>
                <w:sz w:val="22"/>
                <w:szCs w:val="22"/>
                <w:b w:val="1"/>
                <w:bCs w:val="1"/>
                <w:color w:val="FFFFFF"/>
                <w:w w:val="97"/>
              </w:rPr>
              <w:t>#1</w:t>
            </w:r>
          </w:p>
        </w:tc>
        <w:tc>
          <w:tcPr>
            <w:tcW w:w="2240" w:type="dxa"/>
            <w:vAlign w:val="bottom"/>
            <w:vMerge w:val="restart"/>
            <w:shd w:val="clear" w:color="auto" w:fill="8F98B7"/>
          </w:tcPr>
          <w:p>
            <w:pPr>
              <w:jc w:val="center"/>
              <w:ind w:right="22"/>
              <w:spacing w:after="0"/>
              <w:rPr>
                <w:sz w:val="20"/>
                <w:szCs w:val="20"/>
                <w:color w:val="auto"/>
              </w:rPr>
            </w:pPr>
            <w:r>
              <w:rPr>
                <w:rFonts w:ascii="Arial" w:cs="Arial" w:eastAsia="Arial" w:hAnsi="Arial"/>
                <w:sz w:val="22"/>
                <w:szCs w:val="22"/>
                <w:b w:val="1"/>
                <w:bCs w:val="1"/>
                <w:color w:val="FFFFFF"/>
                <w:w w:val="97"/>
              </w:rPr>
              <w:t>38.2 Million</w:t>
            </w:r>
          </w:p>
        </w:tc>
        <w:tc>
          <w:tcPr>
            <w:tcW w:w="2160" w:type="dxa"/>
            <w:vAlign w:val="bottom"/>
            <w:vMerge w:val="restart"/>
            <w:shd w:val="clear" w:color="auto" w:fill="8F98B7"/>
          </w:tcPr>
          <w:p>
            <w:pPr>
              <w:jc w:val="center"/>
              <w:spacing w:after="0"/>
              <w:rPr>
                <w:sz w:val="20"/>
                <w:szCs w:val="20"/>
                <w:color w:val="auto"/>
              </w:rPr>
            </w:pPr>
            <w:r>
              <w:rPr>
                <w:rFonts w:ascii="Arial" w:cs="Arial" w:eastAsia="Arial" w:hAnsi="Arial"/>
                <w:sz w:val="22"/>
                <w:szCs w:val="22"/>
                <w:b w:val="1"/>
                <w:bCs w:val="1"/>
                <w:color w:val="FFFFFF"/>
                <w:w w:val="98"/>
              </w:rPr>
              <w:t>$14.5 Billion</w:t>
            </w:r>
          </w:p>
        </w:tc>
        <w:tc>
          <w:tcPr>
            <w:tcW w:w="0" w:type="dxa"/>
            <w:vAlign w:val="bottom"/>
          </w:tcPr>
          <w:p>
            <w:pPr>
              <w:spacing w:after="0"/>
              <w:rPr>
                <w:sz w:val="1"/>
                <w:szCs w:val="1"/>
                <w:color w:val="auto"/>
              </w:rPr>
            </w:pPr>
          </w:p>
        </w:tc>
      </w:tr>
      <w:tr>
        <w:trPr>
          <w:trHeight w:val="85"/>
        </w:trPr>
        <w:tc>
          <w:tcPr>
            <w:tcW w:w="2200" w:type="dxa"/>
            <w:vAlign w:val="bottom"/>
            <w:vMerge w:val="continue"/>
            <w:shd w:val="clear" w:color="auto" w:fill="8F98B7"/>
          </w:tcPr>
          <w:p>
            <w:pPr>
              <w:spacing w:after="0"/>
              <w:rPr>
                <w:sz w:val="7"/>
                <w:szCs w:val="7"/>
                <w:color w:val="auto"/>
              </w:rPr>
            </w:pPr>
          </w:p>
        </w:tc>
        <w:tc>
          <w:tcPr>
            <w:tcW w:w="2320" w:type="dxa"/>
            <w:vAlign w:val="bottom"/>
            <w:vMerge w:val="restart"/>
            <w:shd w:val="clear" w:color="auto" w:fill="8F98B7"/>
          </w:tcPr>
          <w:p>
            <w:pPr>
              <w:jc w:val="center"/>
              <w:spacing w:after="0" w:line="202" w:lineRule="exact"/>
              <w:rPr>
                <w:sz w:val="20"/>
                <w:szCs w:val="20"/>
                <w:color w:val="auto"/>
              </w:rPr>
            </w:pPr>
            <w:r>
              <w:rPr>
                <w:rFonts w:ascii="Arial" w:cs="Arial" w:eastAsia="Arial" w:hAnsi="Arial"/>
                <w:sz w:val="18"/>
                <w:szCs w:val="18"/>
                <w:b w:val="1"/>
                <w:bCs w:val="1"/>
                <w:color w:val="486591"/>
                <w:w w:val="96"/>
              </w:rPr>
              <w:t>Owner of Office</w:t>
            </w:r>
          </w:p>
        </w:tc>
        <w:tc>
          <w:tcPr>
            <w:tcW w:w="2240" w:type="dxa"/>
            <w:vAlign w:val="bottom"/>
            <w:vMerge w:val="continue"/>
            <w:shd w:val="clear" w:color="auto" w:fill="8F98B7"/>
          </w:tcPr>
          <w:p>
            <w:pPr>
              <w:spacing w:after="0"/>
              <w:rPr>
                <w:sz w:val="7"/>
                <w:szCs w:val="7"/>
                <w:color w:val="auto"/>
              </w:rPr>
            </w:pPr>
          </w:p>
        </w:tc>
        <w:tc>
          <w:tcPr>
            <w:tcW w:w="2160" w:type="dxa"/>
            <w:vAlign w:val="bottom"/>
            <w:vMerge w:val="continue"/>
            <w:shd w:val="clear" w:color="auto" w:fill="8F98B7"/>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200" w:type="dxa"/>
            <w:vAlign w:val="bottom"/>
            <w:vMerge w:val="restart"/>
            <w:shd w:val="clear" w:color="auto" w:fill="8F98B7"/>
          </w:tcPr>
          <w:p>
            <w:pPr>
              <w:jc w:val="center"/>
              <w:spacing w:after="0"/>
              <w:rPr>
                <w:sz w:val="20"/>
                <w:szCs w:val="20"/>
                <w:color w:val="auto"/>
              </w:rPr>
            </w:pPr>
            <w:r>
              <w:rPr>
                <w:rFonts w:ascii="Arial" w:cs="Arial" w:eastAsia="Arial" w:hAnsi="Arial"/>
                <w:sz w:val="18"/>
                <w:szCs w:val="18"/>
                <w:b w:val="1"/>
                <w:bCs w:val="1"/>
                <w:color w:val="486591"/>
                <w:w w:val="97"/>
              </w:rPr>
              <w:t>Combined Revenues</w:t>
            </w:r>
          </w:p>
        </w:tc>
        <w:tc>
          <w:tcPr>
            <w:tcW w:w="2320" w:type="dxa"/>
            <w:vAlign w:val="bottom"/>
            <w:vMerge w:val="continue"/>
            <w:shd w:val="clear" w:color="auto" w:fill="8F98B7"/>
          </w:tcPr>
          <w:p>
            <w:pPr>
              <w:spacing w:after="0"/>
              <w:rPr>
                <w:sz w:val="10"/>
                <w:szCs w:val="10"/>
                <w:color w:val="auto"/>
              </w:rPr>
            </w:pPr>
          </w:p>
        </w:tc>
        <w:tc>
          <w:tcPr>
            <w:tcW w:w="2240" w:type="dxa"/>
            <w:vAlign w:val="bottom"/>
            <w:vMerge w:val="restart"/>
            <w:shd w:val="clear" w:color="auto" w:fill="8F98B7"/>
          </w:tcPr>
          <w:p>
            <w:pPr>
              <w:jc w:val="center"/>
              <w:ind w:right="22"/>
              <w:spacing w:after="0" w:line="299" w:lineRule="exact"/>
              <w:rPr>
                <w:sz w:val="20"/>
                <w:szCs w:val="20"/>
                <w:color w:val="auto"/>
              </w:rPr>
            </w:pPr>
            <w:r>
              <w:rPr>
                <w:rFonts w:ascii="Arial" w:cs="Arial" w:eastAsia="Arial" w:hAnsi="Arial"/>
                <w:sz w:val="18"/>
                <w:szCs w:val="18"/>
                <w:b w:val="1"/>
                <w:bCs w:val="1"/>
                <w:color w:val="486591"/>
                <w:w w:val="93"/>
              </w:rPr>
              <w:t>Total Square Feet</w:t>
            </w:r>
            <w:r>
              <w:rPr>
                <w:rFonts w:ascii="Arial" w:cs="Arial" w:eastAsia="Arial" w:hAnsi="Arial"/>
                <w:sz w:val="29"/>
                <w:szCs w:val="29"/>
                <w:b w:val="1"/>
                <w:bCs w:val="1"/>
                <w:color w:val="486591"/>
                <w:w w:val="93"/>
                <w:vertAlign w:val="superscript"/>
              </w:rPr>
              <w:t>(2)</w:t>
            </w:r>
          </w:p>
        </w:tc>
        <w:tc>
          <w:tcPr>
            <w:tcW w:w="2160" w:type="dxa"/>
            <w:vAlign w:val="bottom"/>
            <w:vMerge w:val="restart"/>
            <w:shd w:val="clear" w:color="auto" w:fill="8F98B7"/>
          </w:tcPr>
          <w:p>
            <w:pPr>
              <w:jc w:val="center"/>
              <w:spacing w:after="0"/>
              <w:rPr>
                <w:sz w:val="20"/>
                <w:szCs w:val="20"/>
                <w:color w:val="auto"/>
              </w:rPr>
            </w:pPr>
            <w:r>
              <w:rPr>
                <w:rFonts w:ascii="Arial" w:cs="Arial" w:eastAsia="Arial" w:hAnsi="Arial"/>
                <w:sz w:val="18"/>
                <w:szCs w:val="18"/>
                <w:b w:val="1"/>
                <w:bCs w:val="1"/>
                <w:color w:val="486591"/>
                <w:w w:val="97"/>
              </w:rPr>
              <w:t>Enterprise Value</w:t>
            </w:r>
          </w:p>
        </w:tc>
        <w:tc>
          <w:tcPr>
            <w:tcW w:w="0" w:type="dxa"/>
            <w:vAlign w:val="bottom"/>
          </w:tcPr>
          <w:p>
            <w:pPr>
              <w:spacing w:after="0"/>
              <w:rPr>
                <w:sz w:val="1"/>
                <w:szCs w:val="1"/>
                <w:color w:val="auto"/>
              </w:rPr>
            </w:pPr>
          </w:p>
        </w:tc>
      </w:tr>
      <w:tr>
        <w:trPr>
          <w:trHeight w:val="181"/>
        </w:trPr>
        <w:tc>
          <w:tcPr>
            <w:tcW w:w="2200" w:type="dxa"/>
            <w:vAlign w:val="bottom"/>
            <w:vMerge w:val="continue"/>
            <w:shd w:val="clear" w:color="auto" w:fill="8F98B7"/>
          </w:tcPr>
          <w:p>
            <w:pPr>
              <w:spacing w:after="0"/>
              <w:rPr>
                <w:sz w:val="15"/>
                <w:szCs w:val="15"/>
                <w:color w:val="auto"/>
              </w:rPr>
            </w:pPr>
          </w:p>
        </w:tc>
        <w:tc>
          <w:tcPr>
            <w:tcW w:w="2320" w:type="dxa"/>
            <w:vAlign w:val="bottom"/>
            <w:vMerge w:val="restart"/>
            <w:shd w:val="clear" w:color="auto" w:fill="8F98B7"/>
          </w:tcPr>
          <w:p>
            <w:pPr>
              <w:jc w:val="center"/>
              <w:spacing w:after="0"/>
              <w:rPr>
                <w:sz w:val="20"/>
                <w:szCs w:val="20"/>
                <w:color w:val="auto"/>
              </w:rPr>
            </w:pPr>
            <w:r>
              <w:rPr>
                <w:rFonts w:ascii="Arial" w:cs="Arial" w:eastAsia="Arial" w:hAnsi="Arial"/>
                <w:sz w:val="18"/>
                <w:szCs w:val="18"/>
                <w:b w:val="1"/>
                <w:bCs w:val="1"/>
                <w:color w:val="486591"/>
                <w:w w:val="97"/>
              </w:rPr>
              <w:t>Property in Manhattan</w:t>
            </w:r>
          </w:p>
        </w:tc>
        <w:tc>
          <w:tcPr>
            <w:tcW w:w="2240" w:type="dxa"/>
            <w:vAlign w:val="bottom"/>
            <w:vMerge w:val="continue"/>
            <w:shd w:val="clear" w:color="auto" w:fill="8F98B7"/>
          </w:tcPr>
          <w:p>
            <w:pPr>
              <w:spacing w:after="0"/>
              <w:rPr>
                <w:sz w:val="15"/>
                <w:szCs w:val="15"/>
                <w:color w:val="auto"/>
              </w:rPr>
            </w:pPr>
          </w:p>
        </w:tc>
        <w:tc>
          <w:tcPr>
            <w:tcW w:w="2160" w:type="dxa"/>
            <w:vAlign w:val="bottom"/>
            <w:vMerge w:val="continue"/>
            <w:shd w:val="clear" w:color="auto" w:fill="8F98B7"/>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200" w:type="dxa"/>
            <w:vAlign w:val="bottom"/>
            <w:shd w:val="clear" w:color="auto" w:fill="8F98B7"/>
          </w:tcPr>
          <w:p>
            <w:pPr>
              <w:spacing w:after="0"/>
              <w:rPr>
                <w:sz w:val="5"/>
                <w:szCs w:val="5"/>
                <w:color w:val="auto"/>
              </w:rPr>
            </w:pPr>
          </w:p>
        </w:tc>
        <w:tc>
          <w:tcPr>
            <w:tcW w:w="2320" w:type="dxa"/>
            <w:vAlign w:val="bottom"/>
            <w:vMerge w:val="continue"/>
            <w:shd w:val="clear" w:color="auto" w:fill="8F98B7"/>
          </w:tcPr>
          <w:p>
            <w:pPr>
              <w:spacing w:after="0"/>
              <w:rPr>
                <w:sz w:val="5"/>
                <w:szCs w:val="5"/>
                <w:color w:val="auto"/>
              </w:rPr>
            </w:pPr>
          </w:p>
        </w:tc>
        <w:tc>
          <w:tcPr>
            <w:tcW w:w="2240" w:type="dxa"/>
            <w:vAlign w:val="bottom"/>
            <w:shd w:val="clear" w:color="auto" w:fill="8F98B7"/>
          </w:tcPr>
          <w:p>
            <w:pPr>
              <w:spacing w:after="0"/>
              <w:rPr>
                <w:sz w:val="5"/>
                <w:szCs w:val="5"/>
                <w:color w:val="auto"/>
              </w:rPr>
            </w:pPr>
          </w:p>
        </w:tc>
        <w:tc>
          <w:tcPr>
            <w:tcW w:w="2160" w:type="dxa"/>
            <w:vAlign w:val="bottom"/>
            <w:shd w:val="clear" w:color="auto" w:fill="8F98B7"/>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600" w:space="720"/>
            <w:col w:w="8920"/>
          </w:cols>
          <w:pgMar w:left="320" w:top="1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differentiate ourselves from our peers and competitors in four key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4003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00304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120"/>
              <w:spacing w:after="0"/>
              <w:rPr>
                <w:sz w:val="20"/>
                <w:szCs w:val="20"/>
                <w:color w:val="auto"/>
              </w:rPr>
            </w:pPr>
            <w:r>
              <w:rPr>
                <w:rFonts w:ascii="Arial" w:cs="Arial" w:eastAsia="Arial" w:hAnsi="Arial"/>
                <w:sz w:val="20"/>
                <w:szCs w:val="20"/>
                <w:b w:val="1"/>
                <w:bCs w:val="1"/>
                <w:color w:val="355A89"/>
              </w:rPr>
              <w:t>Value</w:t>
            </w:r>
          </w:p>
        </w:tc>
        <w:tc>
          <w:tcPr>
            <w:tcW w:w="280" w:type="dxa"/>
            <w:vAlign w:val="bottom"/>
          </w:tcPr>
          <w:p>
            <w:pPr>
              <w:ind w:left="120"/>
              <w:spacing w:after="0"/>
              <w:rPr>
                <w:sz w:val="20"/>
                <w:szCs w:val="20"/>
                <w:color w:val="auto"/>
              </w:rPr>
            </w:pPr>
            <w:r>
              <w:rPr>
                <w:rFonts w:ascii="Arial" w:cs="Arial" w:eastAsia="Arial" w:hAnsi="Arial"/>
                <w:sz w:val="17"/>
                <w:szCs w:val="17"/>
                <w:color w:val="355A89"/>
              </w:rPr>
              <w:t>●</w:t>
            </w:r>
          </w:p>
        </w:tc>
        <w:tc>
          <w:tcPr>
            <w:tcW w:w="9680" w:type="dxa"/>
            <w:vAlign w:val="bottom"/>
          </w:tcPr>
          <w:p>
            <w:pPr>
              <w:ind w:left="80"/>
              <w:spacing w:after="0"/>
              <w:rPr>
                <w:sz w:val="20"/>
                <w:szCs w:val="20"/>
                <w:color w:val="auto"/>
              </w:rPr>
            </w:pPr>
            <w:r>
              <w:rPr>
                <w:rFonts w:ascii="Arial" w:cs="Arial" w:eastAsia="Arial" w:hAnsi="Arial"/>
                <w:sz w:val="18"/>
                <w:szCs w:val="18"/>
                <w:color w:val="auto"/>
              </w:rPr>
              <w:t>At the onset of COVID-19, the Board and management activated SL Green Forward, our pandemic response plan</w:t>
            </w:r>
          </w:p>
        </w:tc>
        <w:tc>
          <w:tcPr>
            <w:tcW w:w="0" w:type="dxa"/>
            <w:vAlign w:val="bottom"/>
          </w:tcPr>
          <w:p>
            <w:pPr>
              <w:spacing w:after="0"/>
              <w:rPr>
                <w:sz w:val="1"/>
                <w:szCs w:val="1"/>
                <w:color w:val="auto"/>
              </w:rPr>
            </w:pPr>
          </w:p>
        </w:tc>
      </w:tr>
      <w:tr>
        <w:trPr>
          <w:trHeight w:val="216"/>
        </w:trPr>
        <w:tc>
          <w:tcPr>
            <w:tcW w:w="1280" w:type="dxa"/>
            <w:vAlign w:val="bottom"/>
          </w:tcPr>
          <w:p>
            <w:pPr>
              <w:ind w:left="120"/>
              <w:spacing w:after="0" w:line="216" w:lineRule="exact"/>
              <w:rPr>
                <w:sz w:val="20"/>
                <w:szCs w:val="20"/>
                <w:color w:val="auto"/>
              </w:rPr>
            </w:pPr>
            <w:r>
              <w:rPr>
                <w:rFonts w:ascii="Arial" w:cs="Arial" w:eastAsia="Arial" w:hAnsi="Arial"/>
                <w:sz w:val="20"/>
                <w:szCs w:val="20"/>
                <w:b w:val="1"/>
                <w:bCs w:val="1"/>
                <w:color w:val="355A89"/>
              </w:rPr>
              <w:t>Creation</w:t>
            </w:r>
          </w:p>
        </w:tc>
        <w:tc>
          <w:tcPr>
            <w:tcW w:w="280" w:type="dxa"/>
            <w:vAlign w:val="bottom"/>
          </w:tcPr>
          <w:p>
            <w:pPr>
              <w:ind w:left="120"/>
              <w:spacing w:after="0"/>
              <w:rPr>
                <w:sz w:val="20"/>
                <w:szCs w:val="20"/>
                <w:color w:val="auto"/>
              </w:rPr>
            </w:pPr>
            <w:r>
              <w:rPr>
                <w:rFonts w:ascii="Arial" w:cs="Arial" w:eastAsia="Arial" w:hAnsi="Arial"/>
                <w:sz w:val="17"/>
                <w:szCs w:val="17"/>
                <w:color w:val="355A89"/>
              </w:rPr>
              <w:t>●</w:t>
            </w:r>
          </w:p>
        </w:tc>
        <w:tc>
          <w:tcPr>
            <w:tcW w:w="9680" w:type="dxa"/>
            <w:vAlign w:val="bottom"/>
          </w:tcPr>
          <w:p>
            <w:pPr>
              <w:ind w:left="80"/>
              <w:spacing w:after="0"/>
              <w:rPr>
                <w:sz w:val="20"/>
                <w:szCs w:val="20"/>
                <w:color w:val="auto"/>
              </w:rPr>
            </w:pPr>
            <w:r>
              <w:rPr>
                <w:rFonts w:ascii="Arial" w:cs="Arial" w:eastAsia="Arial" w:hAnsi="Arial"/>
                <w:sz w:val="18"/>
                <w:szCs w:val="18"/>
                <w:color w:val="auto"/>
              </w:rPr>
              <w:t>Despite the pandemic, SLG maintained momentum on multiple development and redevelopment projects in 2020</w:t>
            </w:r>
          </w:p>
        </w:tc>
        <w:tc>
          <w:tcPr>
            <w:tcW w:w="0" w:type="dxa"/>
            <w:vAlign w:val="bottom"/>
          </w:tcPr>
          <w:p>
            <w:pPr>
              <w:spacing w:after="0"/>
              <w:rPr>
                <w:sz w:val="1"/>
                <w:szCs w:val="1"/>
                <w:color w:val="auto"/>
              </w:rPr>
            </w:pPr>
          </w:p>
        </w:tc>
      </w:tr>
      <w:tr>
        <w:trPr>
          <w:trHeight w:val="216"/>
        </w:trPr>
        <w:tc>
          <w:tcPr>
            <w:tcW w:w="1280" w:type="dxa"/>
            <w:vAlign w:val="bottom"/>
          </w:tcPr>
          <w:p>
            <w:pPr>
              <w:ind w:left="120"/>
              <w:spacing w:after="0" w:line="216" w:lineRule="exact"/>
              <w:rPr>
                <w:sz w:val="20"/>
                <w:szCs w:val="20"/>
                <w:color w:val="auto"/>
              </w:rPr>
            </w:pPr>
            <w:r>
              <w:rPr>
                <w:rFonts w:ascii="Arial" w:cs="Arial" w:eastAsia="Arial" w:hAnsi="Arial"/>
                <w:sz w:val="20"/>
                <w:szCs w:val="20"/>
                <w:b w:val="1"/>
                <w:bCs w:val="1"/>
                <w:color w:val="355A89"/>
              </w:rPr>
              <w:t>During the</w:t>
            </w:r>
          </w:p>
        </w:tc>
        <w:tc>
          <w:tcPr>
            <w:tcW w:w="280" w:type="dxa"/>
            <w:vAlign w:val="bottom"/>
          </w:tcPr>
          <w:p>
            <w:pPr>
              <w:ind w:left="120"/>
              <w:spacing w:after="0"/>
              <w:rPr>
                <w:sz w:val="20"/>
                <w:szCs w:val="20"/>
                <w:color w:val="auto"/>
              </w:rPr>
            </w:pPr>
            <w:r>
              <w:rPr>
                <w:rFonts w:ascii="Arial" w:cs="Arial" w:eastAsia="Arial" w:hAnsi="Arial"/>
                <w:sz w:val="17"/>
                <w:szCs w:val="17"/>
                <w:color w:val="355A89"/>
              </w:rPr>
              <w:t>●</w:t>
            </w:r>
          </w:p>
        </w:tc>
        <w:tc>
          <w:tcPr>
            <w:tcW w:w="9680" w:type="dxa"/>
            <w:vAlign w:val="bottom"/>
          </w:tcPr>
          <w:p>
            <w:pPr>
              <w:ind w:left="80"/>
              <w:spacing w:after="0"/>
              <w:rPr>
                <w:sz w:val="20"/>
                <w:szCs w:val="20"/>
                <w:color w:val="auto"/>
              </w:rPr>
            </w:pPr>
            <w:r>
              <w:rPr>
                <w:rFonts w:ascii="Arial" w:cs="Arial" w:eastAsia="Arial" w:hAnsi="Arial"/>
                <w:sz w:val="18"/>
                <w:szCs w:val="18"/>
                <w:color w:val="auto"/>
              </w:rPr>
              <w:t>One Vanderbilt, one of NYC’s tallest and most eco-friendly office towers, was opened ahead of schedule and under</w:t>
            </w:r>
          </w:p>
        </w:tc>
        <w:tc>
          <w:tcPr>
            <w:tcW w:w="0" w:type="dxa"/>
            <w:vAlign w:val="bottom"/>
          </w:tcPr>
          <w:p>
            <w:pPr>
              <w:spacing w:after="0"/>
              <w:rPr>
                <w:sz w:val="1"/>
                <w:szCs w:val="1"/>
                <w:color w:val="auto"/>
              </w:rPr>
            </w:pPr>
          </w:p>
        </w:tc>
      </w:tr>
      <w:tr>
        <w:trPr>
          <w:trHeight w:val="226"/>
        </w:trPr>
        <w:tc>
          <w:tcPr>
            <w:tcW w:w="1280" w:type="dxa"/>
            <w:vAlign w:val="bottom"/>
          </w:tcPr>
          <w:p>
            <w:pPr>
              <w:ind w:left="120"/>
              <w:spacing w:after="0" w:line="226" w:lineRule="exact"/>
              <w:rPr>
                <w:sz w:val="20"/>
                <w:szCs w:val="20"/>
                <w:color w:val="auto"/>
              </w:rPr>
            </w:pPr>
            <w:r>
              <w:rPr>
                <w:rFonts w:ascii="Arial" w:cs="Arial" w:eastAsia="Arial" w:hAnsi="Arial"/>
                <w:sz w:val="20"/>
                <w:szCs w:val="20"/>
                <w:b w:val="1"/>
                <w:bCs w:val="1"/>
                <w:color w:val="355A89"/>
              </w:rPr>
              <w:t>Pandemic</w:t>
            </w:r>
          </w:p>
        </w:tc>
        <w:tc>
          <w:tcPr>
            <w:tcW w:w="280" w:type="dxa"/>
            <w:vAlign w:val="bottom"/>
          </w:tcPr>
          <w:p>
            <w:pPr>
              <w:spacing w:after="0"/>
              <w:rPr>
                <w:sz w:val="19"/>
                <w:szCs w:val="19"/>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rPr>
              <w:t>budget</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9960" w:type="dxa"/>
            <w:vAlign w:val="bottom"/>
            <w:gridSpan w:val="2"/>
          </w:tcPr>
          <w:p>
            <w:pPr>
              <w:ind w:left="12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SLG executed its “$1 Billion Dollar Plan” at the onset of the pandemic – a $1.0 billion cash reserve to ensure strong</w:t>
            </w: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tcPr>
          <w:p>
            <w:pPr>
              <w:ind w:left="100"/>
              <w:spacing w:after="0" w:line="201" w:lineRule="exact"/>
              <w:rPr>
                <w:sz w:val="20"/>
                <w:szCs w:val="20"/>
                <w:color w:val="auto"/>
              </w:rPr>
            </w:pPr>
            <w:r>
              <w:rPr>
                <w:rFonts w:ascii="Arial" w:cs="Arial" w:eastAsia="Arial" w:hAnsi="Arial"/>
                <w:sz w:val="18"/>
                <w:szCs w:val="18"/>
                <w:color w:val="auto"/>
              </w:rPr>
              <w:t>business resilience and continued execution of SLG’s strategic value creation plan</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9960" w:type="dxa"/>
            <w:vAlign w:val="bottom"/>
            <w:gridSpan w:val="2"/>
          </w:tcPr>
          <w:p>
            <w:pPr>
              <w:ind w:left="12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SLG not only continued to pay its ordinary dividend in 2020, but also increased its annualized dividend at the beginning of</w:t>
            </w: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tcPr>
          <w:p>
            <w:pPr>
              <w:ind w:left="100"/>
              <w:spacing w:after="0" w:line="201" w:lineRule="exact"/>
              <w:rPr>
                <w:sz w:val="20"/>
                <w:szCs w:val="20"/>
                <w:color w:val="auto"/>
              </w:rPr>
            </w:pPr>
            <w:r>
              <w:rPr>
                <w:rFonts w:ascii="Arial" w:cs="Arial" w:eastAsia="Arial" w:hAnsi="Arial"/>
                <w:sz w:val="18"/>
                <w:szCs w:val="18"/>
                <w:color w:val="auto"/>
              </w:rPr>
              <w:t>2021 by 2.8% to $3.64 per share, marking the tenth consecutive annual increase</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9960" w:type="dxa"/>
            <w:vAlign w:val="bottom"/>
            <w:gridSpan w:val="2"/>
          </w:tcPr>
          <w:p>
            <w:pPr>
              <w:ind w:left="12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SLG restarted its stock repurchase program in May 2020 and completed approximately $559.5 million of repurchases and</w:t>
            </w: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w w:val="99"/>
              </w:rPr>
              <w:t>operating partnership unit redemptions in 2020, reflecting confidence in the Company’s business resiliency and prospects</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rPr>
              <w:t>for the future</w:t>
            </w:r>
          </w:p>
        </w:tc>
        <w:tc>
          <w:tcPr>
            <w:tcW w:w="0" w:type="dxa"/>
            <w:vAlign w:val="bottom"/>
          </w:tcPr>
          <w:p>
            <w:pPr>
              <w:spacing w:after="0"/>
              <w:rPr>
                <w:sz w:val="1"/>
                <w:szCs w:val="1"/>
                <w:color w:val="auto"/>
              </w:rPr>
            </w:pPr>
          </w:p>
        </w:tc>
      </w:tr>
      <w:tr>
        <w:trPr>
          <w:trHeight w:val="69"/>
        </w:trPr>
        <w:tc>
          <w:tcPr>
            <w:tcW w:w="1280" w:type="dxa"/>
            <w:vAlign w:val="bottom"/>
            <w:tcBorders>
              <w:bottom w:val="single" w:sz="8" w:color="355989"/>
            </w:tcBorders>
          </w:tcPr>
          <w:p>
            <w:pPr>
              <w:spacing w:after="0"/>
              <w:rPr>
                <w:sz w:val="6"/>
                <w:szCs w:val="6"/>
                <w:color w:val="auto"/>
              </w:rPr>
            </w:pPr>
          </w:p>
        </w:tc>
        <w:tc>
          <w:tcPr>
            <w:tcW w:w="280" w:type="dxa"/>
            <w:vAlign w:val="bottom"/>
            <w:tcBorders>
              <w:bottom w:val="single" w:sz="8" w:color="355989"/>
            </w:tcBorders>
          </w:tcPr>
          <w:p>
            <w:pPr>
              <w:spacing w:after="0"/>
              <w:rPr>
                <w:sz w:val="6"/>
                <w:szCs w:val="6"/>
                <w:color w:val="auto"/>
              </w:rPr>
            </w:pPr>
          </w:p>
        </w:tc>
        <w:tc>
          <w:tcPr>
            <w:tcW w:w="9680" w:type="dxa"/>
            <w:vAlign w:val="bottom"/>
            <w:tcBorders>
              <w:bottom w:val="single" w:sz="8" w:color="355989"/>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280" w:type="dxa"/>
            <w:vAlign w:val="bottom"/>
          </w:tcPr>
          <w:p>
            <w:pPr>
              <w:ind w:left="120"/>
              <w:spacing w:after="0"/>
              <w:rPr>
                <w:sz w:val="20"/>
                <w:szCs w:val="20"/>
                <w:color w:val="auto"/>
              </w:rPr>
            </w:pPr>
            <w:r>
              <w:rPr>
                <w:rFonts w:ascii="Arial" w:cs="Arial" w:eastAsia="Arial" w:hAnsi="Arial"/>
                <w:sz w:val="20"/>
                <w:szCs w:val="20"/>
                <w:b w:val="1"/>
                <w:bCs w:val="1"/>
                <w:color w:val="355A89"/>
              </w:rPr>
              <w:t>Active and</w:t>
            </w:r>
          </w:p>
        </w:tc>
        <w:tc>
          <w:tcPr>
            <w:tcW w:w="280" w:type="dxa"/>
            <w:vAlign w:val="bottom"/>
            <w:vMerge w:val="restart"/>
          </w:tcPr>
          <w:p>
            <w:pPr>
              <w:ind w:left="120"/>
              <w:spacing w:after="0"/>
              <w:rPr>
                <w:sz w:val="20"/>
                <w:szCs w:val="20"/>
                <w:color w:val="auto"/>
              </w:rPr>
            </w:pPr>
            <w:r>
              <w:rPr>
                <w:rFonts w:ascii="Arial" w:cs="Arial" w:eastAsia="Arial" w:hAnsi="Arial"/>
                <w:sz w:val="17"/>
                <w:szCs w:val="17"/>
                <w:color w:val="355A89"/>
              </w:rPr>
              <w:t>●</w:t>
            </w:r>
          </w:p>
        </w:tc>
        <w:tc>
          <w:tcPr>
            <w:tcW w:w="9680" w:type="dxa"/>
            <w:vAlign w:val="bottom"/>
            <w:vMerge w:val="restart"/>
          </w:tcPr>
          <w:p>
            <w:pPr>
              <w:ind w:left="80"/>
              <w:spacing w:after="0"/>
              <w:rPr>
                <w:sz w:val="20"/>
                <w:szCs w:val="20"/>
                <w:color w:val="auto"/>
              </w:rPr>
            </w:pPr>
            <w:r>
              <w:rPr>
                <w:rFonts w:ascii="Arial" w:cs="Arial" w:eastAsia="Arial" w:hAnsi="Arial"/>
                <w:sz w:val="18"/>
                <w:szCs w:val="18"/>
                <w:color w:val="auto"/>
              </w:rPr>
              <w:t>SLG does not subscribe to a traditional “buy and hold” strategy and is a very active transaction-oriented company</w:t>
            </w:r>
          </w:p>
        </w:tc>
        <w:tc>
          <w:tcPr>
            <w:tcW w:w="0" w:type="dxa"/>
            <w:vAlign w:val="bottom"/>
          </w:tcPr>
          <w:p>
            <w:pPr>
              <w:spacing w:after="0"/>
              <w:rPr>
                <w:sz w:val="1"/>
                <w:szCs w:val="1"/>
                <w:color w:val="auto"/>
              </w:rPr>
            </w:pPr>
          </w:p>
        </w:tc>
      </w:tr>
      <w:tr>
        <w:trPr>
          <w:trHeight w:val="131"/>
        </w:trPr>
        <w:tc>
          <w:tcPr>
            <w:tcW w:w="1280" w:type="dxa"/>
            <w:vAlign w:val="bottom"/>
            <w:vMerge w:val="restart"/>
          </w:tcPr>
          <w:p>
            <w:pPr>
              <w:ind w:left="120"/>
              <w:spacing w:after="0" w:line="216" w:lineRule="exact"/>
              <w:rPr>
                <w:sz w:val="20"/>
                <w:szCs w:val="20"/>
                <w:color w:val="auto"/>
              </w:rPr>
            </w:pPr>
            <w:r>
              <w:rPr>
                <w:rFonts w:ascii="Arial" w:cs="Arial" w:eastAsia="Arial" w:hAnsi="Arial"/>
                <w:sz w:val="20"/>
                <w:szCs w:val="20"/>
                <w:b w:val="1"/>
                <w:bCs w:val="1"/>
                <w:color w:val="355A89"/>
              </w:rPr>
              <w:t>Engaged</w:t>
            </w:r>
          </w:p>
        </w:tc>
        <w:tc>
          <w:tcPr>
            <w:tcW w:w="280" w:type="dxa"/>
            <w:vAlign w:val="bottom"/>
            <w:vMerge w:val="continue"/>
          </w:tcPr>
          <w:p>
            <w:pPr>
              <w:spacing w:after="0"/>
              <w:rPr>
                <w:sz w:val="11"/>
                <w:szCs w:val="11"/>
                <w:color w:val="auto"/>
              </w:rPr>
            </w:pPr>
          </w:p>
        </w:tc>
        <w:tc>
          <w:tcPr>
            <w:tcW w:w="9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280" w:type="dxa"/>
            <w:vAlign w:val="bottom"/>
            <w:vMerge w:val="continue"/>
          </w:tcPr>
          <w:p>
            <w:pPr>
              <w:spacing w:after="0"/>
              <w:rPr>
                <w:sz w:val="7"/>
                <w:szCs w:val="7"/>
                <w:color w:val="auto"/>
              </w:rPr>
            </w:pPr>
          </w:p>
        </w:tc>
        <w:tc>
          <w:tcPr>
            <w:tcW w:w="280" w:type="dxa"/>
            <w:vAlign w:val="bottom"/>
            <w:vMerge w:val="restart"/>
          </w:tcPr>
          <w:p>
            <w:pPr>
              <w:ind w:left="120"/>
              <w:spacing w:after="0"/>
              <w:rPr>
                <w:sz w:val="20"/>
                <w:szCs w:val="20"/>
                <w:color w:val="auto"/>
              </w:rPr>
            </w:pPr>
            <w:r>
              <w:rPr>
                <w:rFonts w:ascii="Arial" w:cs="Arial" w:eastAsia="Arial" w:hAnsi="Arial"/>
                <w:sz w:val="17"/>
                <w:szCs w:val="17"/>
                <w:color w:val="355A89"/>
              </w:rPr>
              <w:t>●</w:t>
            </w:r>
          </w:p>
        </w:tc>
        <w:tc>
          <w:tcPr>
            <w:tcW w:w="9680" w:type="dxa"/>
            <w:vAlign w:val="bottom"/>
            <w:vMerge w:val="restart"/>
          </w:tcPr>
          <w:p>
            <w:pPr>
              <w:ind w:left="80"/>
              <w:spacing w:after="0"/>
              <w:rPr>
                <w:sz w:val="20"/>
                <w:szCs w:val="20"/>
                <w:color w:val="auto"/>
              </w:rPr>
            </w:pPr>
            <w:r>
              <w:rPr>
                <w:rFonts w:ascii="Arial" w:cs="Arial" w:eastAsia="Arial" w:hAnsi="Arial"/>
                <w:sz w:val="18"/>
                <w:szCs w:val="18"/>
                <w:color w:val="auto"/>
              </w:rPr>
              <w:t>We execute more transactions than many of our competitors over a much longer, multi-year period</w:t>
            </w:r>
          </w:p>
        </w:tc>
        <w:tc>
          <w:tcPr>
            <w:tcW w:w="0" w:type="dxa"/>
            <w:vAlign w:val="bottom"/>
          </w:tcPr>
          <w:p>
            <w:pPr>
              <w:spacing w:after="0"/>
              <w:rPr>
                <w:sz w:val="1"/>
                <w:szCs w:val="1"/>
                <w:color w:val="auto"/>
              </w:rPr>
            </w:pPr>
          </w:p>
        </w:tc>
      </w:tr>
      <w:tr>
        <w:trPr>
          <w:trHeight w:val="131"/>
        </w:trPr>
        <w:tc>
          <w:tcPr>
            <w:tcW w:w="1280" w:type="dxa"/>
            <w:vAlign w:val="bottom"/>
            <w:vMerge w:val="restart"/>
          </w:tcPr>
          <w:p>
            <w:pPr>
              <w:ind w:left="120"/>
              <w:spacing w:after="0" w:line="216" w:lineRule="exact"/>
              <w:rPr>
                <w:sz w:val="20"/>
                <w:szCs w:val="20"/>
                <w:color w:val="auto"/>
              </w:rPr>
            </w:pPr>
            <w:r>
              <w:rPr>
                <w:rFonts w:ascii="Arial" w:cs="Arial" w:eastAsia="Arial" w:hAnsi="Arial"/>
                <w:sz w:val="20"/>
                <w:szCs w:val="20"/>
                <w:b w:val="1"/>
                <w:bCs w:val="1"/>
                <w:color w:val="355A89"/>
              </w:rPr>
              <w:t>Business</w:t>
            </w:r>
          </w:p>
        </w:tc>
        <w:tc>
          <w:tcPr>
            <w:tcW w:w="280" w:type="dxa"/>
            <w:vAlign w:val="bottom"/>
            <w:vMerge w:val="continue"/>
          </w:tcPr>
          <w:p>
            <w:pPr>
              <w:spacing w:after="0"/>
              <w:rPr>
                <w:sz w:val="11"/>
                <w:szCs w:val="11"/>
                <w:color w:val="auto"/>
              </w:rPr>
            </w:pPr>
          </w:p>
        </w:tc>
        <w:tc>
          <w:tcPr>
            <w:tcW w:w="9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280" w:type="dxa"/>
            <w:vAlign w:val="bottom"/>
            <w:vMerge w:val="continue"/>
          </w:tcPr>
          <w:p>
            <w:pPr>
              <w:spacing w:after="0"/>
              <w:rPr>
                <w:sz w:val="7"/>
                <w:szCs w:val="7"/>
                <w:color w:val="auto"/>
              </w:rPr>
            </w:pPr>
          </w:p>
        </w:tc>
        <w:tc>
          <w:tcPr>
            <w:tcW w:w="280" w:type="dxa"/>
            <w:vAlign w:val="bottom"/>
            <w:vMerge w:val="restart"/>
          </w:tcPr>
          <w:p>
            <w:pPr>
              <w:ind w:left="120"/>
              <w:spacing w:after="0"/>
              <w:rPr>
                <w:sz w:val="20"/>
                <w:szCs w:val="20"/>
                <w:color w:val="auto"/>
              </w:rPr>
            </w:pPr>
            <w:r>
              <w:rPr>
                <w:rFonts w:ascii="Arial" w:cs="Arial" w:eastAsia="Arial" w:hAnsi="Arial"/>
                <w:sz w:val="17"/>
                <w:szCs w:val="17"/>
                <w:color w:val="355A89"/>
              </w:rPr>
              <w:t>●</w:t>
            </w:r>
          </w:p>
        </w:tc>
        <w:tc>
          <w:tcPr>
            <w:tcW w:w="9680" w:type="dxa"/>
            <w:vAlign w:val="bottom"/>
            <w:vMerge w:val="restart"/>
          </w:tcPr>
          <w:p>
            <w:pPr>
              <w:ind w:left="80"/>
              <w:spacing w:after="0"/>
              <w:rPr>
                <w:sz w:val="20"/>
                <w:szCs w:val="20"/>
                <w:color w:val="auto"/>
              </w:rPr>
            </w:pPr>
            <w:r>
              <w:rPr>
                <w:rFonts w:ascii="Arial" w:cs="Arial" w:eastAsia="Arial" w:hAnsi="Arial"/>
                <w:sz w:val="18"/>
                <w:szCs w:val="18"/>
                <w:color w:val="auto"/>
              </w:rPr>
              <w:t>Accordingly, we frequently capitalize on opportunities in the market, maximizing returns</w:t>
            </w:r>
          </w:p>
        </w:tc>
        <w:tc>
          <w:tcPr>
            <w:tcW w:w="0" w:type="dxa"/>
            <w:vAlign w:val="bottom"/>
          </w:tcPr>
          <w:p>
            <w:pPr>
              <w:spacing w:after="0"/>
              <w:rPr>
                <w:sz w:val="1"/>
                <w:szCs w:val="1"/>
                <w:color w:val="auto"/>
              </w:rPr>
            </w:pPr>
          </w:p>
        </w:tc>
      </w:tr>
      <w:tr>
        <w:trPr>
          <w:trHeight w:val="134"/>
        </w:trPr>
        <w:tc>
          <w:tcPr>
            <w:tcW w:w="1280" w:type="dxa"/>
            <w:vAlign w:val="bottom"/>
            <w:vMerge w:val="restart"/>
          </w:tcPr>
          <w:p>
            <w:pPr>
              <w:ind w:left="120"/>
              <w:spacing w:after="0"/>
              <w:rPr>
                <w:sz w:val="20"/>
                <w:szCs w:val="20"/>
                <w:color w:val="auto"/>
              </w:rPr>
            </w:pPr>
            <w:r>
              <w:rPr>
                <w:rFonts w:ascii="Arial" w:cs="Arial" w:eastAsia="Arial" w:hAnsi="Arial"/>
                <w:sz w:val="20"/>
                <w:szCs w:val="20"/>
                <w:b w:val="1"/>
                <w:bCs w:val="1"/>
                <w:color w:val="355A89"/>
              </w:rPr>
              <w:t>Strategy</w:t>
            </w:r>
          </w:p>
        </w:tc>
        <w:tc>
          <w:tcPr>
            <w:tcW w:w="280" w:type="dxa"/>
            <w:vAlign w:val="bottom"/>
            <w:vMerge w:val="continue"/>
          </w:tcPr>
          <w:p>
            <w:pPr>
              <w:spacing w:after="0"/>
              <w:rPr>
                <w:sz w:val="11"/>
                <w:szCs w:val="11"/>
                <w:color w:val="auto"/>
              </w:rPr>
            </w:pPr>
          </w:p>
        </w:tc>
        <w:tc>
          <w:tcPr>
            <w:tcW w:w="9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1280" w:type="dxa"/>
            <w:vAlign w:val="bottom"/>
            <w:tcBorders>
              <w:bottom w:val="single" w:sz="8" w:color="355989"/>
            </w:tcBorders>
          </w:tcPr>
          <w:p>
            <w:pPr>
              <w:spacing w:after="0"/>
              <w:rPr>
                <w:sz w:val="4"/>
                <w:szCs w:val="4"/>
                <w:color w:val="auto"/>
              </w:rPr>
            </w:pPr>
          </w:p>
        </w:tc>
        <w:tc>
          <w:tcPr>
            <w:tcW w:w="280" w:type="dxa"/>
            <w:vAlign w:val="bottom"/>
            <w:tcBorders>
              <w:bottom w:val="single" w:sz="8" w:color="355989"/>
            </w:tcBorders>
          </w:tcPr>
          <w:p>
            <w:pPr>
              <w:spacing w:after="0"/>
              <w:rPr>
                <w:sz w:val="4"/>
                <w:szCs w:val="4"/>
                <w:color w:val="auto"/>
              </w:rPr>
            </w:pPr>
          </w:p>
        </w:tc>
        <w:tc>
          <w:tcPr>
            <w:tcW w:w="9680" w:type="dxa"/>
            <w:vAlign w:val="bottom"/>
            <w:tcBorders>
              <w:bottom w:val="single" w:sz="8" w:color="355989"/>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280" w:type="dxa"/>
            <w:vAlign w:val="bottom"/>
          </w:tcPr>
          <w:p>
            <w:pPr>
              <w:ind w:left="120"/>
              <w:spacing w:after="0"/>
              <w:rPr>
                <w:sz w:val="20"/>
                <w:szCs w:val="20"/>
                <w:color w:val="auto"/>
              </w:rPr>
            </w:pPr>
            <w:r>
              <w:rPr>
                <w:rFonts w:ascii="Arial" w:cs="Arial" w:eastAsia="Arial" w:hAnsi="Arial"/>
                <w:sz w:val="20"/>
                <w:szCs w:val="20"/>
                <w:b w:val="1"/>
                <w:bCs w:val="1"/>
                <w:color w:val="355A89"/>
              </w:rPr>
              <w:t>Operations</w:t>
            </w:r>
          </w:p>
        </w:tc>
        <w:tc>
          <w:tcPr>
            <w:tcW w:w="280" w:type="dxa"/>
            <w:vAlign w:val="bottom"/>
          </w:tcPr>
          <w:p>
            <w:pPr>
              <w:ind w:left="120"/>
              <w:spacing w:after="0"/>
              <w:rPr>
                <w:sz w:val="20"/>
                <w:szCs w:val="20"/>
                <w:color w:val="auto"/>
              </w:rPr>
            </w:pPr>
            <w:r>
              <w:rPr>
                <w:rFonts w:ascii="Arial" w:cs="Arial" w:eastAsia="Arial" w:hAnsi="Arial"/>
                <w:sz w:val="17"/>
                <w:szCs w:val="17"/>
                <w:color w:val="355A89"/>
              </w:rPr>
              <w:t>●</w:t>
            </w:r>
          </w:p>
        </w:tc>
        <w:tc>
          <w:tcPr>
            <w:tcW w:w="9680" w:type="dxa"/>
            <w:vAlign w:val="bottom"/>
          </w:tcPr>
          <w:p>
            <w:pPr>
              <w:ind w:left="80"/>
              <w:spacing w:after="0"/>
              <w:rPr>
                <w:sz w:val="20"/>
                <w:szCs w:val="20"/>
                <w:color w:val="auto"/>
              </w:rPr>
            </w:pPr>
            <w:r>
              <w:rPr>
                <w:rFonts w:ascii="Arial" w:cs="Arial" w:eastAsia="Arial" w:hAnsi="Arial"/>
                <w:sz w:val="18"/>
                <w:szCs w:val="18"/>
                <w:color w:val="auto"/>
              </w:rPr>
              <w:t>Buy and sell properties independently and collaborate with other investors through joint ventures when advantageous</w:t>
            </w:r>
          </w:p>
        </w:tc>
        <w:tc>
          <w:tcPr>
            <w:tcW w:w="0" w:type="dxa"/>
            <w:vAlign w:val="bottom"/>
          </w:tcPr>
          <w:p>
            <w:pPr>
              <w:spacing w:after="0"/>
              <w:rPr>
                <w:sz w:val="1"/>
                <w:szCs w:val="1"/>
                <w:color w:val="auto"/>
              </w:rPr>
            </w:pPr>
          </w:p>
        </w:tc>
      </w:tr>
      <w:tr>
        <w:trPr>
          <w:trHeight w:val="216"/>
        </w:trPr>
        <w:tc>
          <w:tcPr>
            <w:tcW w:w="1280" w:type="dxa"/>
            <w:vAlign w:val="bottom"/>
          </w:tcPr>
          <w:p>
            <w:pPr>
              <w:ind w:left="120"/>
              <w:spacing w:after="0" w:line="216" w:lineRule="exact"/>
              <w:rPr>
                <w:sz w:val="20"/>
                <w:szCs w:val="20"/>
                <w:color w:val="auto"/>
              </w:rPr>
            </w:pPr>
            <w:r>
              <w:rPr>
                <w:rFonts w:ascii="Arial" w:cs="Arial" w:eastAsia="Arial" w:hAnsi="Arial"/>
                <w:sz w:val="20"/>
                <w:szCs w:val="20"/>
                <w:b w:val="1"/>
                <w:bCs w:val="1"/>
                <w:color w:val="355A89"/>
              </w:rPr>
              <w:t>on Multiple</w:t>
            </w:r>
          </w:p>
        </w:tc>
        <w:tc>
          <w:tcPr>
            <w:tcW w:w="280" w:type="dxa"/>
            <w:vAlign w:val="bottom"/>
          </w:tcPr>
          <w:p>
            <w:pPr>
              <w:ind w:left="120"/>
              <w:spacing w:after="0"/>
              <w:rPr>
                <w:sz w:val="20"/>
                <w:szCs w:val="20"/>
                <w:color w:val="auto"/>
              </w:rPr>
            </w:pPr>
            <w:r>
              <w:rPr>
                <w:rFonts w:ascii="Arial" w:cs="Arial" w:eastAsia="Arial" w:hAnsi="Arial"/>
                <w:sz w:val="17"/>
                <w:szCs w:val="17"/>
                <w:color w:val="355A89"/>
              </w:rPr>
              <w:t>●</w:t>
            </w:r>
          </w:p>
        </w:tc>
        <w:tc>
          <w:tcPr>
            <w:tcW w:w="9680" w:type="dxa"/>
            <w:vAlign w:val="bottom"/>
          </w:tcPr>
          <w:p>
            <w:pPr>
              <w:ind w:left="80"/>
              <w:spacing w:after="0"/>
              <w:rPr>
                <w:sz w:val="20"/>
                <w:szCs w:val="20"/>
                <w:color w:val="auto"/>
              </w:rPr>
            </w:pPr>
            <w:r>
              <w:rPr>
                <w:rFonts w:ascii="Arial" w:cs="Arial" w:eastAsia="Arial" w:hAnsi="Arial"/>
                <w:sz w:val="18"/>
                <w:szCs w:val="18"/>
                <w:color w:val="auto"/>
              </w:rPr>
              <w:t>Invest in redeveloping existing assets (e.g. One Madison Avenue) and developing projects from the ground up (e.g. One</w:t>
            </w:r>
          </w:p>
        </w:tc>
        <w:tc>
          <w:tcPr>
            <w:tcW w:w="0" w:type="dxa"/>
            <w:vAlign w:val="bottom"/>
          </w:tcPr>
          <w:p>
            <w:pPr>
              <w:spacing w:after="0"/>
              <w:rPr>
                <w:sz w:val="1"/>
                <w:szCs w:val="1"/>
                <w:color w:val="auto"/>
              </w:rPr>
            </w:pPr>
          </w:p>
        </w:tc>
      </w:tr>
      <w:tr>
        <w:trPr>
          <w:trHeight w:val="226"/>
        </w:trPr>
        <w:tc>
          <w:tcPr>
            <w:tcW w:w="1280" w:type="dxa"/>
            <w:vAlign w:val="bottom"/>
          </w:tcPr>
          <w:p>
            <w:pPr>
              <w:ind w:left="120"/>
              <w:spacing w:after="0" w:line="226" w:lineRule="exact"/>
              <w:rPr>
                <w:sz w:val="20"/>
                <w:szCs w:val="20"/>
                <w:color w:val="auto"/>
              </w:rPr>
            </w:pPr>
            <w:r>
              <w:rPr>
                <w:rFonts w:ascii="Arial" w:cs="Arial" w:eastAsia="Arial" w:hAnsi="Arial"/>
                <w:sz w:val="20"/>
                <w:szCs w:val="20"/>
                <w:b w:val="1"/>
                <w:bCs w:val="1"/>
                <w:color w:val="355A89"/>
              </w:rPr>
              <w:t>Platforms</w:t>
            </w:r>
          </w:p>
        </w:tc>
        <w:tc>
          <w:tcPr>
            <w:tcW w:w="280" w:type="dxa"/>
            <w:vAlign w:val="bottom"/>
          </w:tcPr>
          <w:p>
            <w:pPr>
              <w:spacing w:after="0"/>
              <w:rPr>
                <w:sz w:val="19"/>
                <w:szCs w:val="19"/>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rPr>
              <w:t>Vanderbilt, 185 Broadway and 15 Beekman)</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9960" w:type="dxa"/>
            <w:vAlign w:val="bottom"/>
            <w:gridSpan w:val="2"/>
          </w:tcPr>
          <w:p>
            <w:pPr>
              <w:ind w:left="12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Provide financing for other real estate related entities through our debt and preferred equity platform – a unique business</w:t>
            </w: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rPr>
              <w:t>that we operate at a scale unmatched by our peers, which provides us a diversified source of revenue and market</w:t>
            </w: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rPr>
              <w:t>intelligence</w:t>
            </w:r>
          </w:p>
        </w:tc>
        <w:tc>
          <w:tcPr>
            <w:tcW w:w="0" w:type="dxa"/>
            <w:vAlign w:val="bottom"/>
          </w:tcPr>
          <w:p>
            <w:pPr>
              <w:spacing w:after="0"/>
              <w:rPr>
                <w:sz w:val="1"/>
                <w:szCs w:val="1"/>
                <w:color w:val="auto"/>
              </w:rPr>
            </w:pPr>
          </w:p>
        </w:tc>
      </w:tr>
      <w:tr>
        <w:trPr>
          <w:trHeight w:val="56"/>
        </w:trPr>
        <w:tc>
          <w:tcPr>
            <w:tcW w:w="1280" w:type="dxa"/>
            <w:vAlign w:val="bottom"/>
            <w:tcBorders>
              <w:bottom w:val="single" w:sz="8" w:color="355989"/>
            </w:tcBorders>
          </w:tcPr>
          <w:p>
            <w:pPr>
              <w:spacing w:after="0"/>
              <w:rPr>
                <w:sz w:val="4"/>
                <w:szCs w:val="4"/>
                <w:color w:val="auto"/>
              </w:rPr>
            </w:pPr>
          </w:p>
        </w:tc>
        <w:tc>
          <w:tcPr>
            <w:tcW w:w="280" w:type="dxa"/>
            <w:vAlign w:val="bottom"/>
            <w:tcBorders>
              <w:bottom w:val="single" w:sz="8" w:color="355989"/>
            </w:tcBorders>
          </w:tcPr>
          <w:p>
            <w:pPr>
              <w:spacing w:after="0"/>
              <w:rPr>
                <w:sz w:val="4"/>
                <w:szCs w:val="4"/>
                <w:color w:val="auto"/>
              </w:rPr>
            </w:pPr>
          </w:p>
        </w:tc>
        <w:tc>
          <w:tcPr>
            <w:tcW w:w="9680" w:type="dxa"/>
            <w:vAlign w:val="bottom"/>
            <w:tcBorders>
              <w:bottom w:val="single" w:sz="8" w:color="355989"/>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280" w:type="dxa"/>
            <w:vAlign w:val="bottom"/>
          </w:tcPr>
          <w:p>
            <w:pPr>
              <w:ind w:left="120"/>
              <w:spacing w:after="0"/>
              <w:rPr>
                <w:sz w:val="20"/>
                <w:szCs w:val="20"/>
                <w:color w:val="auto"/>
              </w:rPr>
            </w:pPr>
            <w:r>
              <w:rPr>
                <w:rFonts w:ascii="Arial" w:cs="Arial" w:eastAsia="Arial" w:hAnsi="Arial"/>
                <w:sz w:val="20"/>
                <w:szCs w:val="20"/>
                <w:b w:val="1"/>
                <w:bCs w:val="1"/>
                <w:color w:val="355A89"/>
              </w:rPr>
              <w:t>NYC-</w:t>
            </w:r>
          </w:p>
        </w:tc>
        <w:tc>
          <w:tcPr>
            <w:tcW w:w="280" w:type="dxa"/>
            <w:vAlign w:val="bottom"/>
          </w:tcPr>
          <w:p>
            <w:pPr>
              <w:ind w:left="120"/>
              <w:spacing w:after="0"/>
              <w:rPr>
                <w:sz w:val="20"/>
                <w:szCs w:val="20"/>
                <w:color w:val="auto"/>
              </w:rPr>
            </w:pPr>
            <w:r>
              <w:rPr>
                <w:rFonts w:ascii="Arial" w:cs="Arial" w:eastAsia="Arial" w:hAnsi="Arial"/>
                <w:sz w:val="17"/>
                <w:szCs w:val="17"/>
                <w:color w:val="355A89"/>
              </w:rPr>
              <w:t>●</w:t>
            </w:r>
          </w:p>
        </w:tc>
        <w:tc>
          <w:tcPr>
            <w:tcW w:w="9680" w:type="dxa"/>
            <w:vAlign w:val="bottom"/>
          </w:tcPr>
          <w:p>
            <w:pPr>
              <w:ind w:left="80"/>
              <w:spacing w:after="0"/>
              <w:rPr>
                <w:sz w:val="20"/>
                <w:szCs w:val="20"/>
                <w:color w:val="auto"/>
              </w:rPr>
            </w:pPr>
            <w:r>
              <w:rPr>
                <w:rFonts w:ascii="Arial" w:cs="Arial" w:eastAsia="Arial" w:hAnsi="Arial"/>
                <w:sz w:val="18"/>
                <w:szCs w:val="18"/>
                <w:color w:val="auto"/>
              </w:rPr>
              <w:t>Singularly focused on New York City real estate – one of the most liquid and resilient markets through business cycles,</w:t>
            </w:r>
          </w:p>
        </w:tc>
        <w:tc>
          <w:tcPr>
            <w:tcW w:w="0" w:type="dxa"/>
            <w:vAlign w:val="bottom"/>
          </w:tcPr>
          <w:p>
            <w:pPr>
              <w:spacing w:after="0"/>
              <w:rPr>
                <w:sz w:val="1"/>
                <w:szCs w:val="1"/>
                <w:color w:val="auto"/>
              </w:rPr>
            </w:pPr>
          </w:p>
        </w:tc>
      </w:tr>
      <w:tr>
        <w:trPr>
          <w:trHeight w:val="216"/>
        </w:trPr>
        <w:tc>
          <w:tcPr>
            <w:tcW w:w="1280" w:type="dxa"/>
            <w:vAlign w:val="bottom"/>
          </w:tcPr>
          <w:p>
            <w:pPr>
              <w:ind w:left="120"/>
              <w:spacing w:after="0" w:line="216" w:lineRule="exact"/>
              <w:rPr>
                <w:sz w:val="20"/>
                <w:szCs w:val="20"/>
                <w:color w:val="auto"/>
              </w:rPr>
            </w:pPr>
            <w:r>
              <w:rPr>
                <w:rFonts w:ascii="Arial" w:cs="Arial" w:eastAsia="Arial" w:hAnsi="Arial"/>
                <w:sz w:val="20"/>
                <w:szCs w:val="20"/>
                <w:b w:val="1"/>
                <w:bCs w:val="1"/>
                <w:color w:val="355A89"/>
              </w:rPr>
              <w:t>Focused</w:t>
            </w:r>
          </w:p>
        </w:tc>
        <w:tc>
          <w:tcPr>
            <w:tcW w:w="280" w:type="dxa"/>
            <w:vAlign w:val="bottom"/>
          </w:tcPr>
          <w:p>
            <w:pPr>
              <w:spacing w:after="0"/>
              <w:rPr>
                <w:sz w:val="18"/>
                <w:szCs w:val="18"/>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rPr>
              <w:t>and also one of the most complex and competitive</w:t>
            </w:r>
          </w:p>
        </w:tc>
        <w:tc>
          <w:tcPr>
            <w:tcW w:w="0" w:type="dxa"/>
            <w:vAlign w:val="bottom"/>
          </w:tcPr>
          <w:p>
            <w:pPr>
              <w:spacing w:after="0"/>
              <w:rPr>
                <w:sz w:val="1"/>
                <w:szCs w:val="1"/>
                <w:color w:val="auto"/>
              </w:rPr>
            </w:pPr>
          </w:p>
        </w:tc>
      </w:tr>
      <w:tr>
        <w:trPr>
          <w:trHeight w:val="216"/>
        </w:trPr>
        <w:tc>
          <w:tcPr>
            <w:tcW w:w="1280" w:type="dxa"/>
            <w:vAlign w:val="bottom"/>
          </w:tcPr>
          <w:p>
            <w:pPr>
              <w:ind w:left="120"/>
              <w:spacing w:after="0" w:line="216" w:lineRule="exact"/>
              <w:rPr>
                <w:sz w:val="20"/>
                <w:szCs w:val="20"/>
                <w:color w:val="auto"/>
              </w:rPr>
            </w:pPr>
            <w:r>
              <w:rPr>
                <w:rFonts w:ascii="Arial" w:cs="Arial" w:eastAsia="Arial" w:hAnsi="Arial"/>
                <w:sz w:val="20"/>
                <w:szCs w:val="20"/>
                <w:b w:val="1"/>
                <w:bCs w:val="1"/>
                <w:color w:val="355A89"/>
              </w:rPr>
              <w:t>Business</w:t>
            </w:r>
          </w:p>
        </w:tc>
        <w:tc>
          <w:tcPr>
            <w:tcW w:w="280" w:type="dxa"/>
            <w:vAlign w:val="bottom"/>
          </w:tcPr>
          <w:p>
            <w:pPr>
              <w:ind w:left="120"/>
              <w:spacing w:after="0"/>
              <w:rPr>
                <w:sz w:val="20"/>
                <w:szCs w:val="20"/>
                <w:color w:val="auto"/>
              </w:rPr>
            </w:pPr>
            <w:r>
              <w:rPr>
                <w:rFonts w:ascii="Arial" w:cs="Arial" w:eastAsia="Arial" w:hAnsi="Arial"/>
                <w:sz w:val="17"/>
                <w:szCs w:val="17"/>
                <w:color w:val="355A89"/>
              </w:rPr>
              <w:t>●</w:t>
            </w:r>
          </w:p>
        </w:tc>
        <w:tc>
          <w:tcPr>
            <w:tcW w:w="9680" w:type="dxa"/>
            <w:vAlign w:val="bottom"/>
          </w:tcPr>
          <w:p>
            <w:pPr>
              <w:ind w:left="80"/>
              <w:spacing w:after="0"/>
              <w:rPr>
                <w:sz w:val="20"/>
                <w:szCs w:val="20"/>
                <w:color w:val="auto"/>
              </w:rPr>
            </w:pPr>
            <w:r>
              <w:rPr>
                <w:rFonts w:ascii="Arial" w:cs="Arial" w:eastAsia="Arial" w:hAnsi="Arial"/>
                <w:sz w:val="18"/>
                <w:szCs w:val="18"/>
                <w:color w:val="auto"/>
              </w:rPr>
              <w:t>Presence and operations in this complex and highly competitive market necessitate a top level of talent in our executive</w:t>
            </w:r>
          </w:p>
        </w:tc>
        <w:tc>
          <w:tcPr>
            <w:tcW w:w="0" w:type="dxa"/>
            <w:vAlign w:val="bottom"/>
          </w:tcPr>
          <w:p>
            <w:pPr>
              <w:spacing w:after="0"/>
              <w:rPr>
                <w:sz w:val="1"/>
                <w:szCs w:val="1"/>
                <w:color w:val="auto"/>
              </w:rPr>
            </w:pPr>
          </w:p>
        </w:tc>
      </w:tr>
      <w:tr>
        <w:trPr>
          <w:trHeight w:val="212"/>
        </w:trPr>
        <w:tc>
          <w:tcPr>
            <w:tcW w:w="1280" w:type="dxa"/>
            <w:vAlign w:val="bottom"/>
          </w:tcPr>
          <w:p>
            <w:pPr>
              <w:ind w:left="120"/>
              <w:spacing w:after="0" w:line="212" w:lineRule="exact"/>
              <w:rPr>
                <w:sz w:val="20"/>
                <w:szCs w:val="20"/>
                <w:color w:val="auto"/>
              </w:rPr>
            </w:pPr>
            <w:r>
              <w:rPr>
                <w:rFonts w:ascii="Arial" w:cs="Arial" w:eastAsia="Arial" w:hAnsi="Arial"/>
                <w:sz w:val="20"/>
                <w:szCs w:val="20"/>
                <w:b w:val="1"/>
                <w:bCs w:val="1"/>
                <w:color w:val="355A89"/>
              </w:rPr>
              <w:t>Model</w:t>
            </w:r>
          </w:p>
        </w:tc>
        <w:tc>
          <w:tcPr>
            <w:tcW w:w="280" w:type="dxa"/>
            <w:vAlign w:val="bottom"/>
          </w:tcPr>
          <w:p>
            <w:pPr>
              <w:spacing w:after="0"/>
              <w:rPr>
                <w:sz w:val="18"/>
                <w:szCs w:val="18"/>
                <w:color w:val="auto"/>
              </w:rPr>
            </w:pPr>
          </w:p>
        </w:tc>
        <w:tc>
          <w:tcPr>
            <w:tcW w:w="9680" w:type="dxa"/>
            <w:vAlign w:val="bottom"/>
          </w:tcPr>
          <w:p>
            <w:pPr>
              <w:ind w:left="100"/>
              <w:spacing w:after="0"/>
              <w:rPr>
                <w:sz w:val="20"/>
                <w:szCs w:val="20"/>
                <w:color w:val="auto"/>
              </w:rPr>
            </w:pPr>
            <w:r>
              <w:rPr>
                <w:rFonts w:ascii="Arial" w:cs="Arial" w:eastAsia="Arial" w:hAnsi="Arial"/>
                <w:sz w:val="18"/>
                <w:szCs w:val="18"/>
                <w:color w:val="auto"/>
              </w:rPr>
              <w:t>ranks</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9960" w:type="dxa"/>
            <w:vAlign w:val="bottom"/>
            <w:gridSpan w:val="2"/>
          </w:tcPr>
          <w:p>
            <w:pPr>
              <w:ind w:left="12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Our leadership team actively manages our Company, allowing us to be very efficient, with an employee base much</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smaller than other fully-integrated “gateway city” real estate companies that transact far less business than SLG</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Stock Repurchase Activity Demonstrates Continued Confidence in SLG’s Long-Term Value</w:t>
      </w:r>
      <w:r>
        <w:rPr>
          <w:rFonts w:ascii="Arial" w:cs="Arial" w:eastAsia="Arial" w:hAnsi="Arial"/>
          <w:sz w:val="32"/>
          <w:szCs w:val="32"/>
          <w:b w:val="1"/>
          <w:bCs w:val="1"/>
          <w:color w:val="355A89"/>
          <w:vertAlign w:val="superscript"/>
        </w:rPr>
        <w:t>(3)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Aggregate of $2.9B share repurchases representing: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132080</wp:posOffset>
            </wp:positionV>
            <wp:extent cx="889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132080</wp:posOffset>
            </wp:positionV>
            <wp:extent cx="825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44577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560" w:type="dxa"/>
            <w:vAlign w:val="bottom"/>
            <w:shd w:val="clear" w:color="auto" w:fill="8F98B7"/>
          </w:tcPr>
          <w:p>
            <w:pPr>
              <w:jc w:val="right"/>
              <w:ind w:right="1382"/>
              <w:spacing w:after="0"/>
              <w:rPr>
                <w:sz w:val="20"/>
                <w:szCs w:val="20"/>
                <w:color w:val="auto"/>
              </w:rPr>
            </w:pPr>
            <w:r>
              <w:rPr>
                <w:rFonts w:ascii="Arial" w:cs="Arial" w:eastAsia="Arial" w:hAnsi="Arial"/>
                <w:sz w:val="22"/>
                <w:szCs w:val="22"/>
                <w:b w:val="1"/>
                <w:bCs w:val="1"/>
                <w:color w:val="FFFFFF"/>
              </w:rPr>
              <w:t>34.1</w:t>
            </w:r>
          </w:p>
        </w:tc>
        <w:tc>
          <w:tcPr>
            <w:tcW w:w="3660" w:type="dxa"/>
            <w:vAlign w:val="bottom"/>
            <w:shd w:val="clear" w:color="auto" w:fill="8F98B7"/>
          </w:tcPr>
          <w:p>
            <w:pPr>
              <w:jc w:val="right"/>
              <w:ind w:right="1302"/>
              <w:spacing w:after="0"/>
              <w:rPr>
                <w:sz w:val="20"/>
                <w:szCs w:val="20"/>
                <w:color w:val="auto"/>
              </w:rPr>
            </w:pPr>
            <w:r>
              <w:rPr>
                <w:rFonts w:ascii="Arial" w:cs="Arial" w:eastAsia="Arial" w:hAnsi="Arial"/>
                <w:sz w:val="22"/>
                <w:szCs w:val="22"/>
                <w:b w:val="1"/>
                <w:bCs w:val="1"/>
                <w:color w:val="FFFFFF"/>
              </w:rPr>
              <w:t>33%</w:t>
            </w:r>
          </w:p>
        </w:tc>
        <w:tc>
          <w:tcPr>
            <w:tcW w:w="4020" w:type="dxa"/>
            <w:vAlign w:val="bottom"/>
            <w:shd w:val="clear" w:color="auto" w:fill="8F98B7"/>
          </w:tcPr>
          <w:p>
            <w:pPr>
              <w:jc w:val="right"/>
              <w:ind w:right="1542"/>
              <w:spacing w:after="0"/>
              <w:rPr>
                <w:sz w:val="20"/>
                <w:szCs w:val="20"/>
                <w:color w:val="auto"/>
              </w:rPr>
            </w:pPr>
            <w:r>
              <w:rPr>
                <w:rFonts w:ascii="Arial" w:cs="Arial" w:eastAsia="Arial" w:hAnsi="Arial"/>
                <w:sz w:val="22"/>
                <w:szCs w:val="22"/>
                <w:b w:val="1"/>
                <w:bCs w:val="1"/>
                <w:color w:val="FFFFFF"/>
              </w:rPr>
              <w:t>$124</w:t>
            </w:r>
          </w:p>
        </w:tc>
      </w:tr>
      <w:tr>
        <w:trPr>
          <w:trHeight w:val="366"/>
        </w:trPr>
        <w:tc>
          <w:tcPr>
            <w:tcW w:w="3560" w:type="dxa"/>
            <w:vAlign w:val="bottom"/>
            <w:shd w:val="clear" w:color="auto" w:fill="8F98B7"/>
          </w:tcPr>
          <w:p>
            <w:pPr>
              <w:jc w:val="center"/>
              <w:ind w:left="62"/>
              <w:spacing w:after="0"/>
              <w:rPr>
                <w:sz w:val="20"/>
                <w:szCs w:val="20"/>
                <w:color w:val="auto"/>
              </w:rPr>
            </w:pPr>
            <w:r>
              <w:rPr>
                <w:rFonts w:ascii="Arial" w:cs="Arial" w:eastAsia="Arial" w:hAnsi="Arial"/>
                <w:sz w:val="18"/>
                <w:szCs w:val="18"/>
                <w:b w:val="1"/>
                <w:bCs w:val="1"/>
                <w:color w:val="486591"/>
                <w:w w:val="93"/>
              </w:rPr>
              <w:t>million shares</w:t>
            </w:r>
            <w:r>
              <w:rPr>
                <w:rFonts w:ascii="Arial" w:cs="Arial" w:eastAsia="Arial" w:hAnsi="Arial"/>
                <w:sz w:val="29"/>
                <w:szCs w:val="29"/>
                <w:b w:val="1"/>
                <w:bCs w:val="1"/>
                <w:color w:val="486591"/>
                <w:w w:val="93"/>
                <w:vertAlign w:val="superscript"/>
              </w:rPr>
              <w:t>(4)</w:t>
            </w:r>
          </w:p>
        </w:tc>
        <w:tc>
          <w:tcPr>
            <w:tcW w:w="3660" w:type="dxa"/>
            <w:vAlign w:val="bottom"/>
            <w:shd w:val="clear" w:color="auto" w:fill="8F98B7"/>
          </w:tcPr>
          <w:p>
            <w:pPr>
              <w:jc w:val="center"/>
              <w:ind w:left="342"/>
              <w:spacing w:after="0"/>
              <w:rPr>
                <w:sz w:val="20"/>
                <w:szCs w:val="20"/>
                <w:color w:val="auto"/>
              </w:rPr>
            </w:pPr>
            <w:r>
              <w:rPr>
                <w:rFonts w:ascii="Arial" w:cs="Arial" w:eastAsia="Arial" w:hAnsi="Arial"/>
                <w:sz w:val="18"/>
                <w:szCs w:val="18"/>
                <w:b w:val="1"/>
                <w:bCs w:val="1"/>
                <w:color w:val="486591"/>
                <w:w w:val="95"/>
              </w:rPr>
              <w:t>of Outstanding Shares</w:t>
            </w:r>
            <w:r>
              <w:rPr>
                <w:rFonts w:ascii="Arial" w:cs="Arial" w:eastAsia="Arial" w:hAnsi="Arial"/>
                <w:sz w:val="29"/>
                <w:szCs w:val="29"/>
                <w:b w:val="1"/>
                <w:bCs w:val="1"/>
                <w:color w:val="486591"/>
                <w:w w:val="95"/>
                <w:vertAlign w:val="superscript"/>
              </w:rPr>
              <w:t>(5)</w:t>
            </w:r>
          </w:p>
        </w:tc>
        <w:tc>
          <w:tcPr>
            <w:tcW w:w="4020" w:type="dxa"/>
            <w:vAlign w:val="bottom"/>
            <w:shd w:val="clear" w:color="auto" w:fill="8F98B7"/>
          </w:tcPr>
          <w:p>
            <w:pPr>
              <w:jc w:val="center"/>
              <w:ind w:left="182"/>
              <w:spacing w:after="0"/>
              <w:rPr>
                <w:sz w:val="20"/>
                <w:szCs w:val="20"/>
                <w:color w:val="auto"/>
              </w:rPr>
            </w:pPr>
            <w:r>
              <w:rPr>
                <w:rFonts w:ascii="Arial" w:cs="Arial" w:eastAsia="Arial" w:hAnsi="Arial"/>
                <w:sz w:val="18"/>
                <w:szCs w:val="18"/>
                <w:b w:val="1"/>
                <w:bCs w:val="1"/>
                <w:color w:val="486591"/>
                <w:w w:val="95"/>
              </w:rPr>
              <w:t>million in Annual Dividend Savings</w:t>
            </w:r>
            <w:r>
              <w:rPr>
                <w:rFonts w:ascii="Arial" w:cs="Arial" w:eastAsia="Arial" w:hAnsi="Arial"/>
                <w:sz w:val="29"/>
                <w:szCs w:val="29"/>
                <w:b w:val="1"/>
                <w:bCs w:val="1"/>
                <w:color w:val="486591"/>
                <w:w w:val="95"/>
                <w:vertAlign w:val="superscript"/>
              </w:rPr>
              <w:t>(6)</w:t>
            </w:r>
          </w:p>
        </w:tc>
      </w:tr>
    </w:tbl>
    <w:p>
      <w:pPr>
        <w:spacing w:after="0" w:line="242"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1"/>
          <w:szCs w:val="11"/>
          <w:color w:val="auto"/>
        </w:rPr>
      </w:pPr>
      <w:r>
        <w:rPr>
          <w:rFonts w:ascii="Arial" w:cs="Arial" w:eastAsia="Arial" w:hAnsi="Arial"/>
          <w:sz w:val="13"/>
          <w:szCs w:val="13"/>
          <w:color w:val="auto"/>
        </w:rPr>
        <w:t>Data as of 12/31/2020</w:t>
      </w:r>
    </w:p>
    <w:p>
      <w:pPr>
        <w:spacing w:after="0" w:line="80" w:lineRule="exact"/>
        <w:rPr>
          <w:rFonts w:ascii="Arial" w:cs="Arial" w:eastAsia="Arial" w:hAnsi="Arial"/>
          <w:sz w:val="11"/>
          <w:szCs w:val="11"/>
          <w:color w:val="auto"/>
        </w:rPr>
      </w:pPr>
    </w:p>
    <w:p>
      <w:pPr>
        <w:ind w:left="300" w:hanging="292"/>
        <w:spacing w:after="0"/>
        <w:tabs>
          <w:tab w:leader="none" w:pos="300" w:val="left"/>
        </w:tabs>
        <w:numPr>
          <w:ilvl w:val="0"/>
          <w:numId w:val="6"/>
        </w:numPr>
        <w:rPr>
          <w:rFonts w:ascii="Arial" w:cs="Arial" w:eastAsia="Arial" w:hAnsi="Arial"/>
          <w:sz w:val="11"/>
          <w:szCs w:val="11"/>
          <w:color w:val="auto"/>
        </w:rPr>
      </w:pPr>
      <w:r>
        <w:rPr>
          <w:rFonts w:ascii="Arial" w:cs="Arial" w:eastAsia="Arial" w:hAnsi="Arial"/>
          <w:sz w:val="13"/>
          <w:szCs w:val="13"/>
          <w:color w:val="auto"/>
        </w:rPr>
        <w:t>Includes debt and preferred equity investments and suburban properties</w:t>
      </w:r>
    </w:p>
    <w:p>
      <w:pPr>
        <w:spacing w:after="0" w:line="80" w:lineRule="exact"/>
        <w:rPr>
          <w:rFonts w:ascii="Arial" w:cs="Arial" w:eastAsia="Arial" w:hAnsi="Arial"/>
          <w:sz w:val="11"/>
          <w:szCs w:val="11"/>
          <w:color w:val="auto"/>
        </w:rPr>
      </w:pPr>
    </w:p>
    <w:p>
      <w:pPr>
        <w:ind w:left="300" w:hanging="292"/>
        <w:spacing w:after="0"/>
        <w:tabs>
          <w:tab w:leader="none" w:pos="300" w:val="left"/>
        </w:tabs>
        <w:numPr>
          <w:ilvl w:val="0"/>
          <w:numId w:val="6"/>
        </w:numPr>
        <w:rPr>
          <w:rFonts w:ascii="Arial" w:cs="Arial" w:eastAsia="Arial" w:hAnsi="Arial"/>
          <w:sz w:val="11"/>
          <w:szCs w:val="11"/>
          <w:color w:val="auto"/>
        </w:rPr>
      </w:pPr>
      <w:r>
        <w:rPr>
          <w:rFonts w:ascii="Arial" w:cs="Arial" w:eastAsia="Arial" w:hAnsi="Arial"/>
          <w:sz w:val="13"/>
          <w:szCs w:val="13"/>
          <w:color w:val="auto"/>
        </w:rPr>
        <w:t>As of 3/31/2021</w:t>
      </w:r>
    </w:p>
    <w:p>
      <w:pPr>
        <w:spacing w:after="0" w:line="80" w:lineRule="exact"/>
        <w:rPr>
          <w:rFonts w:ascii="Arial" w:cs="Arial" w:eastAsia="Arial" w:hAnsi="Arial"/>
          <w:sz w:val="11"/>
          <w:szCs w:val="11"/>
          <w:color w:val="auto"/>
        </w:rPr>
      </w:pPr>
    </w:p>
    <w:p>
      <w:pPr>
        <w:ind w:left="300" w:hanging="292"/>
        <w:spacing w:after="0"/>
        <w:tabs>
          <w:tab w:leader="none" w:pos="300" w:val="left"/>
        </w:tabs>
        <w:numPr>
          <w:ilvl w:val="0"/>
          <w:numId w:val="6"/>
        </w:numPr>
        <w:rPr>
          <w:rFonts w:ascii="Arial" w:cs="Arial" w:eastAsia="Arial" w:hAnsi="Arial"/>
          <w:sz w:val="11"/>
          <w:szCs w:val="11"/>
          <w:color w:val="auto"/>
        </w:rPr>
      </w:pPr>
      <w:r>
        <w:rPr>
          <w:rFonts w:ascii="Arial" w:cs="Arial" w:eastAsia="Arial" w:hAnsi="Arial"/>
          <w:sz w:val="13"/>
          <w:szCs w:val="13"/>
          <w:color w:val="auto"/>
        </w:rPr>
        <w:t>Inclusive of OP unit redemptions</w:t>
      </w:r>
    </w:p>
    <w:p>
      <w:pPr>
        <w:spacing w:after="0" w:line="80" w:lineRule="exact"/>
        <w:rPr>
          <w:rFonts w:ascii="Arial" w:cs="Arial" w:eastAsia="Arial" w:hAnsi="Arial"/>
          <w:sz w:val="11"/>
          <w:szCs w:val="11"/>
          <w:color w:val="auto"/>
        </w:rPr>
      </w:pPr>
    </w:p>
    <w:p>
      <w:pPr>
        <w:ind w:left="300" w:right="40" w:hanging="292"/>
        <w:spacing w:after="0" w:line="258" w:lineRule="auto"/>
        <w:tabs>
          <w:tab w:leader="none" w:pos="300" w:val="left"/>
        </w:tabs>
        <w:numPr>
          <w:ilvl w:val="0"/>
          <w:numId w:val="6"/>
        </w:numPr>
        <w:rPr>
          <w:rFonts w:ascii="Arial" w:cs="Arial" w:eastAsia="Arial" w:hAnsi="Arial"/>
          <w:sz w:val="11"/>
          <w:szCs w:val="11"/>
          <w:color w:val="auto"/>
        </w:rPr>
      </w:pPr>
      <w:r>
        <w:rPr>
          <w:rFonts w:ascii="Arial" w:cs="Arial" w:eastAsia="Arial" w:hAnsi="Arial"/>
          <w:sz w:val="13"/>
          <w:szCs w:val="13"/>
          <w:color w:val="auto"/>
        </w:rPr>
        <w:t>Based on shares repurchased and OP units redeemed under the current $3.5B share repurchase program as a percentage of shares and OP units outstanding as of 6/30/16, just prior to approval and announcement of the plan. Not adjusted for capital change.</w:t>
      </w:r>
    </w:p>
    <w:p>
      <w:pPr>
        <w:spacing w:after="0" w:line="43" w:lineRule="exact"/>
        <w:rPr>
          <w:rFonts w:ascii="Arial" w:cs="Arial" w:eastAsia="Arial" w:hAnsi="Arial"/>
          <w:sz w:val="11"/>
          <w:szCs w:val="11"/>
          <w:color w:val="auto"/>
        </w:rPr>
      </w:pPr>
    </w:p>
    <w:p>
      <w:pPr>
        <w:ind w:left="300" w:hanging="292"/>
        <w:spacing w:after="0"/>
        <w:tabs>
          <w:tab w:leader="none" w:pos="300" w:val="left"/>
        </w:tabs>
        <w:numPr>
          <w:ilvl w:val="0"/>
          <w:numId w:val="6"/>
        </w:numPr>
        <w:rPr>
          <w:rFonts w:ascii="Arial" w:cs="Arial" w:eastAsia="Arial" w:hAnsi="Arial"/>
          <w:sz w:val="11"/>
          <w:szCs w:val="11"/>
          <w:color w:val="auto"/>
        </w:rPr>
      </w:pPr>
      <w:r>
        <w:rPr>
          <w:rFonts w:ascii="Arial" w:cs="Arial" w:eastAsia="Arial" w:hAnsi="Arial"/>
          <w:sz w:val="13"/>
          <w:szCs w:val="13"/>
          <w:color w:val="auto"/>
        </w:rPr>
        <w:t>Based on an annualized dividend of $3.64 per share for 2021 and the total number of shares repurchased and OP units redeemed under the $3.5B share repurchase program.</w:t>
      </w:r>
    </w:p>
    <w:p>
      <w:pPr>
        <w:sectPr>
          <w:pgSz w:w="11900" w:h="16838" w:orient="portrait"/>
          <w:cols w:equalWidth="0" w:num="1">
            <w:col w:w="11240"/>
          </w:cols>
          <w:pgMar w:left="320" w:top="121" w:right="339" w:bottom="1440" w:gutter="0" w:footer="0" w:header="0"/>
          <w:type w:val="continuous"/>
        </w:sectPr>
      </w:pPr>
    </w:p>
    <w:p>
      <w:pPr>
        <w:spacing w:after="0" w:line="232"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6"/>
          <w:szCs w:val="16"/>
          <w:color w:val="355A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7980"/>
        <w:spacing w:after="0"/>
        <w:rPr>
          <w:sz w:val="20"/>
          <w:szCs w:val="20"/>
          <w:color w:val="auto"/>
        </w:rPr>
      </w:pPr>
      <w:r>
        <w:rPr>
          <w:rFonts w:ascii="Arial" w:cs="Arial" w:eastAsia="Arial" w:hAnsi="Arial"/>
          <w:sz w:val="16"/>
          <w:szCs w:val="16"/>
          <w:u w:val="single" w:color="auto"/>
          <w:color w:val="355A89"/>
        </w:rPr>
        <w:t>2021 PROXY STATEMENT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146685</wp:posOffset>
            </wp:positionV>
            <wp:extent cx="77152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34290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COVID-19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Our Board of Directors and Executive Team actively prepare for potential disruptive events by continually refining our business resiliency playbook. This process has been a framework for decision making since our IPO 24 years ago, employing risk management and planning strategies that optimizes the company’s performance and strengthens stakeholder confidence during times of unexpected disruption.</w:t>
      </w:r>
    </w:p>
    <w:p>
      <w:pPr>
        <w:spacing w:after="0" w:line="1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a result of this precautionary planning, we were able to immediately activate and enhance our existing pandemic response plan, which we now refer to as SL Green Forward. This comprehensive plan was an extension of our best-in-class operating platform to address COVID-19, ensuring a high degree of safety across our portfolio for all of our building occupants, and the physical and mental well-being of our employees, as well as addressing the critical needs of our New York City community.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Implemented Stringent Health &amp; Safety Standards to Protect All of Our Building Occupants</w:t>
      </w:r>
    </w:p>
    <w:p>
      <w:pPr>
        <w:spacing w:after="0" w:line="229" w:lineRule="exact"/>
        <w:rPr>
          <w:sz w:val="20"/>
          <w:szCs w:val="20"/>
          <w:color w:val="auto"/>
        </w:rPr>
      </w:pPr>
    </w:p>
    <w:p>
      <w:pPr>
        <w:jc w:val="both"/>
        <w:ind w:left="260" w:right="200" w:hanging="252"/>
        <w:spacing w:after="0" w:line="234" w:lineRule="auto"/>
        <w:tabs>
          <w:tab w:leader="none" w:pos="260" w:val="left"/>
        </w:tabs>
        <w:numPr>
          <w:ilvl w:val="0"/>
          <w:numId w:val="8"/>
        </w:numPr>
        <w:rPr>
          <w:rFonts w:ascii="Arial" w:cs="Arial" w:eastAsia="Arial" w:hAnsi="Arial"/>
          <w:sz w:val="17"/>
          <w:szCs w:val="17"/>
          <w:color w:val="355A89"/>
        </w:rPr>
      </w:pPr>
      <w:r>
        <w:rPr>
          <w:rFonts w:ascii="Arial" w:cs="Arial" w:eastAsia="Arial" w:hAnsi="Arial"/>
          <w:sz w:val="18"/>
          <w:szCs w:val="18"/>
          <w:color w:val="auto"/>
        </w:rPr>
        <w:t>SLG is home to essential businesses that employ thousands of workers - medical offices, health care companies, visiting nurses, major media outlets and broadcast studios, making it critical for us to rapidly respond and create a safe workplace for our employees, tenants, and visitors.</w:t>
      </w:r>
    </w:p>
    <w:p>
      <w:pPr>
        <w:spacing w:after="0" w:line="2" w:lineRule="exact"/>
        <w:rPr>
          <w:rFonts w:ascii="Arial" w:cs="Arial" w:eastAsia="Arial" w:hAnsi="Arial"/>
          <w:sz w:val="17"/>
          <w:szCs w:val="17"/>
          <w:color w:val="355A89"/>
        </w:rPr>
      </w:pPr>
    </w:p>
    <w:p>
      <w:pPr>
        <w:ind w:left="260" w:right="660" w:hanging="252"/>
        <w:spacing w:after="0" w:line="234" w:lineRule="auto"/>
        <w:tabs>
          <w:tab w:leader="none" w:pos="260" w:val="left"/>
        </w:tabs>
        <w:numPr>
          <w:ilvl w:val="0"/>
          <w:numId w:val="8"/>
        </w:numPr>
        <w:rPr>
          <w:rFonts w:ascii="Arial" w:cs="Arial" w:eastAsia="Arial" w:hAnsi="Arial"/>
          <w:sz w:val="17"/>
          <w:szCs w:val="17"/>
          <w:color w:val="355A89"/>
        </w:rPr>
      </w:pPr>
      <w:r>
        <w:rPr>
          <w:rFonts w:ascii="Arial" w:cs="Arial" w:eastAsia="Arial" w:hAnsi="Arial"/>
          <w:sz w:val="18"/>
          <w:szCs w:val="18"/>
          <w:color w:val="auto"/>
        </w:rPr>
        <w:t>We increased the effectiveness of our pandemic response plan by making significant financial investments to adapt to the impacts resulting from COVID-19, which also aligned with evolving local, state, and federal agency guidance.</w:t>
      </w:r>
    </w:p>
    <w:p>
      <w:pPr>
        <w:spacing w:after="0" w:line="1" w:lineRule="exact"/>
        <w:rPr>
          <w:rFonts w:ascii="Arial" w:cs="Arial" w:eastAsia="Arial" w:hAnsi="Arial"/>
          <w:sz w:val="17"/>
          <w:szCs w:val="17"/>
          <w:color w:val="355A89"/>
        </w:rPr>
      </w:pPr>
    </w:p>
    <w:p>
      <w:pPr>
        <w:ind w:left="260" w:hanging="252"/>
        <w:spacing w:after="0"/>
        <w:tabs>
          <w:tab w:leader="none" w:pos="260" w:val="left"/>
        </w:tabs>
        <w:numPr>
          <w:ilvl w:val="0"/>
          <w:numId w:val="8"/>
        </w:numPr>
        <w:rPr>
          <w:rFonts w:ascii="Arial" w:cs="Arial" w:eastAsia="Arial" w:hAnsi="Arial"/>
          <w:sz w:val="17"/>
          <w:szCs w:val="17"/>
          <w:color w:val="355A89"/>
        </w:rPr>
      </w:pPr>
      <w:r>
        <w:rPr>
          <w:rFonts w:ascii="Arial" w:cs="Arial" w:eastAsia="Arial" w:hAnsi="Arial"/>
          <w:sz w:val="18"/>
          <w:szCs w:val="18"/>
          <w:color w:val="auto"/>
        </w:rPr>
        <w:t>As a result of our efforts, we were able to keep our buildings fully operational and accessible throughout the pandemic.</w:t>
      </w:r>
    </w:p>
    <w:p>
      <w:pPr>
        <w:spacing w:after="0" w:line="216"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 more detailed description of our COVID-19 comprehensive tenant safety program can be found in our SL Green Forward Healthy Workplace Interactive Tenant Guide, which was distributed to all of our building occupants and is available on the SL Green Forward section of our website at https://forward.slgreen.com/.</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Building Protocols &amp;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2099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9994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180" w:type="dxa"/>
            <w:vAlign w:val="bottom"/>
            <w:shd w:val="clear" w:color="auto" w:fill="E4E5EE"/>
          </w:tcPr>
          <w:p>
            <w:pPr>
              <w:jc w:val="center"/>
              <w:spacing w:after="0"/>
              <w:rPr>
                <w:sz w:val="20"/>
                <w:szCs w:val="20"/>
                <w:color w:val="auto"/>
              </w:rPr>
            </w:pPr>
            <w:r>
              <w:rPr>
                <w:rFonts w:ascii="Arial" w:cs="Arial" w:eastAsia="Arial" w:hAnsi="Arial"/>
                <w:sz w:val="18"/>
                <w:szCs w:val="18"/>
                <w:b w:val="1"/>
                <w:bCs w:val="1"/>
                <w:color w:val="355A89"/>
                <w:w w:val="96"/>
              </w:rPr>
              <w:t>Enhanced Air</w:t>
            </w:r>
          </w:p>
        </w:tc>
        <w:tc>
          <w:tcPr>
            <w:tcW w:w="2300" w:type="dxa"/>
            <w:vAlign w:val="bottom"/>
            <w:shd w:val="clear" w:color="auto" w:fill="E4E5EE"/>
          </w:tcPr>
          <w:p>
            <w:pPr>
              <w:jc w:val="center"/>
              <w:ind w:left="32"/>
              <w:spacing w:after="0"/>
              <w:rPr>
                <w:sz w:val="20"/>
                <w:szCs w:val="20"/>
                <w:color w:val="auto"/>
              </w:rPr>
            </w:pPr>
            <w:r>
              <w:rPr>
                <w:rFonts w:ascii="Arial" w:cs="Arial" w:eastAsia="Arial" w:hAnsi="Arial"/>
                <w:sz w:val="18"/>
                <w:szCs w:val="18"/>
                <w:b w:val="1"/>
                <w:bCs w:val="1"/>
                <w:color w:val="355A89"/>
                <w:w w:val="97"/>
              </w:rPr>
              <w:t>Passive Thermal</w:t>
            </w:r>
          </w:p>
        </w:tc>
        <w:tc>
          <w:tcPr>
            <w:tcW w:w="2280" w:type="dxa"/>
            <w:vAlign w:val="bottom"/>
            <w:shd w:val="clear" w:color="auto" w:fill="E4E5EE"/>
          </w:tcPr>
          <w:p>
            <w:pPr>
              <w:jc w:val="center"/>
              <w:spacing w:after="0"/>
              <w:rPr>
                <w:sz w:val="20"/>
                <w:szCs w:val="20"/>
                <w:color w:val="auto"/>
              </w:rPr>
            </w:pPr>
            <w:r>
              <w:rPr>
                <w:rFonts w:ascii="Arial" w:cs="Arial" w:eastAsia="Arial" w:hAnsi="Arial"/>
                <w:sz w:val="18"/>
                <w:szCs w:val="18"/>
                <w:b w:val="1"/>
                <w:bCs w:val="1"/>
                <w:color w:val="355A89"/>
                <w:w w:val="96"/>
              </w:rPr>
              <w:t>Reduced Building</w:t>
            </w:r>
          </w:p>
        </w:tc>
        <w:tc>
          <w:tcPr>
            <w:tcW w:w="2220" w:type="dxa"/>
            <w:vAlign w:val="bottom"/>
            <w:vMerge w:val="restart"/>
            <w:shd w:val="clear" w:color="auto" w:fill="E4E5EE"/>
          </w:tcPr>
          <w:p>
            <w:pPr>
              <w:ind w:left="380"/>
              <w:spacing w:after="0"/>
              <w:rPr>
                <w:sz w:val="20"/>
                <w:szCs w:val="20"/>
                <w:color w:val="auto"/>
              </w:rPr>
            </w:pPr>
            <w:r>
              <w:rPr>
                <w:rFonts w:ascii="Arial" w:cs="Arial" w:eastAsia="Arial" w:hAnsi="Arial"/>
                <w:sz w:val="18"/>
                <w:szCs w:val="18"/>
                <w:b w:val="1"/>
                <w:bCs w:val="1"/>
                <w:color w:val="355A89"/>
              </w:rPr>
              <w:t>Tenant Screening</w:t>
            </w:r>
          </w:p>
        </w:tc>
        <w:tc>
          <w:tcPr>
            <w:tcW w:w="2260" w:type="dxa"/>
            <w:vAlign w:val="bottom"/>
            <w:vMerge w:val="restart"/>
            <w:shd w:val="clear" w:color="auto" w:fill="E4E5EE"/>
          </w:tcPr>
          <w:p>
            <w:pPr>
              <w:ind w:left="380"/>
              <w:spacing w:after="0"/>
              <w:rPr>
                <w:sz w:val="20"/>
                <w:szCs w:val="20"/>
                <w:color w:val="auto"/>
              </w:rPr>
            </w:pPr>
            <w:r>
              <w:rPr>
                <w:rFonts w:ascii="Arial" w:cs="Arial" w:eastAsia="Arial" w:hAnsi="Arial"/>
                <w:sz w:val="18"/>
                <w:szCs w:val="18"/>
                <w:b w:val="1"/>
                <w:bCs w:val="1"/>
                <w:color w:val="355A89"/>
              </w:rPr>
              <w:t>PPE Requirements</w:t>
            </w:r>
          </w:p>
        </w:tc>
        <w:tc>
          <w:tcPr>
            <w:tcW w:w="0" w:type="dxa"/>
            <w:vAlign w:val="bottom"/>
          </w:tcPr>
          <w:p>
            <w:pPr>
              <w:spacing w:after="0"/>
              <w:rPr>
                <w:sz w:val="1"/>
                <w:szCs w:val="1"/>
                <w:color w:val="auto"/>
              </w:rPr>
            </w:pPr>
          </w:p>
        </w:tc>
      </w:tr>
      <w:tr>
        <w:trPr>
          <w:trHeight w:val="125"/>
        </w:trPr>
        <w:tc>
          <w:tcPr>
            <w:tcW w:w="2180" w:type="dxa"/>
            <w:vAlign w:val="bottom"/>
            <w:vMerge w:val="restart"/>
            <w:shd w:val="clear" w:color="auto" w:fill="E4E5EE"/>
          </w:tcPr>
          <w:p>
            <w:pPr>
              <w:jc w:val="center"/>
              <w:spacing w:after="0"/>
              <w:rPr>
                <w:sz w:val="20"/>
                <w:szCs w:val="20"/>
                <w:color w:val="auto"/>
              </w:rPr>
            </w:pPr>
            <w:r>
              <w:rPr>
                <w:rFonts w:ascii="Arial" w:cs="Arial" w:eastAsia="Arial" w:hAnsi="Arial"/>
                <w:sz w:val="18"/>
                <w:szCs w:val="18"/>
                <w:b w:val="1"/>
                <w:bCs w:val="1"/>
                <w:color w:val="355A89"/>
                <w:w w:val="98"/>
              </w:rPr>
              <w:t>Filtration</w:t>
            </w:r>
          </w:p>
        </w:tc>
        <w:tc>
          <w:tcPr>
            <w:tcW w:w="2300" w:type="dxa"/>
            <w:vAlign w:val="bottom"/>
            <w:vMerge w:val="restart"/>
            <w:shd w:val="clear" w:color="auto" w:fill="E4E5EE"/>
          </w:tcPr>
          <w:p>
            <w:pPr>
              <w:jc w:val="center"/>
              <w:ind w:left="32"/>
              <w:spacing w:after="0"/>
              <w:rPr>
                <w:sz w:val="20"/>
                <w:szCs w:val="20"/>
                <w:color w:val="auto"/>
              </w:rPr>
            </w:pPr>
            <w:r>
              <w:rPr>
                <w:rFonts w:ascii="Arial" w:cs="Arial" w:eastAsia="Arial" w:hAnsi="Arial"/>
                <w:sz w:val="18"/>
                <w:szCs w:val="18"/>
                <w:b w:val="1"/>
                <w:bCs w:val="1"/>
                <w:color w:val="355A89"/>
                <w:w w:val="95"/>
              </w:rPr>
              <w:t>Imaging</w:t>
            </w:r>
          </w:p>
        </w:tc>
        <w:tc>
          <w:tcPr>
            <w:tcW w:w="2280" w:type="dxa"/>
            <w:vAlign w:val="bottom"/>
            <w:vMerge w:val="restart"/>
            <w:shd w:val="clear" w:color="auto" w:fill="E4E5EE"/>
          </w:tcPr>
          <w:p>
            <w:pPr>
              <w:jc w:val="center"/>
              <w:spacing w:after="0"/>
              <w:rPr>
                <w:sz w:val="20"/>
                <w:szCs w:val="20"/>
                <w:color w:val="auto"/>
              </w:rPr>
            </w:pPr>
            <w:r>
              <w:rPr>
                <w:rFonts w:ascii="Arial" w:cs="Arial" w:eastAsia="Arial" w:hAnsi="Arial"/>
                <w:sz w:val="18"/>
                <w:szCs w:val="18"/>
                <w:b w:val="1"/>
                <w:bCs w:val="1"/>
                <w:color w:val="355A89"/>
                <w:w w:val="95"/>
              </w:rPr>
              <w:t>Capacity</w:t>
            </w:r>
          </w:p>
        </w:tc>
        <w:tc>
          <w:tcPr>
            <w:tcW w:w="2220" w:type="dxa"/>
            <w:vAlign w:val="bottom"/>
            <w:vMerge w:val="continue"/>
            <w:shd w:val="clear" w:color="auto" w:fill="E4E5EE"/>
          </w:tcPr>
          <w:p>
            <w:pPr>
              <w:spacing w:after="0"/>
              <w:rPr>
                <w:sz w:val="10"/>
                <w:szCs w:val="10"/>
                <w:color w:val="auto"/>
              </w:rPr>
            </w:pPr>
          </w:p>
        </w:tc>
        <w:tc>
          <w:tcPr>
            <w:tcW w:w="2260" w:type="dxa"/>
            <w:vAlign w:val="bottom"/>
            <w:vMerge w:val="continue"/>
            <w:shd w:val="clear" w:color="auto" w:fill="E4E5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80" w:type="dxa"/>
            <w:vAlign w:val="bottom"/>
            <w:vMerge w:val="continue"/>
            <w:shd w:val="clear" w:color="auto" w:fill="E4E5EE"/>
          </w:tcPr>
          <w:p>
            <w:pPr>
              <w:spacing w:after="0"/>
              <w:rPr>
                <w:sz w:val="9"/>
                <w:szCs w:val="9"/>
                <w:color w:val="auto"/>
              </w:rPr>
            </w:pPr>
          </w:p>
        </w:tc>
        <w:tc>
          <w:tcPr>
            <w:tcW w:w="2300" w:type="dxa"/>
            <w:vAlign w:val="bottom"/>
            <w:vMerge w:val="continue"/>
            <w:shd w:val="clear" w:color="auto" w:fill="E4E5EE"/>
          </w:tcPr>
          <w:p>
            <w:pPr>
              <w:spacing w:after="0"/>
              <w:rPr>
                <w:sz w:val="9"/>
                <w:szCs w:val="9"/>
                <w:color w:val="auto"/>
              </w:rPr>
            </w:pPr>
          </w:p>
        </w:tc>
        <w:tc>
          <w:tcPr>
            <w:tcW w:w="2280" w:type="dxa"/>
            <w:vAlign w:val="bottom"/>
            <w:vMerge w:val="continue"/>
            <w:shd w:val="clear" w:color="auto" w:fill="E4E5EE"/>
          </w:tcPr>
          <w:p>
            <w:pPr>
              <w:spacing w:after="0"/>
              <w:rPr>
                <w:sz w:val="9"/>
                <w:szCs w:val="9"/>
                <w:color w:val="auto"/>
              </w:rPr>
            </w:pPr>
          </w:p>
        </w:tc>
        <w:tc>
          <w:tcPr>
            <w:tcW w:w="2220" w:type="dxa"/>
            <w:vAlign w:val="bottom"/>
            <w:shd w:val="clear" w:color="auto" w:fill="E4E5EE"/>
          </w:tcPr>
          <w:p>
            <w:pPr>
              <w:spacing w:after="0"/>
              <w:rPr>
                <w:sz w:val="9"/>
                <w:szCs w:val="9"/>
                <w:color w:val="auto"/>
              </w:rPr>
            </w:pPr>
          </w:p>
        </w:tc>
        <w:tc>
          <w:tcPr>
            <w:tcW w:w="2260" w:type="dxa"/>
            <w:vAlign w:val="bottom"/>
            <w:shd w:val="clear" w:color="auto" w:fill="E4E5E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180" w:type="dxa"/>
            <w:vAlign w:val="bottom"/>
            <w:shd w:val="clear" w:color="auto" w:fill="E4E5EE"/>
          </w:tcPr>
          <w:p>
            <w:pPr>
              <w:spacing w:after="0"/>
              <w:rPr>
                <w:sz w:val="8"/>
                <w:szCs w:val="8"/>
                <w:color w:val="auto"/>
              </w:rPr>
            </w:pPr>
          </w:p>
        </w:tc>
        <w:tc>
          <w:tcPr>
            <w:tcW w:w="2300" w:type="dxa"/>
            <w:vAlign w:val="bottom"/>
            <w:shd w:val="clear" w:color="auto" w:fill="E4E5EE"/>
          </w:tcPr>
          <w:p>
            <w:pPr>
              <w:spacing w:after="0"/>
              <w:rPr>
                <w:sz w:val="8"/>
                <w:szCs w:val="8"/>
                <w:color w:val="auto"/>
              </w:rPr>
            </w:pPr>
          </w:p>
        </w:tc>
        <w:tc>
          <w:tcPr>
            <w:tcW w:w="2280" w:type="dxa"/>
            <w:vAlign w:val="bottom"/>
            <w:shd w:val="clear" w:color="auto" w:fill="E4E5EE"/>
          </w:tcPr>
          <w:p>
            <w:pPr>
              <w:spacing w:after="0"/>
              <w:rPr>
                <w:sz w:val="8"/>
                <w:szCs w:val="8"/>
                <w:color w:val="auto"/>
              </w:rPr>
            </w:pPr>
          </w:p>
        </w:tc>
        <w:tc>
          <w:tcPr>
            <w:tcW w:w="2220" w:type="dxa"/>
            <w:vAlign w:val="bottom"/>
            <w:shd w:val="clear" w:color="auto" w:fill="E4E5EE"/>
          </w:tcPr>
          <w:p>
            <w:pPr>
              <w:spacing w:after="0"/>
              <w:rPr>
                <w:sz w:val="8"/>
                <w:szCs w:val="8"/>
                <w:color w:val="auto"/>
              </w:rPr>
            </w:pPr>
          </w:p>
        </w:tc>
        <w:tc>
          <w:tcPr>
            <w:tcW w:w="2260" w:type="dxa"/>
            <w:vAlign w:val="bottom"/>
            <w:shd w:val="clear" w:color="auto" w:fill="E4E5E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102870</wp:posOffset>
            </wp:positionV>
            <wp:extent cx="34290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000000"/>
                        </a:clrFrom>
                        <a:clrTo>
                          <a:srgbClr val="000000">
                            <a:alpha val="0"/>
                          </a:srgbClr>
                        </a:clrTo>
                      </a:clrChange>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102870</wp:posOffset>
            </wp:positionV>
            <wp:extent cx="34290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85725</wp:posOffset>
            </wp:positionV>
            <wp:extent cx="300355" cy="334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000000"/>
                        </a:clrFrom>
                        <a:clrTo>
                          <a:srgbClr val="000000">
                            <a:alpha val="0"/>
                          </a:srgbClr>
                        </a:clrTo>
                      </a:clrChange>
                      <a:extLst>
                        <a:ext uri="{28A0092B-C50C-407E-A947-70E740481C1C}"/>
                      </a:extLst>
                    </a:blip>
                    <a:srcRect/>
                    <a:stretch>
                      <a:fillRect/>
                    </a:stretch>
                  </pic:blipFill>
                  <pic:spPr bwMode="auto">
                    <a:xfrm>
                      <a:off x="0" y="0"/>
                      <a:ext cx="300355" cy="33401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85725</wp:posOffset>
            </wp:positionV>
            <wp:extent cx="300355" cy="334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00355" cy="33401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85725</wp:posOffset>
            </wp:positionV>
            <wp:extent cx="334645" cy="334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000000"/>
                        </a:clrFrom>
                        <a:clrTo>
                          <a:srgbClr val="000000">
                            <a:alpha val="0"/>
                          </a:srgbClr>
                        </a:clrTo>
                      </a:clrChange>
                      <a:extLst>
                        <a:ext uri="{28A0092B-C50C-407E-A947-70E740481C1C}"/>
                      </a:extLst>
                    </a:blip>
                    <a:srcRect/>
                    <a:stretch>
                      <a:fillRect/>
                    </a:stretch>
                  </pic:blipFill>
                  <pic:spPr bwMode="auto">
                    <a:xfrm>
                      <a:off x="0" y="0"/>
                      <a:ext cx="334645" cy="33401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85725</wp:posOffset>
            </wp:positionV>
            <wp:extent cx="334645" cy="334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34645" cy="33401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111760</wp:posOffset>
            </wp:positionV>
            <wp:extent cx="351790" cy="282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000000"/>
                        </a:clrFrom>
                        <a:clrTo>
                          <a:srgbClr val="000000">
                            <a:alpha val="0"/>
                          </a:srgbClr>
                        </a:clrTo>
                      </a:clrChange>
                      <a:extLst>
                        <a:ext uri="{28A0092B-C50C-407E-A947-70E740481C1C}"/>
                      </a:extLst>
                    </a:blip>
                    <a:srcRect/>
                    <a:stretch>
                      <a:fillRect/>
                    </a:stretch>
                  </pic:blipFill>
                  <pic:spPr bwMode="auto">
                    <a:xfrm>
                      <a:off x="0" y="0"/>
                      <a:ext cx="351790" cy="28257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111760</wp:posOffset>
            </wp:positionV>
            <wp:extent cx="351790"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351790" cy="28257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85725</wp:posOffset>
            </wp:positionV>
            <wp:extent cx="334010"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000000"/>
                        </a:clrFrom>
                        <a:clrTo>
                          <a:srgbClr val="000000">
                            <a:alpha val="0"/>
                          </a:srgbClr>
                        </a:clrTo>
                      </a:clrChange>
                      <a:extLst>
                        <a:ext uri="{28A0092B-C50C-407E-A947-70E740481C1C}"/>
                      </a:extLst>
                    </a:blip>
                    <a:srcRect/>
                    <a:stretch>
                      <a:fillRect/>
                    </a:stretch>
                  </pic:blipFill>
                  <pic:spPr bwMode="auto">
                    <a:xfrm>
                      <a:off x="0" y="0"/>
                      <a:ext cx="334010" cy="3257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85725</wp:posOffset>
            </wp:positionV>
            <wp:extent cx="334010"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3340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240" w:type="dxa"/>
            <w:vAlign w:val="bottom"/>
            <w:shd w:val="clear" w:color="auto" w:fill="E4E5EE"/>
          </w:tcPr>
          <w:p>
            <w:pPr>
              <w:spacing w:after="0"/>
              <w:rPr>
                <w:sz w:val="24"/>
                <w:szCs w:val="24"/>
                <w:color w:val="auto"/>
              </w:rPr>
            </w:pPr>
          </w:p>
        </w:tc>
        <w:tc>
          <w:tcPr>
            <w:tcW w:w="2360" w:type="dxa"/>
            <w:vAlign w:val="bottom"/>
            <w:vMerge w:val="restart"/>
            <w:shd w:val="clear" w:color="auto" w:fill="E4E5EE"/>
          </w:tcPr>
          <w:p>
            <w:pPr>
              <w:jc w:val="center"/>
              <w:spacing w:after="0"/>
              <w:rPr>
                <w:sz w:val="20"/>
                <w:szCs w:val="20"/>
                <w:color w:val="auto"/>
              </w:rPr>
            </w:pPr>
            <w:r>
              <w:rPr>
                <w:rFonts w:ascii="Arial" w:cs="Arial" w:eastAsia="Arial" w:hAnsi="Arial"/>
                <w:sz w:val="18"/>
                <w:szCs w:val="18"/>
                <w:b w:val="1"/>
                <w:bCs w:val="1"/>
                <w:color w:val="355A89"/>
                <w:w w:val="96"/>
              </w:rPr>
              <w:t>Contactless</w:t>
            </w:r>
          </w:p>
        </w:tc>
        <w:tc>
          <w:tcPr>
            <w:tcW w:w="2060" w:type="dxa"/>
            <w:vAlign w:val="bottom"/>
            <w:shd w:val="clear" w:color="auto" w:fill="E4E5EE"/>
          </w:tcPr>
          <w:p>
            <w:pPr>
              <w:jc w:val="center"/>
              <w:spacing w:after="0"/>
              <w:rPr>
                <w:sz w:val="20"/>
                <w:szCs w:val="20"/>
                <w:color w:val="auto"/>
              </w:rPr>
            </w:pPr>
            <w:r>
              <w:rPr>
                <w:rFonts w:ascii="Arial" w:cs="Arial" w:eastAsia="Arial" w:hAnsi="Arial"/>
                <w:sz w:val="18"/>
                <w:szCs w:val="18"/>
                <w:b w:val="1"/>
                <w:bCs w:val="1"/>
                <w:color w:val="355A89"/>
                <w:w w:val="97"/>
              </w:rPr>
              <w:t>Enhanced</w:t>
            </w:r>
          </w:p>
        </w:tc>
        <w:tc>
          <w:tcPr>
            <w:tcW w:w="2320" w:type="dxa"/>
            <w:vAlign w:val="bottom"/>
            <w:shd w:val="clear" w:color="auto" w:fill="E4E5EE"/>
          </w:tcPr>
          <w:p>
            <w:pPr>
              <w:spacing w:after="0"/>
              <w:rPr>
                <w:sz w:val="24"/>
                <w:szCs w:val="24"/>
                <w:color w:val="auto"/>
              </w:rPr>
            </w:pPr>
          </w:p>
        </w:tc>
        <w:tc>
          <w:tcPr>
            <w:tcW w:w="2260" w:type="dxa"/>
            <w:vAlign w:val="bottom"/>
            <w:vMerge w:val="restart"/>
            <w:shd w:val="clear" w:color="auto" w:fill="E4E5EE"/>
          </w:tcPr>
          <w:p>
            <w:pPr>
              <w:jc w:val="center"/>
              <w:ind w:left="12"/>
              <w:spacing w:after="0"/>
              <w:rPr>
                <w:sz w:val="20"/>
                <w:szCs w:val="20"/>
                <w:color w:val="auto"/>
              </w:rPr>
            </w:pPr>
            <w:r>
              <w:rPr>
                <w:rFonts w:ascii="Arial" w:cs="Arial" w:eastAsia="Arial" w:hAnsi="Arial"/>
                <w:sz w:val="18"/>
                <w:szCs w:val="18"/>
                <w:b w:val="1"/>
                <w:bCs w:val="1"/>
                <w:color w:val="355A89"/>
                <w:w w:val="97"/>
              </w:rPr>
              <w:t>Health Concern /</w:t>
            </w:r>
          </w:p>
        </w:tc>
        <w:tc>
          <w:tcPr>
            <w:tcW w:w="0" w:type="dxa"/>
            <w:vAlign w:val="bottom"/>
          </w:tcPr>
          <w:p>
            <w:pPr>
              <w:spacing w:after="0"/>
              <w:rPr>
                <w:sz w:val="1"/>
                <w:szCs w:val="1"/>
                <w:color w:val="auto"/>
              </w:rPr>
            </w:pPr>
          </w:p>
        </w:tc>
      </w:tr>
      <w:tr>
        <w:trPr>
          <w:trHeight w:val="95"/>
        </w:trPr>
        <w:tc>
          <w:tcPr>
            <w:tcW w:w="2240" w:type="dxa"/>
            <w:vAlign w:val="bottom"/>
            <w:vMerge w:val="restart"/>
            <w:shd w:val="clear" w:color="auto" w:fill="E4E5EE"/>
          </w:tcPr>
          <w:p>
            <w:pPr>
              <w:ind w:left="380"/>
              <w:spacing w:after="0" w:line="202" w:lineRule="exact"/>
              <w:rPr>
                <w:sz w:val="20"/>
                <w:szCs w:val="20"/>
                <w:color w:val="auto"/>
              </w:rPr>
            </w:pPr>
            <w:r>
              <w:rPr>
                <w:rFonts w:ascii="Arial" w:cs="Arial" w:eastAsia="Arial" w:hAnsi="Arial"/>
                <w:sz w:val="18"/>
                <w:szCs w:val="18"/>
                <w:b w:val="1"/>
                <w:bCs w:val="1"/>
                <w:color w:val="355A89"/>
              </w:rPr>
              <w:t>Social Distancing</w:t>
            </w:r>
          </w:p>
        </w:tc>
        <w:tc>
          <w:tcPr>
            <w:tcW w:w="2360" w:type="dxa"/>
            <w:vAlign w:val="bottom"/>
            <w:vMerge w:val="continue"/>
            <w:shd w:val="clear" w:color="auto" w:fill="E4E5EE"/>
          </w:tcPr>
          <w:p>
            <w:pPr>
              <w:spacing w:after="0"/>
              <w:rPr>
                <w:sz w:val="8"/>
                <w:szCs w:val="8"/>
                <w:color w:val="auto"/>
              </w:rPr>
            </w:pPr>
          </w:p>
        </w:tc>
        <w:tc>
          <w:tcPr>
            <w:tcW w:w="2060" w:type="dxa"/>
            <w:vAlign w:val="bottom"/>
            <w:vMerge w:val="restart"/>
            <w:shd w:val="clear" w:color="auto" w:fill="E4E5EE"/>
          </w:tcPr>
          <w:p>
            <w:pPr>
              <w:jc w:val="center"/>
              <w:spacing w:after="0" w:line="202" w:lineRule="exact"/>
              <w:rPr>
                <w:sz w:val="20"/>
                <w:szCs w:val="20"/>
                <w:color w:val="auto"/>
              </w:rPr>
            </w:pPr>
            <w:r>
              <w:rPr>
                <w:rFonts w:ascii="Arial" w:cs="Arial" w:eastAsia="Arial" w:hAnsi="Arial"/>
                <w:sz w:val="18"/>
                <w:szCs w:val="18"/>
                <w:b w:val="1"/>
                <w:bCs w:val="1"/>
                <w:color w:val="355A89"/>
                <w:w w:val="98"/>
              </w:rPr>
              <w:t>Cleanliness &amp;</w:t>
            </w:r>
          </w:p>
        </w:tc>
        <w:tc>
          <w:tcPr>
            <w:tcW w:w="2320" w:type="dxa"/>
            <w:vAlign w:val="bottom"/>
            <w:vMerge w:val="restart"/>
            <w:shd w:val="clear" w:color="auto" w:fill="E4E5EE"/>
          </w:tcPr>
          <w:p>
            <w:pPr>
              <w:ind w:left="440"/>
              <w:spacing w:after="0" w:line="202" w:lineRule="exact"/>
              <w:rPr>
                <w:sz w:val="20"/>
                <w:szCs w:val="20"/>
                <w:color w:val="auto"/>
              </w:rPr>
            </w:pPr>
            <w:r>
              <w:rPr>
                <w:rFonts w:ascii="Arial" w:cs="Arial" w:eastAsia="Arial" w:hAnsi="Arial"/>
                <w:sz w:val="18"/>
                <w:szCs w:val="18"/>
                <w:b w:val="1"/>
                <w:bCs w:val="1"/>
                <w:color w:val="355A89"/>
              </w:rPr>
              <w:t>Delivery Protocols</w:t>
            </w:r>
          </w:p>
        </w:tc>
        <w:tc>
          <w:tcPr>
            <w:tcW w:w="2260" w:type="dxa"/>
            <w:vAlign w:val="bottom"/>
            <w:vMerge w:val="continue"/>
            <w:shd w:val="clear" w:color="auto" w:fill="E4E5E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40" w:type="dxa"/>
            <w:vAlign w:val="bottom"/>
            <w:vMerge w:val="continue"/>
            <w:shd w:val="clear" w:color="auto" w:fill="E4E5EE"/>
          </w:tcPr>
          <w:p>
            <w:pPr>
              <w:spacing w:after="0"/>
              <w:rPr>
                <w:sz w:val="9"/>
                <w:szCs w:val="9"/>
                <w:color w:val="auto"/>
              </w:rPr>
            </w:pPr>
          </w:p>
        </w:tc>
        <w:tc>
          <w:tcPr>
            <w:tcW w:w="2360" w:type="dxa"/>
            <w:vAlign w:val="bottom"/>
            <w:vMerge w:val="restart"/>
            <w:shd w:val="clear" w:color="auto" w:fill="E4E5EE"/>
          </w:tcPr>
          <w:p>
            <w:pPr>
              <w:jc w:val="center"/>
              <w:spacing w:after="0"/>
              <w:rPr>
                <w:sz w:val="20"/>
                <w:szCs w:val="20"/>
                <w:color w:val="auto"/>
              </w:rPr>
            </w:pPr>
            <w:r>
              <w:rPr>
                <w:rFonts w:ascii="Arial" w:cs="Arial" w:eastAsia="Arial" w:hAnsi="Arial"/>
                <w:sz w:val="18"/>
                <w:szCs w:val="18"/>
                <w:b w:val="1"/>
                <w:bCs w:val="1"/>
                <w:color w:val="355A89"/>
                <w:w w:val="98"/>
              </w:rPr>
              <w:t>Access &amp; Fixtures</w:t>
            </w:r>
          </w:p>
        </w:tc>
        <w:tc>
          <w:tcPr>
            <w:tcW w:w="2060" w:type="dxa"/>
            <w:vAlign w:val="bottom"/>
            <w:vMerge w:val="continue"/>
            <w:shd w:val="clear" w:color="auto" w:fill="E4E5EE"/>
          </w:tcPr>
          <w:p>
            <w:pPr>
              <w:spacing w:after="0"/>
              <w:rPr>
                <w:sz w:val="9"/>
                <w:szCs w:val="9"/>
                <w:color w:val="auto"/>
              </w:rPr>
            </w:pPr>
          </w:p>
        </w:tc>
        <w:tc>
          <w:tcPr>
            <w:tcW w:w="2320" w:type="dxa"/>
            <w:vAlign w:val="bottom"/>
            <w:vMerge w:val="continue"/>
            <w:shd w:val="clear" w:color="auto" w:fill="E4E5EE"/>
          </w:tcPr>
          <w:p>
            <w:pPr>
              <w:spacing w:after="0"/>
              <w:rPr>
                <w:sz w:val="9"/>
                <w:szCs w:val="9"/>
                <w:color w:val="auto"/>
              </w:rPr>
            </w:pPr>
          </w:p>
        </w:tc>
        <w:tc>
          <w:tcPr>
            <w:tcW w:w="2260" w:type="dxa"/>
            <w:vAlign w:val="bottom"/>
            <w:vMerge w:val="restart"/>
            <w:shd w:val="clear" w:color="auto" w:fill="E4E5EE"/>
          </w:tcPr>
          <w:p>
            <w:pPr>
              <w:jc w:val="center"/>
              <w:spacing w:after="0"/>
              <w:rPr>
                <w:sz w:val="20"/>
                <w:szCs w:val="20"/>
                <w:color w:val="auto"/>
              </w:rPr>
            </w:pPr>
            <w:r>
              <w:rPr>
                <w:rFonts w:ascii="Arial" w:cs="Arial" w:eastAsia="Arial" w:hAnsi="Arial"/>
                <w:sz w:val="18"/>
                <w:szCs w:val="18"/>
                <w:b w:val="1"/>
                <w:bCs w:val="1"/>
                <w:color w:val="355A89"/>
                <w:w w:val="97"/>
              </w:rPr>
              <w:t>COVID-19 Response</w:t>
            </w:r>
          </w:p>
        </w:tc>
        <w:tc>
          <w:tcPr>
            <w:tcW w:w="0" w:type="dxa"/>
            <w:vAlign w:val="bottom"/>
          </w:tcPr>
          <w:p>
            <w:pPr>
              <w:spacing w:after="0"/>
              <w:rPr>
                <w:sz w:val="1"/>
                <w:szCs w:val="1"/>
                <w:color w:val="auto"/>
              </w:rPr>
            </w:pPr>
          </w:p>
        </w:tc>
      </w:tr>
      <w:tr>
        <w:trPr>
          <w:trHeight w:val="125"/>
        </w:trPr>
        <w:tc>
          <w:tcPr>
            <w:tcW w:w="2240" w:type="dxa"/>
            <w:vAlign w:val="bottom"/>
            <w:shd w:val="clear" w:color="auto" w:fill="E4E5EE"/>
          </w:tcPr>
          <w:p>
            <w:pPr>
              <w:spacing w:after="0"/>
              <w:rPr>
                <w:sz w:val="10"/>
                <w:szCs w:val="10"/>
                <w:color w:val="auto"/>
              </w:rPr>
            </w:pPr>
          </w:p>
        </w:tc>
        <w:tc>
          <w:tcPr>
            <w:tcW w:w="2360" w:type="dxa"/>
            <w:vAlign w:val="bottom"/>
            <w:vMerge w:val="continue"/>
            <w:shd w:val="clear" w:color="auto" w:fill="E4E5EE"/>
          </w:tcPr>
          <w:p>
            <w:pPr>
              <w:spacing w:after="0"/>
              <w:rPr>
                <w:sz w:val="10"/>
                <w:szCs w:val="10"/>
                <w:color w:val="auto"/>
              </w:rPr>
            </w:pPr>
          </w:p>
        </w:tc>
        <w:tc>
          <w:tcPr>
            <w:tcW w:w="2060" w:type="dxa"/>
            <w:vAlign w:val="bottom"/>
            <w:vMerge w:val="restart"/>
            <w:shd w:val="clear" w:color="auto" w:fill="E4E5EE"/>
          </w:tcPr>
          <w:p>
            <w:pPr>
              <w:jc w:val="center"/>
              <w:spacing w:after="0"/>
              <w:rPr>
                <w:sz w:val="20"/>
                <w:szCs w:val="20"/>
                <w:color w:val="auto"/>
              </w:rPr>
            </w:pPr>
            <w:r>
              <w:rPr>
                <w:rFonts w:ascii="Arial" w:cs="Arial" w:eastAsia="Arial" w:hAnsi="Arial"/>
                <w:sz w:val="18"/>
                <w:szCs w:val="18"/>
                <w:b w:val="1"/>
                <w:bCs w:val="1"/>
                <w:color w:val="355A89"/>
                <w:w w:val="97"/>
              </w:rPr>
              <w:t>Hygiene</w:t>
            </w:r>
          </w:p>
        </w:tc>
        <w:tc>
          <w:tcPr>
            <w:tcW w:w="2320" w:type="dxa"/>
            <w:vAlign w:val="bottom"/>
            <w:shd w:val="clear" w:color="auto" w:fill="E4E5EE"/>
          </w:tcPr>
          <w:p>
            <w:pPr>
              <w:spacing w:after="0"/>
              <w:rPr>
                <w:sz w:val="10"/>
                <w:szCs w:val="10"/>
                <w:color w:val="auto"/>
              </w:rPr>
            </w:pPr>
          </w:p>
        </w:tc>
        <w:tc>
          <w:tcPr>
            <w:tcW w:w="2260" w:type="dxa"/>
            <w:vAlign w:val="bottom"/>
            <w:vMerge w:val="continue"/>
            <w:shd w:val="clear" w:color="auto" w:fill="E4E5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shd w:val="clear" w:color="auto" w:fill="E4E5EE"/>
          </w:tcPr>
          <w:p>
            <w:pPr>
              <w:spacing w:after="0"/>
              <w:rPr>
                <w:sz w:val="9"/>
                <w:szCs w:val="9"/>
                <w:color w:val="auto"/>
              </w:rPr>
            </w:pPr>
          </w:p>
        </w:tc>
        <w:tc>
          <w:tcPr>
            <w:tcW w:w="2360" w:type="dxa"/>
            <w:vAlign w:val="bottom"/>
            <w:shd w:val="clear" w:color="auto" w:fill="E4E5EE"/>
          </w:tcPr>
          <w:p>
            <w:pPr>
              <w:spacing w:after="0"/>
              <w:rPr>
                <w:sz w:val="9"/>
                <w:szCs w:val="9"/>
                <w:color w:val="auto"/>
              </w:rPr>
            </w:pPr>
          </w:p>
        </w:tc>
        <w:tc>
          <w:tcPr>
            <w:tcW w:w="2060" w:type="dxa"/>
            <w:vAlign w:val="bottom"/>
            <w:vMerge w:val="continue"/>
            <w:shd w:val="clear" w:color="auto" w:fill="E4E5EE"/>
          </w:tcPr>
          <w:p>
            <w:pPr>
              <w:spacing w:after="0"/>
              <w:rPr>
                <w:sz w:val="9"/>
                <w:szCs w:val="9"/>
                <w:color w:val="auto"/>
              </w:rPr>
            </w:pPr>
          </w:p>
        </w:tc>
        <w:tc>
          <w:tcPr>
            <w:tcW w:w="2320" w:type="dxa"/>
            <w:vAlign w:val="bottom"/>
            <w:shd w:val="clear" w:color="auto" w:fill="E4E5EE"/>
          </w:tcPr>
          <w:p>
            <w:pPr>
              <w:spacing w:after="0"/>
              <w:rPr>
                <w:sz w:val="9"/>
                <w:szCs w:val="9"/>
                <w:color w:val="auto"/>
              </w:rPr>
            </w:pPr>
          </w:p>
        </w:tc>
        <w:tc>
          <w:tcPr>
            <w:tcW w:w="2260" w:type="dxa"/>
            <w:vAlign w:val="bottom"/>
            <w:shd w:val="clear" w:color="auto" w:fill="E4E5E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240" w:type="dxa"/>
            <w:vAlign w:val="bottom"/>
            <w:shd w:val="clear" w:color="auto" w:fill="E4E5EE"/>
          </w:tcPr>
          <w:p>
            <w:pPr>
              <w:spacing w:after="0"/>
              <w:rPr>
                <w:sz w:val="8"/>
                <w:szCs w:val="8"/>
                <w:color w:val="auto"/>
              </w:rPr>
            </w:pPr>
          </w:p>
        </w:tc>
        <w:tc>
          <w:tcPr>
            <w:tcW w:w="2360" w:type="dxa"/>
            <w:vAlign w:val="bottom"/>
            <w:shd w:val="clear" w:color="auto" w:fill="E4E5EE"/>
          </w:tcPr>
          <w:p>
            <w:pPr>
              <w:spacing w:after="0"/>
              <w:rPr>
                <w:sz w:val="8"/>
                <w:szCs w:val="8"/>
                <w:color w:val="auto"/>
              </w:rPr>
            </w:pPr>
          </w:p>
        </w:tc>
        <w:tc>
          <w:tcPr>
            <w:tcW w:w="2060" w:type="dxa"/>
            <w:vAlign w:val="bottom"/>
            <w:shd w:val="clear" w:color="auto" w:fill="E4E5EE"/>
          </w:tcPr>
          <w:p>
            <w:pPr>
              <w:spacing w:after="0"/>
              <w:rPr>
                <w:sz w:val="8"/>
                <w:szCs w:val="8"/>
                <w:color w:val="auto"/>
              </w:rPr>
            </w:pPr>
          </w:p>
        </w:tc>
        <w:tc>
          <w:tcPr>
            <w:tcW w:w="2320" w:type="dxa"/>
            <w:vAlign w:val="bottom"/>
            <w:shd w:val="clear" w:color="auto" w:fill="E4E5EE"/>
          </w:tcPr>
          <w:p>
            <w:pPr>
              <w:spacing w:after="0"/>
              <w:rPr>
                <w:sz w:val="8"/>
                <w:szCs w:val="8"/>
                <w:color w:val="auto"/>
              </w:rPr>
            </w:pPr>
          </w:p>
        </w:tc>
        <w:tc>
          <w:tcPr>
            <w:tcW w:w="2260" w:type="dxa"/>
            <w:vAlign w:val="bottom"/>
            <w:shd w:val="clear" w:color="auto" w:fill="E4E5E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137160</wp:posOffset>
            </wp:positionV>
            <wp:extent cx="34290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000000"/>
                        </a:clrFrom>
                        <a:clrTo>
                          <a:srgbClr val="000000">
                            <a:alpha val="0"/>
                          </a:srgbClr>
                        </a:clrTo>
                      </a:clrChange>
                      <a:extLst>
                        <a:ext uri="{28A0092B-C50C-407E-A947-70E740481C1C}"/>
                      </a:extLst>
                    </a:blip>
                    <a:srcRect/>
                    <a:stretch>
                      <a:fillRect/>
                    </a:stretch>
                  </pic:blipFill>
                  <pic:spPr bwMode="auto">
                    <a:xfrm>
                      <a:off x="0" y="0"/>
                      <a:ext cx="342900" cy="22288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137160</wp:posOffset>
            </wp:positionV>
            <wp:extent cx="34290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342900" cy="22288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85725</wp:posOffset>
            </wp:positionV>
            <wp:extent cx="308610" cy="334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000000"/>
                        </a:clrFrom>
                        <a:clrTo>
                          <a:srgbClr val="000000">
                            <a:alpha val="0"/>
                          </a:srgbClr>
                        </a:clrTo>
                      </a:clrChange>
                      <a:extLst>
                        <a:ext uri="{28A0092B-C50C-407E-A947-70E740481C1C}"/>
                      </a:extLst>
                    </a:blip>
                    <a:srcRect/>
                    <a:stretch>
                      <a:fillRect/>
                    </a:stretch>
                  </pic:blipFill>
                  <pic:spPr bwMode="auto">
                    <a:xfrm>
                      <a:off x="0" y="0"/>
                      <a:ext cx="308610" cy="33401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85725</wp:posOffset>
            </wp:positionV>
            <wp:extent cx="308610" cy="334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08610" cy="33401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111760</wp:posOffset>
            </wp:positionV>
            <wp:extent cx="334645" cy="282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000000"/>
                        </a:clrFrom>
                        <a:clrTo>
                          <a:srgbClr val="000000">
                            <a:alpha val="0"/>
                          </a:srgbClr>
                        </a:clrTo>
                      </a:clrChange>
                      <a:extLst>
                        <a:ext uri="{28A0092B-C50C-407E-A947-70E740481C1C}"/>
                      </a:extLst>
                    </a:blip>
                    <a:srcRect/>
                    <a:stretch>
                      <a:fillRect/>
                    </a:stretch>
                  </pic:blipFill>
                  <pic:spPr bwMode="auto">
                    <a:xfrm>
                      <a:off x="0" y="0"/>
                      <a:ext cx="334645" cy="28257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111760</wp:posOffset>
            </wp:positionV>
            <wp:extent cx="334645" cy="282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334645" cy="28257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85725</wp:posOffset>
            </wp:positionV>
            <wp:extent cx="342900"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000000"/>
                        </a:clrFrom>
                        <a:clrTo>
                          <a:srgbClr val="000000">
                            <a:alpha val="0"/>
                          </a:srgbClr>
                        </a:clrTo>
                      </a:clrChange>
                      <a:extLst>
                        <a:ext uri="{28A0092B-C50C-407E-A947-70E740481C1C}"/>
                      </a:extLst>
                    </a:blip>
                    <a:srcRect/>
                    <a:stretch>
                      <a:fillRect/>
                    </a:stretch>
                  </pic:blipFill>
                  <pic:spPr bwMode="auto">
                    <a:xfrm>
                      <a:off x="0" y="0"/>
                      <a:ext cx="342900" cy="3257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85725</wp:posOffset>
            </wp:positionV>
            <wp:extent cx="342900"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342900" cy="3257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120015</wp:posOffset>
            </wp:positionV>
            <wp:extent cx="33401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000000"/>
                        </a:clrFrom>
                        <a:clrTo>
                          <a:srgbClr val="000000">
                            <a:alpha val="0"/>
                          </a:srgbClr>
                        </a:clrTo>
                      </a:clrChange>
                      <a:extLst>
                        <a:ext uri="{28A0092B-C50C-407E-A947-70E740481C1C}"/>
                      </a:extLst>
                    </a:blip>
                    <a:srcRect/>
                    <a:stretch>
                      <a:fillRect/>
                    </a:stretch>
                  </pic:blipFill>
                  <pic:spPr bwMode="auto">
                    <a:xfrm>
                      <a:off x="0" y="0"/>
                      <a:ext cx="334010" cy="25717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120015</wp:posOffset>
            </wp:positionV>
            <wp:extent cx="33401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3340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As part of our building enhancements, we made significant investments in cutting edge indoor air quality technologies across our portfolio. We are upgrading all filters to the highest efficiency media or other particle filter that can be installed, Minimum Efficiency Reporting Value (MERV) 15, which surpasses LEED requirements.</w:t>
      </w:r>
    </w:p>
    <w:p>
      <w:pPr>
        <w:spacing w:after="0" w:line="2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recognition of our pandemic response, SL Green achieved a WELL Health-Safety Rating, certified across 23 million square feet. This rating was established by the WELL Building Institute during the pandemic and is an evidence-based third-party designation verifying that a building or space has taken the necessary steps to prioritize the health and safety of its staff, visitors and other stakeholders.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2021 PROXY STATEMENT HIGHLIGHTS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Listened To and Cared For Our Employees</w:t>
      </w:r>
    </w:p>
    <w:p>
      <w:pPr>
        <w:spacing w:after="0" w:line="23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Our employees are one of our most important assets. As we navigated through the challenges of COVID-19, we implemented new employee programs, guided by employee input, and physical office space enhancements, in order to keep our employees safe and motivated. As a result of these actions, we were one of the first employers in New York City to be able to return 100% of its employees to the office in June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These employee-focused actions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Town Halls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wp:posOffset>
            </wp:positionV>
            <wp:extent cx="342900"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jc w:val="both"/>
        <w:ind w:left="920"/>
        <w:spacing w:after="0" w:line="238" w:lineRule="auto"/>
        <w:rPr>
          <w:sz w:val="20"/>
          <w:szCs w:val="20"/>
          <w:color w:val="auto"/>
        </w:rPr>
      </w:pPr>
      <w:r>
        <w:rPr>
          <w:rFonts w:ascii="Arial" w:cs="Arial" w:eastAsia="Arial" w:hAnsi="Arial"/>
          <w:sz w:val="18"/>
          <w:szCs w:val="18"/>
          <w:color w:val="auto"/>
        </w:rPr>
        <w:t>Executive Team hosted virtual Town Halls providing employees with updates on building occupancy, safety protocols, re-occupancy plans, financial performance, and business resilience. Employees participated in live Q&amp;A sessions allowing them to communicate directly with our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488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Pulse Surveys</w:t>
      </w:r>
    </w:p>
    <w:p>
      <w:pPr>
        <w:spacing w:after="0" w:line="18" w:lineRule="exact"/>
        <w:rPr>
          <w:sz w:val="20"/>
          <w:szCs w:val="20"/>
          <w:color w:val="auto"/>
        </w:rPr>
      </w:pPr>
    </w:p>
    <w:p>
      <w:pPr>
        <w:ind w:left="920" w:right="300"/>
        <w:spacing w:after="0" w:line="239" w:lineRule="auto"/>
        <w:rPr>
          <w:sz w:val="20"/>
          <w:szCs w:val="20"/>
          <w:color w:val="auto"/>
        </w:rPr>
      </w:pPr>
      <w:r>
        <w:rPr>
          <w:rFonts w:ascii="Arial" w:cs="Arial" w:eastAsia="Arial" w:hAnsi="Arial"/>
          <w:sz w:val="18"/>
          <w:szCs w:val="18"/>
          <w:color w:val="auto"/>
        </w:rPr>
        <w:t>Pulse surveys to monitor the needs of our employees - evaluating daily commutes, childcare concerns, tutoring assistance, and more. Employee feedback led SLG to implement meaningful programs to assist our full return to the workplace.</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Interior Upgrades &amp; Safety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342900"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248920"/>
                    </a:xfrm>
                    <a:prstGeom prst="rect">
                      <a:avLst/>
                    </a:prstGeom>
                    <a:noFill/>
                  </pic:spPr>
                </pic:pic>
              </a:graphicData>
            </a:graphic>
          </wp:anchor>
        </w:drawing>
      </w:r>
    </w:p>
    <w:p>
      <w:pPr>
        <w:jc w:val="both"/>
        <w:ind w:left="920" w:right="540"/>
        <w:spacing w:after="0" w:line="238" w:lineRule="auto"/>
        <w:rPr>
          <w:sz w:val="20"/>
          <w:szCs w:val="20"/>
          <w:color w:val="auto"/>
        </w:rPr>
      </w:pPr>
      <w:r>
        <w:rPr>
          <w:rFonts w:ascii="Arial" w:cs="Arial" w:eastAsia="Arial" w:hAnsi="Arial"/>
          <w:sz w:val="18"/>
          <w:szCs w:val="18"/>
          <w:color w:val="auto"/>
        </w:rPr>
        <w:t>Installation of protective plexiglass barriers at reception, HEPA filters in common spaces, 6 foot partitions between employee workstations, safety signage and room capacity restrictions. SLG conducts daily employee screening and discouraged non-essential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4883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COVID-19 Hotline</w:t>
      </w:r>
    </w:p>
    <w:p>
      <w:pPr>
        <w:spacing w:after="0" w:line="18" w:lineRule="exact"/>
        <w:rPr>
          <w:sz w:val="20"/>
          <w:szCs w:val="20"/>
          <w:color w:val="auto"/>
        </w:rPr>
      </w:pPr>
    </w:p>
    <w:p>
      <w:pPr>
        <w:ind w:left="920" w:right="740"/>
        <w:spacing w:after="0" w:line="239" w:lineRule="auto"/>
        <w:rPr>
          <w:sz w:val="20"/>
          <w:szCs w:val="20"/>
          <w:color w:val="auto"/>
        </w:rPr>
      </w:pPr>
      <w:r>
        <w:rPr>
          <w:rFonts w:ascii="Arial" w:cs="Arial" w:eastAsia="Arial" w:hAnsi="Arial"/>
          <w:sz w:val="18"/>
          <w:szCs w:val="18"/>
          <w:color w:val="auto"/>
        </w:rPr>
        <w:t>An internal hotline was created to enable employees to communicate questions and concerns regarding SLG’s COVID-19 response, ensuring that all employee voices are heard and considered by leadership.</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Onsite Tutoring</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Venue for employees with young children who would otherwise be limited to at-home learning during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342900" cy="231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231140"/>
                    </a:xfrm>
                    <a:prstGeom prst="rect">
                      <a:avLst/>
                    </a:prstGeom>
                    <a:noFill/>
                  </pic:spPr>
                </pic:pic>
              </a:graphicData>
            </a:graphic>
          </wp:anchor>
        </w:drawing>
      </w:r>
    </w:p>
    <w:p>
      <w:pPr>
        <w:spacing w:after="0" w:line="192" w:lineRule="exact"/>
        <w:rPr>
          <w:sz w:val="20"/>
          <w:szCs w:val="20"/>
          <w:color w:val="auto"/>
        </w:rPr>
      </w:pPr>
    </w:p>
    <w:p>
      <w:pPr>
        <w:ind w:left="920" w:right="160"/>
        <w:spacing w:after="0" w:line="239" w:lineRule="auto"/>
        <w:rPr>
          <w:sz w:val="20"/>
          <w:szCs w:val="20"/>
          <w:color w:val="auto"/>
        </w:rPr>
      </w:pPr>
      <w:r>
        <w:rPr>
          <w:rFonts w:ascii="Arial" w:cs="Arial" w:eastAsia="Arial" w:hAnsi="Arial"/>
          <w:sz w:val="18"/>
          <w:szCs w:val="18"/>
          <w:color w:val="auto"/>
        </w:rPr>
        <w:t>Professional educators help students take online classes, proctor tests and quizzes, and provide extra help with homework at our 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419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Daycare Subsidy</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Subsidized daycare expenses for employees who are the primary caregivers of children under the age of 13.</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Parking 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-118745</wp:posOffset>
            </wp:positionV>
            <wp:extent cx="316865"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6865" cy="27432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Subsidized parking for corporate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428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Financial Support</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Assistance with reconfigured 401(k) benefits to provide additional support for employees facing financial hardship.</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55A89"/>
        </w:rPr>
        <w:t>Onsite Lunch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-118745</wp:posOffset>
            </wp:positionV>
            <wp:extent cx="33401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010" cy="30035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Meals for corporate employees every day, free of charge, from SLG’s in-house kitchen, provided until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7980"/>
        <w:spacing w:after="0"/>
        <w:rPr>
          <w:sz w:val="20"/>
          <w:szCs w:val="20"/>
          <w:color w:val="auto"/>
        </w:rPr>
      </w:pPr>
      <w:r>
        <w:rPr>
          <w:rFonts w:ascii="Arial" w:cs="Arial" w:eastAsia="Arial" w:hAnsi="Arial"/>
          <w:sz w:val="16"/>
          <w:szCs w:val="16"/>
          <w:u w:val="single" w:color="auto"/>
          <w:color w:val="355A89"/>
        </w:rPr>
        <w:t>2021 PROXY STATEMENT HIGHLIGHTS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Demonstrated Leadership in Social Responsibility</w:t>
      </w:r>
    </w:p>
    <w:p>
      <w:pPr>
        <w:spacing w:after="0" w:line="23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April 2020, at the onset of the pandemic, we established Food1st, a 501(c)(3) not-for-profit committed to providing meals to first responders and food-insecure New Yorkers, while revitalizing restaurant kitchens throughout the city. We partnered with esteemed chef Daniel Boulud, who used his own downtown prep kitchen to prepare 1,250 meals daily.</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SL Green seeded Food1st with a $1 million initial contribution, with an additional $240,000 contributed by SL Green employees. As of March 31, 2021, Food1st has 30 partner kitchens and has raised nearly $5 million. The not-for-profit has prepared nearly 600,000 meals for those in need, kept over 300 restaurant staff employed, and delivered meals to nearly 150 unique recipient locations across the five boroughs, stimulating economic activity and contributing to alleviate the ongoing food shortage, exacerbated by COVID-19, in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130175</wp:posOffset>
            </wp:positionV>
            <wp:extent cx="1654175" cy="248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5417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521"/>
        </w:trPr>
        <w:tc>
          <w:tcPr>
            <w:tcW w:w="5440" w:type="dxa"/>
            <w:vAlign w:val="bottom"/>
          </w:tcPr>
          <w:p>
            <w:pPr>
              <w:ind w:left="1200"/>
              <w:spacing w:after="0"/>
              <w:rPr>
                <w:sz w:val="20"/>
                <w:szCs w:val="20"/>
                <w:color w:val="auto"/>
              </w:rPr>
            </w:pPr>
            <w:r>
              <w:rPr>
                <w:rFonts w:ascii="Arial" w:cs="Arial" w:eastAsia="Arial" w:hAnsi="Arial"/>
                <w:sz w:val="36"/>
                <w:szCs w:val="36"/>
                <w:b w:val="1"/>
                <w:bCs w:val="1"/>
                <w:color w:val="355A89"/>
              </w:rPr>
              <w:t xml:space="preserve">30 </w:t>
            </w:r>
            <w:r>
              <w:rPr>
                <w:rFonts w:ascii="Arial" w:cs="Arial" w:eastAsia="Arial" w:hAnsi="Arial"/>
                <w:sz w:val="25"/>
                <w:szCs w:val="25"/>
                <w:b w:val="1"/>
                <w:bCs w:val="1"/>
                <w:color w:val="355A89"/>
              </w:rPr>
              <w:t>restaurant participants</w:t>
            </w:r>
          </w:p>
        </w:tc>
        <w:tc>
          <w:tcPr>
            <w:tcW w:w="360" w:type="dxa"/>
            <w:vAlign w:val="bottom"/>
          </w:tcPr>
          <w:p>
            <w:pPr>
              <w:spacing w:after="0"/>
              <w:rPr>
                <w:sz w:val="24"/>
                <w:szCs w:val="24"/>
                <w:color w:val="auto"/>
              </w:rPr>
            </w:pPr>
          </w:p>
        </w:tc>
        <w:tc>
          <w:tcPr>
            <w:tcW w:w="5440" w:type="dxa"/>
            <w:vAlign w:val="bottom"/>
          </w:tcPr>
          <w:p>
            <w:pPr>
              <w:ind w:left="500"/>
              <w:spacing w:after="0"/>
              <w:rPr>
                <w:sz w:val="20"/>
                <w:szCs w:val="20"/>
                <w:color w:val="auto"/>
              </w:rPr>
            </w:pPr>
            <w:r>
              <w:rPr>
                <w:rFonts w:ascii="Arial" w:cs="Arial" w:eastAsia="Arial" w:hAnsi="Arial"/>
                <w:sz w:val="36"/>
                <w:szCs w:val="36"/>
                <w:b w:val="1"/>
                <w:bCs w:val="1"/>
                <w:color w:val="355A89"/>
              </w:rPr>
              <w:t xml:space="preserve">+300 </w:t>
            </w:r>
            <w:r>
              <w:rPr>
                <w:rFonts w:ascii="Arial" w:cs="Arial" w:eastAsia="Arial" w:hAnsi="Arial"/>
                <w:sz w:val="25"/>
                <w:szCs w:val="25"/>
                <w:b w:val="1"/>
                <w:bCs w:val="1"/>
                <w:color w:val="355A89"/>
              </w:rPr>
              <w:t>restaurant staff employed</w:t>
            </w:r>
            <w:r>
              <w:rPr>
                <w:rFonts w:ascii="Arial" w:cs="Arial" w:eastAsia="Arial" w:hAnsi="Arial"/>
                <w:sz w:val="41"/>
                <w:szCs w:val="41"/>
                <w:b w:val="1"/>
                <w:bCs w:val="1"/>
                <w:color w:val="355A89"/>
                <w:vertAlign w:val="superscript"/>
              </w:rPr>
              <w:t>(1)</w:t>
            </w:r>
          </w:p>
        </w:tc>
      </w:tr>
      <w:tr>
        <w:trPr>
          <w:trHeight w:val="575"/>
        </w:trPr>
        <w:tc>
          <w:tcPr>
            <w:tcW w:w="11240" w:type="dxa"/>
            <w:vAlign w:val="bottom"/>
            <w:gridSpan w:val="3"/>
          </w:tcPr>
          <w:p>
            <w:pPr>
              <w:ind w:left="3720"/>
              <w:spacing w:after="0"/>
              <w:rPr>
                <w:sz w:val="20"/>
                <w:szCs w:val="20"/>
                <w:color w:val="auto"/>
              </w:rPr>
            </w:pPr>
            <w:r>
              <w:rPr>
                <w:rFonts w:ascii="Arial" w:cs="Arial" w:eastAsia="Arial" w:hAnsi="Arial"/>
                <w:sz w:val="43"/>
                <w:szCs w:val="43"/>
                <w:b w:val="1"/>
                <w:bCs w:val="1"/>
                <w:color w:val="355A89"/>
              </w:rPr>
              <w:t xml:space="preserve">~600,000 </w:t>
            </w:r>
            <w:r>
              <w:rPr>
                <w:rFonts w:ascii="Arial" w:cs="Arial" w:eastAsia="Arial" w:hAnsi="Arial"/>
                <w:sz w:val="25"/>
                <w:szCs w:val="25"/>
                <w:b w:val="1"/>
                <w:bCs w:val="1"/>
                <w:color w:val="355A89"/>
              </w:rPr>
              <w:t>meals delivered</w:t>
            </w:r>
          </w:p>
        </w:tc>
      </w:tr>
      <w:tr>
        <w:trPr>
          <w:trHeight w:val="552"/>
        </w:trPr>
        <w:tc>
          <w:tcPr>
            <w:tcW w:w="5440" w:type="dxa"/>
            <w:vAlign w:val="bottom"/>
            <w:tcBorders>
              <w:bottom w:val="single" w:sz="8" w:color="355A89"/>
            </w:tcBorders>
          </w:tcPr>
          <w:p>
            <w:pPr>
              <w:ind w:left="2100"/>
              <w:spacing w:after="0"/>
              <w:rPr>
                <w:sz w:val="20"/>
                <w:szCs w:val="20"/>
                <w:color w:val="auto"/>
              </w:rPr>
            </w:pPr>
            <w:r>
              <w:rPr>
                <w:rFonts w:ascii="Arial" w:cs="Arial" w:eastAsia="Arial" w:hAnsi="Arial"/>
                <w:sz w:val="25"/>
                <w:szCs w:val="25"/>
                <w:b w:val="1"/>
                <w:bCs w:val="1"/>
                <w:color w:val="auto"/>
              </w:rPr>
              <w:t>Recipients</w:t>
            </w:r>
          </w:p>
        </w:tc>
        <w:tc>
          <w:tcPr>
            <w:tcW w:w="360" w:type="dxa"/>
            <w:vAlign w:val="bottom"/>
          </w:tcPr>
          <w:p>
            <w:pPr>
              <w:spacing w:after="0"/>
              <w:rPr>
                <w:sz w:val="24"/>
                <w:szCs w:val="24"/>
                <w:color w:val="auto"/>
              </w:rPr>
            </w:pPr>
          </w:p>
        </w:tc>
        <w:tc>
          <w:tcPr>
            <w:tcW w:w="5440" w:type="dxa"/>
            <w:vAlign w:val="bottom"/>
            <w:tcBorders>
              <w:bottom w:val="single" w:sz="8" w:color="355A89"/>
            </w:tcBorders>
          </w:tcPr>
          <w:p>
            <w:pPr>
              <w:ind w:left="2020"/>
              <w:spacing w:after="0"/>
              <w:rPr>
                <w:sz w:val="20"/>
                <w:szCs w:val="20"/>
                <w:color w:val="auto"/>
              </w:rPr>
            </w:pPr>
            <w:r>
              <w:rPr>
                <w:rFonts w:ascii="Arial" w:cs="Arial" w:eastAsia="Arial" w:hAnsi="Arial"/>
                <w:sz w:val="24"/>
                <w:szCs w:val="24"/>
                <w:b w:val="1"/>
                <w:bCs w:val="1"/>
                <w:color w:val="auto"/>
              </w:rPr>
              <w:t>Restaurants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2777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Based on estimates provided by Food1st</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2021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Shareholder-Friendly Corporate Governance &amp; Independent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355A89"/>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117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has a diversity of knowledge, skills and education, as well as diversity of age, gender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54380" cy="771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4380" cy="771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355A89"/>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2974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members have broad experience serving on public boards in industries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1071245" cy="746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1245" cy="746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355A89"/>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228028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7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Board members have strong leadership backgrounds, holding CEO, CFO or other executive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737235" cy="754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00" w:space="460"/>
            <w:col w:w="3560" w:space="320"/>
            <w:col w:w="3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b w:val="1"/>
          <w:bCs w:val="1"/>
          <w:color w:val="355A89"/>
        </w:rPr>
        <w:t xml:space="preserve">33% </w:t>
      </w:r>
      <w:r>
        <w:rPr>
          <w:rFonts w:ascii="Arial" w:cs="Arial" w:eastAsia="Arial" w:hAnsi="Arial"/>
          <w:sz w:val="18"/>
          <w:szCs w:val="18"/>
          <w:color w:val="000000"/>
        </w:rPr>
        <w:t>of our independent Board members are</w:t>
      </w:r>
      <w:r>
        <w:rPr>
          <w:sz w:val="20"/>
          <w:szCs w:val="20"/>
          <w:color w:val="auto"/>
        </w:rPr>
        <w:tab/>
      </w:r>
      <w:r>
        <w:rPr>
          <w:rFonts w:ascii="Arial" w:cs="Arial" w:eastAsia="Arial" w:hAnsi="Arial"/>
          <w:sz w:val="16"/>
          <w:szCs w:val="16"/>
          <w:b w:val="1"/>
          <w:bCs w:val="1"/>
          <w:color w:val="355A89"/>
        </w:rPr>
        <w:t xml:space="preserve">67% </w:t>
      </w:r>
      <w:r>
        <w:rPr>
          <w:rFonts w:ascii="Arial" w:cs="Arial" w:eastAsia="Arial" w:hAnsi="Arial"/>
          <w:sz w:val="16"/>
          <w:szCs w:val="16"/>
          <w:color w:val="000000"/>
        </w:rPr>
        <w:t>of our Board currently serve or have</w:t>
      </w:r>
    </w:p>
    <w:p>
      <w:pPr>
        <w:spacing w:after="0" w:line="18" w:lineRule="exact"/>
        <w:rPr>
          <w:sz w:val="20"/>
          <w:szCs w:val="20"/>
          <w:color w:val="auto"/>
        </w:rPr>
      </w:pPr>
    </w:p>
    <w:p>
      <w:pPr>
        <w:spacing w:after="0"/>
        <w:tabs>
          <w:tab w:leader="none" w:pos="3740" w:val="left"/>
        </w:tabs>
        <w:rPr>
          <w:sz w:val="20"/>
          <w:szCs w:val="20"/>
          <w:color w:val="auto"/>
        </w:rPr>
      </w:pPr>
      <w:r>
        <w:rPr>
          <w:rFonts w:ascii="Arial" w:cs="Arial" w:eastAsia="Arial" w:hAnsi="Arial"/>
          <w:sz w:val="16"/>
          <w:szCs w:val="16"/>
          <w:color w:val="auto"/>
        </w:rPr>
        <w:t>women</w:t>
      </w:r>
      <w:r>
        <w:rPr>
          <w:sz w:val="20"/>
          <w:szCs w:val="20"/>
          <w:color w:val="auto"/>
        </w:rPr>
        <w:tab/>
      </w:r>
      <w:r>
        <w:rPr>
          <w:rFonts w:ascii="Arial" w:cs="Arial" w:eastAsia="Arial" w:hAnsi="Arial"/>
          <w:sz w:val="16"/>
          <w:szCs w:val="16"/>
          <w:color w:val="auto"/>
        </w:rPr>
        <w:t>served on the Boards of other publicly traded</w:t>
      </w:r>
    </w:p>
    <w:p>
      <w:pPr>
        <w:spacing w:after="0" w:line="1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355A89"/>
        </w:rPr>
        <w:t>Annual Director Elections and Majority Vote Standard with Director Resignation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1354455" cy="4883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5445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color w:val="355A89"/>
        </w:rPr>
        <w:t xml:space="preserve">100% </w:t>
      </w:r>
      <w:r>
        <w:rPr>
          <w:rFonts w:ascii="Arial" w:cs="Arial" w:eastAsia="Arial" w:hAnsi="Arial"/>
          <w:sz w:val="18"/>
          <w:szCs w:val="18"/>
          <w:color w:val="000000"/>
        </w:rPr>
        <w:t>of our Board currently serve or have</w:t>
      </w:r>
      <w:r>
        <w:rPr>
          <w:rFonts w:ascii="Arial" w:cs="Arial" w:eastAsia="Arial" w:hAnsi="Arial"/>
          <w:sz w:val="18"/>
          <w:szCs w:val="18"/>
          <w:b w:val="1"/>
          <w:bCs w:val="1"/>
          <w:color w:val="355A89"/>
        </w:rPr>
        <w:t xml:space="preserve"> </w:t>
      </w:r>
      <w:r>
        <w:rPr>
          <w:rFonts w:ascii="Arial" w:cs="Arial" w:eastAsia="Arial" w:hAnsi="Arial"/>
          <w:sz w:val="18"/>
          <w:szCs w:val="18"/>
          <w:color w:val="000000"/>
        </w:rPr>
        <w:t>served as CEO or in senior leadership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451485</wp:posOffset>
            </wp:positionV>
            <wp:extent cx="660400" cy="582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0400" cy="582930"/>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7260" w:space="380"/>
            <w:col w:w="3600"/>
          </w:cols>
          <w:pgMar w:left="320" w:top="121"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7820" w:type="dxa"/>
            <w:vAlign w:val="bottom"/>
          </w:tcPr>
          <w:p>
            <w:pPr>
              <w:ind w:left="380"/>
              <w:spacing w:after="0"/>
              <w:rPr>
                <w:sz w:val="20"/>
                <w:szCs w:val="20"/>
                <w:color w:val="auto"/>
              </w:rPr>
            </w:pPr>
            <w:r>
              <w:rPr>
                <w:rFonts w:ascii="Arial" w:cs="Arial" w:eastAsia="Arial" w:hAnsi="Arial"/>
                <w:sz w:val="18"/>
                <w:szCs w:val="18"/>
                <w:color w:val="auto"/>
              </w:rPr>
              <w:t>Our directors are now elected for one-year</w:t>
            </w:r>
          </w:p>
        </w:tc>
      </w:tr>
      <w:tr>
        <w:trPr>
          <w:trHeight w:val="211"/>
        </w:trPr>
        <w:tc>
          <w:tcPr>
            <w:tcW w:w="3420" w:type="dxa"/>
            <w:vAlign w:val="bottom"/>
          </w:tcPr>
          <w:p>
            <w:pPr>
              <w:spacing w:after="0"/>
              <w:rPr>
                <w:sz w:val="18"/>
                <w:szCs w:val="18"/>
                <w:color w:val="auto"/>
              </w:rPr>
            </w:pPr>
          </w:p>
        </w:tc>
        <w:tc>
          <w:tcPr>
            <w:tcW w:w="7820" w:type="dxa"/>
            <w:vAlign w:val="bottom"/>
          </w:tcPr>
          <w:p>
            <w:pPr>
              <w:ind w:left="380"/>
              <w:spacing w:after="0"/>
              <w:rPr>
                <w:sz w:val="20"/>
                <w:szCs w:val="20"/>
                <w:color w:val="auto"/>
              </w:rPr>
            </w:pPr>
            <w:r>
              <w:rPr>
                <w:rFonts w:ascii="Arial" w:cs="Arial" w:eastAsia="Arial" w:hAnsi="Arial"/>
                <w:sz w:val="18"/>
                <w:szCs w:val="18"/>
                <w:color w:val="auto"/>
              </w:rPr>
              <w:t>terms.</w:t>
            </w:r>
          </w:p>
        </w:tc>
      </w:tr>
      <w:tr>
        <w:trPr>
          <w:trHeight w:val="968"/>
        </w:trPr>
        <w:tc>
          <w:tcPr>
            <w:tcW w:w="3420" w:type="dxa"/>
            <w:vAlign w:val="bottom"/>
            <w:tcBorders>
              <w:bottom w:val="single" w:sz="8" w:color="355A89"/>
            </w:tcBorders>
          </w:tcPr>
          <w:p>
            <w:pPr>
              <w:spacing w:after="0"/>
              <w:rPr>
                <w:sz w:val="20"/>
                <w:szCs w:val="20"/>
                <w:color w:val="auto"/>
              </w:rPr>
            </w:pPr>
            <w:r>
              <w:rPr>
                <w:rFonts w:ascii="Arial" w:cs="Arial" w:eastAsia="Arial" w:hAnsi="Arial"/>
                <w:sz w:val="18"/>
                <w:szCs w:val="18"/>
                <w:b w:val="1"/>
                <w:bCs w:val="1"/>
                <w:color w:val="355A89"/>
              </w:rPr>
              <w:t>Balanced Stockholder Rights</w:t>
            </w:r>
          </w:p>
        </w:tc>
        <w:tc>
          <w:tcPr>
            <w:tcW w:w="7820" w:type="dxa"/>
            <w:vAlign w:val="bottom"/>
            <w:tcBorders>
              <w:bottom w:val="single" w:sz="8" w:color="355A89"/>
            </w:tcBorders>
          </w:tcPr>
          <w:p>
            <w:pPr>
              <w:spacing w:after="0"/>
              <w:rPr>
                <w:sz w:val="24"/>
                <w:szCs w:val="24"/>
                <w:color w:val="auto"/>
              </w:rPr>
            </w:pPr>
          </w:p>
        </w:tc>
      </w:tr>
      <w:tr>
        <w:trPr>
          <w:trHeight w:val="498"/>
        </w:trPr>
        <w:tc>
          <w:tcPr>
            <w:tcW w:w="3420" w:type="dxa"/>
            <w:vAlign w:val="bottom"/>
          </w:tcPr>
          <w:p>
            <w:pPr>
              <w:spacing w:after="0"/>
              <w:rPr>
                <w:sz w:val="20"/>
                <w:szCs w:val="20"/>
                <w:color w:val="auto"/>
              </w:rPr>
            </w:pPr>
            <w:r>
              <w:rPr>
                <w:rFonts w:ascii="Arial" w:cs="Arial" w:eastAsia="Arial" w:hAnsi="Arial"/>
                <w:sz w:val="18"/>
                <w:szCs w:val="18"/>
                <w:b w:val="1"/>
                <w:bCs w:val="1"/>
                <w:color w:val="355A89"/>
              </w:rPr>
              <w:t>Stockholder Amendments to Bylaws</w:t>
            </w:r>
          </w:p>
        </w:tc>
        <w:tc>
          <w:tcPr>
            <w:tcW w:w="7820" w:type="dxa"/>
            <w:vAlign w:val="bottom"/>
          </w:tcPr>
          <w:p>
            <w:pPr>
              <w:ind w:left="2340"/>
              <w:spacing w:after="0"/>
              <w:rPr>
                <w:sz w:val="20"/>
                <w:szCs w:val="20"/>
                <w:color w:val="auto"/>
              </w:rPr>
            </w:pPr>
            <w:r>
              <w:rPr>
                <w:rFonts w:ascii="Arial" w:cs="Arial" w:eastAsia="Arial" w:hAnsi="Arial"/>
                <w:sz w:val="18"/>
                <w:szCs w:val="18"/>
                <w:b w:val="1"/>
                <w:bCs w:val="1"/>
                <w:color w:val="355A89"/>
              </w:rPr>
              <w:t>Proxy Access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436880" cy="600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6880" cy="60007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35560</wp:posOffset>
            </wp:positionV>
            <wp:extent cx="840105" cy="6000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40105" cy="6000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provide stockholders the right to amend our bylaws by a majority vote without any ownership or holding period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 stockholder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394970</wp:posOffset>
            </wp:positionV>
            <wp:extent cx="71532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5320" w:space="440"/>
            <w:col w:w="548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7980"/>
        <w:spacing w:after="0"/>
        <w:rPr>
          <w:sz w:val="20"/>
          <w:szCs w:val="20"/>
          <w:color w:val="auto"/>
        </w:rPr>
      </w:pPr>
      <w:r>
        <w:rPr>
          <w:rFonts w:ascii="Arial" w:cs="Arial" w:eastAsia="Arial" w:hAnsi="Arial"/>
          <w:sz w:val="16"/>
          <w:szCs w:val="16"/>
          <w:u w:val="single" w:color="auto"/>
          <w:color w:val="355A89"/>
        </w:rPr>
        <w:t>2021 PROXY STATEMENT HIGHLIGHTS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Simplified Pay Elements with Continued Emphasis on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Impact of Stockholder Feedback on Compensation Design – Transition Completed in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Over the past three years, the Compensation Committee made updates to the compensation structure to:</w:t>
      </w:r>
    </w:p>
    <w:p>
      <w:pPr>
        <w:spacing w:after="0" w:line="20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7"/>
          <w:szCs w:val="17"/>
          <w:color w:val="355A89"/>
        </w:rPr>
      </w:pPr>
      <w:r>
        <w:rPr>
          <w:rFonts w:ascii="Arial" w:cs="Arial" w:eastAsia="Arial" w:hAnsi="Arial"/>
          <w:sz w:val="18"/>
          <w:szCs w:val="18"/>
          <w:color w:val="auto"/>
        </w:rPr>
        <w:t>Simplify the pay structure by reducing compensation elements from seven to just four;</w:t>
      </w:r>
    </w:p>
    <w:p>
      <w:pPr>
        <w:spacing w:after="0" w:line="63" w:lineRule="exact"/>
        <w:rPr>
          <w:rFonts w:ascii="Arial" w:cs="Arial" w:eastAsia="Arial" w:hAnsi="Arial"/>
          <w:sz w:val="17"/>
          <w:szCs w:val="17"/>
          <w:color w:val="355A89"/>
        </w:rPr>
      </w:pPr>
    </w:p>
    <w:p>
      <w:pPr>
        <w:ind w:left="260" w:hanging="252"/>
        <w:spacing w:after="0"/>
        <w:tabs>
          <w:tab w:leader="none" w:pos="260" w:val="left"/>
        </w:tabs>
        <w:numPr>
          <w:ilvl w:val="0"/>
          <w:numId w:val="12"/>
        </w:numPr>
        <w:rPr>
          <w:rFonts w:ascii="Arial" w:cs="Arial" w:eastAsia="Arial" w:hAnsi="Arial"/>
          <w:sz w:val="17"/>
          <w:szCs w:val="17"/>
          <w:color w:val="355A89"/>
        </w:rPr>
      </w:pPr>
      <w:r>
        <w:rPr>
          <w:rFonts w:ascii="Arial" w:cs="Arial" w:eastAsia="Arial" w:hAnsi="Arial"/>
          <w:sz w:val="18"/>
          <w:szCs w:val="18"/>
          <w:color w:val="auto"/>
        </w:rPr>
        <w:t>Increase transparency by enhancing disclosure of mechanics of our compensation program;</w:t>
      </w:r>
    </w:p>
    <w:p>
      <w:pPr>
        <w:spacing w:after="0" w:line="63" w:lineRule="exact"/>
        <w:rPr>
          <w:rFonts w:ascii="Arial" w:cs="Arial" w:eastAsia="Arial" w:hAnsi="Arial"/>
          <w:sz w:val="17"/>
          <w:szCs w:val="17"/>
          <w:color w:val="355A89"/>
        </w:rPr>
      </w:pPr>
    </w:p>
    <w:p>
      <w:pPr>
        <w:ind w:left="260" w:hanging="252"/>
        <w:spacing w:after="0"/>
        <w:tabs>
          <w:tab w:leader="none" w:pos="260" w:val="left"/>
        </w:tabs>
        <w:numPr>
          <w:ilvl w:val="0"/>
          <w:numId w:val="12"/>
        </w:numPr>
        <w:rPr>
          <w:rFonts w:ascii="Arial" w:cs="Arial" w:eastAsia="Arial" w:hAnsi="Arial"/>
          <w:sz w:val="17"/>
          <w:szCs w:val="17"/>
          <w:color w:val="355A89"/>
        </w:rPr>
      </w:pPr>
      <w:r>
        <w:rPr>
          <w:rFonts w:ascii="Arial" w:cs="Arial" w:eastAsia="Arial" w:hAnsi="Arial"/>
          <w:sz w:val="18"/>
          <w:szCs w:val="18"/>
          <w:color w:val="auto"/>
        </w:rPr>
        <w:t>Increase emphasis on incentives driven by Company performance; and</w:t>
      </w:r>
    </w:p>
    <w:p>
      <w:pPr>
        <w:spacing w:after="0" w:line="63" w:lineRule="exact"/>
        <w:rPr>
          <w:rFonts w:ascii="Arial" w:cs="Arial" w:eastAsia="Arial" w:hAnsi="Arial"/>
          <w:sz w:val="17"/>
          <w:szCs w:val="17"/>
          <w:color w:val="355A89"/>
        </w:rPr>
      </w:pPr>
    </w:p>
    <w:p>
      <w:pPr>
        <w:ind w:left="260" w:hanging="252"/>
        <w:spacing w:after="0"/>
        <w:tabs>
          <w:tab w:leader="none" w:pos="260" w:val="left"/>
        </w:tabs>
        <w:numPr>
          <w:ilvl w:val="0"/>
          <w:numId w:val="12"/>
        </w:numPr>
        <w:rPr>
          <w:rFonts w:ascii="Arial" w:cs="Arial" w:eastAsia="Arial" w:hAnsi="Arial"/>
          <w:sz w:val="17"/>
          <w:szCs w:val="17"/>
          <w:color w:val="355A89"/>
        </w:rPr>
      </w:pPr>
      <w:r>
        <w:rPr>
          <w:rFonts w:ascii="Arial" w:cs="Arial" w:eastAsia="Arial" w:hAnsi="Arial"/>
          <w:sz w:val="18"/>
          <w:szCs w:val="18"/>
          <w:color w:val="auto"/>
        </w:rPr>
        <w:t>Enhance performance link by eliminating retesting and guaranteed equity, and introducing multi-year performance periods.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Simplified Elements of Pay for Chairman &amp; CEO and President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Borders>
              <w:bottom w:val="single" w:sz="8" w:color="355A89"/>
            </w:tcBorders>
            <w:gridSpan w:val="2"/>
          </w:tcPr>
          <w:p>
            <w:pPr>
              <w:ind w:left="120"/>
              <w:spacing w:after="0"/>
              <w:rPr>
                <w:sz w:val="20"/>
                <w:szCs w:val="20"/>
                <w:color w:val="auto"/>
              </w:rPr>
            </w:pPr>
            <w:r>
              <w:rPr>
                <w:rFonts w:ascii="Arial" w:cs="Arial" w:eastAsia="Arial" w:hAnsi="Arial"/>
                <w:sz w:val="13"/>
                <w:szCs w:val="13"/>
                <w:b w:val="1"/>
                <w:bCs w:val="1"/>
                <w:color w:val="355A89"/>
              </w:rPr>
              <w:t>Pay Element</w:t>
            </w:r>
          </w:p>
        </w:tc>
        <w:tc>
          <w:tcPr>
            <w:tcW w:w="3080" w:type="dxa"/>
            <w:vAlign w:val="bottom"/>
            <w:tcBorders>
              <w:bottom w:val="single" w:sz="8" w:color="355A89"/>
            </w:tcBorders>
            <w:gridSpan w:val="2"/>
          </w:tcPr>
          <w:p>
            <w:pPr>
              <w:ind w:left="60"/>
              <w:spacing w:after="0"/>
              <w:rPr>
                <w:sz w:val="20"/>
                <w:szCs w:val="20"/>
                <w:color w:val="auto"/>
              </w:rPr>
            </w:pPr>
            <w:r>
              <w:rPr>
                <w:rFonts w:ascii="Arial" w:cs="Arial" w:eastAsia="Arial" w:hAnsi="Arial"/>
                <w:sz w:val="13"/>
                <w:szCs w:val="13"/>
                <w:b w:val="1"/>
                <w:bCs w:val="1"/>
                <w:color w:val="355A89"/>
              </w:rPr>
              <w:t>Key Characteristic</w:t>
            </w:r>
          </w:p>
        </w:tc>
        <w:tc>
          <w:tcPr>
            <w:tcW w:w="2840" w:type="dxa"/>
            <w:vAlign w:val="bottom"/>
            <w:tcBorders>
              <w:bottom w:val="single" w:sz="8" w:color="355A89"/>
            </w:tcBorders>
          </w:tcPr>
          <w:p>
            <w:pPr>
              <w:spacing w:after="0"/>
              <w:rPr>
                <w:sz w:val="14"/>
                <w:szCs w:val="14"/>
                <w:color w:val="auto"/>
              </w:rPr>
            </w:pPr>
          </w:p>
        </w:tc>
        <w:tc>
          <w:tcPr>
            <w:tcW w:w="2920" w:type="dxa"/>
            <w:vAlign w:val="bottom"/>
            <w:tcBorders>
              <w:bottom w:val="single" w:sz="8" w:color="355A89"/>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8089AD"/>
            </w:tcBorders>
            <w:shd w:val="clear" w:color="auto" w:fill="E4E5EE"/>
          </w:tcPr>
          <w:p>
            <w:pPr>
              <w:ind w:left="120"/>
              <w:spacing w:after="0"/>
              <w:rPr>
                <w:sz w:val="20"/>
                <w:szCs w:val="20"/>
                <w:color w:val="auto"/>
              </w:rPr>
            </w:pPr>
            <w:r>
              <w:rPr>
                <w:rFonts w:ascii="Arial" w:cs="Arial" w:eastAsia="Arial" w:hAnsi="Arial"/>
                <w:sz w:val="13"/>
                <w:szCs w:val="13"/>
                <w:b w:val="1"/>
                <w:bCs w:val="1"/>
                <w:color w:val="355A89"/>
              </w:rPr>
              <w:t>Base Salary</w:t>
            </w:r>
          </w:p>
        </w:tc>
        <w:tc>
          <w:tcPr>
            <w:tcW w:w="200" w:type="dxa"/>
            <w:vAlign w:val="bottom"/>
            <w:tcBorders>
              <w:bottom w:val="single" w:sz="8" w:color="8089AD"/>
            </w:tcBorders>
          </w:tcPr>
          <w:p>
            <w:pPr>
              <w:spacing w:after="0"/>
              <w:rPr>
                <w:sz w:val="21"/>
                <w:szCs w:val="21"/>
                <w:color w:val="auto"/>
              </w:rPr>
            </w:pPr>
          </w:p>
        </w:tc>
        <w:tc>
          <w:tcPr>
            <w:tcW w:w="3080" w:type="dxa"/>
            <w:vAlign w:val="bottom"/>
            <w:tcBorders>
              <w:bottom w:val="single" w:sz="8" w:color="8089AD"/>
            </w:tcBorders>
            <w:gridSpan w:val="2"/>
          </w:tcPr>
          <w:p>
            <w:pPr>
              <w:ind w:left="60"/>
              <w:spacing w:after="0"/>
              <w:rPr>
                <w:sz w:val="20"/>
                <w:szCs w:val="20"/>
                <w:color w:val="auto"/>
              </w:rPr>
            </w:pPr>
            <w:r>
              <w:rPr>
                <w:rFonts w:ascii="Arial" w:cs="Arial" w:eastAsia="Arial" w:hAnsi="Arial"/>
                <w:sz w:val="18"/>
                <w:szCs w:val="18"/>
                <w:color w:val="auto"/>
              </w:rPr>
              <w:t>Only fixed component</w:t>
            </w:r>
          </w:p>
        </w:tc>
        <w:tc>
          <w:tcPr>
            <w:tcW w:w="2840" w:type="dxa"/>
            <w:vAlign w:val="bottom"/>
            <w:tcBorders>
              <w:bottom w:val="single" w:sz="8" w:color="8089AD"/>
            </w:tcBorders>
          </w:tcPr>
          <w:p>
            <w:pPr>
              <w:spacing w:after="0"/>
              <w:rPr>
                <w:sz w:val="21"/>
                <w:szCs w:val="21"/>
                <w:color w:val="auto"/>
              </w:rPr>
            </w:pPr>
          </w:p>
        </w:tc>
        <w:tc>
          <w:tcPr>
            <w:tcW w:w="2920" w:type="dxa"/>
            <w:vAlign w:val="bottom"/>
            <w:tcBorders>
              <w:bottom w:val="single" w:sz="8" w:color="8089AD"/>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8089AD"/>
            </w:tcBorders>
            <w:shd w:val="clear" w:color="auto" w:fill="E4E5EE"/>
          </w:tcPr>
          <w:p>
            <w:pPr>
              <w:ind w:left="120"/>
              <w:spacing w:after="0"/>
              <w:rPr>
                <w:sz w:val="20"/>
                <w:szCs w:val="20"/>
                <w:color w:val="auto"/>
              </w:rPr>
            </w:pPr>
            <w:r>
              <w:rPr>
                <w:rFonts w:ascii="Arial" w:cs="Arial" w:eastAsia="Arial" w:hAnsi="Arial"/>
                <w:sz w:val="13"/>
                <w:szCs w:val="13"/>
                <w:b w:val="1"/>
                <w:bCs w:val="1"/>
                <w:color w:val="355A89"/>
              </w:rPr>
              <w:t>Annual Cash Bonus</w:t>
            </w:r>
          </w:p>
        </w:tc>
        <w:tc>
          <w:tcPr>
            <w:tcW w:w="200" w:type="dxa"/>
            <w:vAlign w:val="bottom"/>
            <w:tcBorders>
              <w:bottom w:val="single" w:sz="8" w:color="8089AD"/>
            </w:tcBorders>
          </w:tcPr>
          <w:p>
            <w:pPr>
              <w:spacing w:after="0"/>
              <w:rPr>
                <w:sz w:val="21"/>
                <w:szCs w:val="21"/>
                <w:color w:val="auto"/>
              </w:rPr>
            </w:pPr>
          </w:p>
        </w:tc>
        <w:tc>
          <w:tcPr>
            <w:tcW w:w="8840" w:type="dxa"/>
            <w:vAlign w:val="bottom"/>
            <w:tcBorders>
              <w:bottom w:val="single" w:sz="8" w:color="8089AD"/>
            </w:tcBorders>
            <w:gridSpan w:val="4"/>
          </w:tcPr>
          <w:p>
            <w:pPr>
              <w:ind w:left="60"/>
              <w:spacing w:after="0"/>
              <w:rPr>
                <w:sz w:val="20"/>
                <w:szCs w:val="20"/>
                <w:color w:val="auto"/>
              </w:rPr>
            </w:pPr>
            <w:r>
              <w:rPr>
                <w:rFonts w:ascii="Arial" w:cs="Arial" w:eastAsia="Arial" w:hAnsi="Arial"/>
                <w:sz w:val="18"/>
                <w:szCs w:val="18"/>
                <w:color w:val="auto"/>
              </w:rPr>
              <w:t>100% formulaic based on specific criteria and weightings that directly correspond to our strategy</w:t>
            </w:r>
          </w:p>
        </w:tc>
        <w:tc>
          <w:tcPr>
            <w:tcW w:w="0" w:type="dxa"/>
            <w:vAlign w:val="bottom"/>
          </w:tcPr>
          <w:p>
            <w:pPr>
              <w:spacing w:after="0"/>
              <w:rPr>
                <w:sz w:val="1"/>
                <w:szCs w:val="1"/>
                <w:color w:val="auto"/>
              </w:rPr>
            </w:pPr>
          </w:p>
        </w:tc>
      </w:tr>
      <w:tr>
        <w:trPr>
          <w:trHeight w:val="213"/>
        </w:trPr>
        <w:tc>
          <w:tcPr>
            <w:tcW w:w="2200" w:type="dxa"/>
            <w:vAlign w:val="bottom"/>
            <w:shd w:val="clear" w:color="auto" w:fill="E4E5EE"/>
          </w:tcPr>
          <w:p>
            <w:pPr>
              <w:ind w:left="120"/>
              <w:spacing w:after="0"/>
              <w:rPr>
                <w:sz w:val="20"/>
                <w:szCs w:val="20"/>
                <w:color w:val="auto"/>
              </w:rPr>
            </w:pPr>
            <w:r>
              <w:rPr>
                <w:rFonts w:ascii="Arial" w:cs="Arial" w:eastAsia="Arial" w:hAnsi="Arial"/>
                <w:sz w:val="13"/>
                <w:szCs w:val="13"/>
                <w:b w:val="1"/>
                <w:bCs w:val="1"/>
                <w:color w:val="355A89"/>
              </w:rPr>
              <w:t>Performance-Based LTIP Units</w:t>
            </w:r>
          </w:p>
        </w:tc>
        <w:tc>
          <w:tcPr>
            <w:tcW w:w="200" w:type="dxa"/>
            <w:vAlign w:val="bottom"/>
          </w:tcPr>
          <w:p>
            <w:pPr>
              <w:spacing w:after="0"/>
              <w:rPr>
                <w:sz w:val="18"/>
                <w:szCs w:val="18"/>
                <w:color w:val="auto"/>
              </w:rPr>
            </w:pPr>
          </w:p>
        </w:tc>
        <w:tc>
          <w:tcPr>
            <w:tcW w:w="8840" w:type="dxa"/>
            <w:vAlign w:val="bottom"/>
            <w:gridSpan w:val="4"/>
          </w:tcPr>
          <w:p>
            <w:pPr>
              <w:ind w:left="60"/>
              <w:spacing w:after="0"/>
              <w:rPr>
                <w:sz w:val="20"/>
                <w:szCs w:val="20"/>
                <w:color w:val="auto"/>
              </w:rPr>
            </w:pPr>
            <w:r>
              <w:rPr>
                <w:rFonts w:ascii="Arial" w:cs="Arial" w:eastAsia="Arial" w:hAnsi="Arial"/>
                <w:sz w:val="18"/>
                <w:szCs w:val="18"/>
                <w:color w:val="auto"/>
              </w:rPr>
              <w:t>50% based on annual operating goals subject to absolute 3-year TSR modifier 50% based on relative 3-year</w:t>
            </w:r>
          </w:p>
        </w:tc>
        <w:tc>
          <w:tcPr>
            <w:tcW w:w="0" w:type="dxa"/>
            <w:vAlign w:val="bottom"/>
          </w:tcPr>
          <w:p>
            <w:pPr>
              <w:spacing w:after="0"/>
              <w:rPr>
                <w:sz w:val="1"/>
                <w:szCs w:val="1"/>
                <w:color w:val="auto"/>
              </w:rPr>
            </w:pPr>
          </w:p>
        </w:tc>
      </w:tr>
      <w:tr>
        <w:trPr>
          <w:trHeight w:val="240"/>
        </w:trPr>
        <w:tc>
          <w:tcPr>
            <w:tcW w:w="2200" w:type="dxa"/>
            <w:vAlign w:val="bottom"/>
            <w:tcBorders>
              <w:bottom w:val="single" w:sz="8" w:color="8089AD"/>
            </w:tcBorders>
            <w:shd w:val="clear" w:color="auto" w:fill="E4E5EE"/>
          </w:tcPr>
          <w:p>
            <w:pPr>
              <w:ind w:left="120"/>
              <w:spacing w:after="0"/>
              <w:rPr>
                <w:sz w:val="20"/>
                <w:szCs w:val="20"/>
                <w:color w:val="auto"/>
              </w:rPr>
            </w:pPr>
            <w:r>
              <w:rPr>
                <w:rFonts w:ascii="Arial" w:cs="Arial" w:eastAsia="Arial" w:hAnsi="Arial"/>
                <w:sz w:val="13"/>
                <w:szCs w:val="13"/>
                <w:b w:val="1"/>
                <w:bCs w:val="1"/>
                <w:color w:val="355A89"/>
              </w:rPr>
              <w:t>(62.5% of Total Target Value)</w:t>
            </w:r>
          </w:p>
        </w:tc>
        <w:tc>
          <w:tcPr>
            <w:tcW w:w="200" w:type="dxa"/>
            <w:vAlign w:val="bottom"/>
            <w:tcBorders>
              <w:bottom w:val="single" w:sz="8" w:color="8089AD"/>
            </w:tcBorders>
          </w:tcPr>
          <w:p>
            <w:pPr>
              <w:spacing w:after="0"/>
              <w:rPr>
                <w:sz w:val="20"/>
                <w:szCs w:val="20"/>
                <w:color w:val="auto"/>
              </w:rPr>
            </w:pPr>
          </w:p>
        </w:tc>
        <w:tc>
          <w:tcPr>
            <w:tcW w:w="3080" w:type="dxa"/>
            <w:vAlign w:val="bottom"/>
            <w:tcBorders>
              <w:bottom w:val="single" w:sz="8" w:color="8089AD"/>
            </w:tcBorders>
            <w:gridSpan w:val="2"/>
          </w:tcPr>
          <w:p>
            <w:pPr>
              <w:ind w:left="60"/>
              <w:spacing w:after="0"/>
              <w:rPr>
                <w:sz w:val="20"/>
                <w:szCs w:val="20"/>
                <w:color w:val="auto"/>
              </w:rPr>
            </w:pPr>
            <w:r>
              <w:rPr>
                <w:rFonts w:ascii="Arial" w:cs="Arial" w:eastAsia="Arial" w:hAnsi="Arial"/>
                <w:sz w:val="18"/>
                <w:szCs w:val="18"/>
                <w:color w:val="auto"/>
              </w:rPr>
              <w:t>TSR</w:t>
            </w:r>
          </w:p>
        </w:tc>
        <w:tc>
          <w:tcPr>
            <w:tcW w:w="2840" w:type="dxa"/>
            <w:vAlign w:val="bottom"/>
            <w:tcBorders>
              <w:bottom w:val="single" w:sz="8" w:color="8089AD"/>
            </w:tcBorders>
          </w:tcPr>
          <w:p>
            <w:pPr>
              <w:spacing w:after="0"/>
              <w:rPr>
                <w:sz w:val="20"/>
                <w:szCs w:val="20"/>
                <w:color w:val="auto"/>
              </w:rPr>
            </w:pPr>
          </w:p>
        </w:tc>
        <w:tc>
          <w:tcPr>
            <w:tcW w:w="2920" w:type="dxa"/>
            <w:vAlign w:val="bottom"/>
            <w:tcBorders>
              <w:bottom w:val="single" w:sz="8" w:color="8089AD"/>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E4E5EE"/>
          </w:tcPr>
          <w:p>
            <w:pPr>
              <w:ind w:left="120"/>
              <w:spacing w:after="0"/>
              <w:rPr>
                <w:sz w:val="20"/>
                <w:szCs w:val="20"/>
                <w:color w:val="auto"/>
              </w:rPr>
            </w:pPr>
            <w:r>
              <w:rPr>
                <w:rFonts w:ascii="Arial" w:cs="Arial" w:eastAsia="Arial" w:hAnsi="Arial"/>
                <w:sz w:val="13"/>
                <w:szCs w:val="13"/>
                <w:b w:val="1"/>
                <w:bCs w:val="1"/>
                <w:color w:val="355A89"/>
              </w:rPr>
              <w:t>Time-Based Equity Award</w:t>
            </w:r>
          </w:p>
        </w:tc>
        <w:tc>
          <w:tcPr>
            <w:tcW w:w="200" w:type="dxa"/>
            <w:vAlign w:val="bottom"/>
          </w:tcPr>
          <w:p>
            <w:pPr>
              <w:spacing w:after="0"/>
              <w:rPr>
                <w:sz w:val="13"/>
                <w:szCs w:val="13"/>
                <w:color w:val="auto"/>
              </w:rPr>
            </w:pPr>
          </w:p>
        </w:tc>
        <w:tc>
          <w:tcPr>
            <w:tcW w:w="8840" w:type="dxa"/>
            <w:vAlign w:val="bottom"/>
            <w:gridSpan w:val="4"/>
            <w:vMerge w:val="restart"/>
          </w:tcPr>
          <w:p>
            <w:pPr>
              <w:ind w:left="60"/>
              <w:spacing w:after="0"/>
              <w:rPr>
                <w:sz w:val="20"/>
                <w:szCs w:val="20"/>
                <w:color w:val="auto"/>
              </w:rPr>
            </w:pPr>
            <w:r>
              <w:rPr>
                <w:rFonts w:ascii="Arial" w:cs="Arial" w:eastAsia="Arial" w:hAnsi="Arial"/>
                <w:sz w:val="18"/>
                <w:szCs w:val="18"/>
                <w:color w:val="auto"/>
              </w:rPr>
              <w:t>Three-year ratable vesting and a no-sell restriction for 3 years after grant date</w:t>
            </w:r>
          </w:p>
        </w:tc>
        <w:tc>
          <w:tcPr>
            <w:tcW w:w="0" w:type="dxa"/>
            <w:vAlign w:val="bottom"/>
          </w:tcPr>
          <w:p>
            <w:pPr>
              <w:spacing w:after="0"/>
              <w:rPr>
                <w:sz w:val="1"/>
                <w:szCs w:val="1"/>
                <w:color w:val="auto"/>
              </w:rPr>
            </w:pPr>
          </w:p>
        </w:tc>
      </w:tr>
      <w:tr>
        <w:trPr>
          <w:trHeight w:val="123"/>
        </w:trPr>
        <w:tc>
          <w:tcPr>
            <w:tcW w:w="2200" w:type="dxa"/>
            <w:vAlign w:val="bottom"/>
            <w:vMerge w:val="restart"/>
            <w:shd w:val="clear" w:color="auto" w:fill="E4E5EE"/>
          </w:tcPr>
          <w:p>
            <w:pPr>
              <w:ind w:left="120"/>
              <w:spacing w:after="0"/>
              <w:rPr>
                <w:sz w:val="20"/>
                <w:szCs w:val="20"/>
                <w:color w:val="auto"/>
              </w:rPr>
            </w:pPr>
            <w:r>
              <w:rPr>
                <w:rFonts w:ascii="Arial" w:cs="Arial" w:eastAsia="Arial" w:hAnsi="Arial"/>
                <w:sz w:val="13"/>
                <w:szCs w:val="13"/>
                <w:b w:val="1"/>
                <w:bCs w:val="1"/>
                <w:color w:val="355A89"/>
              </w:rPr>
              <w:t>(37.5% of Total Target Value)</w:t>
            </w:r>
          </w:p>
        </w:tc>
        <w:tc>
          <w:tcPr>
            <w:tcW w:w="200" w:type="dxa"/>
            <w:vAlign w:val="bottom"/>
          </w:tcPr>
          <w:p>
            <w:pPr>
              <w:spacing w:after="0"/>
              <w:rPr>
                <w:sz w:val="10"/>
                <w:szCs w:val="10"/>
                <w:color w:val="auto"/>
              </w:rPr>
            </w:pPr>
          </w:p>
        </w:tc>
        <w:tc>
          <w:tcPr>
            <w:tcW w:w="8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200" w:type="dxa"/>
            <w:vAlign w:val="bottom"/>
            <w:tcBorders>
              <w:bottom w:val="single" w:sz="8" w:color="8089AD"/>
            </w:tcBorders>
            <w:vMerge w:val="continue"/>
            <w:shd w:val="clear" w:color="auto" w:fill="E4E5EE"/>
          </w:tcPr>
          <w:p>
            <w:pPr>
              <w:spacing w:after="0"/>
              <w:rPr>
                <w:sz w:val="5"/>
                <w:szCs w:val="5"/>
                <w:color w:val="auto"/>
              </w:rPr>
            </w:pPr>
          </w:p>
        </w:tc>
        <w:tc>
          <w:tcPr>
            <w:tcW w:w="20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2820" w:type="dxa"/>
            <w:vAlign w:val="bottom"/>
            <w:tcBorders>
              <w:bottom w:val="single" w:sz="8" w:color="8089AD"/>
            </w:tcBorders>
          </w:tcPr>
          <w:p>
            <w:pPr>
              <w:spacing w:after="0"/>
              <w:rPr>
                <w:sz w:val="5"/>
                <w:szCs w:val="5"/>
                <w:color w:val="auto"/>
              </w:rPr>
            </w:pPr>
          </w:p>
        </w:tc>
        <w:tc>
          <w:tcPr>
            <w:tcW w:w="2840" w:type="dxa"/>
            <w:vAlign w:val="bottom"/>
            <w:tcBorders>
              <w:bottom w:val="single" w:sz="8" w:color="8089AD"/>
            </w:tcBorders>
          </w:tcPr>
          <w:p>
            <w:pPr>
              <w:spacing w:after="0"/>
              <w:rPr>
                <w:sz w:val="5"/>
                <w:szCs w:val="5"/>
                <w:color w:val="auto"/>
              </w:rPr>
            </w:pPr>
          </w:p>
        </w:tc>
        <w:tc>
          <w:tcPr>
            <w:tcW w:w="2920" w:type="dxa"/>
            <w:vAlign w:val="bottom"/>
            <w:tcBorders>
              <w:bottom w:val="single" w:sz="8" w:color="8089AD"/>
            </w:tcBorders>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8320" w:type="dxa"/>
            <w:vAlign w:val="bottom"/>
            <w:gridSpan w:val="5"/>
          </w:tcPr>
          <w:p>
            <w:pPr>
              <w:spacing w:after="0"/>
              <w:rPr>
                <w:sz w:val="20"/>
                <w:szCs w:val="20"/>
                <w:color w:val="auto"/>
              </w:rPr>
            </w:pPr>
            <w:r>
              <w:rPr>
                <w:rFonts w:ascii="Arial" w:cs="Arial" w:eastAsia="Arial" w:hAnsi="Arial"/>
                <w:sz w:val="20"/>
                <w:szCs w:val="20"/>
                <w:b w:val="1"/>
                <w:bCs w:val="1"/>
                <w:color w:val="355A89"/>
              </w:rPr>
              <w:t>COVID-19 Impact on Executive Compensation – Compensation Committee Decisions</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00" w:type="dxa"/>
            <w:vAlign w:val="bottom"/>
            <w:tcBorders>
              <w:bottom w:val="single" w:sz="8" w:color="8089AD"/>
            </w:tcBorders>
          </w:tcPr>
          <w:p>
            <w:pPr>
              <w:spacing w:after="0"/>
              <w:rPr>
                <w:sz w:val="17"/>
                <w:szCs w:val="17"/>
                <w:color w:val="auto"/>
              </w:rPr>
            </w:pPr>
          </w:p>
        </w:tc>
        <w:tc>
          <w:tcPr>
            <w:tcW w:w="200" w:type="dxa"/>
            <w:vAlign w:val="bottom"/>
            <w:tcBorders>
              <w:bottom w:val="single" w:sz="8" w:color="8089AD"/>
            </w:tcBorders>
          </w:tcPr>
          <w:p>
            <w:pPr>
              <w:spacing w:after="0"/>
              <w:rPr>
                <w:sz w:val="17"/>
                <w:szCs w:val="17"/>
                <w:color w:val="auto"/>
              </w:rPr>
            </w:pPr>
          </w:p>
        </w:tc>
        <w:tc>
          <w:tcPr>
            <w:tcW w:w="260" w:type="dxa"/>
            <w:vAlign w:val="bottom"/>
            <w:tcBorders>
              <w:bottom w:val="single" w:sz="8" w:color="8089AD"/>
            </w:tcBorders>
          </w:tcPr>
          <w:p>
            <w:pPr>
              <w:spacing w:after="0"/>
              <w:rPr>
                <w:sz w:val="17"/>
                <w:szCs w:val="17"/>
                <w:color w:val="auto"/>
              </w:rPr>
            </w:pPr>
          </w:p>
        </w:tc>
        <w:tc>
          <w:tcPr>
            <w:tcW w:w="5660" w:type="dxa"/>
            <w:vAlign w:val="bottom"/>
            <w:tcBorders>
              <w:bottom w:val="single" w:sz="8" w:color="8089AD"/>
            </w:tcBorders>
            <w:gridSpan w:val="2"/>
          </w:tcPr>
          <w:p>
            <w:pPr>
              <w:spacing w:after="0"/>
              <w:rPr>
                <w:sz w:val="17"/>
                <w:szCs w:val="17"/>
                <w:color w:val="auto"/>
              </w:rPr>
            </w:pPr>
          </w:p>
        </w:tc>
        <w:tc>
          <w:tcPr>
            <w:tcW w:w="2920" w:type="dxa"/>
            <w:vAlign w:val="bottom"/>
            <w:tcBorders>
              <w:bottom w:val="single" w:sz="8" w:color="8089AD"/>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60" w:type="dxa"/>
            <w:vAlign w:val="bottom"/>
            <w:gridSpan w:val="2"/>
          </w:tcPr>
          <w:p>
            <w:pPr>
              <w:ind w:left="920"/>
              <w:spacing w:after="0"/>
              <w:rPr>
                <w:sz w:val="20"/>
                <w:szCs w:val="20"/>
                <w:color w:val="auto"/>
              </w:rPr>
            </w:pPr>
            <w:r>
              <w:rPr>
                <w:rFonts w:ascii="Arial" w:cs="Arial" w:eastAsia="Arial" w:hAnsi="Arial"/>
                <w:sz w:val="13"/>
                <w:szCs w:val="13"/>
                <w:b w:val="1"/>
                <w:bCs w:val="1"/>
                <w:color w:val="355A89"/>
              </w:rPr>
              <w:t>How the Compensation Committee Evaluated Annual Incentives</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400" w:type="dxa"/>
            <w:vAlign w:val="bottom"/>
            <w:tcBorders>
              <w:bottom w:val="single" w:sz="8" w:color="8089AD"/>
            </w:tcBorders>
            <w:gridSpan w:val="2"/>
          </w:tcPr>
          <w:p>
            <w:pPr>
              <w:spacing w:after="0"/>
              <w:rPr>
                <w:sz w:val="8"/>
                <w:szCs w:val="8"/>
                <w:color w:val="auto"/>
              </w:rPr>
            </w:pPr>
          </w:p>
        </w:tc>
        <w:tc>
          <w:tcPr>
            <w:tcW w:w="260" w:type="dxa"/>
            <w:vAlign w:val="bottom"/>
            <w:tcBorders>
              <w:bottom w:val="single" w:sz="8" w:color="8089AD"/>
            </w:tcBorders>
          </w:tcPr>
          <w:p>
            <w:pPr>
              <w:spacing w:after="0"/>
              <w:rPr>
                <w:sz w:val="8"/>
                <w:szCs w:val="8"/>
                <w:color w:val="auto"/>
              </w:rPr>
            </w:pPr>
          </w:p>
        </w:tc>
        <w:tc>
          <w:tcPr>
            <w:tcW w:w="2820" w:type="dxa"/>
            <w:vAlign w:val="bottom"/>
            <w:tcBorders>
              <w:bottom w:val="single" w:sz="8" w:color="8089AD"/>
            </w:tcBorders>
          </w:tcPr>
          <w:p>
            <w:pPr>
              <w:spacing w:after="0"/>
              <w:rPr>
                <w:sz w:val="8"/>
                <w:szCs w:val="8"/>
                <w:color w:val="auto"/>
              </w:rPr>
            </w:pPr>
          </w:p>
        </w:tc>
        <w:tc>
          <w:tcPr>
            <w:tcW w:w="2840" w:type="dxa"/>
            <w:vAlign w:val="bottom"/>
            <w:tcBorders>
              <w:bottom w:val="single" w:sz="8" w:color="8089AD"/>
            </w:tcBorders>
          </w:tcPr>
          <w:p>
            <w:pPr>
              <w:spacing w:after="0"/>
              <w:rPr>
                <w:sz w:val="8"/>
                <w:szCs w:val="8"/>
                <w:color w:val="auto"/>
              </w:rPr>
            </w:pPr>
          </w:p>
        </w:tc>
        <w:tc>
          <w:tcPr>
            <w:tcW w:w="2920" w:type="dxa"/>
            <w:vAlign w:val="bottom"/>
            <w:tcBorders>
              <w:bottom w:val="single" w:sz="8" w:color="8089AD"/>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400" w:type="dxa"/>
            <w:vAlign w:val="bottom"/>
            <w:gridSpan w:val="2"/>
          </w:tcPr>
          <w:p>
            <w:pPr>
              <w:spacing w:after="0" w:line="204" w:lineRule="exact"/>
              <w:rPr>
                <w:sz w:val="20"/>
                <w:szCs w:val="20"/>
                <w:color w:val="auto"/>
              </w:rPr>
            </w:pPr>
            <w:r>
              <w:rPr>
                <w:rFonts w:ascii="Arial" w:cs="Arial" w:eastAsia="Arial" w:hAnsi="Arial"/>
                <w:sz w:val="18"/>
                <w:szCs w:val="18"/>
                <w:b w:val="1"/>
                <w:bCs w:val="1"/>
                <w:color w:val="355A89"/>
              </w:rPr>
              <w:t>Pre-COVID-19:</w:t>
            </w:r>
          </w:p>
        </w:tc>
        <w:tc>
          <w:tcPr>
            <w:tcW w:w="260" w:type="dxa"/>
            <w:vAlign w:val="bottom"/>
            <w:tcBorders>
              <w:right w:val="single" w:sz="8" w:color="8089AD"/>
            </w:tcBorders>
          </w:tcPr>
          <w:p>
            <w:pPr>
              <w:spacing w:after="0"/>
              <w:rPr>
                <w:sz w:val="17"/>
                <w:szCs w:val="17"/>
                <w:color w:val="auto"/>
              </w:rPr>
            </w:pPr>
          </w:p>
        </w:tc>
        <w:tc>
          <w:tcPr>
            <w:tcW w:w="2820" w:type="dxa"/>
            <w:vAlign w:val="bottom"/>
            <w:tcBorders>
              <w:right w:val="single" w:sz="8" w:color="8089AD"/>
            </w:tcBorders>
          </w:tcPr>
          <w:p>
            <w:pPr>
              <w:ind w:left="160"/>
              <w:spacing w:after="0" w:line="204" w:lineRule="exact"/>
              <w:rPr>
                <w:sz w:val="20"/>
                <w:szCs w:val="20"/>
                <w:color w:val="auto"/>
              </w:rPr>
            </w:pPr>
            <w:r>
              <w:rPr>
                <w:rFonts w:ascii="Arial" w:cs="Arial" w:eastAsia="Arial" w:hAnsi="Arial"/>
                <w:sz w:val="18"/>
                <w:szCs w:val="18"/>
                <w:b w:val="1"/>
                <w:bCs w:val="1"/>
                <w:color w:val="355A89"/>
              </w:rPr>
              <w:t>Based on original goals:</w:t>
            </w:r>
          </w:p>
        </w:tc>
        <w:tc>
          <w:tcPr>
            <w:tcW w:w="2840" w:type="dxa"/>
            <w:vAlign w:val="bottom"/>
            <w:tcBorders>
              <w:right w:val="single" w:sz="8" w:color="8089AD"/>
            </w:tcBorders>
          </w:tcPr>
          <w:p>
            <w:pPr>
              <w:ind w:left="160"/>
              <w:spacing w:after="0" w:line="204" w:lineRule="exact"/>
              <w:rPr>
                <w:sz w:val="20"/>
                <w:szCs w:val="20"/>
                <w:color w:val="auto"/>
              </w:rPr>
            </w:pPr>
            <w:r>
              <w:rPr>
                <w:rFonts w:ascii="Arial" w:cs="Arial" w:eastAsia="Arial" w:hAnsi="Arial"/>
                <w:sz w:val="18"/>
                <w:szCs w:val="18"/>
                <w:b w:val="1"/>
                <w:bCs w:val="1"/>
                <w:color w:val="355A89"/>
              </w:rPr>
              <w:t>Payout Assessment:</w:t>
            </w:r>
          </w:p>
        </w:tc>
        <w:tc>
          <w:tcPr>
            <w:tcW w:w="2920" w:type="dxa"/>
            <w:vAlign w:val="bottom"/>
          </w:tcPr>
          <w:p>
            <w:pPr>
              <w:ind w:left="160"/>
              <w:spacing w:after="0" w:line="204" w:lineRule="exact"/>
              <w:rPr>
                <w:sz w:val="20"/>
                <w:szCs w:val="20"/>
                <w:color w:val="auto"/>
              </w:rPr>
            </w:pPr>
            <w:r>
              <w:rPr>
                <w:rFonts w:ascii="Arial" w:cs="Arial" w:eastAsia="Arial" w:hAnsi="Arial"/>
                <w:sz w:val="18"/>
                <w:szCs w:val="18"/>
                <w:b w:val="1"/>
                <w:bCs w:val="1"/>
                <w:color w:val="355A89"/>
              </w:rPr>
              <w:t>Actual FY20 CEO Payout:</w:t>
            </w:r>
          </w:p>
        </w:tc>
        <w:tc>
          <w:tcPr>
            <w:tcW w:w="0" w:type="dxa"/>
            <w:vAlign w:val="bottom"/>
          </w:tcPr>
          <w:p>
            <w:pPr>
              <w:spacing w:after="0"/>
              <w:rPr>
                <w:sz w:val="1"/>
                <w:szCs w:val="1"/>
                <w:color w:val="auto"/>
              </w:rPr>
            </w:pPr>
          </w:p>
        </w:tc>
      </w:tr>
      <w:tr>
        <w:trPr>
          <w:trHeight w:val="203"/>
        </w:trPr>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 set</w:t>
            </w:r>
          </w:p>
        </w:tc>
        <w:tc>
          <w:tcPr>
            <w:tcW w:w="260" w:type="dxa"/>
            <w:vAlign w:val="bottom"/>
            <w:tcBorders>
              <w:right w:val="single" w:sz="8" w:color="8089AD"/>
            </w:tcBorders>
          </w:tcPr>
          <w:p>
            <w:pPr>
              <w:spacing w:after="0"/>
              <w:rPr>
                <w:sz w:val="17"/>
                <w:szCs w:val="17"/>
                <w:color w:val="auto"/>
              </w:rPr>
            </w:pPr>
          </w:p>
        </w:tc>
        <w:tc>
          <w:tcPr>
            <w:tcW w:w="2820" w:type="dxa"/>
            <w:vAlign w:val="bottom"/>
            <w:tcBorders>
              <w:right w:val="single" w:sz="8" w:color="8089AD"/>
            </w:tcBorders>
          </w:tcPr>
          <w:p>
            <w:pPr>
              <w:ind w:left="160"/>
              <w:spacing w:after="0" w:line="202" w:lineRule="exact"/>
              <w:rPr>
                <w:sz w:val="20"/>
                <w:szCs w:val="20"/>
                <w:color w:val="auto"/>
              </w:rPr>
            </w:pPr>
            <w:r>
              <w:rPr>
                <w:rFonts w:ascii="Arial" w:cs="Arial" w:eastAsia="Arial" w:hAnsi="Arial"/>
                <w:sz w:val="18"/>
                <w:szCs w:val="18"/>
                <w:color w:val="auto"/>
              </w:rPr>
              <w:t xml:space="preserve">CEO payout would be </w:t>
            </w:r>
            <w:r>
              <w:rPr>
                <w:rFonts w:ascii="Arial" w:cs="Arial" w:eastAsia="Arial" w:hAnsi="Arial"/>
                <w:sz w:val="18"/>
                <w:szCs w:val="18"/>
                <w:b w:val="1"/>
                <w:bCs w:val="1"/>
                <w:color w:val="355A89"/>
              </w:rPr>
              <w:t>well</w:t>
            </w:r>
          </w:p>
        </w:tc>
        <w:tc>
          <w:tcPr>
            <w:tcW w:w="2840" w:type="dxa"/>
            <w:vAlign w:val="bottom"/>
            <w:tcBorders>
              <w:right w:val="single" w:sz="8" w:color="8089AD"/>
            </w:tcBorders>
          </w:tcPr>
          <w:p>
            <w:pPr>
              <w:ind w:left="160"/>
              <w:spacing w:after="0" w:line="202" w:lineRule="exact"/>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b w:val="1"/>
                <w:bCs w:val="1"/>
                <w:color w:val="355A89"/>
              </w:rPr>
              <w:t>balanced</w:t>
            </w:r>
          </w:p>
        </w:tc>
        <w:tc>
          <w:tcPr>
            <w:tcW w:w="2920" w:type="dxa"/>
            <w:vAlign w:val="bottom"/>
          </w:tcPr>
          <w:p>
            <w:pPr>
              <w:ind w:left="160"/>
              <w:spacing w:after="0" w:line="202" w:lineRule="exact"/>
              <w:rPr>
                <w:sz w:val="20"/>
                <w:szCs w:val="20"/>
                <w:color w:val="auto"/>
              </w:rPr>
            </w:pPr>
            <w:r>
              <w:rPr>
                <w:rFonts w:ascii="Arial" w:cs="Arial" w:eastAsia="Arial" w:hAnsi="Arial"/>
                <w:sz w:val="18"/>
                <w:szCs w:val="18"/>
                <w:color w:val="auto"/>
              </w:rPr>
              <w:t>CEO and the President annual</w:t>
            </w:r>
          </w:p>
        </w:tc>
        <w:tc>
          <w:tcPr>
            <w:tcW w:w="0" w:type="dxa"/>
            <w:vAlign w:val="bottom"/>
          </w:tcPr>
          <w:p>
            <w:pPr>
              <w:spacing w:after="0"/>
              <w:rPr>
                <w:sz w:val="1"/>
                <w:szCs w:val="1"/>
                <w:color w:val="auto"/>
              </w:rPr>
            </w:pPr>
          </w:p>
        </w:tc>
      </w:tr>
      <w:tr>
        <w:trPr>
          <w:trHeight w:val="203"/>
        </w:trPr>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FY20 performance goals</w:t>
            </w:r>
          </w:p>
        </w:tc>
        <w:tc>
          <w:tcPr>
            <w:tcW w:w="260" w:type="dxa"/>
            <w:vAlign w:val="bottom"/>
            <w:tcBorders>
              <w:right w:val="single" w:sz="8" w:color="8089AD"/>
            </w:tcBorders>
          </w:tcPr>
          <w:p>
            <w:pPr>
              <w:spacing w:after="0"/>
              <w:rPr>
                <w:sz w:val="17"/>
                <w:szCs w:val="17"/>
                <w:color w:val="auto"/>
              </w:rPr>
            </w:pPr>
          </w:p>
        </w:tc>
        <w:tc>
          <w:tcPr>
            <w:tcW w:w="2820" w:type="dxa"/>
            <w:vAlign w:val="bottom"/>
            <w:tcBorders>
              <w:right w:val="single" w:sz="8" w:color="8089AD"/>
            </w:tcBorders>
          </w:tcPr>
          <w:p>
            <w:pPr>
              <w:ind w:left="160"/>
              <w:spacing w:after="0" w:line="202" w:lineRule="exact"/>
              <w:rPr>
                <w:sz w:val="20"/>
                <w:szCs w:val="20"/>
                <w:color w:val="auto"/>
              </w:rPr>
            </w:pPr>
            <w:r>
              <w:rPr>
                <w:rFonts w:ascii="Arial" w:cs="Arial" w:eastAsia="Arial" w:hAnsi="Arial"/>
                <w:sz w:val="18"/>
                <w:szCs w:val="18"/>
                <w:b w:val="1"/>
                <w:bCs w:val="1"/>
                <w:color w:val="355A89"/>
              </w:rPr>
              <w:t xml:space="preserve">below </w:t>
            </w:r>
            <w:r>
              <w:rPr>
                <w:rFonts w:ascii="Arial" w:cs="Arial" w:eastAsia="Arial" w:hAnsi="Arial"/>
                <w:sz w:val="18"/>
                <w:szCs w:val="18"/>
                <w:color w:val="000000"/>
              </w:rPr>
              <w:t>target and over</w:t>
            </w:r>
            <w:r>
              <w:rPr>
                <w:rFonts w:ascii="Arial" w:cs="Arial" w:eastAsia="Arial" w:hAnsi="Arial"/>
                <w:sz w:val="18"/>
                <w:szCs w:val="18"/>
                <w:b w:val="1"/>
                <w:bCs w:val="1"/>
                <w:color w:val="355A89"/>
              </w:rPr>
              <w:t xml:space="preserve"> 70%</w:t>
            </w:r>
          </w:p>
        </w:tc>
        <w:tc>
          <w:tcPr>
            <w:tcW w:w="2840" w:type="dxa"/>
            <w:vAlign w:val="bottom"/>
            <w:tcBorders>
              <w:right w:val="single" w:sz="8" w:color="8089AD"/>
            </w:tcBorders>
          </w:tcPr>
          <w:p>
            <w:pPr>
              <w:ind w:left="160"/>
              <w:spacing w:after="0" w:line="202" w:lineRule="exact"/>
              <w:rPr>
                <w:sz w:val="20"/>
                <w:szCs w:val="20"/>
                <w:color w:val="auto"/>
              </w:rPr>
            </w:pPr>
            <w:r>
              <w:rPr>
                <w:rFonts w:ascii="Arial" w:cs="Arial" w:eastAsia="Arial" w:hAnsi="Arial"/>
                <w:sz w:val="18"/>
                <w:szCs w:val="18"/>
                <w:b w:val="1"/>
                <w:bCs w:val="1"/>
                <w:color w:val="355A89"/>
              </w:rPr>
              <w:t>formulaic performance with</w:t>
            </w:r>
          </w:p>
        </w:tc>
        <w:tc>
          <w:tcPr>
            <w:tcW w:w="29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bonuses </w:t>
            </w:r>
            <w:r>
              <w:rPr>
                <w:rFonts w:ascii="Arial" w:cs="Arial" w:eastAsia="Arial" w:hAnsi="Arial"/>
                <w:sz w:val="18"/>
                <w:szCs w:val="18"/>
                <w:b w:val="1"/>
                <w:bCs w:val="1"/>
                <w:color w:val="355A89"/>
              </w:rPr>
              <w:t>capped at target, and</w:t>
            </w:r>
          </w:p>
        </w:tc>
        <w:tc>
          <w:tcPr>
            <w:tcW w:w="0" w:type="dxa"/>
            <w:vAlign w:val="bottom"/>
          </w:tcPr>
          <w:p>
            <w:pPr>
              <w:spacing w:after="0"/>
              <w:rPr>
                <w:sz w:val="1"/>
                <w:szCs w:val="1"/>
                <w:color w:val="auto"/>
              </w:rPr>
            </w:pPr>
          </w:p>
        </w:tc>
      </w:tr>
      <w:tr>
        <w:trPr>
          <w:trHeight w:val="225"/>
        </w:trPr>
        <w:tc>
          <w:tcPr>
            <w:tcW w:w="2400" w:type="dxa"/>
            <w:vAlign w:val="bottom"/>
            <w:gridSpan w:val="2"/>
            <w:vMerge w:val="restart"/>
          </w:tcPr>
          <w:p>
            <w:pPr>
              <w:spacing w:after="0"/>
              <w:rPr>
                <w:sz w:val="20"/>
                <w:szCs w:val="20"/>
                <w:color w:val="auto"/>
              </w:rPr>
            </w:pPr>
            <w:r>
              <w:rPr>
                <w:rFonts w:ascii="Arial" w:cs="Arial" w:eastAsia="Arial" w:hAnsi="Arial"/>
                <w:sz w:val="18"/>
                <w:szCs w:val="18"/>
                <w:b w:val="1"/>
                <w:bCs w:val="1"/>
                <w:color w:val="355A89"/>
              </w:rPr>
              <w:t>April 2020:</w:t>
            </w:r>
          </w:p>
        </w:tc>
        <w:tc>
          <w:tcPr>
            <w:tcW w:w="260" w:type="dxa"/>
            <w:vAlign w:val="bottom"/>
            <w:tcBorders>
              <w:right w:val="single" w:sz="8" w:color="8089AD"/>
            </w:tcBorders>
          </w:tcPr>
          <w:p>
            <w:pPr>
              <w:spacing w:after="0"/>
              <w:rPr>
                <w:sz w:val="19"/>
                <w:szCs w:val="19"/>
                <w:color w:val="auto"/>
              </w:rPr>
            </w:pPr>
          </w:p>
        </w:tc>
        <w:tc>
          <w:tcPr>
            <w:tcW w:w="2820" w:type="dxa"/>
            <w:vAlign w:val="bottom"/>
            <w:tcBorders>
              <w:right w:val="single" w:sz="8" w:color="8089AD"/>
            </w:tcBorders>
          </w:tcPr>
          <w:p>
            <w:pPr>
              <w:ind w:left="160"/>
              <w:spacing w:after="0"/>
              <w:rPr>
                <w:sz w:val="20"/>
                <w:szCs w:val="20"/>
                <w:color w:val="auto"/>
              </w:rPr>
            </w:pPr>
            <w:r>
              <w:rPr>
                <w:rFonts w:ascii="Arial" w:cs="Arial" w:eastAsia="Arial" w:hAnsi="Arial"/>
                <w:sz w:val="18"/>
                <w:szCs w:val="18"/>
                <w:b w:val="1"/>
                <w:bCs w:val="1"/>
                <w:color w:val="355A89"/>
              </w:rPr>
              <w:t xml:space="preserve">lower </w:t>
            </w:r>
            <w:r>
              <w:rPr>
                <w:rFonts w:ascii="Arial" w:cs="Arial" w:eastAsia="Arial" w:hAnsi="Arial"/>
                <w:sz w:val="18"/>
                <w:szCs w:val="18"/>
                <w:color w:val="000000"/>
              </w:rPr>
              <w:t>than FY19</w:t>
            </w:r>
          </w:p>
        </w:tc>
        <w:tc>
          <w:tcPr>
            <w:tcW w:w="2840" w:type="dxa"/>
            <w:vAlign w:val="bottom"/>
            <w:tcBorders>
              <w:right w:val="single" w:sz="8" w:color="8089AD"/>
            </w:tcBorders>
          </w:tcPr>
          <w:p>
            <w:pPr>
              <w:ind w:left="160"/>
              <w:spacing w:after="0"/>
              <w:rPr>
                <w:sz w:val="20"/>
                <w:szCs w:val="20"/>
                <w:color w:val="auto"/>
              </w:rPr>
            </w:pPr>
            <w:r>
              <w:rPr>
                <w:rFonts w:ascii="Arial" w:cs="Arial" w:eastAsia="Arial" w:hAnsi="Arial"/>
                <w:sz w:val="18"/>
                <w:szCs w:val="18"/>
                <w:b w:val="1"/>
                <w:bCs w:val="1"/>
                <w:color w:val="355A89"/>
              </w:rPr>
              <w:t xml:space="preserve">supplemental amounts </w:t>
            </w:r>
            <w:r>
              <w:rPr>
                <w:rFonts w:ascii="Arial" w:cs="Arial" w:eastAsia="Arial" w:hAnsi="Arial"/>
                <w:sz w:val="18"/>
                <w:szCs w:val="18"/>
                <w:color w:val="000000"/>
              </w:rPr>
              <w:t>to</w:t>
            </w:r>
          </w:p>
        </w:tc>
        <w:tc>
          <w:tcPr>
            <w:tcW w:w="2920" w:type="dxa"/>
            <w:vAlign w:val="bottom"/>
          </w:tcPr>
          <w:p>
            <w:pPr>
              <w:ind w:left="160"/>
              <w:spacing w:after="0"/>
              <w:rPr>
                <w:sz w:val="20"/>
                <w:szCs w:val="20"/>
                <w:color w:val="auto"/>
              </w:rPr>
            </w:pPr>
            <w:r>
              <w:rPr>
                <w:rFonts w:ascii="Arial" w:cs="Arial" w:eastAsia="Arial" w:hAnsi="Arial"/>
                <w:sz w:val="18"/>
                <w:szCs w:val="18"/>
                <w:b w:val="1"/>
                <w:bCs w:val="1"/>
                <w:color w:val="355A89"/>
              </w:rPr>
              <w:t xml:space="preserve">~20% lower </w:t>
            </w:r>
            <w:r>
              <w:rPr>
                <w:rFonts w:ascii="Arial" w:cs="Arial" w:eastAsia="Arial" w:hAnsi="Arial"/>
                <w:sz w:val="18"/>
                <w:szCs w:val="18"/>
                <w:color w:val="000000"/>
              </w:rPr>
              <w:t>than FY19.</w:t>
            </w:r>
          </w:p>
        </w:tc>
        <w:tc>
          <w:tcPr>
            <w:tcW w:w="0" w:type="dxa"/>
            <w:vAlign w:val="bottom"/>
          </w:tcPr>
          <w:p>
            <w:pPr>
              <w:spacing w:after="0"/>
              <w:rPr>
                <w:sz w:val="1"/>
                <w:szCs w:val="1"/>
                <w:color w:val="auto"/>
              </w:rPr>
            </w:pPr>
          </w:p>
        </w:tc>
      </w:tr>
      <w:tr>
        <w:trPr>
          <w:trHeight w:val="180"/>
        </w:trPr>
        <w:tc>
          <w:tcPr>
            <w:tcW w:w="2400" w:type="dxa"/>
            <w:vAlign w:val="bottom"/>
            <w:gridSpan w:val="2"/>
            <w:vMerge w:val="continue"/>
          </w:tcPr>
          <w:p>
            <w:pPr>
              <w:spacing w:after="0"/>
              <w:rPr>
                <w:sz w:val="15"/>
                <w:szCs w:val="15"/>
                <w:color w:val="auto"/>
              </w:rPr>
            </w:pPr>
          </w:p>
        </w:tc>
        <w:tc>
          <w:tcPr>
            <w:tcW w:w="260" w:type="dxa"/>
            <w:vAlign w:val="bottom"/>
            <w:tcBorders>
              <w:right w:val="single" w:sz="8" w:color="8089AD"/>
            </w:tcBorders>
          </w:tcPr>
          <w:p>
            <w:pPr>
              <w:spacing w:after="0"/>
              <w:rPr>
                <w:sz w:val="15"/>
                <w:szCs w:val="15"/>
                <w:color w:val="auto"/>
              </w:rPr>
            </w:pPr>
          </w:p>
        </w:tc>
        <w:tc>
          <w:tcPr>
            <w:tcW w:w="2820" w:type="dxa"/>
            <w:vAlign w:val="bottom"/>
            <w:tcBorders>
              <w:right w:val="single" w:sz="8" w:color="8089AD"/>
            </w:tcBorders>
          </w:tcPr>
          <w:p>
            <w:pPr>
              <w:spacing w:after="0"/>
              <w:rPr>
                <w:sz w:val="15"/>
                <w:szCs w:val="15"/>
                <w:color w:val="auto"/>
              </w:rPr>
            </w:pPr>
          </w:p>
        </w:tc>
        <w:tc>
          <w:tcPr>
            <w:tcW w:w="2840" w:type="dxa"/>
            <w:vAlign w:val="bottom"/>
            <w:tcBorders>
              <w:right w:val="single" w:sz="8" w:color="8089AD"/>
            </w:tcBorders>
          </w:tcPr>
          <w:p>
            <w:pPr>
              <w:ind w:left="160"/>
              <w:spacing w:after="0" w:line="181" w:lineRule="exact"/>
              <w:rPr>
                <w:sz w:val="20"/>
                <w:szCs w:val="20"/>
                <w:color w:val="auto"/>
              </w:rPr>
            </w:pPr>
            <w:r>
              <w:rPr>
                <w:rFonts w:ascii="Arial" w:cs="Arial" w:eastAsia="Arial" w:hAnsi="Arial"/>
                <w:sz w:val="18"/>
                <w:szCs w:val="18"/>
                <w:color w:val="auto"/>
              </w:rPr>
              <w:t>recognize management’s</w:t>
            </w: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SLG lowered FY20 financial</w:t>
            </w:r>
          </w:p>
        </w:tc>
        <w:tc>
          <w:tcPr>
            <w:tcW w:w="260" w:type="dxa"/>
            <w:vAlign w:val="bottom"/>
            <w:tcBorders>
              <w:right w:val="single" w:sz="8" w:color="8089AD"/>
            </w:tcBorders>
          </w:tcPr>
          <w:p>
            <w:pPr>
              <w:spacing w:after="0"/>
              <w:rPr>
                <w:sz w:val="17"/>
                <w:szCs w:val="17"/>
                <w:color w:val="auto"/>
              </w:rPr>
            </w:pPr>
          </w:p>
        </w:tc>
        <w:tc>
          <w:tcPr>
            <w:tcW w:w="2820" w:type="dxa"/>
            <w:vAlign w:val="bottom"/>
            <w:tcBorders>
              <w:right w:val="single" w:sz="8" w:color="8089AD"/>
            </w:tcBorders>
          </w:tcPr>
          <w:p>
            <w:pPr>
              <w:ind w:left="160"/>
              <w:spacing w:after="0" w:line="202" w:lineRule="exact"/>
              <w:rPr>
                <w:sz w:val="20"/>
                <w:szCs w:val="20"/>
                <w:color w:val="auto"/>
              </w:rPr>
            </w:pPr>
            <w:r>
              <w:rPr>
                <w:rFonts w:ascii="Arial" w:cs="Arial" w:eastAsia="Arial" w:hAnsi="Arial"/>
                <w:sz w:val="18"/>
                <w:szCs w:val="18"/>
                <w:b w:val="1"/>
                <w:bCs w:val="1"/>
                <w:color w:val="355A89"/>
              </w:rPr>
              <w:t>Based on April 2020</w:t>
            </w:r>
          </w:p>
        </w:tc>
        <w:tc>
          <w:tcPr>
            <w:tcW w:w="2840" w:type="dxa"/>
            <w:vAlign w:val="bottom"/>
            <w:tcBorders>
              <w:right w:val="single" w:sz="8" w:color="8089AD"/>
            </w:tcBorders>
          </w:tcPr>
          <w:p>
            <w:pPr>
              <w:ind w:left="160"/>
              <w:spacing w:after="0" w:line="202" w:lineRule="exact"/>
              <w:rPr>
                <w:sz w:val="20"/>
                <w:szCs w:val="20"/>
                <w:color w:val="auto"/>
              </w:rPr>
            </w:pPr>
            <w:r>
              <w:rPr>
                <w:rFonts w:ascii="Arial" w:cs="Arial" w:eastAsia="Arial" w:hAnsi="Arial"/>
                <w:sz w:val="18"/>
                <w:szCs w:val="18"/>
                <w:color w:val="auto"/>
              </w:rPr>
              <w:t xml:space="preserve">significant efforts that </w:t>
            </w:r>
            <w:r>
              <w:rPr>
                <w:rFonts w:ascii="Arial" w:cs="Arial" w:eastAsia="Arial" w:hAnsi="Arial"/>
                <w:sz w:val="18"/>
                <w:szCs w:val="18"/>
                <w:b w:val="1"/>
                <w:bCs w:val="1"/>
                <w:color w:val="355A89"/>
              </w:rPr>
              <w:t>protected</w:t>
            </w:r>
          </w:p>
        </w:tc>
        <w:tc>
          <w:tcPr>
            <w:tcW w:w="2920" w:type="dxa"/>
            <w:vAlign w:val="bottom"/>
          </w:tcPr>
          <w:p>
            <w:pPr>
              <w:ind w:left="160"/>
              <w:spacing w:after="0" w:line="202" w:lineRule="exact"/>
              <w:rPr>
                <w:sz w:val="20"/>
                <w:szCs w:val="20"/>
                <w:color w:val="auto"/>
              </w:rPr>
            </w:pPr>
            <w:r>
              <w:rPr>
                <w:rFonts w:ascii="Arial" w:cs="Arial" w:eastAsia="Arial" w:hAnsi="Arial"/>
                <w:sz w:val="18"/>
                <w:szCs w:val="18"/>
                <w:color w:val="auto"/>
              </w:rPr>
              <w:t>CFO and General Counsel annual</w:t>
            </w:r>
          </w:p>
        </w:tc>
        <w:tc>
          <w:tcPr>
            <w:tcW w:w="0" w:type="dxa"/>
            <w:vAlign w:val="bottom"/>
          </w:tcPr>
          <w:p>
            <w:pPr>
              <w:spacing w:after="0"/>
              <w:rPr>
                <w:sz w:val="1"/>
                <w:szCs w:val="1"/>
                <w:color w:val="auto"/>
              </w:rPr>
            </w:pPr>
          </w:p>
        </w:tc>
      </w:tr>
      <w:tr>
        <w:trPr>
          <w:trHeight w:val="225"/>
        </w:trPr>
        <w:tc>
          <w:tcPr>
            <w:tcW w:w="2400" w:type="dxa"/>
            <w:vAlign w:val="bottom"/>
            <w:gridSpan w:val="2"/>
          </w:tcPr>
          <w:p>
            <w:pPr>
              <w:spacing w:after="0"/>
              <w:rPr>
                <w:sz w:val="20"/>
                <w:szCs w:val="20"/>
                <w:color w:val="auto"/>
              </w:rPr>
            </w:pPr>
            <w:r>
              <w:rPr>
                <w:rFonts w:ascii="Arial" w:cs="Arial" w:eastAsia="Arial" w:hAnsi="Arial"/>
                <w:sz w:val="18"/>
                <w:szCs w:val="18"/>
                <w:color w:val="auto"/>
              </w:rPr>
              <w:t>guidance</w:t>
            </w:r>
          </w:p>
        </w:tc>
        <w:tc>
          <w:tcPr>
            <w:tcW w:w="260" w:type="dxa"/>
            <w:vAlign w:val="bottom"/>
            <w:tcBorders>
              <w:right w:val="single" w:sz="8" w:color="8089AD"/>
            </w:tcBorders>
          </w:tcPr>
          <w:p>
            <w:pPr>
              <w:spacing w:after="0"/>
              <w:rPr>
                <w:sz w:val="19"/>
                <w:szCs w:val="19"/>
                <w:color w:val="auto"/>
              </w:rPr>
            </w:pPr>
          </w:p>
        </w:tc>
        <w:tc>
          <w:tcPr>
            <w:tcW w:w="2820" w:type="dxa"/>
            <w:vAlign w:val="bottom"/>
            <w:tcBorders>
              <w:right w:val="single" w:sz="8" w:color="8089AD"/>
            </w:tcBorders>
          </w:tcPr>
          <w:p>
            <w:pPr>
              <w:ind w:left="160"/>
              <w:spacing w:after="0"/>
              <w:rPr>
                <w:sz w:val="20"/>
                <w:szCs w:val="20"/>
                <w:color w:val="auto"/>
              </w:rPr>
            </w:pPr>
            <w:r>
              <w:rPr>
                <w:rFonts w:ascii="Arial" w:cs="Arial" w:eastAsia="Arial" w:hAnsi="Arial"/>
                <w:sz w:val="18"/>
                <w:szCs w:val="18"/>
                <w:b w:val="1"/>
                <w:bCs w:val="1"/>
                <w:color w:val="355A89"/>
              </w:rPr>
              <w:t>guidance:</w:t>
            </w:r>
          </w:p>
        </w:tc>
        <w:tc>
          <w:tcPr>
            <w:tcW w:w="2840" w:type="dxa"/>
            <w:vAlign w:val="bottom"/>
            <w:tcBorders>
              <w:right w:val="single" w:sz="8" w:color="8089AD"/>
            </w:tcBorders>
          </w:tcPr>
          <w:p>
            <w:pPr>
              <w:ind w:left="160"/>
              <w:spacing w:after="0"/>
              <w:rPr>
                <w:sz w:val="20"/>
                <w:szCs w:val="20"/>
                <w:color w:val="auto"/>
              </w:rPr>
            </w:pPr>
            <w:r>
              <w:rPr>
                <w:rFonts w:ascii="Arial" w:cs="Arial" w:eastAsia="Arial" w:hAnsi="Arial"/>
                <w:sz w:val="18"/>
                <w:szCs w:val="18"/>
                <w:b w:val="1"/>
                <w:bCs w:val="1"/>
                <w:color w:val="355A89"/>
              </w:rPr>
              <w:t xml:space="preserve">shareholder value </w:t>
            </w:r>
            <w:r>
              <w:rPr>
                <w:rFonts w:ascii="Arial" w:cs="Arial" w:eastAsia="Arial" w:hAnsi="Arial"/>
                <w:sz w:val="18"/>
                <w:szCs w:val="18"/>
                <w:color w:val="000000"/>
              </w:rPr>
              <w:t>during the</w:t>
            </w:r>
          </w:p>
        </w:tc>
        <w:tc>
          <w:tcPr>
            <w:tcW w:w="2920" w:type="dxa"/>
            <w:vAlign w:val="bottom"/>
          </w:tcPr>
          <w:p>
            <w:pPr>
              <w:ind w:left="160"/>
              <w:spacing w:after="0"/>
              <w:rPr>
                <w:sz w:val="20"/>
                <w:szCs w:val="20"/>
                <w:color w:val="auto"/>
              </w:rPr>
            </w:pPr>
            <w:r>
              <w:rPr>
                <w:rFonts w:ascii="Arial" w:cs="Arial" w:eastAsia="Arial" w:hAnsi="Arial"/>
                <w:sz w:val="18"/>
                <w:szCs w:val="18"/>
                <w:color w:val="auto"/>
              </w:rPr>
              <w:t xml:space="preserve">bonuses were </w:t>
            </w:r>
            <w:r>
              <w:rPr>
                <w:rFonts w:ascii="Arial" w:cs="Arial" w:eastAsia="Arial" w:hAnsi="Arial"/>
                <w:sz w:val="18"/>
                <w:szCs w:val="18"/>
                <w:b w:val="1"/>
                <w:bCs w:val="1"/>
                <w:color w:val="355A89"/>
              </w:rPr>
              <w:t>~5-10% lower</w:t>
            </w:r>
            <w:r>
              <w:rPr>
                <w:rFonts w:ascii="Arial" w:cs="Arial" w:eastAsia="Arial" w:hAnsi="Arial"/>
                <w:sz w:val="18"/>
                <w:szCs w:val="18"/>
                <w:color w:val="auto"/>
              </w:rPr>
              <w:t xml:space="preserve"> than</w:t>
            </w:r>
          </w:p>
        </w:tc>
        <w:tc>
          <w:tcPr>
            <w:tcW w:w="0" w:type="dxa"/>
            <w:vAlign w:val="bottom"/>
          </w:tcPr>
          <w:p>
            <w:pPr>
              <w:spacing w:after="0"/>
              <w:rPr>
                <w:sz w:val="1"/>
                <w:szCs w:val="1"/>
                <w:color w:val="auto"/>
              </w:rPr>
            </w:pPr>
          </w:p>
        </w:tc>
      </w:tr>
      <w:tr>
        <w:trPr>
          <w:trHeight w:val="216"/>
        </w:trPr>
        <w:tc>
          <w:tcPr>
            <w:tcW w:w="2400" w:type="dxa"/>
            <w:vAlign w:val="bottom"/>
            <w:gridSpan w:val="2"/>
            <w:vMerge w:val="restart"/>
          </w:tcPr>
          <w:p>
            <w:pPr>
              <w:spacing w:after="0"/>
              <w:rPr>
                <w:sz w:val="20"/>
                <w:szCs w:val="20"/>
                <w:color w:val="auto"/>
              </w:rPr>
            </w:pPr>
            <w:r>
              <w:rPr>
                <w:rFonts w:ascii="Arial" w:cs="Arial" w:eastAsia="Arial" w:hAnsi="Arial"/>
                <w:sz w:val="18"/>
                <w:szCs w:val="18"/>
                <w:b w:val="1"/>
                <w:bCs w:val="1"/>
                <w:color w:val="355A89"/>
              </w:rPr>
              <w:t>Committee maintained</w:t>
            </w:r>
          </w:p>
        </w:tc>
        <w:tc>
          <w:tcPr>
            <w:tcW w:w="260" w:type="dxa"/>
            <w:vAlign w:val="bottom"/>
            <w:tcBorders>
              <w:right w:val="single" w:sz="8" w:color="8089AD"/>
            </w:tcBorders>
          </w:tcPr>
          <w:p>
            <w:pPr>
              <w:spacing w:after="0"/>
              <w:rPr>
                <w:sz w:val="18"/>
                <w:szCs w:val="18"/>
                <w:color w:val="auto"/>
              </w:rPr>
            </w:pPr>
          </w:p>
        </w:tc>
        <w:tc>
          <w:tcPr>
            <w:tcW w:w="2820" w:type="dxa"/>
            <w:vAlign w:val="bottom"/>
            <w:tcBorders>
              <w:right w:val="single" w:sz="8" w:color="8089AD"/>
            </w:tcBorders>
          </w:tcPr>
          <w:p>
            <w:pPr>
              <w:ind w:left="160"/>
              <w:spacing w:after="0"/>
              <w:rPr>
                <w:sz w:val="20"/>
                <w:szCs w:val="20"/>
                <w:color w:val="auto"/>
              </w:rPr>
            </w:pPr>
            <w:r>
              <w:rPr>
                <w:rFonts w:ascii="Arial" w:cs="Arial" w:eastAsia="Arial" w:hAnsi="Arial"/>
                <w:sz w:val="18"/>
                <w:szCs w:val="18"/>
                <w:color w:val="auto"/>
              </w:rPr>
              <w:t>CEO payout would have been</w:t>
            </w:r>
          </w:p>
        </w:tc>
        <w:tc>
          <w:tcPr>
            <w:tcW w:w="2840" w:type="dxa"/>
            <w:vAlign w:val="bottom"/>
            <w:tcBorders>
              <w:right w:val="single" w:sz="8" w:color="8089AD"/>
            </w:tcBorders>
          </w:tcPr>
          <w:p>
            <w:pPr>
              <w:ind w:left="160"/>
              <w:spacing w:after="0"/>
              <w:rPr>
                <w:sz w:val="20"/>
                <w:szCs w:val="20"/>
                <w:color w:val="auto"/>
              </w:rPr>
            </w:pPr>
            <w:r>
              <w:rPr>
                <w:rFonts w:ascii="Arial" w:cs="Arial" w:eastAsia="Arial" w:hAnsi="Arial"/>
                <w:sz w:val="18"/>
                <w:szCs w:val="18"/>
                <w:color w:val="auto"/>
              </w:rPr>
              <w:t>unprecedented business impact</w:t>
            </w:r>
          </w:p>
        </w:tc>
        <w:tc>
          <w:tcPr>
            <w:tcW w:w="2920" w:type="dxa"/>
            <w:vAlign w:val="bottom"/>
          </w:tcPr>
          <w:p>
            <w:pPr>
              <w:ind w:left="160"/>
              <w:spacing w:after="0"/>
              <w:rPr>
                <w:sz w:val="20"/>
                <w:szCs w:val="20"/>
                <w:color w:val="auto"/>
              </w:rPr>
            </w:pPr>
            <w:r>
              <w:rPr>
                <w:rFonts w:ascii="Arial" w:cs="Arial" w:eastAsia="Arial" w:hAnsi="Arial"/>
                <w:sz w:val="18"/>
                <w:szCs w:val="18"/>
                <w:color w:val="auto"/>
              </w:rPr>
              <w:t>FY19.</w:t>
            </w:r>
          </w:p>
        </w:tc>
        <w:tc>
          <w:tcPr>
            <w:tcW w:w="0" w:type="dxa"/>
            <w:vAlign w:val="bottom"/>
          </w:tcPr>
          <w:p>
            <w:pPr>
              <w:spacing w:after="0"/>
              <w:rPr>
                <w:sz w:val="1"/>
                <w:szCs w:val="1"/>
                <w:color w:val="auto"/>
              </w:rPr>
            </w:pPr>
          </w:p>
        </w:tc>
      </w:tr>
      <w:tr>
        <w:trPr>
          <w:trHeight w:val="194"/>
        </w:trPr>
        <w:tc>
          <w:tcPr>
            <w:tcW w:w="2400" w:type="dxa"/>
            <w:vAlign w:val="bottom"/>
            <w:gridSpan w:val="2"/>
            <w:vMerge w:val="continue"/>
          </w:tcPr>
          <w:p>
            <w:pPr>
              <w:spacing w:after="0"/>
              <w:rPr>
                <w:sz w:val="16"/>
                <w:szCs w:val="16"/>
                <w:color w:val="auto"/>
              </w:rPr>
            </w:pPr>
          </w:p>
        </w:tc>
        <w:tc>
          <w:tcPr>
            <w:tcW w:w="260" w:type="dxa"/>
            <w:vAlign w:val="bottom"/>
            <w:tcBorders>
              <w:right w:val="single" w:sz="8" w:color="8089AD"/>
            </w:tcBorders>
          </w:tcPr>
          <w:p>
            <w:pPr>
              <w:spacing w:after="0"/>
              <w:rPr>
                <w:sz w:val="16"/>
                <w:szCs w:val="16"/>
                <w:color w:val="auto"/>
              </w:rPr>
            </w:pPr>
          </w:p>
        </w:tc>
        <w:tc>
          <w:tcPr>
            <w:tcW w:w="2820" w:type="dxa"/>
            <w:vAlign w:val="bottom"/>
            <w:tcBorders>
              <w:right w:val="single" w:sz="8" w:color="8089AD"/>
            </w:tcBorders>
          </w:tcPr>
          <w:p>
            <w:pPr>
              <w:ind w:left="160"/>
              <w:spacing w:after="0" w:line="194" w:lineRule="exact"/>
              <w:rPr>
                <w:sz w:val="20"/>
                <w:szCs w:val="20"/>
                <w:color w:val="auto"/>
              </w:rPr>
            </w:pPr>
            <w:r>
              <w:rPr>
                <w:rFonts w:ascii="Arial" w:cs="Arial" w:eastAsia="Arial" w:hAnsi="Arial"/>
                <w:sz w:val="18"/>
                <w:szCs w:val="18"/>
                <w:color w:val="auto"/>
              </w:rPr>
              <w:t>significantly above target level</w:t>
            </w:r>
          </w:p>
        </w:tc>
        <w:tc>
          <w:tcPr>
            <w:tcW w:w="2840" w:type="dxa"/>
            <w:vAlign w:val="bottom"/>
            <w:tcBorders>
              <w:right w:val="single" w:sz="8" w:color="8089AD"/>
            </w:tcBorders>
            <w:vMerge w:val="restart"/>
          </w:tcPr>
          <w:p>
            <w:pPr>
              <w:ind w:left="160"/>
              <w:spacing w:after="0"/>
              <w:rPr>
                <w:sz w:val="20"/>
                <w:szCs w:val="20"/>
                <w:color w:val="auto"/>
              </w:rPr>
            </w:pPr>
            <w:r>
              <w:rPr>
                <w:rFonts w:ascii="Arial" w:cs="Arial" w:eastAsia="Arial" w:hAnsi="Arial"/>
                <w:sz w:val="18"/>
                <w:szCs w:val="18"/>
                <w:b w:val="1"/>
                <w:bCs w:val="1"/>
                <w:color w:val="355A89"/>
              </w:rPr>
              <w:t>Committee assessed factors</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spacing w:after="0" w:line="189" w:lineRule="exact"/>
              <w:rPr>
                <w:sz w:val="20"/>
                <w:szCs w:val="20"/>
                <w:color w:val="auto"/>
              </w:rPr>
            </w:pPr>
            <w:r>
              <w:rPr>
                <w:rFonts w:ascii="Arial" w:cs="Arial" w:eastAsia="Arial" w:hAnsi="Arial"/>
                <w:sz w:val="18"/>
                <w:szCs w:val="18"/>
                <w:b w:val="1"/>
                <w:bCs w:val="1"/>
                <w:color w:val="355A89"/>
              </w:rPr>
              <w:t>original performance goals</w:t>
            </w:r>
          </w:p>
        </w:tc>
        <w:tc>
          <w:tcPr>
            <w:tcW w:w="260" w:type="dxa"/>
            <w:vAlign w:val="bottom"/>
            <w:tcBorders>
              <w:right w:val="single" w:sz="8" w:color="8089AD"/>
            </w:tcBorders>
          </w:tcPr>
          <w:p>
            <w:pPr>
              <w:spacing w:after="0"/>
              <w:rPr>
                <w:sz w:val="16"/>
                <w:szCs w:val="16"/>
                <w:color w:val="auto"/>
              </w:rPr>
            </w:pPr>
          </w:p>
        </w:tc>
        <w:tc>
          <w:tcPr>
            <w:tcW w:w="2820" w:type="dxa"/>
            <w:vAlign w:val="bottom"/>
            <w:tcBorders>
              <w:right w:val="single" w:sz="8" w:color="8089AD"/>
            </w:tcBorders>
          </w:tcPr>
          <w:p>
            <w:pPr>
              <w:spacing w:after="0"/>
              <w:rPr>
                <w:sz w:val="16"/>
                <w:szCs w:val="16"/>
                <w:color w:val="auto"/>
              </w:rPr>
            </w:pPr>
          </w:p>
        </w:tc>
        <w:tc>
          <w:tcPr>
            <w:tcW w:w="2840" w:type="dxa"/>
            <w:vAlign w:val="bottom"/>
            <w:tcBorders>
              <w:right w:val="single" w:sz="8" w:color="8089AD"/>
            </w:tcBorders>
            <w:vMerge w:val="continue"/>
          </w:tcPr>
          <w:p>
            <w:pPr>
              <w:spacing w:after="0"/>
              <w:rPr>
                <w:sz w:val="16"/>
                <w:szCs w:val="16"/>
                <w:color w:val="auto"/>
              </w:rPr>
            </w:pPr>
          </w:p>
        </w:tc>
        <w:tc>
          <w:tcPr>
            <w:tcW w:w="2920" w:type="dxa"/>
            <w:vAlign w:val="bottom"/>
          </w:tcPr>
          <w:p>
            <w:pPr>
              <w:ind w:left="160"/>
              <w:spacing w:after="0" w:line="189" w:lineRule="exact"/>
              <w:rPr>
                <w:sz w:val="20"/>
                <w:szCs w:val="20"/>
                <w:color w:val="auto"/>
              </w:rPr>
            </w:pPr>
            <w:r>
              <w:rPr>
                <w:rFonts w:ascii="Arial" w:cs="Arial" w:eastAsia="Arial" w:hAnsi="Arial"/>
                <w:sz w:val="18"/>
                <w:szCs w:val="18"/>
                <w:b w:val="1"/>
                <w:bCs w:val="1"/>
                <w:color w:val="355A89"/>
              </w:rPr>
              <w:t>Committee believes payouts</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right w:val="single" w:sz="8" w:color="8089AD"/>
            </w:tcBorders>
          </w:tcPr>
          <w:p>
            <w:pPr>
              <w:spacing w:after="0"/>
              <w:rPr>
                <w:sz w:val="18"/>
                <w:szCs w:val="18"/>
                <w:color w:val="auto"/>
              </w:rPr>
            </w:pPr>
          </w:p>
        </w:tc>
        <w:tc>
          <w:tcPr>
            <w:tcW w:w="2820" w:type="dxa"/>
            <w:vAlign w:val="bottom"/>
            <w:tcBorders>
              <w:right w:val="single" w:sz="8" w:color="8089AD"/>
            </w:tcBorders>
          </w:tcPr>
          <w:p>
            <w:pPr>
              <w:ind w:left="160"/>
              <w:spacing w:after="0"/>
              <w:rPr>
                <w:sz w:val="20"/>
                <w:szCs w:val="20"/>
                <w:color w:val="auto"/>
              </w:rPr>
            </w:pPr>
            <w:r>
              <w:rPr>
                <w:rFonts w:ascii="Arial" w:cs="Arial" w:eastAsia="Arial" w:hAnsi="Arial"/>
                <w:sz w:val="18"/>
                <w:szCs w:val="18"/>
                <w:b w:val="1"/>
                <w:bCs w:val="1"/>
                <w:color w:val="355A89"/>
              </w:rPr>
              <w:t>Committee believed that</w:t>
            </w:r>
          </w:p>
        </w:tc>
        <w:tc>
          <w:tcPr>
            <w:tcW w:w="2840" w:type="dxa"/>
            <w:vAlign w:val="bottom"/>
            <w:tcBorders>
              <w:right w:val="single" w:sz="8" w:color="8089AD"/>
            </w:tcBorders>
          </w:tcPr>
          <w:p>
            <w:pPr>
              <w:ind w:left="160"/>
              <w:spacing w:after="0"/>
              <w:rPr>
                <w:sz w:val="20"/>
                <w:szCs w:val="20"/>
                <w:color w:val="auto"/>
              </w:rPr>
            </w:pPr>
            <w:r>
              <w:rPr>
                <w:rFonts w:ascii="Arial" w:cs="Arial" w:eastAsia="Arial" w:hAnsi="Arial"/>
                <w:sz w:val="18"/>
                <w:szCs w:val="18"/>
                <w:b w:val="1"/>
                <w:bCs w:val="1"/>
                <w:color w:val="355A89"/>
              </w:rPr>
              <w:t>beyond performance goals</w:t>
            </w:r>
          </w:p>
        </w:tc>
        <w:tc>
          <w:tcPr>
            <w:tcW w:w="2920" w:type="dxa"/>
            <w:vAlign w:val="bottom"/>
          </w:tcPr>
          <w:p>
            <w:pPr>
              <w:ind w:left="160"/>
              <w:spacing w:after="0"/>
              <w:rPr>
                <w:sz w:val="20"/>
                <w:szCs w:val="20"/>
                <w:color w:val="auto"/>
              </w:rPr>
            </w:pPr>
            <w:r>
              <w:rPr>
                <w:rFonts w:ascii="Arial" w:cs="Arial" w:eastAsia="Arial" w:hAnsi="Arial"/>
                <w:sz w:val="18"/>
                <w:szCs w:val="18"/>
                <w:b w:val="1"/>
                <w:bCs w:val="1"/>
                <w:color w:val="355A89"/>
              </w:rPr>
              <w:t>appropriately rewarded</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right w:val="single" w:sz="8" w:color="8089AD"/>
            </w:tcBorders>
          </w:tcPr>
          <w:p>
            <w:pPr>
              <w:spacing w:after="0"/>
              <w:rPr>
                <w:sz w:val="17"/>
                <w:szCs w:val="17"/>
                <w:color w:val="auto"/>
              </w:rPr>
            </w:pPr>
          </w:p>
        </w:tc>
        <w:tc>
          <w:tcPr>
            <w:tcW w:w="2820" w:type="dxa"/>
            <w:vAlign w:val="bottom"/>
            <w:tcBorders>
              <w:right w:val="single" w:sz="8" w:color="8089AD"/>
            </w:tcBorders>
          </w:tcPr>
          <w:p>
            <w:pPr>
              <w:ind w:left="160"/>
              <w:spacing w:after="0" w:line="202" w:lineRule="exact"/>
              <w:rPr>
                <w:sz w:val="20"/>
                <w:szCs w:val="20"/>
                <w:color w:val="auto"/>
              </w:rPr>
            </w:pPr>
            <w:r>
              <w:rPr>
                <w:rFonts w:ascii="Arial" w:cs="Arial" w:eastAsia="Arial" w:hAnsi="Arial"/>
                <w:sz w:val="18"/>
                <w:szCs w:val="18"/>
                <w:b w:val="1"/>
                <w:bCs w:val="1"/>
                <w:color w:val="355A89"/>
              </w:rPr>
              <w:t>neither result was</w:t>
            </w:r>
          </w:p>
        </w:tc>
        <w:tc>
          <w:tcPr>
            <w:tcW w:w="2840" w:type="dxa"/>
            <w:vAlign w:val="bottom"/>
            <w:tcBorders>
              <w:right w:val="single" w:sz="8" w:color="8089AD"/>
            </w:tcBorders>
          </w:tcPr>
          <w:p>
            <w:pPr>
              <w:spacing w:after="0"/>
              <w:rPr>
                <w:sz w:val="17"/>
                <w:szCs w:val="17"/>
                <w:color w:val="auto"/>
              </w:rPr>
            </w:pPr>
          </w:p>
        </w:tc>
        <w:tc>
          <w:tcPr>
            <w:tcW w:w="2920" w:type="dxa"/>
            <w:vAlign w:val="bottom"/>
          </w:tcPr>
          <w:p>
            <w:pPr>
              <w:ind w:left="160"/>
              <w:spacing w:after="0" w:line="202" w:lineRule="exact"/>
              <w:rPr>
                <w:sz w:val="20"/>
                <w:szCs w:val="20"/>
                <w:color w:val="auto"/>
              </w:rPr>
            </w:pPr>
            <w:r>
              <w:rPr>
                <w:rFonts w:ascii="Arial" w:cs="Arial" w:eastAsia="Arial" w:hAnsi="Arial"/>
                <w:sz w:val="18"/>
                <w:szCs w:val="18"/>
                <w:b w:val="1"/>
                <w:bCs w:val="1"/>
                <w:color w:val="355A89"/>
              </w:rPr>
              <w:t>management for business</w:t>
            </w:r>
          </w:p>
        </w:tc>
        <w:tc>
          <w:tcPr>
            <w:tcW w:w="0" w:type="dxa"/>
            <w:vAlign w:val="bottom"/>
          </w:tcPr>
          <w:p>
            <w:pPr>
              <w:spacing w:after="0"/>
              <w:rPr>
                <w:sz w:val="1"/>
                <w:szCs w:val="1"/>
                <w:color w:val="auto"/>
              </w:rPr>
            </w:pPr>
          </w:p>
        </w:tc>
      </w:tr>
      <w:tr>
        <w:trPr>
          <w:trHeight w:val="242"/>
        </w:trPr>
        <w:tc>
          <w:tcPr>
            <w:tcW w:w="2200" w:type="dxa"/>
            <w:vAlign w:val="bottom"/>
            <w:tcBorders>
              <w:bottom w:val="single" w:sz="8" w:color="8089AD"/>
            </w:tcBorders>
          </w:tcPr>
          <w:p>
            <w:pPr>
              <w:spacing w:after="0"/>
              <w:rPr>
                <w:sz w:val="21"/>
                <w:szCs w:val="21"/>
                <w:color w:val="auto"/>
              </w:rPr>
            </w:pPr>
          </w:p>
        </w:tc>
        <w:tc>
          <w:tcPr>
            <w:tcW w:w="200" w:type="dxa"/>
            <w:vAlign w:val="bottom"/>
            <w:tcBorders>
              <w:bottom w:val="single" w:sz="8" w:color="8089AD"/>
            </w:tcBorders>
          </w:tcPr>
          <w:p>
            <w:pPr>
              <w:spacing w:after="0"/>
              <w:rPr>
                <w:sz w:val="21"/>
                <w:szCs w:val="21"/>
                <w:color w:val="auto"/>
              </w:rPr>
            </w:pPr>
          </w:p>
        </w:tc>
        <w:tc>
          <w:tcPr>
            <w:tcW w:w="260" w:type="dxa"/>
            <w:vAlign w:val="bottom"/>
            <w:tcBorders>
              <w:bottom w:val="single" w:sz="8" w:color="8089AD"/>
              <w:right w:val="single" w:sz="8" w:color="8089AD"/>
            </w:tcBorders>
          </w:tcPr>
          <w:p>
            <w:pPr>
              <w:spacing w:after="0"/>
              <w:rPr>
                <w:sz w:val="21"/>
                <w:szCs w:val="21"/>
                <w:color w:val="auto"/>
              </w:rPr>
            </w:pPr>
          </w:p>
        </w:tc>
        <w:tc>
          <w:tcPr>
            <w:tcW w:w="2820" w:type="dxa"/>
            <w:vAlign w:val="bottom"/>
            <w:tcBorders>
              <w:bottom w:val="single" w:sz="8" w:color="8089AD"/>
              <w:right w:val="single" w:sz="8" w:color="8089AD"/>
            </w:tcBorders>
          </w:tcPr>
          <w:p>
            <w:pPr>
              <w:ind w:left="160"/>
              <w:spacing w:after="0"/>
              <w:rPr>
                <w:sz w:val="20"/>
                <w:szCs w:val="20"/>
                <w:color w:val="auto"/>
              </w:rPr>
            </w:pPr>
            <w:r>
              <w:rPr>
                <w:rFonts w:ascii="Arial" w:cs="Arial" w:eastAsia="Arial" w:hAnsi="Arial"/>
                <w:sz w:val="18"/>
                <w:szCs w:val="18"/>
                <w:b w:val="1"/>
                <w:bCs w:val="1"/>
                <w:color w:val="355A89"/>
              </w:rPr>
              <w:t>appropriate</w:t>
            </w:r>
          </w:p>
        </w:tc>
        <w:tc>
          <w:tcPr>
            <w:tcW w:w="2840" w:type="dxa"/>
            <w:vAlign w:val="bottom"/>
            <w:tcBorders>
              <w:bottom w:val="single" w:sz="8" w:color="8089AD"/>
              <w:right w:val="single" w:sz="8" w:color="8089AD"/>
            </w:tcBorders>
          </w:tcPr>
          <w:p>
            <w:pPr>
              <w:spacing w:after="0"/>
              <w:rPr>
                <w:sz w:val="21"/>
                <w:szCs w:val="21"/>
                <w:color w:val="auto"/>
              </w:rPr>
            </w:pPr>
          </w:p>
        </w:tc>
        <w:tc>
          <w:tcPr>
            <w:tcW w:w="2920" w:type="dxa"/>
            <w:vAlign w:val="bottom"/>
            <w:tcBorders>
              <w:bottom w:val="single" w:sz="8" w:color="8089AD"/>
            </w:tcBorders>
          </w:tcPr>
          <w:p>
            <w:pPr>
              <w:ind w:left="160"/>
              <w:spacing w:after="0"/>
              <w:rPr>
                <w:sz w:val="20"/>
                <w:szCs w:val="20"/>
                <w:color w:val="auto"/>
              </w:rPr>
            </w:pPr>
            <w:r>
              <w:rPr>
                <w:rFonts w:ascii="Arial" w:cs="Arial" w:eastAsia="Arial" w:hAnsi="Arial"/>
                <w:sz w:val="18"/>
                <w:szCs w:val="18"/>
                <w:b w:val="1"/>
                <w:bCs w:val="1"/>
                <w:color w:val="355A89"/>
              </w:rPr>
              <w:t>resiliency actions</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No Changes to LTIP Performance Goals, Structure or Vesting</w:t>
      </w:r>
    </w:p>
    <w:p>
      <w:pPr>
        <w:spacing w:after="0" w:line="229" w:lineRule="exact"/>
        <w:rPr>
          <w:sz w:val="20"/>
          <w:szCs w:val="20"/>
          <w:color w:val="auto"/>
        </w:rPr>
      </w:pPr>
    </w:p>
    <w:p>
      <w:pPr>
        <w:ind w:left="260" w:right="860" w:hanging="252"/>
        <w:spacing w:after="0" w:line="246" w:lineRule="auto"/>
        <w:tabs>
          <w:tab w:leader="none" w:pos="260" w:val="left"/>
        </w:tabs>
        <w:numPr>
          <w:ilvl w:val="0"/>
          <w:numId w:val="13"/>
        </w:numPr>
        <w:rPr>
          <w:rFonts w:ascii="Arial" w:cs="Arial" w:eastAsia="Arial" w:hAnsi="Arial"/>
          <w:sz w:val="17"/>
          <w:szCs w:val="17"/>
          <w:color w:val="355A89"/>
        </w:rPr>
      </w:pPr>
      <w:r>
        <w:rPr>
          <w:rFonts w:ascii="Arial" w:cs="Arial" w:eastAsia="Arial" w:hAnsi="Arial"/>
          <w:sz w:val="18"/>
          <w:szCs w:val="18"/>
          <w:color w:val="auto"/>
        </w:rPr>
        <w:t>The Committee decided to make no changes to any goals and metrics for our performance-based equity, despite the significant probability that LTIP units based on 2020 performance would be impacted by the pandemic.</w:t>
      </w:r>
    </w:p>
    <w:p>
      <w:pPr>
        <w:spacing w:after="0" w:line="48" w:lineRule="exact"/>
        <w:rPr>
          <w:rFonts w:ascii="Arial" w:cs="Arial" w:eastAsia="Arial" w:hAnsi="Arial"/>
          <w:sz w:val="17"/>
          <w:szCs w:val="17"/>
          <w:color w:val="355A89"/>
        </w:rPr>
      </w:pPr>
    </w:p>
    <w:p>
      <w:pPr>
        <w:ind w:left="260" w:right="140" w:hanging="252"/>
        <w:spacing w:after="0"/>
        <w:tabs>
          <w:tab w:leader="none" w:pos="260" w:val="left"/>
        </w:tabs>
        <w:numPr>
          <w:ilvl w:val="0"/>
          <w:numId w:val="13"/>
        </w:numPr>
        <w:rPr>
          <w:rFonts w:ascii="Arial" w:cs="Arial" w:eastAsia="Arial" w:hAnsi="Arial"/>
          <w:sz w:val="17"/>
          <w:szCs w:val="17"/>
          <w:color w:val="355A89"/>
        </w:rPr>
      </w:pPr>
      <w:r>
        <w:rPr>
          <w:rFonts w:ascii="Arial" w:cs="Arial" w:eastAsia="Arial" w:hAnsi="Arial"/>
          <w:sz w:val="18"/>
          <w:szCs w:val="18"/>
          <w:color w:val="auto"/>
        </w:rPr>
        <w:t>The Committee granted annual time-based awards to our CEO and President primarily as a result of their performance during 2020 both in response to the COVID-19 pandemic and in achieving numerous other business goals, as well as the impact of the COVID-19 pandemic on other elements of their compensation for 2020.</w:t>
      </w:r>
    </w:p>
    <w:p>
      <w:pPr>
        <w:spacing w:after="0" w:line="54" w:lineRule="exact"/>
        <w:rPr>
          <w:rFonts w:ascii="Arial" w:cs="Arial" w:eastAsia="Arial" w:hAnsi="Arial"/>
          <w:sz w:val="17"/>
          <w:szCs w:val="17"/>
          <w:color w:val="355A89"/>
        </w:rPr>
      </w:pPr>
    </w:p>
    <w:p>
      <w:pPr>
        <w:ind w:left="260" w:right="200" w:hanging="252"/>
        <w:spacing w:after="0" w:line="246" w:lineRule="auto"/>
        <w:tabs>
          <w:tab w:leader="none" w:pos="260" w:val="left"/>
        </w:tabs>
        <w:numPr>
          <w:ilvl w:val="0"/>
          <w:numId w:val="13"/>
        </w:numPr>
        <w:rPr>
          <w:rFonts w:ascii="Arial" w:cs="Arial" w:eastAsia="Arial" w:hAnsi="Arial"/>
          <w:sz w:val="17"/>
          <w:szCs w:val="17"/>
          <w:color w:val="355A89"/>
        </w:rPr>
      </w:pPr>
      <w:r>
        <w:rPr>
          <w:rFonts w:ascii="Arial" w:cs="Arial" w:eastAsia="Arial" w:hAnsi="Arial"/>
          <w:sz w:val="18"/>
          <w:szCs w:val="18"/>
          <w:color w:val="auto"/>
        </w:rPr>
        <w:t>After factoring in time-based awards, the intent of the Committee was to reduce the value of compensation earned for 2020 by our CEO and President, as of December 31, 2020, by approximately 10% from the comparable 2019 period.</w:t>
      </w:r>
    </w:p>
    <w:p>
      <w:pPr>
        <w:spacing w:after="0" w:line="48" w:lineRule="exact"/>
        <w:rPr>
          <w:rFonts w:ascii="Arial" w:cs="Arial" w:eastAsia="Arial" w:hAnsi="Arial"/>
          <w:sz w:val="17"/>
          <w:szCs w:val="17"/>
          <w:color w:val="355A89"/>
        </w:rPr>
      </w:pPr>
    </w:p>
    <w:p>
      <w:pPr>
        <w:ind w:left="260" w:right="540" w:hanging="252"/>
        <w:spacing w:after="0"/>
        <w:tabs>
          <w:tab w:leader="none" w:pos="260" w:val="left"/>
        </w:tabs>
        <w:numPr>
          <w:ilvl w:val="0"/>
          <w:numId w:val="13"/>
        </w:numPr>
        <w:rPr>
          <w:rFonts w:ascii="Arial" w:cs="Arial" w:eastAsia="Arial" w:hAnsi="Arial"/>
          <w:sz w:val="17"/>
          <w:szCs w:val="17"/>
          <w:color w:val="355A89"/>
        </w:rPr>
      </w:pPr>
      <w:r>
        <w:rPr>
          <w:rFonts w:ascii="Arial" w:cs="Arial" w:eastAsia="Arial" w:hAnsi="Arial"/>
          <w:sz w:val="18"/>
          <w:szCs w:val="18"/>
          <w:color w:val="auto"/>
        </w:rPr>
        <w:t>The Committee viewed this overall reduction as the appropriate balance between the continued motivation of our senior leadership, recognition of our executives’ extraordinary achievements in very challenging circumstances and the decline in our stock price and operating performance during 2020.</w:t>
      </w:r>
    </w:p>
    <w:p>
      <w:pPr>
        <w:spacing w:after="0" w:line="20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For a detailed discussion of the rationale and decisions made in response to COVID-19, please see page 37 of the Compensation Discussion &amp; Analysis section below.</w:t>
      </w:r>
    </w:p>
    <w:p>
      <w:pPr>
        <w:spacing w:after="0" w:line="209"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2021 PROXY STATEMENT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environmental, social and governance, or ESG platform, which has executive-level participation and a dedicated ESG Team, and is overseen by the Board of Directors, is integrated throughout all departments of our Company, supporting effective risk-management practices that influence our strategic decision making. Highlights of these initiatives are set forth below.</w:t>
      </w:r>
    </w:p>
    <w:p>
      <w:pPr>
        <w:spacing w:after="0" w:line="20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Our Global Reporting Initiative, or GRI adherent sustainability reports and other information relating to these initiatives are available on our website at http://www.slgreen.com/sustainability.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885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A89"/>
        </w:rPr>
        <w:t>Industry Leading ESG Recognition</w:t>
      </w:r>
    </w:p>
    <w:p>
      <w:pPr>
        <w:spacing w:after="0" w:line="104" w:lineRule="exact"/>
        <w:rPr>
          <w:sz w:val="20"/>
          <w:szCs w:val="20"/>
          <w:color w:val="auto"/>
        </w:rPr>
      </w:pPr>
    </w:p>
    <w:p>
      <w:pPr>
        <w:ind w:left="1620" w:hanging="239"/>
        <w:spacing w:after="0"/>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Bloomberg ESG Disclosure score among “Top 5” of all REITs listed on the Russell 1000 Index</w:t>
      </w:r>
    </w:p>
    <w:p>
      <w:pPr>
        <w:spacing w:after="0" w:line="25" w:lineRule="exact"/>
        <w:rPr>
          <w:rFonts w:ascii="Arial" w:cs="Arial" w:eastAsia="Arial" w:hAnsi="Arial"/>
          <w:sz w:val="17"/>
          <w:szCs w:val="17"/>
          <w:color w:val="FFFFFF"/>
        </w:rPr>
      </w:pPr>
    </w:p>
    <w:p>
      <w:pPr>
        <w:ind w:left="1620" w:hanging="239"/>
        <w:spacing w:after="0"/>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ENERGY STAR Partner of the Year – Sustained Excellence (2018, 2019, 2020, 2021)</w:t>
      </w:r>
    </w:p>
    <w:p>
      <w:pPr>
        <w:spacing w:after="0" w:line="9" w:lineRule="exact"/>
        <w:rPr>
          <w:rFonts w:ascii="Arial" w:cs="Arial" w:eastAsia="Arial" w:hAnsi="Arial"/>
          <w:sz w:val="17"/>
          <w:szCs w:val="17"/>
          <w:color w:val="FFFFFF"/>
        </w:rPr>
      </w:pPr>
    </w:p>
    <w:p>
      <w:pPr>
        <w:ind w:left="1620" w:hanging="239"/>
        <w:spacing w:after="0"/>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CDP’s Climate Change Questionnaire score of “B” for 2020 – tied for highest among U.S. Office REITs</w:t>
      </w:r>
    </w:p>
    <w:p>
      <w:pPr>
        <w:spacing w:after="0" w:line="9" w:lineRule="exact"/>
        <w:rPr>
          <w:rFonts w:ascii="Arial" w:cs="Arial" w:eastAsia="Arial" w:hAnsi="Arial"/>
          <w:sz w:val="17"/>
          <w:szCs w:val="17"/>
          <w:color w:val="FFFFFF"/>
        </w:rPr>
      </w:pPr>
    </w:p>
    <w:p>
      <w:pPr>
        <w:ind w:left="1620" w:hanging="239"/>
        <w:spacing w:after="0"/>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GRESB’s Public Disclosure Report “A” Rating (2018, 2019, 2020) and Green Star (2019, 2020)</w:t>
      </w:r>
    </w:p>
    <w:p>
      <w:pPr>
        <w:spacing w:after="0" w:line="9" w:lineRule="exact"/>
        <w:rPr>
          <w:rFonts w:ascii="Arial" w:cs="Arial" w:eastAsia="Arial" w:hAnsi="Arial"/>
          <w:sz w:val="17"/>
          <w:szCs w:val="17"/>
          <w:color w:val="FFFFFF"/>
        </w:rPr>
      </w:pPr>
    </w:p>
    <w:p>
      <w:pPr>
        <w:ind w:left="1620" w:hanging="239"/>
        <w:spacing w:after="0" w:line="188" w:lineRule="auto"/>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State Street’s R-Factor</w:t>
      </w:r>
      <w:r>
        <w:rPr>
          <w:rFonts w:ascii="Arial" w:cs="Arial" w:eastAsia="Arial" w:hAnsi="Arial"/>
          <w:sz w:val="29"/>
          <w:szCs w:val="29"/>
          <w:b w:val="1"/>
          <w:bCs w:val="1"/>
          <w:color w:val="FFFFFF"/>
          <w:vertAlign w:val="superscript"/>
        </w:rPr>
        <w:t>TM</w:t>
      </w:r>
      <w:r>
        <w:rPr>
          <w:rFonts w:ascii="Arial" w:cs="Arial" w:eastAsia="Arial" w:hAnsi="Arial"/>
          <w:sz w:val="18"/>
          <w:szCs w:val="18"/>
          <w:b w:val="1"/>
          <w:bCs w:val="1"/>
          <w:color w:val="FFFFFF"/>
        </w:rPr>
        <w:t xml:space="preserve"> Score “Outperformer” ranking</w:t>
      </w:r>
    </w:p>
    <w:p>
      <w:pPr>
        <w:ind w:left="1620" w:hanging="239"/>
        <w:spacing w:after="0"/>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Refinitiv “Top Quartile” ESG performance among Commercial REITs globally</w:t>
      </w:r>
    </w:p>
    <w:p>
      <w:pPr>
        <w:spacing w:after="0" w:line="3" w:lineRule="exact"/>
        <w:rPr>
          <w:rFonts w:ascii="Arial" w:cs="Arial" w:eastAsia="Arial" w:hAnsi="Arial"/>
          <w:sz w:val="17"/>
          <w:szCs w:val="17"/>
          <w:color w:val="FFFFFF"/>
        </w:rPr>
      </w:pPr>
    </w:p>
    <w:p>
      <w:pPr>
        <w:ind w:left="1620" w:hanging="239"/>
        <w:spacing w:after="0"/>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MSCI’s Environment Category Top 25% Ranking (Opportunities in Green Buildings, 2019, 2020, 2021)</w:t>
      </w:r>
    </w:p>
    <w:p>
      <w:pPr>
        <w:spacing w:after="0" w:line="9" w:lineRule="exact"/>
        <w:rPr>
          <w:rFonts w:ascii="Arial" w:cs="Arial" w:eastAsia="Arial" w:hAnsi="Arial"/>
          <w:sz w:val="17"/>
          <w:szCs w:val="17"/>
          <w:color w:val="FFFFFF"/>
        </w:rPr>
      </w:pPr>
    </w:p>
    <w:p>
      <w:pPr>
        <w:ind w:left="1640" w:right="1080" w:hanging="259"/>
        <w:spacing w:after="0" w:line="245" w:lineRule="auto"/>
        <w:tabs>
          <w:tab w:leader="none" w:pos="1617"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NYC Mayor’s Office of Service “Changemaker Award” in recognition of SL Green’s volunteerism and philanthropic efforts (2018, 2019, 2020)</w:t>
      </w:r>
    </w:p>
    <w:p>
      <w:pPr>
        <w:spacing w:after="0" w:line="1" w:lineRule="exact"/>
        <w:rPr>
          <w:rFonts w:ascii="Arial" w:cs="Arial" w:eastAsia="Arial" w:hAnsi="Arial"/>
          <w:sz w:val="17"/>
          <w:szCs w:val="17"/>
          <w:color w:val="FFFFFF"/>
        </w:rPr>
      </w:pPr>
    </w:p>
    <w:p>
      <w:pPr>
        <w:ind w:left="1640" w:right="100" w:hanging="259"/>
        <w:spacing w:after="0" w:line="242" w:lineRule="auto"/>
        <w:tabs>
          <w:tab w:leader="none" w:pos="1617"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“Gold Level” Green Lease Leader Award from U.S. Department of Energy’s Better Building Alliance and Institute for Market Transformation</w:t>
      </w:r>
    </w:p>
    <w:p>
      <w:pPr>
        <w:spacing w:after="0" w:line="1" w:lineRule="exact"/>
        <w:rPr>
          <w:rFonts w:ascii="Arial" w:cs="Arial" w:eastAsia="Arial" w:hAnsi="Arial"/>
          <w:sz w:val="17"/>
          <w:szCs w:val="17"/>
          <w:color w:val="FFFFFF"/>
        </w:rPr>
      </w:pPr>
    </w:p>
    <w:p>
      <w:pPr>
        <w:ind w:left="1620" w:hanging="239"/>
        <w:spacing w:after="0"/>
        <w:tabs>
          <w:tab w:leader="none" w:pos="1620" w:val="left"/>
        </w:tabs>
        <w:numPr>
          <w:ilvl w:val="0"/>
          <w:numId w:val="14"/>
        </w:numPr>
        <w:rPr>
          <w:rFonts w:ascii="Arial" w:cs="Arial" w:eastAsia="Arial" w:hAnsi="Arial"/>
          <w:sz w:val="17"/>
          <w:szCs w:val="17"/>
          <w:color w:val="FFFFFF"/>
        </w:rPr>
      </w:pPr>
      <w:r>
        <w:rPr>
          <w:rFonts w:ascii="Arial" w:cs="Arial" w:eastAsia="Arial" w:hAnsi="Arial"/>
          <w:sz w:val="18"/>
          <w:szCs w:val="18"/>
          <w:b w:val="1"/>
          <w:bCs w:val="1"/>
          <w:color w:val="FFFFFF"/>
        </w:rPr>
        <w:t>S&amp;P Global 1200 ESG Index &amp; FTSE4Good Index series constituent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A89"/>
        </w:rPr>
        <w:t>Environmental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525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FFFFFF"/>
        </w:rPr>
        <w:t>Goals:</w:t>
      </w:r>
    </w:p>
    <w:p>
      <w:pPr>
        <w:spacing w:after="0" w:line="18" w:lineRule="exact"/>
        <w:rPr>
          <w:sz w:val="20"/>
          <w:szCs w:val="20"/>
          <w:color w:val="auto"/>
        </w:rPr>
      </w:pPr>
    </w:p>
    <w:p>
      <w:pPr>
        <w:ind w:left="1640" w:right="400" w:hanging="259"/>
        <w:spacing w:after="0" w:line="242" w:lineRule="auto"/>
        <w:tabs>
          <w:tab w:leader="none" w:pos="1617"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Reduce portfolio-wide greenhouse gas emissions intensity by 30% by 2025 as disclosed in CDP response, in alignment with Task Force on Climate-related Financial Disclosures, or TCFD standards</w:t>
      </w:r>
    </w:p>
    <w:p>
      <w:pPr>
        <w:spacing w:after="0" w:line="1" w:lineRule="exact"/>
        <w:rPr>
          <w:rFonts w:ascii="Arial" w:cs="Arial" w:eastAsia="Arial" w:hAnsi="Arial"/>
          <w:sz w:val="17"/>
          <w:szCs w:val="17"/>
          <w:color w:val="FFFFFF"/>
        </w:rPr>
      </w:pPr>
    </w:p>
    <w:p>
      <w:pPr>
        <w:ind w:left="1620" w:hanging="239"/>
        <w:spacing w:after="0"/>
        <w:tabs>
          <w:tab w:leader="none" w:pos="162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Achieve 50% recycling rate by 2025, in line with LEED v4 threshold</w:t>
      </w:r>
    </w:p>
    <w:p>
      <w:pPr>
        <w:spacing w:after="0" w:line="3" w:lineRule="exact"/>
        <w:rPr>
          <w:rFonts w:ascii="Arial" w:cs="Arial" w:eastAsia="Arial" w:hAnsi="Arial"/>
          <w:sz w:val="17"/>
          <w:szCs w:val="17"/>
          <w:color w:val="FFFFFF"/>
        </w:rPr>
      </w:pPr>
    </w:p>
    <w:p>
      <w:pPr>
        <w:ind w:left="1620" w:hanging="239"/>
        <w:spacing w:after="0"/>
        <w:tabs>
          <w:tab w:leader="none" w:pos="1620" w:val="left"/>
        </w:tabs>
        <w:numPr>
          <w:ilvl w:val="0"/>
          <w:numId w:val="15"/>
        </w:numPr>
        <w:rPr>
          <w:rFonts w:ascii="Arial" w:cs="Arial" w:eastAsia="Arial" w:hAnsi="Arial"/>
          <w:sz w:val="17"/>
          <w:szCs w:val="17"/>
          <w:color w:val="FFFFFF"/>
        </w:rPr>
      </w:pPr>
      <w:r>
        <w:rPr>
          <w:rFonts w:ascii="Arial" w:cs="Arial" w:eastAsia="Arial" w:hAnsi="Arial"/>
          <w:sz w:val="18"/>
          <w:szCs w:val="18"/>
          <w:b w:val="1"/>
          <w:bCs w:val="1"/>
          <w:color w:val="FFFFFF"/>
        </w:rPr>
        <w:t>Reduce whole-building energy consumption by 20% by 2030</w:t>
      </w:r>
    </w:p>
    <w:p>
      <w:pPr>
        <w:spacing w:after="0" w:line="195" w:lineRule="exact"/>
        <w:rPr>
          <w:sz w:val="20"/>
          <w:szCs w:val="20"/>
          <w:color w:val="auto"/>
        </w:rPr>
      </w:pPr>
    </w:p>
    <w:p>
      <w:pPr>
        <w:ind w:left="1620" w:hanging="239"/>
        <w:spacing w:after="0"/>
        <w:tabs>
          <w:tab w:leader="none" w:pos="1620"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Green building certifications of 93% of Manhattan Operating Properties based on total square footage</w:t>
      </w:r>
    </w:p>
    <w:p>
      <w:pPr>
        <w:spacing w:after="0" w:line="25" w:lineRule="exact"/>
        <w:rPr>
          <w:rFonts w:ascii="Arial" w:cs="Arial" w:eastAsia="Arial" w:hAnsi="Arial"/>
          <w:sz w:val="17"/>
          <w:szCs w:val="17"/>
          <w:color w:val="FFFFFF"/>
        </w:rPr>
      </w:pPr>
    </w:p>
    <w:p>
      <w:pPr>
        <w:ind w:left="1620" w:hanging="239"/>
        <w:spacing w:after="0"/>
        <w:tabs>
          <w:tab w:leader="none" w:pos="1620"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LEED certified 91% of Manhattan Operating Properties</w:t>
      </w:r>
    </w:p>
    <w:p>
      <w:pPr>
        <w:spacing w:after="0" w:line="9" w:lineRule="exact"/>
        <w:rPr>
          <w:rFonts w:ascii="Arial" w:cs="Arial" w:eastAsia="Arial" w:hAnsi="Arial"/>
          <w:sz w:val="17"/>
          <w:szCs w:val="17"/>
          <w:color w:val="FFFFFF"/>
        </w:rPr>
      </w:pPr>
    </w:p>
    <w:p>
      <w:pPr>
        <w:ind w:left="1620" w:hanging="239"/>
        <w:spacing w:after="0"/>
        <w:tabs>
          <w:tab w:leader="none" w:pos="1620" w:val="left"/>
        </w:tabs>
        <w:numPr>
          <w:ilvl w:val="0"/>
          <w:numId w:val="16"/>
        </w:numPr>
        <w:rPr>
          <w:rFonts w:ascii="Arial" w:cs="Arial" w:eastAsia="Arial" w:hAnsi="Arial"/>
          <w:sz w:val="16"/>
          <w:szCs w:val="16"/>
          <w:color w:val="FFFFFF"/>
        </w:rPr>
      </w:pPr>
      <w:r>
        <w:rPr>
          <w:rFonts w:ascii="Arial" w:cs="Arial" w:eastAsia="Arial" w:hAnsi="Arial"/>
          <w:sz w:val="16"/>
          <w:szCs w:val="16"/>
          <w:b w:val="1"/>
          <w:bCs w:val="1"/>
          <w:color w:val="FFFFFF"/>
        </w:rPr>
        <w:t>ENERGY STAR labels across 10.6 million square feet, representing 11% achieved in Manhattan by square footage</w:t>
      </w:r>
    </w:p>
    <w:p>
      <w:pPr>
        <w:spacing w:after="0" w:line="32" w:lineRule="exact"/>
        <w:rPr>
          <w:rFonts w:ascii="Arial" w:cs="Arial" w:eastAsia="Arial" w:hAnsi="Arial"/>
          <w:sz w:val="16"/>
          <w:szCs w:val="16"/>
          <w:color w:val="FFFFFF"/>
        </w:rPr>
      </w:pPr>
    </w:p>
    <w:p>
      <w:pPr>
        <w:ind w:left="1620" w:hanging="239"/>
        <w:spacing w:after="0"/>
        <w:tabs>
          <w:tab w:leader="none" w:pos="1620" w:val="left"/>
        </w:tabs>
        <w:numPr>
          <w:ilvl w:val="0"/>
          <w:numId w:val="16"/>
        </w:numPr>
        <w:rPr>
          <w:rFonts w:ascii="Arial" w:cs="Arial" w:eastAsia="Arial" w:hAnsi="Arial"/>
          <w:sz w:val="17"/>
          <w:szCs w:val="17"/>
          <w:color w:val="FFFFFF"/>
        </w:rPr>
      </w:pPr>
      <w:r>
        <w:rPr>
          <w:rFonts w:ascii="Arial" w:cs="Arial" w:eastAsia="Arial" w:hAnsi="Arial"/>
          <w:sz w:val="18"/>
          <w:szCs w:val="18"/>
          <w:b w:val="1"/>
          <w:bCs w:val="1"/>
          <w:color w:val="FFFFFF"/>
        </w:rPr>
        <w:t>WELL Health-Safety Rating across 23 million square feet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A89"/>
        </w:rPr>
        <w:t>Social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508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30" w:lineRule="exact"/>
        <w:rPr>
          <w:sz w:val="20"/>
          <w:szCs w:val="20"/>
          <w:color w:val="auto"/>
        </w:rPr>
      </w:pPr>
    </w:p>
    <w:p>
      <w:pPr>
        <w:ind w:left="1640" w:right="300" w:hanging="259"/>
        <w:spacing w:after="0" w:line="255" w:lineRule="auto"/>
        <w:tabs>
          <w:tab w:leader="none" w:pos="1617"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Market-leading benefits program spanning healthcare, 401(k) match, employee stock purchase plan, disability coverage, wellness and life insurance</w:t>
      </w:r>
    </w:p>
    <w:p>
      <w:pPr>
        <w:ind w:left="1640" w:right="660" w:hanging="259"/>
        <w:spacing w:after="0" w:line="242" w:lineRule="auto"/>
        <w:tabs>
          <w:tab w:leader="none" w:pos="1617"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Investment in human capital development through training programs, tuition reimbursement and ongoing education</w:t>
      </w:r>
    </w:p>
    <w:p>
      <w:pPr>
        <w:spacing w:after="0" w:line="1" w:lineRule="exact"/>
        <w:rPr>
          <w:rFonts w:ascii="Arial" w:cs="Arial" w:eastAsia="Arial" w:hAnsi="Arial"/>
          <w:sz w:val="17"/>
          <w:szCs w:val="17"/>
          <w:color w:val="FFFFFF"/>
        </w:rPr>
      </w:pPr>
    </w:p>
    <w:p>
      <w:pPr>
        <w:ind w:left="1640" w:right="500" w:hanging="259"/>
        <w:spacing w:after="0" w:line="242" w:lineRule="auto"/>
        <w:tabs>
          <w:tab w:leader="none" w:pos="1617"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Corporate and employee contribution of $3 million across greater than 65 partner organizations focused on providing New Yorkers with access to essential resources</w:t>
      </w:r>
    </w:p>
    <w:p>
      <w:pPr>
        <w:spacing w:after="0" w:line="1" w:lineRule="exact"/>
        <w:rPr>
          <w:rFonts w:ascii="Arial" w:cs="Arial" w:eastAsia="Arial" w:hAnsi="Arial"/>
          <w:sz w:val="17"/>
          <w:szCs w:val="17"/>
          <w:color w:val="FFFFFF"/>
        </w:rPr>
      </w:pPr>
    </w:p>
    <w:p>
      <w:pPr>
        <w:ind w:left="1640" w:right="160" w:hanging="259"/>
        <w:spacing w:after="0" w:line="242" w:lineRule="auto"/>
        <w:tabs>
          <w:tab w:leader="none" w:pos="1617"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Employer-sponsored volunteer days, with civic opportunities chosen and coordinated by employee Community Outreach Ambassadors</w:t>
      </w:r>
    </w:p>
    <w:p>
      <w:pPr>
        <w:spacing w:after="0" w:line="1" w:lineRule="exact"/>
        <w:rPr>
          <w:rFonts w:ascii="Arial" w:cs="Arial" w:eastAsia="Arial" w:hAnsi="Arial"/>
          <w:sz w:val="17"/>
          <w:szCs w:val="17"/>
          <w:color w:val="FFFFFF"/>
        </w:rPr>
      </w:pPr>
    </w:p>
    <w:p>
      <w:pPr>
        <w:ind w:left="1640" w:right="340" w:hanging="259"/>
        <w:spacing w:after="0" w:line="254" w:lineRule="auto"/>
        <w:tabs>
          <w:tab w:leader="none" w:pos="1617" w:val="left"/>
        </w:tabs>
        <w:numPr>
          <w:ilvl w:val="0"/>
          <w:numId w:val="17"/>
        </w:numPr>
        <w:rPr>
          <w:rFonts w:ascii="Arial" w:cs="Arial" w:eastAsia="Arial" w:hAnsi="Arial"/>
          <w:sz w:val="17"/>
          <w:szCs w:val="17"/>
          <w:color w:val="FFFFFF"/>
        </w:rPr>
      </w:pPr>
      <w:r>
        <w:rPr>
          <w:rFonts w:ascii="Arial" w:cs="Arial" w:eastAsia="Arial" w:hAnsi="Arial"/>
          <w:sz w:val="18"/>
          <w:szCs w:val="18"/>
          <w:b w:val="1"/>
          <w:bCs w:val="1"/>
          <w:color w:val="FFFFFF"/>
        </w:rPr>
        <w:t>Participation in Governor’s Committee on Scholastic Achievement, a non-for-profit that connects high school students from underperforming New York communities with corporate mentors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55A89"/>
        </w:rPr>
        <w:t>Governance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887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30" w:lineRule="exact"/>
        <w:rPr>
          <w:sz w:val="20"/>
          <w:szCs w:val="20"/>
          <w:color w:val="auto"/>
        </w:rPr>
      </w:pPr>
    </w:p>
    <w:p>
      <w:pPr>
        <w:ind w:left="1640" w:right="760" w:hanging="259"/>
        <w:spacing w:after="0" w:line="255" w:lineRule="auto"/>
        <w:tabs>
          <w:tab w:leader="none" w:pos="1617"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ESG program oversight by the full Board, reflective of the program’s cross-departmental integration and importance to the Company’s long-term strategic plan</w:t>
      </w:r>
    </w:p>
    <w:p>
      <w:pPr>
        <w:ind w:left="1640" w:right="40" w:hanging="259"/>
        <w:spacing w:after="0" w:line="242" w:lineRule="auto"/>
        <w:tabs>
          <w:tab w:leader="none" w:pos="1617"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Executive level management of ESG program, with dedicated team responsible for implementation, including the Chief Operating Officer, SVP &amp; Director of Sustainability and VP of Human Resources</w:t>
      </w:r>
    </w:p>
    <w:p>
      <w:pPr>
        <w:spacing w:after="0" w:line="1" w:lineRule="exact"/>
        <w:rPr>
          <w:rFonts w:ascii="Arial" w:cs="Arial" w:eastAsia="Arial" w:hAnsi="Arial"/>
          <w:sz w:val="17"/>
          <w:szCs w:val="17"/>
          <w:color w:val="FFFFFF"/>
        </w:rPr>
      </w:pPr>
    </w:p>
    <w:p>
      <w:pPr>
        <w:ind w:left="1620" w:hanging="239"/>
        <w:spacing w:after="0"/>
        <w:tabs>
          <w:tab w:leader="none" w:pos="1620"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Annual ESG reporting in accordance with GRI, CDP, GRESB, and SASB standards</w:t>
      </w:r>
    </w:p>
    <w:p>
      <w:pPr>
        <w:spacing w:after="0" w:line="3" w:lineRule="exact"/>
        <w:rPr>
          <w:rFonts w:ascii="Arial" w:cs="Arial" w:eastAsia="Arial" w:hAnsi="Arial"/>
          <w:sz w:val="17"/>
          <w:szCs w:val="17"/>
          <w:color w:val="FFFFFF"/>
        </w:rPr>
      </w:pPr>
    </w:p>
    <w:p>
      <w:pPr>
        <w:ind w:left="1620" w:hanging="239"/>
        <w:spacing w:after="0"/>
        <w:tabs>
          <w:tab w:leader="none" w:pos="1620"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Disclosures aligned with TCFD and UN SDG guidelines</w:t>
      </w:r>
    </w:p>
    <w:p>
      <w:pPr>
        <w:spacing w:after="0" w:line="9" w:lineRule="exact"/>
        <w:rPr>
          <w:rFonts w:ascii="Arial" w:cs="Arial" w:eastAsia="Arial" w:hAnsi="Arial"/>
          <w:sz w:val="17"/>
          <w:szCs w:val="17"/>
          <w:color w:val="FFFFFF"/>
        </w:rPr>
      </w:pPr>
    </w:p>
    <w:p>
      <w:pPr>
        <w:ind w:left="1620" w:hanging="239"/>
        <w:spacing w:after="0"/>
        <w:tabs>
          <w:tab w:leader="none" w:pos="1620"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Third-party assurance of environmental performance data</w:t>
      </w:r>
    </w:p>
    <w:p>
      <w:pPr>
        <w:spacing w:after="0" w:line="9" w:lineRule="exact"/>
        <w:rPr>
          <w:rFonts w:ascii="Arial" w:cs="Arial" w:eastAsia="Arial" w:hAnsi="Arial"/>
          <w:sz w:val="17"/>
          <w:szCs w:val="17"/>
          <w:color w:val="FFFFFF"/>
        </w:rPr>
      </w:pPr>
    </w:p>
    <w:p>
      <w:pPr>
        <w:ind w:left="1640" w:right="720" w:hanging="259"/>
        <w:spacing w:after="0" w:line="260" w:lineRule="auto"/>
        <w:tabs>
          <w:tab w:leader="none" w:pos="1617" w:val="left"/>
        </w:tabs>
        <w:numPr>
          <w:ilvl w:val="0"/>
          <w:numId w:val="18"/>
        </w:numPr>
        <w:rPr>
          <w:rFonts w:ascii="Arial" w:cs="Arial" w:eastAsia="Arial" w:hAnsi="Arial"/>
          <w:sz w:val="17"/>
          <w:szCs w:val="17"/>
          <w:color w:val="FFFFFF"/>
        </w:rPr>
      </w:pPr>
      <w:r>
        <w:rPr>
          <w:rFonts w:ascii="Arial" w:cs="Arial" w:eastAsia="Arial" w:hAnsi="Arial"/>
          <w:sz w:val="18"/>
          <w:szCs w:val="18"/>
          <w:b w:val="1"/>
          <w:bCs w:val="1"/>
          <w:color w:val="FFFFFF"/>
        </w:rPr>
        <w:t>Environmental legislation risk mitigated by long-term capital investments in energy efficiency and tenant programs focused on sustainability</w:t>
      </w:r>
    </w:p>
    <w:p>
      <w:pPr>
        <w:spacing w:after="0" w:line="21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187" w:lineRule="auto"/>
        <w:rPr>
          <w:sz w:val="20"/>
          <w:szCs w:val="20"/>
          <w:color w:val="auto"/>
        </w:rPr>
      </w:pPr>
      <w:r>
        <w:rPr>
          <w:rFonts w:ascii="Arial" w:cs="Arial" w:eastAsia="Arial" w:hAnsi="Arial"/>
          <w:sz w:val="18"/>
          <w:szCs w:val="18"/>
          <w:color w:val="auto"/>
        </w:rPr>
        <w:t>One Vanderbilt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10017-3852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165860" cy="351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58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NOTICE OF VIRTUAL ANNUAL MEETING OF STOCKHOLDERS</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Dear Stockholder:</w:t>
      </w:r>
    </w:p>
    <w:p>
      <w:pPr>
        <w:spacing w:after="0" w:line="215" w:lineRule="exact"/>
        <w:rPr>
          <w:sz w:val="20"/>
          <w:szCs w:val="20"/>
          <w:color w:val="auto"/>
        </w:rPr>
      </w:pPr>
    </w:p>
    <w:p>
      <w:pPr>
        <w:ind w:right="100"/>
        <w:spacing w:after="0" w:line="242" w:lineRule="auto"/>
        <w:rPr>
          <w:sz w:val="20"/>
          <w:szCs w:val="20"/>
          <w:color w:val="auto"/>
        </w:rPr>
      </w:pPr>
      <w:r>
        <w:rPr>
          <w:rFonts w:ascii="Arial" w:cs="Arial" w:eastAsia="Arial" w:hAnsi="Arial"/>
          <w:sz w:val="13"/>
          <w:szCs w:val="13"/>
          <w:color w:val="auto"/>
        </w:rPr>
        <w:t>You are invited to attend the 2021 annual meeting of stockholders of SL Green Realty Corp., a Maryland corporation, which will be held virtually on June 8, 2021 at 12:00 p.m., Eastern Time. To access the annual meeting, visit www.virtualshareholdermeeting.com/SLG2021 and enter the unique 16-digit control number included on your Notice of Internet Availability of Proxy Materials, voting instruction form or proxy card (if you received a printed copy of the proxy materials). There will be no physical location for stockholders or other attendees to gather in person. We have designed the format of the annual meeting to ensure that stockholders are afforded similar rights and opportunities to participate as they would have at an in-person meeting. Stockholders will be able to vote electronically and submit questions electronically during the annual meeting. As always, we strongly encourage you to vote your shares by proxy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212090</wp:posOffset>
            </wp:positionV>
            <wp:extent cx="3445510" cy="3368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45510" cy="33686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The annual meeting will be held for the following purposes:</w:t>
      </w:r>
    </w:p>
    <w:p>
      <w:pPr>
        <w:spacing w:after="0" w:line="215" w:lineRule="exact"/>
        <w:rPr>
          <w:sz w:val="20"/>
          <w:szCs w:val="20"/>
          <w:color w:val="auto"/>
        </w:rPr>
      </w:pPr>
    </w:p>
    <w:p>
      <w:pPr>
        <w:ind w:left="260" w:right="20" w:hanging="252"/>
        <w:spacing w:after="0" w:line="251" w:lineRule="auto"/>
        <w:tabs>
          <w:tab w:leader="none" w:pos="260" w:val="left"/>
        </w:tabs>
        <w:numPr>
          <w:ilvl w:val="0"/>
          <w:numId w:val="20"/>
        </w:numPr>
        <w:rPr>
          <w:rFonts w:ascii="Arial" w:cs="Arial" w:eastAsia="Arial" w:hAnsi="Arial"/>
          <w:sz w:val="13"/>
          <w:szCs w:val="13"/>
          <w:color w:val="355A89"/>
        </w:rPr>
      </w:pPr>
      <w:r>
        <w:rPr>
          <w:rFonts w:ascii="Arial" w:cs="Arial" w:eastAsia="Arial" w:hAnsi="Arial"/>
          <w:sz w:val="13"/>
          <w:szCs w:val="13"/>
          <w:color w:val="auto"/>
        </w:rPr>
        <w:t>To elect the nine director nominees named in the proxy statement to serve on the Board of Directors for a one-year term and until their successors are duly elected and qualify;</w:t>
      </w:r>
    </w:p>
    <w:p>
      <w:pPr>
        <w:spacing w:after="0" w:line="159" w:lineRule="exact"/>
        <w:rPr>
          <w:rFonts w:ascii="Arial" w:cs="Arial" w:eastAsia="Arial" w:hAnsi="Arial"/>
          <w:sz w:val="13"/>
          <w:szCs w:val="13"/>
          <w:color w:val="355A89"/>
        </w:rPr>
      </w:pPr>
    </w:p>
    <w:p>
      <w:pPr>
        <w:ind w:left="260" w:hanging="252"/>
        <w:spacing w:after="0"/>
        <w:tabs>
          <w:tab w:leader="none" w:pos="260" w:val="left"/>
        </w:tabs>
        <w:numPr>
          <w:ilvl w:val="0"/>
          <w:numId w:val="20"/>
        </w:numPr>
        <w:rPr>
          <w:rFonts w:ascii="Arial" w:cs="Arial" w:eastAsia="Arial" w:hAnsi="Arial"/>
          <w:sz w:val="13"/>
          <w:szCs w:val="13"/>
          <w:color w:val="355A89"/>
        </w:rPr>
      </w:pPr>
      <w:r>
        <w:rPr>
          <w:rFonts w:ascii="Arial" w:cs="Arial" w:eastAsia="Arial" w:hAnsi="Arial"/>
          <w:sz w:val="13"/>
          <w:szCs w:val="13"/>
          <w:color w:val="auto"/>
        </w:rPr>
        <w:t>To hold an advisory vote on executive compensation; and</w:t>
      </w:r>
    </w:p>
    <w:p>
      <w:pPr>
        <w:spacing w:after="0" w:line="26" w:lineRule="exact"/>
        <w:rPr>
          <w:rFonts w:ascii="Arial" w:cs="Arial" w:eastAsia="Arial" w:hAnsi="Arial"/>
          <w:sz w:val="13"/>
          <w:szCs w:val="13"/>
          <w:color w:val="355A89"/>
        </w:rPr>
      </w:pPr>
    </w:p>
    <w:p>
      <w:pPr>
        <w:ind w:left="260" w:right="100" w:hanging="252"/>
        <w:spacing w:after="0" w:line="258" w:lineRule="auto"/>
        <w:tabs>
          <w:tab w:leader="none" w:pos="260" w:val="left"/>
        </w:tabs>
        <w:numPr>
          <w:ilvl w:val="0"/>
          <w:numId w:val="20"/>
        </w:numPr>
        <w:rPr>
          <w:rFonts w:ascii="Arial" w:cs="Arial" w:eastAsia="Arial" w:hAnsi="Arial"/>
          <w:sz w:val="13"/>
          <w:szCs w:val="13"/>
          <w:color w:val="355A89"/>
        </w:rPr>
      </w:pPr>
      <w:r>
        <w:rPr>
          <w:rFonts w:ascii="Arial" w:cs="Arial" w:eastAsia="Arial" w:hAnsi="Arial"/>
          <w:sz w:val="13"/>
          <w:szCs w:val="13"/>
          <w:color w:val="auto"/>
        </w:rPr>
        <w:t>To ratify the appointment of Ernst &amp; Young LLP as our independent registered public accounting firm for the fiscal year ending December 31, 2021.</w:t>
      </w:r>
    </w:p>
    <w:p>
      <w:pPr>
        <w:spacing w:after="0" w:line="192"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In addition, stockholders may be asked to consider and vote upon any other matters that may properly be brought before the annual meeting and at any adjournments or postponements thereof.</w:t>
      </w:r>
    </w:p>
    <w:p>
      <w:pPr>
        <w:spacing w:after="0" w:line="198"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Any action may be taken on the foregoing matters at the annual meeting on the date specified above, or on any date or dates to which the annual meeting may be adjourned, or to which the annual meeting may be postponed.</w:t>
      </w:r>
    </w:p>
    <w:p>
      <w:pPr>
        <w:spacing w:after="0" w:line="198" w:lineRule="exact"/>
        <w:rPr>
          <w:sz w:val="20"/>
          <w:szCs w:val="20"/>
          <w:color w:val="auto"/>
        </w:rPr>
      </w:pPr>
    </w:p>
    <w:p>
      <w:pPr>
        <w:ind w:right="140"/>
        <w:spacing w:after="0" w:line="248" w:lineRule="auto"/>
        <w:rPr>
          <w:sz w:val="20"/>
          <w:szCs w:val="20"/>
          <w:color w:val="auto"/>
        </w:rPr>
      </w:pPr>
      <w:r>
        <w:rPr>
          <w:rFonts w:ascii="Arial" w:cs="Arial" w:eastAsia="Arial" w:hAnsi="Arial"/>
          <w:sz w:val="13"/>
          <w:szCs w:val="13"/>
          <w:color w:val="auto"/>
        </w:rPr>
        <w:t>The Board of Directors has fixed the close of business on March 31, 2021 as the record date for determining the stockholders entitled to notice of, and to vote at, the annual meeting and at any adjournments or postponements thereof.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31215"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121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Levine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27,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You may authorize your proxy via 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Visit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Scan this QR code to vote with your mobile device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Call 1-800-454-8683</w:t>
      </w:r>
    </w:p>
    <w:p>
      <w:pPr>
        <w:spacing w:after="0" w:line="217" w:lineRule="exact"/>
        <w:rPr>
          <w:sz w:val="20"/>
          <w:szCs w:val="20"/>
          <w:color w:val="auto"/>
        </w:rPr>
      </w:pPr>
    </w:p>
    <w:p>
      <w:pPr>
        <w:jc w:val="center"/>
        <w:ind w:right="200"/>
        <w:spacing w:after="0" w:line="249" w:lineRule="auto"/>
        <w:rPr>
          <w:sz w:val="20"/>
          <w:szCs w:val="20"/>
          <w:color w:val="auto"/>
        </w:rPr>
      </w:pPr>
      <w:r>
        <w:rPr>
          <w:rFonts w:ascii="Arial" w:cs="Arial" w:eastAsia="Arial" w:hAnsi="Arial"/>
          <w:sz w:val="18"/>
          <w:szCs w:val="18"/>
          <w:b w:val="1"/>
          <w:bCs w:val="1"/>
          <w:color w:val="355A89"/>
        </w:rPr>
        <w:t>Important Notice Regarding the Availability of Proxy Materials for the Stockholder Meeting to be Held on June 8, 2021.</w:t>
      </w:r>
    </w:p>
    <w:p>
      <w:pPr>
        <w:spacing w:after="0" w:line="17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355A89"/>
        </w:rPr>
        <w:t>This proxy statement and our 2020 Annual Report to</w:t>
      </w:r>
    </w:p>
    <w:p>
      <w:pPr>
        <w:spacing w:after="0" w:line="1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355A89"/>
        </w:rPr>
        <w:t>Stockholders are available at http://www.proxyvote.com</w:t>
      </w:r>
    </w:p>
    <w:p>
      <w:pPr>
        <w:spacing w:after="0" w:line="699" w:lineRule="exact"/>
        <w:rPr>
          <w:sz w:val="20"/>
          <w:szCs w:val="20"/>
          <w:color w:val="auto"/>
        </w:rPr>
      </w:pPr>
    </w:p>
    <w:p>
      <w:pPr>
        <w:sectPr>
          <w:pgSz w:w="11900" w:h="16838" w:orient="portrait"/>
          <w:cols w:equalWidth="0" w:num="2">
            <w:col w:w="5380" w:space="720"/>
            <w:col w:w="5140"/>
          </w:cols>
          <w:pgMar w:left="320" w:top="121" w:right="339" w:bottom="1440" w:gutter="0" w:footer="0" w:header="0"/>
          <w:type w:val="continuous"/>
        </w:sectPr>
      </w:pPr>
    </w:p>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i w:val="1"/>
          <w:iCs w:val="1"/>
          <w:color w:val="auto"/>
        </w:rPr>
        <w:t>Whether or not you plan to attend the annual meeting online,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virtual annual meeting, you may vote during the annual meeting if you wish, even if you previously have signed and returned your proxy card. Please note that if your shares are held of record by a bank, broker or other nominee, please follow the instructions you receive from your bank, broker or other nominee to have your shares voted.</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gridSpan w:val="28"/>
          </w:tcPr>
          <w:p>
            <w:pPr>
              <w:spacing w:after="0"/>
              <w:rPr>
                <w:rFonts w:ascii="Arial" w:cs="Arial" w:eastAsia="Arial" w:hAnsi="Arial"/>
                <w:sz w:val="18"/>
                <w:szCs w:val="18"/>
                <w:b w:val="1"/>
                <w:bCs w:val="1"/>
                <w:color w:val="355A89"/>
              </w:rPr>
            </w:pPr>
            <w:hyperlink w:anchor="page3">
              <w:r>
                <w:rPr>
                  <w:rFonts w:ascii="Arial" w:cs="Arial" w:eastAsia="Arial" w:hAnsi="Arial"/>
                  <w:sz w:val="18"/>
                  <w:szCs w:val="18"/>
                  <w:b w:val="1"/>
                  <w:bCs w:val="1"/>
                  <w:color w:val="355A89"/>
                </w:rPr>
                <w:t>2021 PROXY STATEMENT HIGHLIGHTS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46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100" w:type="dxa"/>
            <w:vAlign w:val="bottom"/>
            <w:tcBorders>
              <w:top w:val="single" w:sz="8" w:color="355A89"/>
              <w:bottom w:val="single" w:sz="8" w:color="8089AD"/>
            </w:tcBorders>
          </w:tcPr>
          <w:p>
            <w:pPr>
              <w:spacing w:after="0"/>
              <w:rPr>
                <w:sz w:val="5"/>
                <w:szCs w:val="5"/>
                <w:color w:val="auto"/>
              </w:rPr>
            </w:pPr>
          </w:p>
        </w:tc>
        <w:tc>
          <w:tcPr>
            <w:tcW w:w="240" w:type="dxa"/>
            <w:vAlign w:val="bottom"/>
            <w:tcBorders>
              <w:top w:val="single" w:sz="8" w:color="355A89"/>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860" w:type="dxa"/>
            <w:vAlign w:val="bottom"/>
            <w:tcBorders>
              <w:bottom w:val="single" w:sz="8" w:color="8089AD"/>
            </w:tcBorders>
          </w:tcPr>
          <w:p>
            <w:pPr>
              <w:spacing w:after="0"/>
              <w:rPr>
                <w:sz w:val="5"/>
                <w:szCs w:val="5"/>
                <w:color w:val="auto"/>
              </w:rPr>
            </w:pPr>
          </w:p>
        </w:tc>
        <w:tc>
          <w:tcPr>
            <w:tcW w:w="100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140" w:type="dxa"/>
            <w:vAlign w:val="bottom"/>
            <w:tcBorders>
              <w:bottom w:val="single" w:sz="8" w:color="8089AD"/>
            </w:tcBorders>
          </w:tcPr>
          <w:p>
            <w:pPr>
              <w:spacing w:after="0"/>
              <w:rPr>
                <w:sz w:val="5"/>
                <w:szCs w:val="5"/>
                <w:color w:val="auto"/>
              </w:rPr>
            </w:pPr>
          </w:p>
        </w:tc>
        <w:tc>
          <w:tcPr>
            <w:tcW w:w="22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10"/>
        </w:trPr>
        <w:tc>
          <w:tcPr>
            <w:tcW w:w="9320" w:type="dxa"/>
            <w:vAlign w:val="bottom"/>
            <w:gridSpan w:val="2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 Overview and Highlights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2</w:t>
              </w:r>
            </w:hyperlink>
          </w:p>
        </w:tc>
      </w:tr>
      <w:tr>
        <w:trPr>
          <w:trHeight w:val="277"/>
        </w:trPr>
        <w:tc>
          <w:tcPr>
            <w:tcW w:w="288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COVID-19 Response</w:t>
              </w:r>
            </w:hyperlink>
          </w:p>
        </w:tc>
        <w:tc>
          <w:tcPr>
            <w:tcW w:w="6440" w:type="dxa"/>
            <w:vAlign w:val="bottom"/>
            <w:gridSpan w:val="15"/>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3</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Building Protocols &amp; Enhancements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3</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5860" w:type="dxa"/>
            <w:vAlign w:val="bottom"/>
            <w:tcBorders>
              <w:bottom w:val="single" w:sz="8" w:color="0000EE"/>
            </w:tcBorders>
            <w:gridSpan w:val="24"/>
          </w:tcPr>
          <w:p>
            <w:pPr>
              <w:spacing w:after="0"/>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Shareholder-Friendly Corporate Governance &amp; Independent Oversight</w:t>
              </w:r>
            </w:hyperlink>
          </w:p>
        </w:tc>
        <w:tc>
          <w:tcPr>
            <w:tcW w:w="3460" w:type="dxa"/>
            <w:vAlign w:val="bottom"/>
            <w:gridSpan w:val="4"/>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8">
              <w:r>
                <w:rPr>
                  <w:rFonts w:ascii="Arial" w:cs="Arial" w:eastAsia="Arial" w:hAnsi="Arial"/>
                  <w:sz w:val="18"/>
                  <w:szCs w:val="18"/>
                  <w:b w:val="1"/>
                  <w:bCs w:val="1"/>
                  <w:color w:val="0000EE"/>
                  <w:w w:val="79"/>
                </w:rPr>
                <w:t>6</w:t>
              </w:r>
            </w:hyperlink>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Simplified Pay Elements with Continued Emphasis on At-Risk Compensation</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7</w:t>
              </w:r>
            </w:hyperlink>
          </w:p>
        </w:tc>
      </w:tr>
      <w:tr>
        <w:trPr>
          <w:trHeight w:val="277"/>
        </w:trPr>
        <w:tc>
          <w:tcPr>
            <w:tcW w:w="642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ESG Highlights</w:t>
              </w:r>
            </w:hyperlink>
          </w:p>
        </w:tc>
        <w:tc>
          <w:tcPr>
            <w:tcW w:w="2900" w:type="dxa"/>
            <w:vAlign w:val="bottom"/>
            <w:gridSpan w:val="3"/>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10">
              <w:r>
                <w:rPr>
                  <w:rFonts w:ascii="Arial" w:cs="Arial" w:eastAsia="Arial" w:hAnsi="Arial"/>
                  <w:sz w:val="18"/>
                  <w:szCs w:val="18"/>
                  <w:b w:val="1"/>
                  <w:bCs w:val="1"/>
                  <w:color w:val="0000EE"/>
                  <w:w w:val="79"/>
                </w:rPr>
                <w:t>8</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9320" w:type="dxa"/>
            <w:vAlign w:val="bottom"/>
            <w:gridSpan w:val="28"/>
          </w:tcPr>
          <w:p>
            <w:pPr>
              <w:spacing w:after="0"/>
              <w:rPr>
                <w:rFonts w:ascii="Arial" w:cs="Arial" w:eastAsia="Arial" w:hAnsi="Arial"/>
                <w:sz w:val="18"/>
                <w:szCs w:val="18"/>
                <w:b w:val="1"/>
                <w:bCs w:val="1"/>
                <w:color w:val="355A89"/>
              </w:rPr>
            </w:pPr>
            <w:hyperlink w:anchor="page11">
              <w:r>
                <w:rPr>
                  <w:rFonts w:ascii="Arial" w:cs="Arial" w:eastAsia="Arial" w:hAnsi="Arial"/>
                  <w:sz w:val="18"/>
                  <w:szCs w:val="18"/>
                  <w:b w:val="1"/>
                  <w:bCs w:val="1"/>
                  <w:color w:val="355A89"/>
                </w:rPr>
                <w:t>NOTICE OF VIRTUAL ANNUAL MEETING OF STOCKHOLDERS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9</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46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100" w:type="dxa"/>
            <w:vAlign w:val="bottom"/>
            <w:tcBorders>
              <w:top w:val="single" w:sz="8" w:color="355A89"/>
              <w:bottom w:val="single" w:sz="8" w:color="8089AD"/>
            </w:tcBorders>
          </w:tcPr>
          <w:p>
            <w:pPr>
              <w:spacing w:after="0"/>
              <w:rPr>
                <w:sz w:val="5"/>
                <w:szCs w:val="5"/>
                <w:color w:val="auto"/>
              </w:rPr>
            </w:pPr>
          </w:p>
        </w:tc>
        <w:tc>
          <w:tcPr>
            <w:tcW w:w="24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860" w:type="dxa"/>
            <w:vAlign w:val="bottom"/>
            <w:tcBorders>
              <w:top w:val="single" w:sz="8" w:color="355A89"/>
              <w:bottom w:val="single" w:sz="8" w:color="8089AD"/>
            </w:tcBorders>
          </w:tcPr>
          <w:p>
            <w:pPr>
              <w:spacing w:after="0"/>
              <w:rPr>
                <w:sz w:val="5"/>
                <w:szCs w:val="5"/>
                <w:color w:val="auto"/>
              </w:rPr>
            </w:pPr>
          </w:p>
        </w:tc>
        <w:tc>
          <w:tcPr>
            <w:tcW w:w="1000" w:type="dxa"/>
            <w:vAlign w:val="bottom"/>
            <w:tcBorders>
              <w:top w:val="single" w:sz="8" w:color="355A89"/>
              <w:bottom w:val="single" w:sz="8" w:color="8089AD"/>
            </w:tcBorders>
          </w:tcPr>
          <w:p>
            <w:pPr>
              <w:spacing w:after="0"/>
              <w:rPr>
                <w:sz w:val="5"/>
                <w:szCs w:val="5"/>
                <w:color w:val="auto"/>
              </w:rPr>
            </w:pPr>
          </w:p>
        </w:tc>
        <w:tc>
          <w:tcPr>
            <w:tcW w:w="20" w:type="dxa"/>
            <w:vAlign w:val="bottom"/>
            <w:tcBorders>
              <w:top w:val="single" w:sz="8" w:color="355A89"/>
              <w:bottom w:val="single" w:sz="8" w:color="8089AD"/>
            </w:tcBorders>
          </w:tcPr>
          <w:p>
            <w:pPr>
              <w:spacing w:after="0"/>
              <w:rPr>
                <w:sz w:val="5"/>
                <w:szCs w:val="5"/>
                <w:color w:val="auto"/>
              </w:rPr>
            </w:pPr>
          </w:p>
        </w:tc>
        <w:tc>
          <w:tcPr>
            <w:tcW w:w="140" w:type="dxa"/>
            <w:vAlign w:val="bottom"/>
            <w:tcBorders>
              <w:bottom w:val="single" w:sz="8" w:color="8089AD"/>
            </w:tcBorders>
          </w:tcPr>
          <w:p>
            <w:pPr>
              <w:spacing w:after="0"/>
              <w:rPr>
                <w:sz w:val="5"/>
                <w:szCs w:val="5"/>
                <w:color w:val="auto"/>
              </w:rPr>
            </w:pPr>
          </w:p>
        </w:tc>
        <w:tc>
          <w:tcPr>
            <w:tcW w:w="22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09"/>
        </w:trPr>
        <w:tc>
          <w:tcPr>
            <w:tcW w:w="9320" w:type="dxa"/>
            <w:vAlign w:val="bottom"/>
            <w:gridSpan w:val="28"/>
          </w:tcPr>
          <w:p>
            <w:pPr>
              <w:spacing w:after="0"/>
              <w:rPr>
                <w:rFonts w:ascii="Arial" w:cs="Arial" w:eastAsia="Arial" w:hAnsi="Arial"/>
                <w:sz w:val="18"/>
                <w:szCs w:val="18"/>
                <w:b w:val="1"/>
                <w:bCs w:val="1"/>
                <w:color w:val="355A89"/>
              </w:rPr>
            </w:pPr>
            <w:hyperlink w:anchor="page13">
              <w:r>
                <w:rPr>
                  <w:rFonts w:ascii="Arial" w:cs="Arial" w:eastAsia="Arial" w:hAnsi="Arial"/>
                  <w:sz w:val="18"/>
                  <w:szCs w:val="18"/>
                  <w:b w:val="1"/>
                  <w:bCs w:val="1"/>
                  <w:color w:val="355A89"/>
                </w:rPr>
                <w:t>OUR BOARD OF DIRECTORS AND CORPORATE GOVERNANCE</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11</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46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100" w:type="dxa"/>
            <w:vAlign w:val="bottom"/>
            <w:tcBorders>
              <w:top w:val="single" w:sz="8" w:color="355A89"/>
              <w:bottom w:val="single" w:sz="8" w:color="8089AD"/>
            </w:tcBorders>
          </w:tcPr>
          <w:p>
            <w:pPr>
              <w:spacing w:after="0"/>
              <w:rPr>
                <w:sz w:val="5"/>
                <w:szCs w:val="5"/>
                <w:color w:val="auto"/>
              </w:rPr>
            </w:pPr>
          </w:p>
        </w:tc>
        <w:tc>
          <w:tcPr>
            <w:tcW w:w="24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860" w:type="dxa"/>
            <w:vAlign w:val="bottom"/>
            <w:tcBorders>
              <w:top w:val="single" w:sz="8" w:color="355A89"/>
              <w:bottom w:val="single" w:sz="8" w:color="8089AD"/>
            </w:tcBorders>
          </w:tcPr>
          <w:p>
            <w:pPr>
              <w:spacing w:after="0"/>
              <w:rPr>
                <w:sz w:val="5"/>
                <w:szCs w:val="5"/>
                <w:color w:val="auto"/>
              </w:rPr>
            </w:pPr>
          </w:p>
        </w:tc>
        <w:tc>
          <w:tcPr>
            <w:tcW w:w="1000" w:type="dxa"/>
            <w:vAlign w:val="bottom"/>
            <w:tcBorders>
              <w:top w:val="single" w:sz="8" w:color="355A89"/>
              <w:bottom w:val="single" w:sz="8" w:color="8089AD"/>
            </w:tcBorders>
          </w:tcPr>
          <w:p>
            <w:pPr>
              <w:spacing w:after="0"/>
              <w:rPr>
                <w:sz w:val="5"/>
                <w:szCs w:val="5"/>
                <w:color w:val="auto"/>
              </w:rPr>
            </w:pPr>
          </w:p>
        </w:tc>
        <w:tc>
          <w:tcPr>
            <w:tcW w:w="2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2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09"/>
        </w:trPr>
        <w:tc>
          <w:tcPr>
            <w:tcW w:w="9320" w:type="dxa"/>
            <w:vAlign w:val="bottom"/>
            <w:gridSpan w:val="28"/>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 1: Election of Directors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11</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2940" w:type="dxa"/>
            <w:vAlign w:val="bottom"/>
            <w:tcBorders>
              <w:bottom w:val="single" w:sz="8" w:color="0000EE"/>
            </w:tcBorders>
            <w:gridSpan w:val="14"/>
          </w:tcPr>
          <w:p>
            <w:pPr>
              <w:spacing w:after="0"/>
              <w:rPr>
                <w:rFonts w:ascii="Arial" w:cs="Arial" w:eastAsia="Arial" w:hAnsi="Arial"/>
                <w:sz w:val="18"/>
                <w:szCs w:val="18"/>
                <w:b w:val="1"/>
                <w:bCs w:val="1"/>
                <w:color w:val="0000EE"/>
                <w:w w:val="97"/>
              </w:rPr>
            </w:pPr>
            <w:hyperlink w:anchor="page23">
              <w:r>
                <w:rPr>
                  <w:rFonts w:ascii="Arial" w:cs="Arial" w:eastAsia="Arial" w:hAnsi="Arial"/>
                  <w:sz w:val="18"/>
                  <w:szCs w:val="18"/>
                  <w:b w:val="1"/>
                  <w:bCs w:val="1"/>
                  <w:color w:val="0000EE"/>
                  <w:w w:val="97"/>
                </w:rPr>
                <w:t>Board Structure and Independence</w:t>
              </w:r>
            </w:hyperlink>
          </w:p>
        </w:tc>
        <w:tc>
          <w:tcPr>
            <w:tcW w:w="6380" w:type="dxa"/>
            <w:vAlign w:val="bottom"/>
            <w:gridSpan w:val="14"/>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21</w:t>
              </w:r>
            </w:hyperlink>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Board Committees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23</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Corporate Governance</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25</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Director Compensation</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30</w:t>
              </w:r>
            </w:hyperlink>
          </w:p>
        </w:tc>
      </w:tr>
      <w:tr>
        <w:trPr>
          <w:trHeight w:val="277"/>
        </w:trPr>
        <w:tc>
          <w:tcPr>
            <w:tcW w:w="15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Executive Officers</w:t>
              </w:r>
            </w:hyperlink>
          </w:p>
        </w:tc>
        <w:tc>
          <w:tcPr>
            <w:tcW w:w="380" w:type="dxa"/>
            <w:vAlign w:val="bottom"/>
            <w:tcBorders>
              <w:top w:val="single" w:sz="8" w:color="0000EE"/>
            </w:tcBorders>
            <w:gridSpan w:val="3"/>
          </w:tcPr>
          <w:p>
            <w:pPr>
              <w:spacing w:after="0"/>
              <w:rPr>
                <w:sz w:val="24"/>
                <w:szCs w:val="24"/>
                <w:color w:val="auto"/>
              </w:rPr>
            </w:pPr>
          </w:p>
        </w:tc>
        <w:tc>
          <w:tcPr>
            <w:tcW w:w="7380" w:type="dxa"/>
            <w:vAlign w:val="bottom"/>
            <w:gridSpan w:val="22"/>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33">
              <w:r>
                <w:rPr>
                  <w:rFonts w:ascii="Arial" w:cs="Arial" w:eastAsia="Arial" w:hAnsi="Arial"/>
                  <w:sz w:val="18"/>
                  <w:szCs w:val="18"/>
                  <w:b w:val="1"/>
                  <w:bCs w:val="1"/>
                  <w:color w:val="0000EE"/>
                  <w:w w:val="89"/>
                </w:rPr>
                <w:t>31</w:t>
              </w:r>
            </w:hyperlink>
          </w:p>
        </w:tc>
      </w:tr>
      <w:tr>
        <w:trPr>
          <w:trHeight w:val="277"/>
        </w:trPr>
        <w:tc>
          <w:tcPr>
            <w:tcW w:w="9320" w:type="dxa"/>
            <w:vAlign w:val="bottom"/>
            <w:gridSpan w:val="28"/>
          </w:tcPr>
          <w:p>
            <w:pPr>
              <w:spacing w:after="0"/>
              <w:rPr>
                <w:rFonts w:ascii="Arial" w:cs="Arial" w:eastAsia="Arial" w:hAnsi="Arial"/>
                <w:sz w:val="18"/>
                <w:szCs w:val="18"/>
                <w:b w:val="1"/>
                <w:bCs w:val="1"/>
                <w:color w:val="355A89"/>
              </w:rPr>
            </w:pPr>
            <w:hyperlink w:anchor="page34">
              <w:r>
                <w:rPr>
                  <w:rFonts w:ascii="Arial" w:cs="Arial" w:eastAsia="Arial" w:hAnsi="Arial"/>
                  <w:sz w:val="18"/>
                  <w:szCs w:val="18"/>
                  <w:b w:val="1"/>
                  <w:bCs w:val="1"/>
                  <w:color w:val="355A89"/>
                </w:rPr>
                <w:t>EXECUTIVE COMPENSATION</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32</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460" w:type="dxa"/>
            <w:vAlign w:val="bottom"/>
            <w:tcBorders>
              <w:top w:val="single" w:sz="8" w:color="355A89"/>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200" w:type="dxa"/>
            <w:vAlign w:val="bottom"/>
            <w:tcBorders>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80" w:type="dxa"/>
            <w:vAlign w:val="bottom"/>
            <w:tcBorders>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100" w:type="dxa"/>
            <w:vAlign w:val="bottom"/>
            <w:tcBorders>
              <w:bottom w:val="single" w:sz="8" w:color="8089AD"/>
            </w:tcBorders>
          </w:tcPr>
          <w:p>
            <w:pPr>
              <w:spacing w:after="0"/>
              <w:rPr>
                <w:sz w:val="5"/>
                <w:szCs w:val="5"/>
                <w:color w:val="auto"/>
              </w:rPr>
            </w:pPr>
          </w:p>
        </w:tc>
        <w:tc>
          <w:tcPr>
            <w:tcW w:w="240" w:type="dxa"/>
            <w:vAlign w:val="bottom"/>
            <w:tcBorders>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860" w:type="dxa"/>
            <w:vAlign w:val="bottom"/>
            <w:tcBorders>
              <w:bottom w:val="single" w:sz="8" w:color="8089AD"/>
            </w:tcBorders>
          </w:tcPr>
          <w:p>
            <w:pPr>
              <w:spacing w:after="0"/>
              <w:rPr>
                <w:sz w:val="5"/>
                <w:szCs w:val="5"/>
                <w:color w:val="auto"/>
              </w:rPr>
            </w:pPr>
          </w:p>
        </w:tc>
        <w:tc>
          <w:tcPr>
            <w:tcW w:w="100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140" w:type="dxa"/>
            <w:vAlign w:val="bottom"/>
            <w:tcBorders>
              <w:bottom w:val="single" w:sz="8" w:color="8089AD"/>
            </w:tcBorders>
          </w:tcPr>
          <w:p>
            <w:pPr>
              <w:spacing w:after="0"/>
              <w:rPr>
                <w:sz w:val="5"/>
                <w:szCs w:val="5"/>
                <w:color w:val="auto"/>
              </w:rPr>
            </w:pPr>
          </w:p>
        </w:tc>
        <w:tc>
          <w:tcPr>
            <w:tcW w:w="22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10"/>
        </w:trPr>
        <w:tc>
          <w:tcPr>
            <w:tcW w:w="9320" w:type="dxa"/>
            <w:vAlign w:val="bottom"/>
            <w:gridSpan w:val="2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Proposal 2: Advisory Vote on the Compensation of our Named Executive Officers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32</w:t>
              </w:r>
            </w:hyperlink>
          </w:p>
        </w:tc>
      </w:tr>
      <w:tr>
        <w:trPr>
          <w:trHeight w:val="277"/>
        </w:trPr>
        <w:tc>
          <w:tcPr>
            <w:tcW w:w="28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7"/>
              </w:rPr>
            </w:pPr>
            <w:hyperlink w:anchor="page34">
              <w:r>
                <w:rPr>
                  <w:rFonts w:ascii="Arial" w:cs="Arial" w:eastAsia="Arial" w:hAnsi="Arial"/>
                  <w:sz w:val="18"/>
                  <w:szCs w:val="18"/>
                  <w:b w:val="1"/>
                  <w:bCs w:val="1"/>
                  <w:color w:val="0000EE"/>
                  <w:w w:val="97"/>
                </w:rPr>
                <w:t>Compensation Committee Report</w:t>
              </w:r>
            </w:hyperlink>
          </w:p>
        </w:tc>
        <w:tc>
          <w:tcPr>
            <w:tcW w:w="3980" w:type="dxa"/>
            <w:vAlign w:val="bottom"/>
            <w:tcBorders>
              <w:top w:val="single" w:sz="8" w:color="0000EE"/>
            </w:tcBorders>
            <w:gridSpan w:val="14"/>
          </w:tcPr>
          <w:p>
            <w:pPr>
              <w:spacing w:after="0"/>
              <w:rPr>
                <w:sz w:val="24"/>
                <w:szCs w:val="24"/>
                <w:color w:val="auto"/>
              </w:rPr>
            </w:pPr>
          </w:p>
        </w:tc>
        <w:tc>
          <w:tcPr>
            <w:tcW w:w="254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32</w:t>
              </w:r>
            </w:hyperlink>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Compensation Discussion and Analysis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77"/>
        </w:trPr>
        <w:tc>
          <w:tcPr>
            <w:tcW w:w="334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Executive Compensation Tables</w:t>
              </w:r>
            </w:hyperlink>
          </w:p>
        </w:tc>
        <w:tc>
          <w:tcPr>
            <w:tcW w:w="5980" w:type="dxa"/>
            <w:vAlign w:val="bottom"/>
            <w:gridSpan w:val="11"/>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57">
              <w:r>
                <w:rPr>
                  <w:rFonts w:ascii="Arial" w:cs="Arial" w:eastAsia="Arial" w:hAnsi="Arial"/>
                  <w:sz w:val="18"/>
                  <w:szCs w:val="18"/>
                  <w:b w:val="1"/>
                  <w:bCs w:val="1"/>
                  <w:color w:val="0000EE"/>
                  <w:w w:val="89"/>
                </w:rPr>
                <w:t>55</w:t>
              </w:r>
            </w:hyperlink>
          </w:p>
        </w:tc>
      </w:tr>
      <w:tr>
        <w:trPr>
          <w:trHeight w:val="277"/>
        </w:trPr>
        <w:tc>
          <w:tcPr>
            <w:tcW w:w="2720" w:type="dxa"/>
            <w:vAlign w:val="bottom"/>
            <w:tcBorders>
              <w:top w:val="single" w:sz="8" w:color="0000EE"/>
            </w:tcBorders>
            <w:gridSpan w:val="10"/>
          </w:tcPr>
          <w:p>
            <w:pPr>
              <w:spacing w:after="0"/>
              <w:rPr>
                <w:rFonts w:ascii="Arial" w:cs="Arial" w:eastAsia="Arial" w:hAnsi="Arial"/>
                <w:sz w:val="18"/>
                <w:szCs w:val="18"/>
                <w:b w:val="1"/>
                <w:bCs w:val="1"/>
                <w:color w:val="355A89"/>
              </w:rPr>
            </w:pPr>
            <w:hyperlink w:anchor="page70">
              <w:r>
                <w:rPr>
                  <w:rFonts w:ascii="Arial" w:cs="Arial" w:eastAsia="Arial" w:hAnsi="Arial"/>
                  <w:sz w:val="18"/>
                  <w:szCs w:val="18"/>
                  <w:b w:val="1"/>
                  <w:bCs w:val="1"/>
                  <w:color w:val="355A89"/>
                </w:rPr>
                <w:t>AUDIT COMMITTEE MATTERS</w:t>
              </w:r>
            </w:hyperlink>
          </w:p>
        </w:tc>
        <w:tc>
          <w:tcPr>
            <w:tcW w:w="6600" w:type="dxa"/>
            <w:vAlign w:val="bottom"/>
            <w:gridSpan w:val="18"/>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70">
              <w:r>
                <w:rPr>
                  <w:rFonts w:ascii="Arial" w:cs="Arial" w:eastAsia="Arial" w:hAnsi="Arial"/>
                  <w:sz w:val="18"/>
                  <w:szCs w:val="18"/>
                  <w:b w:val="1"/>
                  <w:bCs w:val="1"/>
                  <w:color w:val="0000EE"/>
                  <w:w w:val="89"/>
                </w:rPr>
                <w:t>68</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46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200" w:type="dxa"/>
            <w:vAlign w:val="bottom"/>
            <w:tcBorders>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80" w:type="dxa"/>
            <w:vAlign w:val="bottom"/>
            <w:tcBorders>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100" w:type="dxa"/>
            <w:vAlign w:val="bottom"/>
            <w:tcBorders>
              <w:bottom w:val="single" w:sz="8" w:color="8089AD"/>
            </w:tcBorders>
          </w:tcPr>
          <w:p>
            <w:pPr>
              <w:spacing w:after="0"/>
              <w:rPr>
                <w:sz w:val="5"/>
                <w:szCs w:val="5"/>
                <w:color w:val="auto"/>
              </w:rPr>
            </w:pPr>
          </w:p>
        </w:tc>
        <w:tc>
          <w:tcPr>
            <w:tcW w:w="240" w:type="dxa"/>
            <w:vAlign w:val="bottom"/>
            <w:tcBorders>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860" w:type="dxa"/>
            <w:vAlign w:val="bottom"/>
            <w:tcBorders>
              <w:bottom w:val="single" w:sz="8" w:color="8089AD"/>
            </w:tcBorders>
          </w:tcPr>
          <w:p>
            <w:pPr>
              <w:spacing w:after="0"/>
              <w:rPr>
                <w:sz w:val="5"/>
                <w:szCs w:val="5"/>
                <w:color w:val="auto"/>
              </w:rPr>
            </w:pPr>
          </w:p>
        </w:tc>
        <w:tc>
          <w:tcPr>
            <w:tcW w:w="100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140" w:type="dxa"/>
            <w:vAlign w:val="bottom"/>
            <w:tcBorders>
              <w:bottom w:val="single" w:sz="8" w:color="8089AD"/>
            </w:tcBorders>
          </w:tcPr>
          <w:p>
            <w:pPr>
              <w:spacing w:after="0"/>
              <w:rPr>
                <w:sz w:val="5"/>
                <w:szCs w:val="5"/>
                <w:color w:val="auto"/>
              </w:rPr>
            </w:pPr>
          </w:p>
        </w:tc>
        <w:tc>
          <w:tcPr>
            <w:tcW w:w="22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10"/>
        </w:trPr>
        <w:tc>
          <w:tcPr>
            <w:tcW w:w="7600" w:type="dxa"/>
            <w:vAlign w:val="bottom"/>
            <w:tcBorders>
              <w:bottom w:val="single" w:sz="8" w:color="0000EE"/>
            </w:tcBorders>
            <w:gridSpan w:val="27"/>
          </w:tcPr>
          <w:p>
            <w:pPr>
              <w:spacing w:after="0"/>
              <w:rPr>
                <w:rFonts w:ascii="Arial" w:cs="Arial" w:eastAsia="Arial" w:hAnsi="Arial"/>
                <w:sz w:val="18"/>
                <w:szCs w:val="18"/>
                <w:b w:val="1"/>
                <w:bCs w:val="1"/>
                <w:color w:val="0000EE"/>
                <w:w w:val="97"/>
              </w:rPr>
            </w:pPr>
            <w:hyperlink w:anchor="page70">
              <w:r>
                <w:rPr>
                  <w:rFonts w:ascii="Arial" w:cs="Arial" w:eastAsia="Arial" w:hAnsi="Arial"/>
                  <w:sz w:val="18"/>
                  <w:szCs w:val="18"/>
                  <w:b w:val="1"/>
                  <w:bCs w:val="1"/>
                  <w:color w:val="0000EE"/>
                  <w:w w:val="97"/>
                </w:rPr>
                <w:t>Proposal 3: Ratification of Appointment of Independent Registered Public Accounting Firm</w:t>
              </w:r>
            </w:hyperlink>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70">
              <w:r>
                <w:rPr>
                  <w:rFonts w:ascii="Arial" w:cs="Arial" w:eastAsia="Arial" w:hAnsi="Arial"/>
                  <w:sz w:val="18"/>
                  <w:szCs w:val="18"/>
                  <w:b w:val="1"/>
                  <w:bCs w:val="1"/>
                  <w:color w:val="0000EE"/>
                  <w:w w:val="89"/>
                </w:rPr>
                <w:t>68</w:t>
              </w:r>
            </w:hyperlink>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Audit Committee Report</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68</w:t>
              </w:r>
            </w:hyperlink>
          </w:p>
        </w:tc>
      </w:tr>
      <w:tr>
        <w:trPr>
          <w:trHeight w:val="277"/>
        </w:trPr>
        <w:tc>
          <w:tcPr>
            <w:tcW w:w="12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6"/>
              </w:rPr>
            </w:pPr>
            <w:hyperlink w:anchor="page71">
              <w:r>
                <w:rPr>
                  <w:rFonts w:ascii="Arial" w:cs="Arial" w:eastAsia="Arial" w:hAnsi="Arial"/>
                  <w:sz w:val="18"/>
                  <w:szCs w:val="18"/>
                  <w:b w:val="1"/>
                  <w:bCs w:val="1"/>
                  <w:color w:val="0000EE"/>
                  <w:w w:val="96"/>
                </w:rPr>
                <w:t>Fee Disclosure</w:t>
              </w:r>
            </w:hyperlink>
          </w:p>
        </w:tc>
        <w:tc>
          <w:tcPr>
            <w:tcW w:w="740" w:type="dxa"/>
            <w:vAlign w:val="bottom"/>
            <w:tcBorders>
              <w:top w:val="single" w:sz="8" w:color="0000EE"/>
            </w:tcBorders>
            <w:gridSpan w:val="5"/>
          </w:tcPr>
          <w:p>
            <w:pPr>
              <w:spacing w:after="0"/>
              <w:rPr>
                <w:sz w:val="24"/>
                <w:szCs w:val="24"/>
                <w:color w:val="auto"/>
              </w:rPr>
            </w:pPr>
          </w:p>
        </w:tc>
        <w:tc>
          <w:tcPr>
            <w:tcW w:w="7300" w:type="dxa"/>
            <w:vAlign w:val="bottom"/>
            <w:gridSpan w:val="21"/>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89"/>
              </w:rPr>
            </w:pPr>
            <w:hyperlink w:anchor="page71">
              <w:r>
                <w:rPr>
                  <w:rFonts w:ascii="Arial" w:cs="Arial" w:eastAsia="Arial" w:hAnsi="Arial"/>
                  <w:sz w:val="18"/>
                  <w:szCs w:val="18"/>
                  <w:b w:val="1"/>
                  <w:bCs w:val="1"/>
                  <w:color w:val="0000EE"/>
                  <w:w w:val="89"/>
                </w:rPr>
                <w:t>69</w:t>
              </w:r>
            </w:hyperlink>
          </w:p>
        </w:tc>
      </w:tr>
      <w:tr>
        <w:trPr>
          <w:trHeight w:val="277"/>
        </w:trPr>
        <w:tc>
          <w:tcPr>
            <w:tcW w:w="5200" w:type="dxa"/>
            <w:vAlign w:val="bottom"/>
            <w:tcBorders>
              <w:bottom w:val="single" w:sz="8" w:color="0000EE"/>
            </w:tcBorders>
            <w:gridSpan w:val="19"/>
          </w:tcPr>
          <w:p>
            <w:pPr>
              <w:spacing w:after="0"/>
              <w:rPr>
                <w:rFonts w:ascii="Arial" w:cs="Arial" w:eastAsia="Arial" w:hAnsi="Arial"/>
                <w:sz w:val="18"/>
                <w:szCs w:val="18"/>
                <w:b w:val="1"/>
                <w:bCs w:val="1"/>
                <w:color w:val="0000EE"/>
                <w:w w:val="97"/>
              </w:rPr>
            </w:pPr>
            <w:hyperlink w:anchor="page71">
              <w:r>
                <w:rPr>
                  <w:rFonts w:ascii="Arial" w:cs="Arial" w:eastAsia="Arial" w:hAnsi="Arial"/>
                  <w:sz w:val="18"/>
                  <w:szCs w:val="18"/>
                  <w:b w:val="1"/>
                  <w:bCs w:val="1"/>
                  <w:color w:val="0000EE"/>
                  <w:w w:val="97"/>
                </w:rPr>
                <w:t>Pre-Approval Policies and Procedures of our Audit Committee</w:t>
              </w:r>
            </w:hyperlink>
          </w:p>
        </w:tc>
        <w:tc>
          <w:tcPr>
            <w:tcW w:w="4120" w:type="dxa"/>
            <w:vAlign w:val="bottom"/>
            <w:gridSpan w:val="9"/>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71">
              <w:r>
                <w:rPr>
                  <w:rFonts w:ascii="Arial" w:cs="Arial" w:eastAsia="Arial" w:hAnsi="Arial"/>
                  <w:sz w:val="18"/>
                  <w:szCs w:val="18"/>
                  <w:b w:val="1"/>
                  <w:bCs w:val="1"/>
                  <w:color w:val="0000EE"/>
                  <w:w w:val="89"/>
                </w:rPr>
                <w:t>69</w:t>
              </w:r>
            </w:hyperlink>
          </w:p>
        </w:tc>
      </w:tr>
      <w:tr>
        <w:trPr>
          <w:trHeight w:val="277"/>
        </w:trPr>
        <w:tc>
          <w:tcPr>
            <w:tcW w:w="9320" w:type="dxa"/>
            <w:vAlign w:val="bottom"/>
            <w:gridSpan w:val="28"/>
          </w:tcPr>
          <w:p>
            <w:pPr>
              <w:spacing w:after="0"/>
              <w:rPr>
                <w:rFonts w:ascii="Arial" w:cs="Arial" w:eastAsia="Arial" w:hAnsi="Arial"/>
                <w:sz w:val="18"/>
                <w:szCs w:val="18"/>
                <w:b w:val="1"/>
                <w:bCs w:val="1"/>
                <w:color w:val="355A89"/>
              </w:rPr>
            </w:pPr>
            <w:hyperlink w:anchor="page72">
              <w:r>
                <w:rPr>
                  <w:rFonts w:ascii="Arial" w:cs="Arial" w:eastAsia="Arial" w:hAnsi="Arial"/>
                  <w:sz w:val="18"/>
                  <w:szCs w:val="18"/>
                  <w:b w:val="1"/>
                  <w:bCs w:val="1"/>
                  <w:color w:val="355A89"/>
                </w:rPr>
                <w:t>STOCK OWNERSHIP INFORMATION</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70</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46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100" w:type="dxa"/>
            <w:vAlign w:val="bottom"/>
            <w:tcBorders>
              <w:top w:val="single" w:sz="8" w:color="355A89"/>
              <w:bottom w:val="single" w:sz="8" w:color="8089AD"/>
            </w:tcBorders>
          </w:tcPr>
          <w:p>
            <w:pPr>
              <w:spacing w:after="0"/>
              <w:rPr>
                <w:sz w:val="5"/>
                <w:szCs w:val="5"/>
                <w:color w:val="auto"/>
              </w:rPr>
            </w:pPr>
          </w:p>
        </w:tc>
        <w:tc>
          <w:tcPr>
            <w:tcW w:w="240" w:type="dxa"/>
            <w:vAlign w:val="bottom"/>
            <w:tcBorders>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860" w:type="dxa"/>
            <w:vAlign w:val="bottom"/>
            <w:tcBorders>
              <w:bottom w:val="single" w:sz="8" w:color="8089AD"/>
            </w:tcBorders>
          </w:tcPr>
          <w:p>
            <w:pPr>
              <w:spacing w:after="0"/>
              <w:rPr>
                <w:sz w:val="5"/>
                <w:szCs w:val="5"/>
                <w:color w:val="auto"/>
              </w:rPr>
            </w:pPr>
          </w:p>
        </w:tc>
        <w:tc>
          <w:tcPr>
            <w:tcW w:w="100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140" w:type="dxa"/>
            <w:vAlign w:val="bottom"/>
            <w:tcBorders>
              <w:bottom w:val="single" w:sz="8" w:color="8089AD"/>
            </w:tcBorders>
          </w:tcPr>
          <w:p>
            <w:pPr>
              <w:spacing w:after="0"/>
              <w:rPr>
                <w:sz w:val="5"/>
                <w:szCs w:val="5"/>
                <w:color w:val="auto"/>
              </w:rPr>
            </w:pPr>
          </w:p>
        </w:tc>
        <w:tc>
          <w:tcPr>
            <w:tcW w:w="22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10"/>
        </w:trPr>
        <w:tc>
          <w:tcPr>
            <w:tcW w:w="5580" w:type="dxa"/>
            <w:vAlign w:val="bottom"/>
            <w:tcBorders>
              <w:bottom w:val="single" w:sz="8" w:color="0000EE"/>
            </w:tcBorders>
            <w:gridSpan w:val="22"/>
          </w:tcPr>
          <w:p>
            <w:pPr>
              <w:spacing w:after="0"/>
              <w:rPr>
                <w:rFonts w:ascii="Arial" w:cs="Arial" w:eastAsia="Arial" w:hAnsi="Arial"/>
                <w:sz w:val="18"/>
                <w:szCs w:val="18"/>
                <w:b w:val="1"/>
                <w:bCs w:val="1"/>
                <w:color w:val="0000EE"/>
                <w:w w:val="97"/>
              </w:rPr>
            </w:pPr>
            <w:hyperlink w:anchor="page72">
              <w:r>
                <w:rPr>
                  <w:rFonts w:ascii="Arial" w:cs="Arial" w:eastAsia="Arial" w:hAnsi="Arial"/>
                  <w:sz w:val="18"/>
                  <w:szCs w:val="18"/>
                  <w:b w:val="1"/>
                  <w:bCs w:val="1"/>
                  <w:color w:val="0000EE"/>
                  <w:w w:val="97"/>
                </w:rPr>
                <w:t>Security Ownership of Certain Beneficial Owners and Management</w:t>
              </w:r>
            </w:hyperlink>
          </w:p>
        </w:tc>
        <w:tc>
          <w:tcPr>
            <w:tcW w:w="3740" w:type="dxa"/>
            <w:vAlign w:val="bottom"/>
            <w:gridSpan w:val="6"/>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9"/>
              </w:rPr>
            </w:pPr>
            <w:hyperlink w:anchor="page72">
              <w:r>
                <w:rPr>
                  <w:rFonts w:ascii="Arial" w:cs="Arial" w:eastAsia="Arial" w:hAnsi="Arial"/>
                  <w:sz w:val="18"/>
                  <w:szCs w:val="18"/>
                  <w:b w:val="1"/>
                  <w:bCs w:val="1"/>
                  <w:color w:val="0000EE"/>
                  <w:w w:val="89"/>
                </w:rPr>
                <w:t>70</w:t>
              </w:r>
            </w:hyperlink>
          </w:p>
        </w:tc>
      </w:tr>
      <w:tr>
        <w:trPr>
          <w:trHeight w:val="277"/>
        </w:trPr>
        <w:tc>
          <w:tcPr>
            <w:tcW w:w="9320" w:type="dxa"/>
            <w:vAlign w:val="bottom"/>
            <w:gridSpan w:val="2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Delinquent Section 16(a) Reports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72</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77"/>
        </w:trPr>
        <w:tc>
          <w:tcPr>
            <w:tcW w:w="9320" w:type="dxa"/>
            <w:vAlign w:val="bottom"/>
            <w:gridSpan w:val="28"/>
          </w:tcPr>
          <w:p>
            <w:pPr>
              <w:spacing w:after="0"/>
              <w:rPr>
                <w:rFonts w:ascii="Arial" w:cs="Arial" w:eastAsia="Arial" w:hAnsi="Arial"/>
                <w:sz w:val="18"/>
                <w:szCs w:val="18"/>
                <w:b w:val="1"/>
                <w:bCs w:val="1"/>
                <w:color w:val="355A89"/>
              </w:rPr>
            </w:pPr>
            <w:hyperlink w:anchor="page75">
              <w:r>
                <w:rPr>
                  <w:rFonts w:ascii="Arial" w:cs="Arial" w:eastAsia="Arial" w:hAnsi="Arial"/>
                  <w:sz w:val="18"/>
                  <w:szCs w:val="18"/>
                  <w:b w:val="1"/>
                  <w:bCs w:val="1"/>
                  <w:color w:val="355A89"/>
                </w:rPr>
                <w:t>CERTAIN RELATIONSHIPS AND RELATED PARTY TRANSACTIONS</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73</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46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40" w:type="dxa"/>
            <w:vAlign w:val="bottom"/>
            <w:tcBorders>
              <w:top w:val="single" w:sz="8" w:color="355A89"/>
              <w:bottom w:val="single" w:sz="8" w:color="8089AD"/>
            </w:tcBorders>
          </w:tcPr>
          <w:p>
            <w:pPr>
              <w:spacing w:after="0"/>
              <w:rPr>
                <w:sz w:val="5"/>
                <w:szCs w:val="5"/>
                <w:color w:val="auto"/>
              </w:rPr>
            </w:pPr>
          </w:p>
        </w:tc>
        <w:tc>
          <w:tcPr>
            <w:tcW w:w="8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100" w:type="dxa"/>
            <w:vAlign w:val="bottom"/>
            <w:tcBorders>
              <w:top w:val="single" w:sz="8" w:color="355A89"/>
              <w:bottom w:val="single" w:sz="8" w:color="8089AD"/>
            </w:tcBorders>
          </w:tcPr>
          <w:p>
            <w:pPr>
              <w:spacing w:after="0"/>
              <w:rPr>
                <w:sz w:val="5"/>
                <w:szCs w:val="5"/>
                <w:color w:val="auto"/>
              </w:rPr>
            </w:pPr>
          </w:p>
        </w:tc>
        <w:tc>
          <w:tcPr>
            <w:tcW w:w="240" w:type="dxa"/>
            <w:vAlign w:val="bottom"/>
            <w:tcBorders>
              <w:top w:val="single" w:sz="8" w:color="355A89"/>
              <w:bottom w:val="single" w:sz="8" w:color="8089AD"/>
            </w:tcBorders>
          </w:tcPr>
          <w:p>
            <w:pPr>
              <w:spacing w:after="0"/>
              <w:rPr>
                <w:sz w:val="5"/>
                <w:szCs w:val="5"/>
                <w:color w:val="auto"/>
              </w:rPr>
            </w:pPr>
          </w:p>
        </w:tc>
        <w:tc>
          <w:tcPr>
            <w:tcW w:w="60" w:type="dxa"/>
            <w:vAlign w:val="bottom"/>
            <w:tcBorders>
              <w:top w:val="single" w:sz="8" w:color="355A89"/>
              <w:bottom w:val="single" w:sz="8" w:color="8089AD"/>
            </w:tcBorders>
          </w:tcPr>
          <w:p>
            <w:pPr>
              <w:spacing w:after="0"/>
              <w:rPr>
                <w:sz w:val="5"/>
                <w:szCs w:val="5"/>
                <w:color w:val="auto"/>
              </w:rPr>
            </w:pPr>
          </w:p>
        </w:tc>
        <w:tc>
          <w:tcPr>
            <w:tcW w:w="860" w:type="dxa"/>
            <w:vAlign w:val="bottom"/>
            <w:tcBorders>
              <w:top w:val="single" w:sz="8" w:color="355A89"/>
              <w:bottom w:val="single" w:sz="8" w:color="8089AD"/>
            </w:tcBorders>
          </w:tcPr>
          <w:p>
            <w:pPr>
              <w:spacing w:after="0"/>
              <w:rPr>
                <w:sz w:val="5"/>
                <w:szCs w:val="5"/>
                <w:color w:val="auto"/>
              </w:rPr>
            </w:pPr>
          </w:p>
        </w:tc>
        <w:tc>
          <w:tcPr>
            <w:tcW w:w="1000" w:type="dxa"/>
            <w:vAlign w:val="bottom"/>
            <w:tcBorders>
              <w:top w:val="single" w:sz="8" w:color="355A89"/>
              <w:bottom w:val="single" w:sz="8" w:color="8089AD"/>
            </w:tcBorders>
          </w:tcPr>
          <w:p>
            <w:pPr>
              <w:spacing w:after="0"/>
              <w:rPr>
                <w:sz w:val="5"/>
                <w:szCs w:val="5"/>
                <w:color w:val="auto"/>
              </w:rPr>
            </w:pPr>
          </w:p>
        </w:tc>
        <w:tc>
          <w:tcPr>
            <w:tcW w:w="2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20" w:type="dxa"/>
            <w:vAlign w:val="bottom"/>
            <w:tcBorders>
              <w:top w:val="single" w:sz="8" w:color="355A89"/>
              <w:bottom w:val="single" w:sz="8" w:color="8089AD"/>
            </w:tcBorders>
          </w:tcPr>
          <w:p>
            <w:pPr>
              <w:spacing w:after="0"/>
              <w:rPr>
                <w:sz w:val="5"/>
                <w:szCs w:val="5"/>
                <w:color w:val="auto"/>
              </w:rPr>
            </w:pPr>
          </w:p>
        </w:tc>
        <w:tc>
          <w:tcPr>
            <w:tcW w:w="20" w:type="dxa"/>
            <w:vAlign w:val="bottom"/>
            <w:tcBorders>
              <w:top w:val="single" w:sz="8" w:color="355A89"/>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10"/>
        </w:trPr>
        <w:tc>
          <w:tcPr>
            <w:tcW w:w="9320" w:type="dxa"/>
            <w:vAlign w:val="bottom"/>
            <w:gridSpan w:val="28"/>
          </w:tcPr>
          <w:p>
            <w:pPr>
              <w:spacing w:after="0"/>
              <w:rPr>
                <w:rFonts w:ascii="Arial" w:cs="Arial" w:eastAsia="Arial" w:hAnsi="Arial"/>
                <w:sz w:val="18"/>
                <w:szCs w:val="18"/>
                <w:b w:val="1"/>
                <w:bCs w:val="1"/>
                <w:color w:val="355A89"/>
              </w:rPr>
            </w:pPr>
            <w:hyperlink w:anchor="page77">
              <w:r>
                <w:rPr>
                  <w:rFonts w:ascii="Arial" w:cs="Arial" w:eastAsia="Arial" w:hAnsi="Arial"/>
                  <w:sz w:val="18"/>
                  <w:szCs w:val="18"/>
                  <w:b w:val="1"/>
                  <w:bCs w:val="1"/>
                  <w:color w:val="355A89"/>
                </w:rPr>
                <w:t>OTHER INFORMATION</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75</w:t>
              </w:r>
            </w:hyperlink>
          </w:p>
        </w:tc>
      </w:tr>
      <w:tr>
        <w:trPr>
          <w:trHeight w:val="61"/>
        </w:trPr>
        <w:tc>
          <w:tcPr>
            <w:tcW w:w="114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80" w:type="dxa"/>
            <w:vAlign w:val="bottom"/>
            <w:tcBorders>
              <w:top w:val="single" w:sz="8" w:color="355A89"/>
              <w:bottom w:val="single" w:sz="8" w:color="8089AD"/>
            </w:tcBorders>
          </w:tcPr>
          <w:p>
            <w:pPr>
              <w:spacing w:after="0"/>
              <w:rPr>
                <w:sz w:val="5"/>
                <w:szCs w:val="5"/>
                <w:color w:val="auto"/>
              </w:rPr>
            </w:pPr>
          </w:p>
        </w:tc>
        <w:tc>
          <w:tcPr>
            <w:tcW w:w="140" w:type="dxa"/>
            <w:vAlign w:val="bottom"/>
            <w:tcBorders>
              <w:top w:val="single" w:sz="8" w:color="355A89"/>
              <w:bottom w:val="single" w:sz="8" w:color="8089AD"/>
            </w:tcBorders>
          </w:tcPr>
          <w:p>
            <w:pPr>
              <w:spacing w:after="0"/>
              <w:rPr>
                <w:sz w:val="5"/>
                <w:szCs w:val="5"/>
                <w:color w:val="auto"/>
              </w:rPr>
            </w:pPr>
          </w:p>
        </w:tc>
        <w:tc>
          <w:tcPr>
            <w:tcW w:w="200" w:type="dxa"/>
            <w:vAlign w:val="bottom"/>
            <w:tcBorders>
              <w:top w:val="single" w:sz="8" w:color="355A89"/>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80" w:type="dxa"/>
            <w:vAlign w:val="bottom"/>
            <w:tcBorders>
              <w:bottom w:val="single" w:sz="8" w:color="8089AD"/>
            </w:tcBorders>
          </w:tcPr>
          <w:p>
            <w:pPr>
              <w:spacing w:after="0"/>
              <w:rPr>
                <w:sz w:val="5"/>
                <w:szCs w:val="5"/>
                <w:color w:val="auto"/>
              </w:rPr>
            </w:pPr>
          </w:p>
        </w:tc>
        <w:tc>
          <w:tcPr>
            <w:tcW w:w="460" w:type="dxa"/>
            <w:vAlign w:val="bottom"/>
            <w:tcBorders>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200" w:type="dxa"/>
            <w:vAlign w:val="bottom"/>
            <w:tcBorders>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40" w:type="dxa"/>
            <w:vAlign w:val="bottom"/>
            <w:tcBorders>
              <w:bottom w:val="single" w:sz="8" w:color="8089AD"/>
            </w:tcBorders>
          </w:tcPr>
          <w:p>
            <w:pPr>
              <w:spacing w:after="0"/>
              <w:rPr>
                <w:sz w:val="5"/>
                <w:szCs w:val="5"/>
                <w:color w:val="auto"/>
              </w:rPr>
            </w:pPr>
          </w:p>
        </w:tc>
        <w:tc>
          <w:tcPr>
            <w:tcW w:w="80" w:type="dxa"/>
            <w:vAlign w:val="bottom"/>
            <w:tcBorders>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100" w:type="dxa"/>
            <w:vAlign w:val="bottom"/>
            <w:tcBorders>
              <w:bottom w:val="single" w:sz="8" w:color="8089AD"/>
            </w:tcBorders>
          </w:tcPr>
          <w:p>
            <w:pPr>
              <w:spacing w:after="0"/>
              <w:rPr>
                <w:sz w:val="5"/>
                <w:szCs w:val="5"/>
                <w:color w:val="auto"/>
              </w:rPr>
            </w:pPr>
          </w:p>
        </w:tc>
        <w:tc>
          <w:tcPr>
            <w:tcW w:w="240" w:type="dxa"/>
            <w:vAlign w:val="bottom"/>
            <w:tcBorders>
              <w:bottom w:val="single" w:sz="8" w:color="8089AD"/>
            </w:tcBorders>
          </w:tcPr>
          <w:p>
            <w:pPr>
              <w:spacing w:after="0"/>
              <w:rPr>
                <w:sz w:val="5"/>
                <w:szCs w:val="5"/>
                <w:color w:val="auto"/>
              </w:rPr>
            </w:pPr>
          </w:p>
        </w:tc>
        <w:tc>
          <w:tcPr>
            <w:tcW w:w="60" w:type="dxa"/>
            <w:vAlign w:val="bottom"/>
            <w:tcBorders>
              <w:bottom w:val="single" w:sz="8" w:color="8089AD"/>
            </w:tcBorders>
          </w:tcPr>
          <w:p>
            <w:pPr>
              <w:spacing w:after="0"/>
              <w:rPr>
                <w:sz w:val="5"/>
                <w:szCs w:val="5"/>
                <w:color w:val="auto"/>
              </w:rPr>
            </w:pPr>
          </w:p>
        </w:tc>
        <w:tc>
          <w:tcPr>
            <w:tcW w:w="860" w:type="dxa"/>
            <w:vAlign w:val="bottom"/>
            <w:tcBorders>
              <w:bottom w:val="single" w:sz="8" w:color="8089AD"/>
            </w:tcBorders>
          </w:tcPr>
          <w:p>
            <w:pPr>
              <w:spacing w:after="0"/>
              <w:rPr>
                <w:sz w:val="5"/>
                <w:szCs w:val="5"/>
                <w:color w:val="auto"/>
              </w:rPr>
            </w:pPr>
          </w:p>
        </w:tc>
        <w:tc>
          <w:tcPr>
            <w:tcW w:w="100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140" w:type="dxa"/>
            <w:vAlign w:val="bottom"/>
            <w:tcBorders>
              <w:bottom w:val="single" w:sz="8" w:color="8089AD"/>
            </w:tcBorders>
          </w:tcPr>
          <w:p>
            <w:pPr>
              <w:spacing w:after="0"/>
              <w:rPr>
                <w:sz w:val="5"/>
                <w:szCs w:val="5"/>
                <w:color w:val="auto"/>
              </w:rPr>
            </w:pPr>
          </w:p>
        </w:tc>
        <w:tc>
          <w:tcPr>
            <w:tcW w:w="220" w:type="dxa"/>
            <w:vAlign w:val="bottom"/>
            <w:tcBorders>
              <w:bottom w:val="single" w:sz="8" w:color="8089AD"/>
            </w:tcBorders>
          </w:tcPr>
          <w:p>
            <w:pPr>
              <w:spacing w:after="0"/>
              <w:rPr>
                <w:sz w:val="5"/>
                <w:szCs w:val="5"/>
                <w:color w:val="auto"/>
              </w:rPr>
            </w:pPr>
          </w:p>
        </w:tc>
        <w:tc>
          <w:tcPr>
            <w:tcW w:w="20" w:type="dxa"/>
            <w:vAlign w:val="bottom"/>
            <w:tcBorders>
              <w:bottom w:val="single" w:sz="8" w:color="8089AD"/>
            </w:tcBorders>
          </w:tcPr>
          <w:p>
            <w:pPr>
              <w:spacing w:after="0"/>
              <w:rPr>
                <w:sz w:val="5"/>
                <w:szCs w:val="5"/>
                <w:color w:val="auto"/>
              </w:rPr>
            </w:pPr>
          </w:p>
        </w:tc>
        <w:tc>
          <w:tcPr>
            <w:tcW w:w="260" w:type="dxa"/>
            <w:vAlign w:val="bottom"/>
            <w:tcBorders>
              <w:bottom w:val="single" w:sz="8" w:color="8089AD"/>
            </w:tcBorders>
          </w:tcPr>
          <w:p>
            <w:pPr>
              <w:spacing w:after="0"/>
              <w:rPr>
                <w:sz w:val="5"/>
                <w:szCs w:val="5"/>
                <w:color w:val="auto"/>
              </w:rPr>
            </w:pPr>
          </w:p>
        </w:tc>
        <w:tc>
          <w:tcPr>
            <w:tcW w:w="560" w:type="dxa"/>
            <w:vAlign w:val="bottom"/>
            <w:tcBorders>
              <w:bottom w:val="single" w:sz="8" w:color="8089AD"/>
            </w:tcBorders>
          </w:tcPr>
          <w:p>
            <w:pPr>
              <w:spacing w:after="0"/>
              <w:rPr>
                <w:sz w:val="5"/>
                <w:szCs w:val="5"/>
                <w:color w:val="auto"/>
              </w:rPr>
            </w:pPr>
          </w:p>
        </w:tc>
        <w:tc>
          <w:tcPr>
            <w:tcW w:w="360" w:type="dxa"/>
            <w:vAlign w:val="bottom"/>
            <w:tcBorders>
              <w:bottom w:val="single" w:sz="8" w:color="8089AD"/>
            </w:tcBorders>
          </w:tcPr>
          <w:p>
            <w:pPr>
              <w:spacing w:after="0"/>
              <w:rPr>
                <w:sz w:val="5"/>
                <w:szCs w:val="5"/>
                <w:color w:val="auto"/>
              </w:rPr>
            </w:pPr>
          </w:p>
        </w:tc>
        <w:tc>
          <w:tcPr>
            <w:tcW w:w="8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720" w:type="dxa"/>
            <w:vAlign w:val="bottom"/>
            <w:tcBorders>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c>
          <w:tcPr>
            <w:tcW w:w="100" w:type="dxa"/>
            <w:vAlign w:val="bottom"/>
            <w:tcBorders>
              <w:top w:val="single" w:sz="8" w:color="0000EE"/>
              <w:bottom w:val="single" w:sz="8" w:color="8089AD"/>
            </w:tcBorders>
          </w:tcPr>
          <w:p>
            <w:pPr>
              <w:spacing w:after="0"/>
              <w:rPr>
                <w:sz w:val="5"/>
                <w:szCs w:val="5"/>
                <w:color w:val="auto"/>
              </w:rPr>
            </w:pPr>
          </w:p>
        </w:tc>
      </w:tr>
      <w:tr>
        <w:trPr>
          <w:trHeight w:val="210"/>
        </w:trPr>
        <w:tc>
          <w:tcPr>
            <w:tcW w:w="9320" w:type="dxa"/>
            <w:vAlign w:val="bottom"/>
            <w:gridSpan w:val="28"/>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Questions and Answers about the Annual Meeting</w:t>
              </w:r>
            </w:hyperlink>
          </w:p>
        </w:tc>
        <w:tc>
          <w:tcPr>
            <w:tcW w:w="1920" w:type="dxa"/>
            <w:vAlign w:val="bottom"/>
            <w:gridSpan w:val="3"/>
          </w:tcPr>
          <w:p>
            <w:pPr>
              <w:jc w:val="right"/>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75</w:t>
              </w:r>
            </w:hyperlink>
          </w:p>
        </w:tc>
      </w:tr>
      <w:tr>
        <w:trPr>
          <w:trHeight w:val="277"/>
        </w:trPr>
        <w:tc>
          <w:tcPr>
            <w:tcW w:w="420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Other Matters</w:t>
              </w:r>
            </w:hyperlink>
          </w:p>
        </w:tc>
        <w:tc>
          <w:tcPr>
            <w:tcW w:w="5120" w:type="dxa"/>
            <w:vAlign w:val="bottom"/>
            <w:gridSpan w:val="10"/>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b w:val="1"/>
                <w:bCs w:val="1"/>
                <w:color w:val="0000EE"/>
                <w:w w:val="89"/>
              </w:rPr>
            </w:pPr>
            <w:hyperlink w:anchor="page80">
              <w:r>
                <w:rPr>
                  <w:rFonts w:ascii="Arial" w:cs="Arial" w:eastAsia="Arial" w:hAnsi="Arial"/>
                  <w:sz w:val="18"/>
                  <w:szCs w:val="18"/>
                  <w:b w:val="1"/>
                  <w:bCs w:val="1"/>
                  <w:color w:val="0000EE"/>
                  <w:w w:val="89"/>
                </w:rPr>
                <w:t>78</w:t>
              </w:r>
            </w:hyperlink>
          </w:p>
        </w:tc>
      </w:tr>
      <w:tr>
        <w:trPr>
          <w:trHeight w:val="20"/>
        </w:trPr>
        <w:tc>
          <w:tcPr>
            <w:tcW w:w="1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6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References in this proxy statement to “we,” “us,” “our,” “ours,” “SLG,” “SL Green,” and the “Company” refer to SL Green Realty Corp., unless the context otherwise requires. This proxy statement and a form of proxy have been made available to our stockholders on the Internet and will be mailed to stockholders on or about April 27, 2021. All share- and unit-related references presented in this proxy statement, including share prices, have been retroactively adjusted as applicable to reflect the impact of the Company’s reverse stock split, which was effective on January 20, 2021.</w:t>
      </w:r>
    </w:p>
    <w:p>
      <w:pPr>
        <w:spacing w:after="0" w:line="211"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2837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837180"/>
                    </a:xfrm>
                    <a:prstGeom prst="rect">
                      <a:avLst/>
                    </a:prstGeom>
                    <a:noFill/>
                  </pic:spPr>
                </pic:pic>
              </a:graphicData>
            </a:graphic>
          </wp:anchor>
        </w:drawing>
      </w:r>
    </w:p>
    <w:p>
      <w:pPr>
        <w:spacing w:after="0" w:line="32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Proposal 1: Election of Directors</w:t>
      </w:r>
    </w:p>
    <w:p>
      <w:pPr>
        <w:spacing w:after="0" w:line="313" w:lineRule="exact"/>
        <w:rPr>
          <w:sz w:val="20"/>
          <w:szCs w:val="20"/>
          <w:color w:val="auto"/>
        </w:rPr>
      </w:pPr>
    </w:p>
    <w:p>
      <w:pPr>
        <w:ind w:left="80" w:right="120"/>
        <w:spacing w:after="0" w:line="236" w:lineRule="auto"/>
        <w:rPr>
          <w:sz w:val="20"/>
          <w:szCs w:val="20"/>
          <w:color w:val="auto"/>
        </w:rPr>
      </w:pPr>
      <w:r>
        <w:rPr>
          <w:rFonts w:ascii="Arial" w:cs="Arial" w:eastAsia="Arial" w:hAnsi="Arial"/>
          <w:sz w:val="18"/>
          <w:szCs w:val="18"/>
          <w:color w:val="auto"/>
        </w:rPr>
        <w:t>The Board, upon the recommendation of the Nominating and Corporate Governance Committee, has nominated John H. Alschuler, Betsy Atkins, Edwin T. Burton, III, Lauren B. Dillard, Stephen L. Green, Craig M. Hatkoff, Marc Holliday, John S. Levy and Andrew W. Mathias for election to serve as directors until the 2022 annual meeting of stockholders and until their successors are duly elected and qualify. Each of the nominees is currently serving as a director, and has consented to being named in this proxy statement and to serve as a director if elected. However, if any of the nominees is unable to accept election, proxies voted in favor of such nominee will be voted for the election of such other person as the Board nominates or the Board may reduce the size of the Board.</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Majority Voting Standard</w:t>
      </w:r>
    </w:p>
    <w:p>
      <w:pPr>
        <w:spacing w:after="0" w:line="234" w:lineRule="exact"/>
        <w:rPr>
          <w:sz w:val="20"/>
          <w:szCs w:val="20"/>
          <w:color w:val="auto"/>
        </w:rPr>
      </w:pPr>
    </w:p>
    <w:p>
      <w:pPr>
        <w:ind w:left="80" w:right="240"/>
        <w:spacing w:after="0" w:line="236" w:lineRule="auto"/>
        <w:rPr>
          <w:sz w:val="20"/>
          <w:szCs w:val="20"/>
          <w:color w:val="auto"/>
        </w:rPr>
      </w:pPr>
      <w:r>
        <w:rPr>
          <w:rFonts w:ascii="Arial" w:cs="Arial" w:eastAsia="Arial" w:hAnsi="Arial"/>
          <w:sz w:val="18"/>
          <w:szCs w:val="18"/>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61" w:lineRule="exact"/>
        <w:rPr>
          <w:sz w:val="20"/>
          <w:szCs w:val="20"/>
          <w:color w:val="auto"/>
        </w:rPr>
      </w:pPr>
    </w:p>
    <w:p>
      <w:pPr>
        <w:jc w:val="center"/>
        <w:ind w:left="340" w:right="480"/>
        <w:spacing w:after="0" w:line="257" w:lineRule="auto"/>
        <w:rPr>
          <w:sz w:val="20"/>
          <w:szCs w:val="20"/>
          <w:color w:val="auto"/>
        </w:rPr>
      </w:pPr>
      <w:r>
        <w:rPr>
          <w:rFonts w:ascii="Arial" w:cs="Arial" w:eastAsia="Arial" w:hAnsi="Arial"/>
          <w:sz w:val="20"/>
          <w:szCs w:val="20"/>
          <w:b w:val="1"/>
          <w:bCs w:val="1"/>
          <w:color w:val="355A89"/>
        </w:rPr>
        <w:t xml:space="preserve">The Board unanimously recommends a vote </w:t>
      </w:r>
      <w:r>
        <w:rPr>
          <w:rFonts w:ascii="Arial" w:cs="Arial" w:eastAsia="Arial" w:hAnsi="Arial"/>
          <w:sz w:val="20"/>
          <w:szCs w:val="20"/>
          <w:b w:val="1"/>
          <w:bCs w:val="1"/>
          <w:color w:val="000000"/>
        </w:rPr>
        <w:t>“FOR”</w:t>
      </w:r>
      <w:r>
        <w:rPr>
          <w:rFonts w:ascii="Arial" w:cs="Arial" w:eastAsia="Arial" w:hAnsi="Arial"/>
          <w:sz w:val="20"/>
          <w:szCs w:val="20"/>
          <w:b w:val="1"/>
          <w:bCs w:val="1"/>
          <w:color w:val="355A89"/>
        </w:rPr>
        <w:t xml:space="preserve"> the election of Messrs. Alschuler, Burton, Green, Hatkoff, Holliday, Levy and Mathias and Mses. Atkins and Dillard.</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Information Regarding the Director Nominees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matrix and biographical descriptions set forth certain information with respect to the nominees for election as directors at the 2021 annual meeting, based upon information furnished by each director. Our Board of Directors became fully declassified as of our 2020 annual meeting, and all directors are now elected for one-year terms.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355A89"/>
              </w:rPr>
              <w:t>Director</w:t>
            </w:r>
          </w:p>
        </w:tc>
      </w:tr>
      <w:tr>
        <w:trPr>
          <w:trHeight w:val="199"/>
        </w:trPr>
        <w:tc>
          <w:tcPr>
            <w:tcW w:w="10140" w:type="dxa"/>
            <w:vAlign w:val="bottom"/>
            <w:tcBorders>
              <w:bottom w:val="single" w:sz="8" w:color="355A89"/>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7"/>
                <w:szCs w:val="17"/>
                <w:color w:val="auto"/>
              </w:rPr>
            </w:pPr>
          </w:p>
        </w:tc>
        <w:tc>
          <w:tcPr>
            <w:tcW w:w="260" w:type="dxa"/>
            <w:vAlign w:val="bottom"/>
            <w:tcBorders>
              <w:bottom w:val="single" w:sz="8" w:color="355A89"/>
            </w:tcBorders>
          </w:tcPr>
          <w:p>
            <w:pPr>
              <w:jc w:val="center"/>
              <w:spacing w:after="0"/>
              <w:rPr>
                <w:sz w:val="20"/>
                <w:szCs w:val="20"/>
                <w:color w:val="auto"/>
              </w:rPr>
            </w:pPr>
            <w:r>
              <w:rPr>
                <w:rFonts w:ascii="Arial" w:cs="Arial" w:eastAsia="Arial" w:hAnsi="Arial"/>
                <w:sz w:val="13"/>
                <w:szCs w:val="13"/>
                <w:b w:val="1"/>
                <w:bCs w:val="1"/>
                <w:color w:val="355A89"/>
              </w:rPr>
              <w:t>Age</w:t>
            </w:r>
          </w:p>
        </w:tc>
        <w:tc>
          <w:tcPr>
            <w:tcW w:w="160" w:type="dxa"/>
            <w:vAlign w:val="bottom"/>
          </w:tcPr>
          <w:p>
            <w:pPr>
              <w:spacing w:after="0"/>
              <w:rPr>
                <w:sz w:val="17"/>
                <w:szCs w:val="17"/>
                <w:color w:val="auto"/>
              </w:rPr>
            </w:pPr>
          </w:p>
        </w:tc>
        <w:tc>
          <w:tcPr>
            <w:tcW w:w="520" w:type="dxa"/>
            <w:vAlign w:val="bottom"/>
            <w:tcBorders>
              <w:bottom w:val="single" w:sz="8" w:color="355A89"/>
            </w:tcBorders>
          </w:tcPr>
          <w:p>
            <w:pPr>
              <w:jc w:val="center"/>
              <w:spacing w:after="0"/>
              <w:rPr>
                <w:sz w:val="20"/>
                <w:szCs w:val="20"/>
                <w:color w:val="auto"/>
              </w:rPr>
            </w:pPr>
            <w:r>
              <w:rPr>
                <w:rFonts w:ascii="Arial" w:cs="Arial" w:eastAsia="Arial" w:hAnsi="Arial"/>
                <w:sz w:val="13"/>
                <w:szCs w:val="13"/>
                <w:b w:val="1"/>
                <w:bCs w:val="1"/>
                <w:color w:val="355A89"/>
              </w:rPr>
              <w:t>Since</w:t>
            </w:r>
          </w:p>
        </w:tc>
      </w:tr>
      <w:tr>
        <w:trPr>
          <w:trHeight w:val="236"/>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John H. Alschuler*</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73</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7"/>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Betsy Atkins*</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67</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2015</w:t>
            </w:r>
          </w:p>
        </w:tc>
      </w:tr>
      <w:tr>
        <w:trPr>
          <w:trHeight w:val="237"/>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Edwin T. Burton, III*</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78</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6"/>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Lauren B. Dillard*</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45</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2016</w:t>
            </w:r>
          </w:p>
        </w:tc>
      </w:tr>
      <w:tr>
        <w:trPr>
          <w:trHeight w:val="237"/>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83</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36"/>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67</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37"/>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54</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2001</w:t>
            </w:r>
          </w:p>
        </w:tc>
      </w:tr>
      <w:tr>
        <w:trPr>
          <w:trHeight w:val="236"/>
        </w:trPr>
        <w:tc>
          <w:tcPr>
            <w:tcW w:w="1014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John S. Levy*</w:t>
            </w:r>
          </w:p>
        </w:tc>
        <w:tc>
          <w:tcPr>
            <w:tcW w:w="160" w:type="dxa"/>
            <w:vAlign w:val="bottom"/>
          </w:tcPr>
          <w:p>
            <w:pPr>
              <w:spacing w:after="0"/>
              <w:rPr>
                <w:sz w:val="20"/>
                <w:szCs w:val="20"/>
                <w:color w:val="auto"/>
              </w:rPr>
            </w:pPr>
          </w:p>
        </w:tc>
        <w:tc>
          <w:tcPr>
            <w:tcW w:w="26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85</w:t>
            </w:r>
          </w:p>
        </w:tc>
        <w:tc>
          <w:tcPr>
            <w:tcW w:w="160" w:type="dxa"/>
            <w:vAlign w:val="bottom"/>
          </w:tcPr>
          <w:p>
            <w:pPr>
              <w:spacing w:after="0"/>
              <w:rPr>
                <w:sz w:val="20"/>
                <w:szCs w:val="20"/>
                <w:color w:val="auto"/>
              </w:rPr>
            </w:pPr>
          </w:p>
        </w:tc>
        <w:tc>
          <w:tcPr>
            <w:tcW w:w="520" w:type="dxa"/>
            <w:vAlign w:val="bottom"/>
            <w:tcBorders>
              <w:bottom w:val="single" w:sz="8" w:color="8089AD"/>
            </w:tcBorders>
          </w:tcPr>
          <w:p>
            <w:pPr>
              <w:jc w:val="center"/>
              <w:spacing w:after="0"/>
              <w:rPr>
                <w:sz w:val="20"/>
                <w:szCs w:val="20"/>
                <w:color w:val="auto"/>
              </w:rPr>
            </w:pPr>
            <w:r>
              <w:rPr>
                <w:rFonts w:ascii="Arial" w:cs="Arial" w:eastAsia="Arial" w:hAnsi="Arial"/>
                <w:sz w:val="18"/>
                <w:szCs w:val="18"/>
                <w:color w:val="auto"/>
                <w:w w:val="99"/>
              </w:rPr>
              <w:t>1997</w:t>
            </w:r>
          </w:p>
        </w:tc>
      </w:tr>
      <w:tr>
        <w:trPr>
          <w:trHeight w:val="250"/>
        </w:trPr>
        <w:tc>
          <w:tcPr>
            <w:tcW w:w="10140" w:type="dxa"/>
            <w:vAlign w:val="bottom"/>
            <w:tcBorders>
              <w:bottom w:val="single" w:sz="8" w:color="355A89"/>
            </w:tcBorders>
          </w:tcPr>
          <w:p>
            <w:pPr>
              <w:spacing w:after="0"/>
              <w:rPr>
                <w:sz w:val="20"/>
                <w:szCs w:val="20"/>
                <w:color w:val="auto"/>
              </w:rPr>
            </w:pPr>
            <w:r>
              <w:rPr>
                <w:rFonts w:ascii="Arial" w:cs="Arial" w:eastAsia="Arial" w:hAnsi="Arial"/>
                <w:sz w:val="18"/>
                <w:szCs w:val="18"/>
                <w:color w:val="auto"/>
              </w:rPr>
              <w:t>Andrew W. Mathias</w:t>
            </w:r>
          </w:p>
        </w:tc>
        <w:tc>
          <w:tcPr>
            <w:tcW w:w="160" w:type="dxa"/>
            <w:vAlign w:val="bottom"/>
          </w:tcPr>
          <w:p>
            <w:pPr>
              <w:spacing w:after="0"/>
              <w:rPr>
                <w:sz w:val="21"/>
                <w:szCs w:val="21"/>
                <w:color w:val="auto"/>
              </w:rPr>
            </w:pPr>
          </w:p>
        </w:tc>
        <w:tc>
          <w:tcPr>
            <w:tcW w:w="260" w:type="dxa"/>
            <w:vAlign w:val="bottom"/>
            <w:tcBorders>
              <w:bottom w:val="single" w:sz="8" w:color="355A89"/>
            </w:tcBorders>
          </w:tcPr>
          <w:p>
            <w:pPr>
              <w:jc w:val="center"/>
              <w:spacing w:after="0"/>
              <w:rPr>
                <w:sz w:val="20"/>
                <w:szCs w:val="20"/>
                <w:color w:val="auto"/>
              </w:rPr>
            </w:pPr>
            <w:r>
              <w:rPr>
                <w:rFonts w:ascii="Arial" w:cs="Arial" w:eastAsia="Arial" w:hAnsi="Arial"/>
                <w:sz w:val="18"/>
                <w:szCs w:val="18"/>
                <w:color w:val="auto"/>
                <w:w w:val="99"/>
              </w:rPr>
              <w:t>47</w:t>
            </w:r>
          </w:p>
        </w:tc>
        <w:tc>
          <w:tcPr>
            <w:tcW w:w="160" w:type="dxa"/>
            <w:vAlign w:val="bottom"/>
          </w:tcPr>
          <w:p>
            <w:pPr>
              <w:spacing w:after="0"/>
              <w:rPr>
                <w:sz w:val="21"/>
                <w:szCs w:val="21"/>
                <w:color w:val="auto"/>
              </w:rPr>
            </w:pPr>
          </w:p>
        </w:tc>
        <w:tc>
          <w:tcPr>
            <w:tcW w:w="520" w:type="dxa"/>
            <w:vAlign w:val="bottom"/>
            <w:tcBorders>
              <w:bottom w:val="single" w:sz="8" w:color="355A89"/>
            </w:tcBorders>
          </w:tcPr>
          <w:p>
            <w:pPr>
              <w:jc w:val="center"/>
              <w:spacing w:after="0"/>
              <w:rPr>
                <w:sz w:val="20"/>
                <w:szCs w:val="20"/>
                <w:color w:val="auto"/>
              </w:rPr>
            </w:pPr>
            <w:r>
              <w:rPr>
                <w:rFonts w:ascii="Arial" w:cs="Arial" w:eastAsia="Arial" w:hAnsi="Arial"/>
                <w:sz w:val="18"/>
                <w:szCs w:val="18"/>
                <w:color w:val="auto"/>
                <w:w w:val="99"/>
              </w:rPr>
              <w:t>2014</w:t>
            </w:r>
          </w:p>
        </w:tc>
      </w:tr>
    </w:tbl>
    <w:p>
      <w:pPr>
        <w:spacing w:after="0" w:line="283"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Independent Director</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Director Nominees Business Experience</w:t>
      </w:r>
    </w:p>
    <w:p>
      <w:pPr>
        <w:spacing w:after="0" w:line="233"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The matrix below represents some of the key skills that our Board has identified as particularly valuable to the effective oversight of the Company and the execution of our strategy. This matrix highlights the depth and breadth of skills of our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8434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Our Board currently includes two female directors and is looking to further enhance the diversity of perspectives on the Board, potentially through directors that contribute ethnic/racial diversity.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Director Nominees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320" w:type="dxa"/>
            <w:vAlign w:val="bottom"/>
            <w:tcBorders>
              <w:top w:val="single" w:sz="8" w:color="355A89"/>
            </w:tcBorders>
          </w:tcPr>
          <w:p>
            <w:pPr>
              <w:jc w:val="center"/>
              <w:spacing w:after="0"/>
              <w:rPr>
                <w:sz w:val="20"/>
                <w:szCs w:val="20"/>
                <w:color w:val="auto"/>
              </w:rPr>
            </w:pPr>
            <w:r>
              <w:rPr>
                <w:rFonts w:ascii="Arial" w:cs="Arial" w:eastAsia="Arial" w:hAnsi="Arial"/>
                <w:sz w:val="22"/>
                <w:szCs w:val="22"/>
                <w:b w:val="1"/>
                <w:bCs w:val="1"/>
                <w:color w:val="355A89"/>
                <w:w w:val="99"/>
              </w:rPr>
              <w:t>John H.</w:t>
            </w:r>
          </w:p>
        </w:tc>
        <w:tc>
          <w:tcPr>
            <w:tcW w:w="100" w:type="dxa"/>
            <w:vAlign w:val="bottom"/>
          </w:tcPr>
          <w:p>
            <w:pPr>
              <w:spacing w:after="0"/>
              <w:rPr>
                <w:sz w:val="24"/>
                <w:szCs w:val="24"/>
                <w:color w:val="auto"/>
              </w:rPr>
            </w:pPr>
          </w:p>
        </w:tc>
        <w:tc>
          <w:tcPr>
            <w:tcW w:w="9820" w:type="dxa"/>
            <w:vAlign w:val="bottom"/>
            <w:tcBorders>
              <w:top w:val="single" w:sz="8" w:color="355A89"/>
            </w:tcBorders>
            <w:vMerge w:val="restart"/>
            <w:shd w:val="clear" w:color="auto" w:fill="E4E5EE"/>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73 Lead Independent Director</w:t>
            </w:r>
          </w:p>
        </w:tc>
        <w:tc>
          <w:tcPr>
            <w:tcW w:w="0" w:type="dxa"/>
            <w:vAlign w:val="bottom"/>
          </w:tcPr>
          <w:p>
            <w:pPr>
              <w:spacing w:after="0"/>
              <w:rPr>
                <w:sz w:val="1"/>
                <w:szCs w:val="1"/>
                <w:color w:val="auto"/>
              </w:rPr>
            </w:pPr>
          </w:p>
        </w:tc>
      </w:tr>
      <w:tr>
        <w:trPr>
          <w:trHeight w:val="152"/>
        </w:trPr>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355A89"/>
                <w:w w:val="97"/>
              </w:rPr>
              <w:t>Alschuler</w:t>
            </w:r>
          </w:p>
        </w:tc>
        <w:tc>
          <w:tcPr>
            <w:tcW w:w="100" w:type="dxa"/>
            <w:vAlign w:val="bottom"/>
          </w:tcPr>
          <w:p>
            <w:pPr>
              <w:spacing w:after="0"/>
              <w:rPr>
                <w:sz w:val="13"/>
                <w:szCs w:val="13"/>
                <w:color w:val="auto"/>
              </w:rPr>
            </w:pPr>
          </w:p>
        </w:tc>
        <w:tc>
          <w:tcPr>
            <w:tcW w:w="9820" w:type="dxa"/>
            <w:vAlign w:val="bottom"/>
            <w:vMerge w:val="continue"/>
            <w:shd w:val="clear" w:color="auto" w:fill="E4E5E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20" w:type="dxa"/>
            <w:vAlign w:val="bottom"/>
            <w:shd w:val="clear" w:color="auto" w:fill="E4E5E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320" w:type="dxa"/>
            <w:vAlign w:val="bottom"/>
            <w:tcBorders>
              <w:bottom w:val="single" w:sz="8" w:color="355A89"/>
            </w:tcBorders>
          </w:tcPr>
          <w:p>
            <w:pPr>
              <w:spacing w:after="0"/>
              <w:rPr>
                <w:sz w:val="5"/>
                <w:szCs w:val="5"/>
                <w:color w:val="auto"/>
              </w:rPr>
            </w:pPr>
          </w:p>
        </w:tc>
        <w:tc>
          <w:tcPr>
            <w:tcW w:w="100" w:type="dxa"/>
            <w:vAlign w:val="bottom"/>
          </w:tcPr>
          <w:p>
            <w:pPr>
              <w:spacing w:after="0"/>
              <w:rPr>
                <w:sz w:val="5"/>
                <w:szCs w:val="5"/>
                <w:color w:val="auto"/>
              </w:rPr>
            </w:pPr>
          </w:p>
        </w:tc>
        <w:tc>
          <w:tcPr>
            <w:tcW w:w="9820" w:type="dxa"/>
            <w:vAlign w:val="bottom"/>
            <w:tcBorders>
              <w:bottom w:val="single" w:sz="8" w:color="E4E5EE"/>
            </w:tcBorders>
            <w:shd w:val="clear" w:color="auto" w:fill="E4E5E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831215" cy="1080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31215" cy="10801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0"/>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142" w:lineRule="exact"/>
        <w:rPr>
          <w:sz w:val="20"/>
          <w:szCs w:val="20"/>
          <w:color w:val="auto"/>
        </w:rPr>
      </w:pPr>
    </w:p>
    <w:p>
      <w:pPr>
        <w:ind w:left="280" w:hanging="263"/>
        <w:spacing w:after="0" w:line="281" w:lineRule="auto"/>
        <w:tabs>
          <w:tab w:leader="none" w:pos="257" w:val="left"/>
        </w:tabs>
        <w:numPr>
          <w:ilvl w:val="0"/>
          <w:numId w:val="23"/>
        </w:numPr>
        <w:rPr>
          <w:rFonts w:ascii="Arial" w:cs="Arial" w:eastAsia="Arial" w:hAnsi="Arial"/>
          <w:sz w:val="16"/>
          <w:szCs w:val="16"/>
          <w:color w:val="355A89"/>
        </w:rPr>
      </w:pPr>
      <w:r>
        <w:rPr>
          <w:rFonts w:ascii="Arial" w:cs="Arial" w:eastAsia="Arial" w:hAnsi="Arial"/>
          <w:sz w:val="16"/>
          <w:szCs w:val="16"/>
          <w:color w:val="auto"/>
        </w:rPr>
        <w:t>Nominating and Corporate Governance Committee</w:t>
      </w:r>
    </w:p>
    <w:p>
      <w:pPr>
        <w:spacing w:after="0" w:line="29" w:lineRule="exact"/>
        <w:rPr>
          <w:rFonts w:ascii="Arial" w:cs="Arial" w:eastAsia="Arial" w:hAnsi="Arial"/>
          <w:sz w:val="16"/>
          <w:szCs w:val="16"/>
          <w:color w:val="355A89"/>
        </w:rPr>
      </w:pPr>
    </w:p>
    <w:p>
      <w:pPr>
        <w:ind w:left="280" w:right="280" w:hanging="263"/>
        <w:spacing w:after="0" w:line="316" w:lineRule="auto"/>
        <w:tabs>
          <w:tab w:leader="none" w:pos="257" w:val="left"/>
        </w:tabs>
        <w:numPr>
          <w:ilvl w:val="0"/>
          <w:numId w:val="23"/>
        </w:numPr>
        <w:rPr>
          <w:rFonts w:ascii="Arial" w:cs="Arial" w:eastAsia="Arial" w:hAnsi="Arial"/>
          <w:sz w:val="16"/>
          <w:szCs w:val="16"/>
          <w:color w:val="355A89"/>
        </w:rPr>
      </w:pPr>
      <w:r>
        <w:rPr>
          <w:rFonts w:ascii="Arial" w:cs="Arial" w:eastAsia="Arial" w:hAnsi="Arial"/>
          <w:sz w:val="16"/>
          <w:szCs w:val="16"/>
          <w:color w:val="auto"/>
        </w:rPr>
        <w:t>Executive Committee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320" w:hanging="255"/>
        <w:spacing w:after="0" w:line="239" w:lineRule="auto"/>
        <w:tabs>
          <w:tab w:leader="none" w:pos="517" w:val="left"/>
        </w:tabs>
        <w:numPr>
          <w:ilvl w:val="0"/>
          <w:numId w:val="24"/>
        </w:numPr>
        <w:rPr>
          <w:rFonts w:ascii="Arial" w:cs="Arial" w:eastAsia="Arial" w:hAnsi="Arial"/>
          <w:sz w:val="17"/>
          <w:szCs w:val="17"/>
          <w:color w:val="355A89"/>
        </w:rPr>
      </w:pPr>
      <w:r>
        <w:rPr>
          <w:rFonts w:ascii="Arial" w:cs="Arial" w:eastAsia="Arial" w:hAnsi="Arial"/>
          <w:sz w:val="18"/>
          <w:szCs w:val="18"/>
          <w:color w:val="auto"/>
        </w:rPr>
        <w:t>Chair of HR&amp;A Advisors Inc., an economic development, real-estate and public policy consulting organization, since 2008</w:t>
      </w:r>
    </w:p>
    <w:p>
      <w:pPr>
        <w:spacing w:after="0" w:line="60" w:lineRule="exact"/>
        <w:rPr>
          <w:rFonts w:ascii="Arial" w:cs="Arial" w:eastAsia="Arial" w:hAnsi="Arial"/>
          <w:sz w:val="17"/>
          <w:szCs w:val="17"/>
          <w:color w:val="355A89"/>
        </w:rPr>
      </w:pPr>
    </w:p>
    <w:p>
      <w:pPr>
        <w:ind w:left="540" w:right="700" w:hanging="255"/>
        <w:spacing w:after="0" w:line="239" w:lineRule="auto"/>
        <w:tabs>
          <w:tab w:leader="none" w:pos="517" w:val="left"/>
        </w:tabs>
        <w:numPr>
          <w:ilvl w:val="0"/>
          <w:numId w:val="24"/>
        </w:numPr>
        <w:rPr>
          <w:rFonts w:ascii="Arial" w:cs="Arial" w:eastAsia="Arial" w:hAnsi="Arial"/>
          <w:sz w:val="17"/>
          <w:szCs w:val="17"/>
          <w:color w:val="355A89"/>
        </w:rPr>
      </w:pPr>
      <w:r>
        <w:rPr>
          <w:rFonts w:ascii="Arial" w:cs="Arial" w:eastAsia="Arial" w:hAnsi="Arial"/>
          <w:sz w:val="18"/>
          <w:szCs w:val="18"/>
          <w:color w:val="auto"/>
        </w:rPr>
        <w:t>Adjunct Associate Professor, Graduate School of Architecture, Planning &amp; Preservation at Columbia University, teaching real estate development</w:t>
      </w:r>
    </w:p>
    <w:p>
      <w:pPr>
        <w:spacing w:after="0" w:line="73" w:lineRule="exact"/>
        <w:rPr>
          <w:rFonts w:ascii="Arial" w:cs="Arial" w:eastAsia="Arial" w:hAnsi="Arial"/>
          <w:sz w:val="17"/>
          <w:szCs w:val="17"/>
          <w:color w:val="355A89"/>
        </w:rPr>
      </w:pPr>
    </w:p>
    <w:p>
      <w:pPr>
        <w:ind w:left="540" w:right="300" w:hanging="255"/>
        <w:spacing w:after="0" w:line="239" w:lineRule="auto"/>
        <w:tabs>
          <w:tab w:leader="none" w:pos="517" w:val="left"/>
        </w:tabs>
        <w:numPr>
          <w:ilvl w:val="0"/>
          <w:numId w:val="24"/>
        </w:numPr>
        <w:rPr>
          <w:rFonts w:ascii="Arial" w:cs="Arial" w:eastAsia="Arial" w:hAnsi="Arial"/>
          <w:sz w:val="17"/>
          <w:szCs w:val="17"/>
          <w:color w:val="355A89"/>
        </w:rPr>
      </w:pPr>
      <w:r>
        <w:rPr>
          <w:rFonts w:ascii="Arial" w:cs="Arial" w:eastAsia="Arial" w:hAnsi="Arial"/>
          <w:sz w:val="18"/>
          <w:szCs w:val="18"/>
          <w:color w:val="auto"/>
        </w:rPr>
        <w:t>Board of Directors of the Center for an Urban Future, Friends of the High Line Inc., and the Sag Harbor Cinema Arts Center, each a 501(c)(3) tax-exempt organization</w:t>
      </w:r>
    </w:p>
    <w:p>
      <w:pPr>
        <w:spacing w:after="0" w:line="60" w:lineRule="exact"/>
        <w:rPr>
          <w:rFonts w:ascii="Arial" w:cs="Arial" w:eastAsia="Arial" w:hAnsi="Arial"/>
          <w:sz w:val="17"/>
          <w:szCs w:val="17"/>
          <w:color w:val="355A89"/>
        </w:rPr>
      </w:pPr>
    </w:p>
    <w:p>
      <w:pPr>
        <w:ind w:left="520" w:hanging="235"/>
        <w:spacing w:after="0"/>
        <w:tabs>
          <w:tab w:leader="none" w:pos="520" w:val="left"/>
        </w:tabs>
        <w:numPr>
          <w:ilvl w:val="0"/>
          <w:numId w:val="24"/>
        </w:numPr>
        <w:rPr>
          <w:rFonts w:ascii="Arial" w:cs="Arial" w:eastAsia="Arial" w:hAnsi="Arial"/>
          <w:sz w:val="17"/>
          <w:szCs w:val="17"/>
          <w:color w:val="355A89"/>
        </w:rPr>
      </w:pPr>
      <w:r>
        <w:rPr>
          <w:rFonts w:ascii="Arial" w:cs="Arial" w:eastAsia="Arial" w:hAnsi="Arial"/>
          <w:sz w:val="18"/>
          <w:szCs w:val="18"/>
          <w:color w:val="auto"/>
        </w:rPr>
        <w:t>B.A. degree from Wesleyan University and Ed.D. degree from the University of Massachusetts at Amherst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520" w:hanging="235"/>
        <w:spacing w:after="0"/>
        <w:tabs>
          <w:tab w:leader="none" w:pos="520" w:val="left"/>
        </w:tabs>
        <w:numPr>
          <w:ilvl w:val="0"/>
          <w:numId w:val="25"/>
        </w:numPr>
        <w:rPr>
          <w:rFonts w:ascii="Arial" w:cs="Arial" w:eastAsia="Arial" w:hAnsi="Arial"/>
          <w:sz w:val="17"/>
          <w:szCs w:val="17"/>
          <w:color w:val="355A89"/>
        </w:rPr>
      </w:pPr>
      <w:r>
        <w:rPr>
          <w:rFonts w:ascii="Arial" w:cs="Arial" w:eastAsia="Arial" w:hAnsi="Arial"/>
          <w:sz w:val="18"/>
          <w:szCs w:val="18"/>
          <w:color w:val="auto"/>
        </w:rPr>
        <w:t>Xenia Hotels and Resorts, Inc. since 2015</w:t>
      </w:r>
    </w:p>
    <w:p>
      <w:pPr>
        <w:spacing w:after="0" w:line="63" w:lineRule="exact"/>
        <w:rPr>
          <w:rFonts w:ascii="Arial" w:cs="Arial" w:eastAsia="Arial" w:hAnsi="Arial"/>
          <w:sz w:val="17"/>
          <w:szCs w:val="17"/>
          <w:color w:val="355A89"/>
        </w:rPr>
      </w:pPr>
    </w:p>
    <w:p>
      <w:pPr>
        <w:ind w:left="520" w:hanging="235"/>
        <w:spacing w:after="0"/>
        <w:tabs>
          <w:tab w:leader="none" w:pos="520" w:val="left"/>
        </w:tabs>
        <w:numPr>
          <w:ilvl w:val="0"/>
          <w:numId w:val="25"/>
        </w:numPr>
        <w:rPr>
          <w:rFonts w:ascii="Arial" w:cs="Arial" w:eastAsia="Arial" w:hAnsi="Arial"/>
          <w:sz w:val="17"/>
          <w:szCs w:val="17"/>
          <w:color w:val="355A89"/>
        </w:rPr>
      </w:pPr>
      <w:r>
        <w:rPr>
          <w:rFonts w:ascii="Arial" w:cs="Arial" w:eastAsia="Arial" w:hAnsi="Arial"/>
          <w:sz w:val="18"/>
          <w:szCs w:val="18"/>
          <w:color w:val="auto"/>
        </w:rPr>
        <w:t>The Macerich Company since 2015</w:t>
      </w:r>
    </w:p>
    <w:p>
      <w:pPr>
        <w:spacing w:after="0" w:line="200" w:lineRule="exact"/>
        <w:rPr>
          <w:sz w:val="20"/>
          <w:szCs w:val="20"/>
          <w:color w:val="auto"/>
        </w:rPr>
      </w:pPr>
    </w:p>
    <w:p>
      <w:pPr>
        <w:sectPr>
          <w:pgSz w:w="11900" w:h="16838" w:orient="portrait"/>
          <w:cols w:equalWidth="0" w:num="2">
            <w:col w:w="1400" w:space="20"/>
            <w:col w:w="9820"/>
          </w:cols>
          <w:pgMar w:left="320" w:top="121" w:right="339" w:bottom="1440" w:gutter="0" w:footer="0" w:header="0"/>
          <w:type w:val="continuous"/>
        </w:sectPr>
      </w:pPr>
    </w:p>
    <w:p>
      <w:pPr>
        <w:spacing w:after="0" w:line="12"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6"/>
          <w:szCs w:val="16"/>
          <w:color w:val="355A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400" w:type="dxa"/>
            <w:vAlign w:val="bottom"/>
            <w:tcBorders>
              <w:top w:val="single" w:sz="8" w:color="345988"/>
            </w:tcBorders>
          </w:tcPr>
          <w:p>
            <w:pPr>
              <w:jc w:val="center"/>
              <w:spacing w:after="0"/>
              <w:rPr>
                <w:sz w:val="20"/>
                <w:szCs w:val="20"/>
                <w:color w:val="auto"/>
              </w:rPr>
            </w:pPr>
            <w:r>
              <w:rPr>
                <w:rFonts w:ascii="Arial" w:cs="Arial" w:eastAsia="Arial" w:hAnsi="Arial"/>
                <w:sz w:val="22"/>
                <w:szCs w:val="22"/>
                <w:b w:val="1"/>
                <w:bCs w:val="1"/>
                <w:color w:val="355A89"/>
              </w:rPr>
              <w:t>Betsy</w:t>
            </w:r>
          </w:p>
        </w:tc>
        <w:tc>
          <w:tcPr>
            <w:tcW w:w="100" w:type="dxa"/>
            <w:vAlign w:val="bottom"/>
          </w:tcPr>
          <w:p>
            <w:pPr>
              <w:spacing w:after="0"/>
              <w:rPr>
                <w:sz w:val="24"/>
                <w:szCs w:val="24"/>
                <w:color w:val="auto"/>
              </w:rPr>
            </w:pPr>
          </w:p>
        </w:tc>
        <w:tc>
          <w:tcPr>
            <w:tcW w:w="9740" w:type="dxa"/>
            <w:vAlign w:val="bottom"/>
            <w:tcBorders>
              <w:top w:val="single" w:sz="8" w:color="345988"/>
            </w:tcBorders>
            <w:vMerge w:val="restart"/>
            <w:shd w:val="clear" w:color="auto" w:fill="E4E5EE"/>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April 2015</w:t>
            </w:r>
            <w:r>
              <w:rPr>
                <w:rFonts w:ascii="Arial" w:cs="Arial" w:eastAsia="Arial" w:hAnsi="Arial"/>
                <w:sz w:val="18"/>
                <w:szCs w:val="18"/>
                <w:color w:val="auto"/>
              </w:rPr>
              <w:t xml:space="preserve"> Age: </w:t>
            </w:r>
            <w:r>
              <w:rPr>
                <w:rFonts w:ascii="Arial" w:cs="Arial" w:eastAsia="Arial" w:hAnsi="Arial"/>
                <w:sz w:val="18"/>
                <w:szCs w:val="18"/>
                <w:b w:val="1"/>
                <w:bCs w:val="1"/>
                <w:color w:val="auto"/>
              </w:rPr>
              <w:t>67 Independent Director</w:t>
            </w:r>
          </w:p>
        </w:tc>
        <w:tc>
          <w:tcPr>
            <w:tcW w:w="0" w:type="dxa"/>
            <w:vAlign w:val="bottom"/>
          </w:tcPr>
          <w:p>
            <w:pPr>
              <w:spacing w:after="0"/>
              <w:rPr>
                <w:sz w:val="1"/>
                <w:szCs w:val="1"/>
                <w:color w:val="auto"/>
              </w:rPr>
            </w:pPr>
          </w:p>
        </w:tc>
      </w:tr>
      <w:tr>
        <w:trPr>
          <w:trHeight w:val="152"/>
        </w:trPr>
        <w:tc>
          <w:tcPr>
            <w:tcW w:w="1400" w:type="dxa"/>
            <w:vAlign w:val="bottom"/>
            <w:vMerge w:val="restart"/>
          </w:tcPr>
          <w:p>
            <w:pPr>
              <w:jc w:val="center"/>
              <w:spacing w:after="0"/>
              <w:rPr>
                <w:sz w:val="20"/>
                <w:szCs w:val="20"/>
                <w:color w:val="auto"/>
              </w:rPr>
            </w:pPr>
            <w:r>
              <w:rPr>
                <w:rFonts w:ascii="Arial" w:cs="Arial" w:eastAsia="Arial" w:hAnsi="Arial"/>
                <w:sz w:val="22"/>
                <w:szCs w:val="22"/>
                <w:b w:val="1"/>
                <w:bCs w:val="1"/>
                <w:color w:val="355A89"/>
                <w:w w:val="98"/>
              </w:rPr>
              <w:t>Atkins</w:t>
            </w:r>
          </w:p>
        </w:tc>
        <w:tc>
          <w:tcPr>
            <w:tcW w:w="100" w:type="dxa"/>
            <w:vAlign w:val="bottom"/>
          </w:tcPr>
          <w:p>
            <w:pPr>
              <w:spacing w:after="0"/>
              <w:rPr>
                <w:sz w:val="13"/>
                <w:szCs w:val="13"/>
                <w:color w:val="auto"/>
              </w:rPr>
            </w:pPr>
          </w:p>
        </w:tc>
        <w:tc>
          <w:tcPr>
            <w:tcW w:w="9740" w:type="dxa"/>
            <w:vAlign w:val="bottom"/>
            <w:vMerge w:val="continue"/>
            <w:shd w:val="clear" w:color="auto" w:fill="E4E5E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740" w:type="dxa"/>
            <w:vAlign w:val="bottom"/>
            <w:shd w:val="clear" w:color="auto" w:fill="E4E5E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400" w:type="dxa"/>
            <w:vAlign w:val="bottom"/>
            <w:tcBorders>
              <w:bottom w:val="single" w:sz="8" w:color="345988"/>
            </w:tcBorders>
          </w:tcPr>
          <w:p>
            <w:pPr>
              <w:spacing w:after="0"/>
              <w:rPr>
                <w:sz w:val="5"/>
                <w:szCs w:val="5"/>
                <w:color w:val="auto"/>
              </w:rPr>
            </w:pPr>
          </w:p>
        </w:tc>
        <w:tc>
          <w:tcPr>
            <w:tcW w:w="100" w:type="dxa"/>
            <w:vAlign w:val="bottom"/>
          </w:tcPr>
          <w:p>
            <w:pPr>
              <w:spacing w:after="0"/>
              <w:rPr>
                <w:sz w:val="5"/>
                <w:szCs w:val="5"/>
                <w:color w:val="auto"/>
              </w:rPr>
            </w:pPr>
          </w:p>
        </w:tc>
        <w:tc>
          <w:tcPr>
            <w:tcW w:w="9740" w:type="dxa"/>
            <w:vAlign w:val="bottom"/>
            <w:tcBorders>
              <w:bottom w:val="single" w:sz="8" w:color="E4E5EE"/>
            </w:tcBorders>
            <w:shd w:val="clear" w:color="auto" w:fill="E4E5E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68580</wp:posOffset>
            </wp:positionV>
            <wp:extent cx="831215" cy="10972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31215" cy="10972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142" w:lineRule="exact"/>
        <w:rPr>
          <w:sz w:val="20"/>
          <w:szCs w:val="20"/>
          <w:color w:val="auto"/>
        </w:rPr>
      </w:pPr>
    </w:p>
    <w:p>
      <w:pPr>
        <w:ind w:left="280" w:right="280" w:hanging="263"/>
        <w:spacing w:after="0" w:line="312" w:lineRule="auto"/>
        <w:tabs>
          <w:tab w:leader="none" w:pos="257" w:val="left"/>
        </w:tabs>
        <w:numPr>
          <w:ilvl w:val="0"/>
          <w:numId w:val="27"/>
        </w:numPr>
        <w:rPr>
          <w:rFonts w:ascii="Arial" w:cs="Arial" w:eastAsia="Arial" w:hAnsi="Arial"/>
          <w:sz w:val="16"/>
          <w:szCs w:val="16"/>
          <w:color w:val="355A89"/>
        </w:rPr>
      </w:pPr>
      <w:r>
        <w:rPr>
          <w:rFonts w:ascii="Arial" w:cs="Arial" w:eastAsia="Arial" w:hAnsi="Arial"/>
          <w:sz w:val="16"/>
          <w:szCs w:val="16"/>
          <w:color w:val="auto"/>
        </w:rPr>
        <w:t>Audit Committee</w:t>
      </w:r>
    </w:p>
    <w:p>
      <w:pPr>
        <w:spacing w:after="0" w:line="7" w:lineRule="exact"/>
        <w:rPr>
          <w:rFonts w:ascii="Arial" w:cs="Arial" w:eastAsia="Arial" w:hAnsi="Arial"/>
          <w:sz w:val="16"/>
          <w:szCs w:val="16"/>
          <w:color w:val="355A89"/>
        </w:rPr>
      </w:pPr>
    </w:p>
    <w:p>
      <w:pPr>
        <w:ind w:left="280" w:hanging="263"/>
        <w:spacing w:after="0" w:line="281" w:lineRule="auto"/>
        <w:tabs>
          <w:tab w:leader="none" w:pos="257" w:val="left"/>
        </w:tabs>
        <w:numPr>
          <w:ilvl w:val="0"/>
          <w:numId w:val="27"/>
        </w:numPr>
        <w:rPr>
          <w:rFonts w:ascii="Arial" w:cs="Arial" w:eastAsia="Arial" w:hAnsi="Arial"/>
          <w:sz w:val="16"/>
          <w:szCs w:val="16"/>
          <w:color w:val="355A89"/>
        </w:rPr>
      </w:pPr>
      <w:r>
        <w:rPr>
          <w:rFonts w:ascii="Arial" w:cs="Arial" w:eastAsia="Arial" w:hAnsi="Arial"/>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280" w:hanging="254"/>
        <w:spacing w:after="0" w:line="239" w:lineRule="auto"/>
        <w:tabs>
          <w:tab w:leader="none" w:pos="517" w:val="left"/>
        </w:tabs>
        <w:numPr>
          <w:ilvl w:val="0"/>
          <w:numId w:val="28"/>
        </w:numPr>
        <w:rPr>
          <w:rFonts w:ascii="Arial" w:cs="Arial" w:eastAsia="Arial" w:hAnsi="Arial"/>
          <w:sz w:val="17"/>
          <w:szCs w:val="17"/>
          <w:color w:val="355A89"/>
        </w:rPr>
      </w:pPr>
      <w:r>
        <w:rPr>
          <w:rFonts w:ascii="Arial" w:cs="Arial" w:eastAsia="Arial" w:hAnsi="Arial"/>
          <w:sz w:val="18"/>
          <w:szCs w:val="18"/>
          <w:color w:val="auto"/>
        </w:rPr>
        <w:t>Chief Executive Officer of Baja Corp, an independent venture capital firm focused on technology, renewable energy and life sciences industries, since 1994</w:t>
      </w:r>
    </w:p>
    <w:p>
      <w:pPr>
        <w:spacing w:after="0" w:line="60" w:lineRule="exact"/>
        <w:rPr>
          <w:rFonts w:ascii="Arial" w:cs="Arial" w:eastAsia="Arial" w:hAnsi="Arial"/>
          <w:sz w:val="17"/>
          <w:szCs w:val="17"/>
          <w:color w:val="355A89"/>
        </w:rPr>
      </w:pPr>
    </w:p>
    <w:p>
      <w:pPr>
        <w:ind w:left="540" w:right="520" w:hanging="254"/>
        <w:spacing w:after="0" w:line="238" w:lineRule="auto"/>
        <w:tabs>
          <w:tab w:leader="none" w:pos="517" w:val="left"/>
        </w:tabs>
        <w:numPr>
          <w:ilvl w:val="0"/>
          <w:numId w:val="28"/>
        </w:numPr>
        <w:rPr>
          <w:rFonts w:ascii="Arial" w:cs="Arial" w:eastAsia="Arial" w:hAnsi="Arial"/>
          <w:sz w:val="17"/>
          <w:szCs w:val="17"/>
          <w:color w:val="355A89"/>
        </w:rPr>
      </w:pPr>
      <w:r>
        <w:rPr>
          <w:rFonts w:ascii="Arial" w:cs="Arial" w:eastAsia="Arial" w:hAnsi="Arial"/>
          <w:sz w:val="18"/>
          <w:szCs w:val="18"/>
          <w:color w:val="auto"/>
        </w:rPr>
        <w:t>Chief Executive Officer and Chairman of the Board of Directors of Clear Standards, Inc., a provider of energy management solutions, from February 2009 to August 2009, when Clear Standards was acquired by SAP AG, a business software company</w:t>
      </w:r>
    </w:p>
    <w:p>
      <w:pPr>
        <w:spacing w:after="0" w:line="72" w:lineRule="exact"/>
        <w:rPr>
          <w:rFonts w:ascii="Arial" w:cs="Arial" w:eastAsia="Arial" w:hAnsi="Arial"/>
          <w:sz w:val="17"/>
          <w:szCs w:val="17"/>
          <w:color w:val="355A89"/>
        </w:rPr>
      </w:pPr>
    </w:p>
    <w:p>
      <w:pPr>
        <w:ind w:left="520" w:hanging="234"/>
        <w:spacing w:after="0"/>
        <w:tabs>
          <w:tab w:leader="none" w:pos="520" w:val="left"/>
        </w:tabs>
        <w:numPr>
          <w:ilvl w:val="0"/>
          <w:numId w:val="28"/>
        </w:numPr>
        <w:rPr>
          <w:rFonts w:ascii="Arial" w:cs="Arial" w:eastAsia="Arial" w:hAnsi="Arial"/>
          <w:sz w:val="17"/>
          <w:szCs w:val="17"/>
          <w:color w:val="355A89"/>
        </w:rPr>
      </w:pPr>
      <w:r>
        <w:rPr>
          <w:rFonts w:ascii="Arial" w:cs="Arial" w:eastAsia="Arial" w:hAnsi="Arial"/>
          <w:sz w:val="18"/>
          <w:szCs w:val="18"/>
          <w:color w:val="auto"/>
        </w:rPr>
        <w:t>Chairman and Chief Executive Officer of NCI, Inc., a functional food/nutraceutical company, from 1991 to 1993</w:t>
      </w:r>
    </w:p>
    <w:p>
      <w:pPr>
        <w:spacing w:after="0" w:line="63" w:lineRule="exact"/>
        <w:rPr>
          <w:rFonts w:ascii="Arial" w:cs="Arial" w:eastAsia="Arial" w:hAnsi="Arial"/>
          <w:sz w:val="17"/>
          <w:szCs w:val="17"/>
          <w:color w:val="355A89"/>
        </w:rPr>
      </w:pPr>
    </w:p>
    <w:p>
      <w:pPr>
        <w:ind w:left="540" w:right="160" w:hanging="254"/>
        <w:spacing w:after="0" w:line="299" w:lineRule="auto"/>
        <w:tabs>
          <w:tab w:leader="none" w:pos="517" w:val="left"/>
        </w:tabs>
        <w:numPr>
          <w:ilvl w:val="0"/>
          <w:numId w:val="28"/>
        </w:numPr>
        <w:rPr>
          <w:rFonts w:ascii="Arial" w:cs="Arial" w:eastAsia="Arial" w:hAnsi="Arial"/>
          <w:sz w:val="16"/>
          <w:szCs w:val="16"/>
          <w:color w:val="355A89"/>
        </w:rPr>
      </w:pPr>
      <w:r>
        <w:rPr>
          <w:rFonts w:ascii="Arial" w:cs="Arial" w:eastAsia="Arial" w:hAnsi="Arial"/>
          <w:sz w:val="16"/>
          <w:szCs w:val="16"/>
          <w:color w:val="auto"/>
        </w:rPr>
        <w:t>Co-founded Ascend Communications, Inc. in 1989, member of its Board of Directors and Executive Vice President of sales, marketing, professional services and international operations prior to its acquisition by Lucent Technologies</w:t>
      </w:r>
    </w:p>
    <w:p>
      <w:pPr>
        <w:spacing w:after="0" w:line="14" w:lineRule="exact"/>
        <w:rPr>
          <w:rFonts w:ascii="Arial" w:cs="Arial" w:eastAsia="Arial" w:hAnsi="Arial"/>
          <w:sz w:val="16"/>
          <w:szCs w:val="16"/>
          <w:color w:val="355A89"/>
        </w:rPr>
      </w:pPr>
    </w:p>
    <w:p>
      <w:pPr>
        <w:ind w:left="540" w:right="420" w:hanging="254"/>
        <w:spacing w:after="0" w:line="239" w:lineRule="auto"/>
        <w:tabs>
          <w:tab w:leader="none" w:pos="517" w:val="left"/>
        </w:tabs>
        <w:numPr>
          <w:ilvl w:val="0"/>
          <w:numId w:val="28"/>
        </w:numPr>
        <w:rPr>
          <w:rFonts w:ascii="Arial" w:cs="Arial" w:eastAsia="Arial" w:hAnsi="Arial"/>
          <w:sz w:val="17"/>
          <w:szCs w:val="17"/>
          <w:color w:val="355A89"/>
        </w:rPr>
      </w:pPr>
      <w:r>
        <w:rPr>
          <w:rFonts w:ascii="Arial" w:cs="Arial" w:eastAsia="Arial" w:hAnsi="Arial"/>
          <w:sz w:val="18"/>
          <w:szCs w:val="18"/>
          <w:color w:val="auto"/>
        </w:rPr>
        <w:t>Formerly an advisor to SAP SE, an advisor to British Telecom and a presidential-appointee to the Pension Benefit Guaranty Corporation advisory committee</w:t>
      </w:r>
    </w:p>
    <w:p>
      <w:pPr>
        <w:spacing w:after="0" w:line="73" w:lineRule="exact"/>
        <w:rPr>
          <w:rFonts w:ascii="Arial" w:cs="Arial" w:eastAsia="Arial" w:hAnsi="Arial"/>
          <w:sz w:val="17"/>
          <w:szCs w:val="17"/>
          <w:color w:val="355A89"/>
        </w:rPr>
      </w:pPr>
    </w:p>
    <w:p>
      <w:pPr>
        <w:ind w:left="520" w:hanging="234"/>
        <w:spacing w:after="0"/>
        <w:tabs>
          <w:tab w:leader="none" w:pos="520" w:val="left"/>
        </w:tabs>
        <w:numPr>
          <w:ilvl w:val="0"/>
          <w:numId w:val="28"/>
        </w:numPr>
        <w:rPr>
          <w:rFonts w:ascii="Arial" w:cs="Arial" w:eastAsia="Arial" w:hAnsi="Arial"/>
          <w:sz w:val="17"/>
          <w:szCs w:val="17"/>
          <w:color w:val="355A89"/>
        </w:rPr>
      </w:pPr>
      <w:r>
        <w:rPr>
          <w:rFonts w:ascii="Arial" w:cs="Arial" w:eastAsia="Arial" w:hAnsi="Arial"/>
          <w:sz w:val="18"/>
          <w:szCs w:val="18"/>
          <w:color w:val="auto"/>
        </w:rPr>
        <w:t>B.A. from the University of Massachusetts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520" w:hanging="234"/>
        <w:spacing w:after="0"/>
        <w:tabs>
          <w:tab w:leader="none" w:pos="520" w:val="left"/>
        </w:tabs>
        <w:numPr>
          <w:ilvl w:val="0"/>
          <w:numId w:val="29"/>
        </w:numPr>
        <w:rPr>
          <w:rFonts w:ascii="Arial" w:cs="Arial" w:eastAsia="Arial" w:hAnsi="Arial"/>
          <w:sz w:val="17"/>
          <w:szCs w:val="17"/>
          <w:color w:val="355A89"/>
        </w:rPr>
      </w:pPr>
      <w:r>
        <w:rPr>
          <w:rFonts w:ascii="Arial" w:cs="Arial" w:eastAsia="Arial" w:hAnsi="Arial"/>
          <w:sz w:val="18"/>
          <w:szCs w:val="18"/>
          <w:color w:val="auto"/>
        </w:rPr>
        <w:t>Wynn Resorts Ltd. since April 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w:t>
      </w:r>
    </w:p>
    <w:p>
      <w:pPr>
        <w:spacing w:after="0" w:line="230" w:lineRule="exact"/>
        <w:rPr>
          <w:sz w:val="20"/>
          <w:szCs w:val="20"/>
          <w:color w:val="auto"/>
        </w:rPr>
      </w:pPr>
    </w:p>
    <w:p>
      <w:pPr>
        <w:ind w:left="520" w:hanging="234"/>
        <w:spacing w:after="0"/>
        <w:tabs>
          <w:tab w:leader="none" w:pos="520" w:val="left"/>
        </w:tabs>
        <w:numPr>
          <w:ilvl w:val="0"/>
          <w:numId w:val="30"/>
        </w:numPr>
        <w:rPr>
          <w:rFonts w:ascii="Arial" w:cs="Arial" w:eastAsia="Arial" w:hAnsi="Arial"/>
          <w:sz w:val="17"/>
          <w:szCs w:val="17"/>
          <w:color w:val="355A89"/>
        </w:rPr>
      </w:pPr>
      <w:r>
        <w:rPr>
          <w:rFonts w:ascii="Arial" w:cs="Arial" w:eastAsia="Arial" w:hAnsi="Arial"/>
          <w:sz w:val="18"/>
          <w:szCs w:val="18"/>
          <w:color w:val="auto"/>
        </w:rPr>
        <w:t>Covetrus, Inc. from February 2019 to September 2019</w:t>
      </w:r>
    </w:p>
    <w:p>
      <w:pPr>
        <w:spacing w:after="0" w:line="63" w:lineRule="exact"/>
        <w:rPr>
          <w:rFonts w:ascii="Arial" w:cs="Arial" w:eastAsia="Arial" w:hAnsi="Arial"/>
          <w:sz w:val="17"/>
          <w:szCs w:val="17"/>
          <w:color w:val="355A89"/>
        </w:rPr>
      </w:pPr>
    </w:p>
    <w:p>
      <w:pPr>
        <w:ind w:left="520" w:hanging="234"/>
        <w:spacing w:after="0"/>
        <w:tabs>
          <w:tab w:leader="none" w:pos="520" w:val="left"/>
        </w:tabs>
        <w:numPr>
          <w:ilvl w:val="0"/>
          <w:numId w:val="30"/>
        </w:numPr>
        <w:rPr>
          <w:rFonts w:ascii="Arial" w:cs="Arial" w:eastAsia="Arial" w:hAnsi="Arial"/>
          <w:sz w:val="17"/>
          <w:szCs w:val="17"/>
          <w:color w:val="355A89"/>
        </w:rPr>
      </w:pPr>
      <w:r>
        <w:rPr>
          <w:rFonts w:ascii="Arial" w:cs="Arial" w:eastAsia="Arial" w:hAnsi="Arial"/>
          <w:sz w:val="18"/>
          <w:szCs w:val="18"/>
          <w:color w:val="auto"/>
        </w:rPr>
        <w:t>Schneider Electric, SA from April 2011 to April 2019</w:t>
      </w:r>
    </w:p>
    <w:p>
      <w:pPr>
        <w:spacing w:after="0" w:line="76" w:lineRule="exact"/>
        <w:rPr>
          <w:rFonts w:ascii="Arial" w:cs="Arial" w:eastAsia="Arial" w:hAnsi="Arial"/>
          <w:sz w:val="17"/>
          <w:szCs w:val="17"/>
          <w:color w:val="355A89"/>
        </w:rPr>
      </w:pPr>
    </w:p>
    <w:p>
      <w:pPr>
        <w:ind w:left="520" w:hanging="234"/>
        <w:spacing w:after="0"/>
        <w:tabs>
          <w:tab w:leader="none" w:pos="520" w:val="left"/>
        </w:tabs>
        <w:numPr>
          <w:ilvl w:val="0"/>
          <w:numId w:val="30"/>
        </w:numPr>
        <w:rPr>
          <w:rFonts w:ascii="Arial" w:cs="Arial" w:eastAsia="Arial" w:hAnsi="Arial"/>
          <w:sz w:val="17"/>
          <w:szCs w:val="17"/>
          <w:color w:val="355A89"/>
        </w:rPr>
      </w:pPr>
      <w:r>
        <w:rPr>
          <w:rFonts w:ascii="Arial" w:cs="Arial" w:eastAsia="Arial" w:hAnsi="Arial"/>
          <w:sz w:val="18"/>
          <w:szCs w:val="18"/>
          <w:color w:val="auto"/>
        </w:rPr>
        <w:t>Cognizant Technology Solutions Corporation from April 2017 to October 2018</w:t>
      </w:r>
    </w:p>
    <w:p>
      <w:pPr>
        <w:spacing w:after="0" w:line="63" w:lineRule="exact"/>
        <w:rPr>
          <w:rFonts w:ascii="Arial" w:cs="Arial" w:eastAsia="Arial" w:hAnsi="Arial"/>
          <w:sz w:val="17"/>
          <w:szCs w:val="17"/>
          <w:color w:val="355A89"/>
        </w:rPr>
      </w:pPr>
    </w:p>
    <w:p>
      <w:pPr>
        <w:ind w:left="520" w:hanging="234"/>
        <w:spacing w:after="0"/>
        <w:tabs>
          <w:tab w:leader="none" w:pos="520" w:val="left"/>
        </w:tabs>
        <w:numPr>
          <w:ilvl w:val="0"/>
          <w:numId w:val="30"/>
        </w:numPr>
        <w:rPr>
          <w:rFonts w:ascii="Arial" w:cs="Arial" w:eastAsia="Arial" w:hAnsi="Arial"/>
          <w:sz w:val="17"/>
          <w:szCs w:val="17"/>
          <w:color w:val="355A89"/>
        </w:rPr>
      </w:pPr>
      <w:r>
        <w:rPr>
          <w:rFonts w:ascii="Arial" w:cs="Arial" w:eastAsia="Arial" w:hAnsi="Arial"/>
          <w:sz w:val="18"/>
          <w:szCs w:val="18"/>
          <w:color w:val="auto"/>
        </w:rPr>
        <w:t>HD Supply, Inc. from September 2013 to April 2018</w:t>
      </w:r>
    </w:p>
    <w:p>
      <w:pPr>
        <w:spacing w:after="0" w:line="63" w:lineRule="exact"/>
        <w:rPr>
          <w:rFonts w:ascii="Arial" w:cs="Arial" w:eastAsia="Arial" w:hAnsi="Arial"/>
          <w:sz w:val="17"/>
          <w:szCs w:val="17"/>
          <w:color w:val="355A89"/>
        </w:rPr>
      </w:pPr>
    </w:p>
    <w:p>
      <w:pPr>
        <w:ind w:left="520" w:hanging="234"/>
        <w:spacing w:after="0"/>
        <w:tabs>
          <w:tab w:leader="none" w:pos="520" w:val="left"/>
        </w:tabs>
        <w:numPr>
          <w:ilvl w:val="0"/>
          <w:numId w:val="30"/>
        </w:numPr>
        <w:rPr>
          <w:rFonts w:ascii="Arial" w:cs="Arial" w:eastAsia="Arial" w:hAnsi="Arial"/>
          <w:sz w:val="17"/>
          <w:szCs w:val="17"/>
          <w:color w:val="355A89"/>
        </w:rPr>
      </w:pPr>
      <w:r>
        <w:rPr>
          <w:rFonts w:ascii="Arial" w:cs="Arial" w:eastAsia="Arial" w:hAnsi="Arial"/>
          <w:sz w:val="18"/>
          <w:szCs w:val="18"/>
          <w:color w:val="auto"/>
        </w:rPr>
        <w:t>Polycom, Inc. from 1999 to April 2016</w:t>
      </w:r>
    </w:p>
    <w:p>
      <w:pPr>
        <w:spacing w:after="0" w:line="76" w:lineRule="exact"/>
        <w:rPr>
          <w:rFonts w:ascii="Arial" w:cs="Arial" w:eastAsia="Arial" w:hAnsi="Arial"/>
          <w:sz w:val="17"/>
          <w:szCs w:val="17"/>
          <w:color w:val="355A89"/>
        </w:rPr>
      </w:pPr>
    </w:p>
    <w:p>
      <w:pPr>
        <w:ind w:left="520" w:hanging="234"/>
        <w:spacing w:after="0"/>
        <w:tabs>
          <w:tab w:leader="none" w:pos="520" w:val="left"/>
        </w:tabs>
        <w:numPr>
          <w:ilvl w:val="0"/>
          <w:numId w:val="30"/>
        </w:numPr>
        <w:rPr>
          <w:rFonts w:ascii="Arial" w:cs="Arial" w:eastAsia="Arial" w:hAnsi="Arial"/>
          <w:sz w:val="17"/>
          <w:szCs w:val="17"/>
          <w:color w:val="355A89"/>
        </w:rPr>
      </w:pPr>
      <w:r>
        <w:rPr>
          <w:rFonts w:ascii="Arial" w:cs="Arial" w:eastAsia="Arial" w:hAnsi="Arial"/>
          <w:sz w:val="18"/>
          <w:szCs w:val="18"/>
          <w:color w:val="auto"/>
        </w:rPr>
        <w:t>Darden Restaurants, Inc. from October 2014 to September 2015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130175</wp:posOffset>
            </wp:positionV>
            <wp:extent cx="71532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1400" w:space="100"/>
            <w:col w:w="97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355A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420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355A89"/>
        </w:rPr>
        <w:t>Edwin T.</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355A89"/>
        </w:rPr>
        <w:t>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1315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91540" cy="11315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1315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9154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SL Green Board Service:</w:t>
      </w:r>
    </w:p>
    <w:p>
      <w:pPr>
        <w:spacing w:after="0" w:line="188" w:lineRule="exact"/>
        <w:rPr>
          <w:sz w:val="20"/>
          <w:szCs w:val="20"/>
          <w:color w:val="auto"/>
        </w:rPr>
      </w:pPr>
    </w:p>
    <w:p>
      <w:pPr>
        <w:ind w:left="280" w:right="200" w:hanging="263"/>
        <w:spacing w:after="0" w:line="290" w:lineRule="auto"/>
        <w:tabs>
          <w:tab w:leader="none" w:pos="257" w:val="left"/>
        </w:tabs>
        <w:numPr>
          <w:ilvl w:val="0"/>
          <w:numId w:val="31"/>
        </w:numPr>
        <w:rPr>
          <w:rFonts w:ascii="Arial" w:cs="Arial" w:eastAsia="Arial" w:hAnsi="Arial"/>
          <w:sz w:val="16"/>
          <w:szCs w:val="16"/>
          <w:color w:val="355A89"/>
        </w:rPr>
      </w:pPr>
      <w:r>
        <w:rPr>
          <w:rFonts w:ascii="Arial" w:cs="Arial" w:eastAsia="Arial" w:hAnsi="Arial"/>
          <w:sz w:val="16"/>
          <w:szCs w:val="16"/>
          <w:color w:val="auto"/>
        </w:rPr>
        <w:t>Audit Committee, Chair</w:t>
      </w:r>
    </w:p>
    <w:p>
      <w:pPr>
        <w:spacing w:after="0" w:line="21" w:lineRule="exact"/>
        <w:rPr>
          <w:rFonts w:ascii="Arial" w:cs="Arial" w:eastAsia="Arial" w:hAnsi="Arial"/>
          <w:sz w:val="16"/>
          <w:szCs w:val="16"/>
          <w:color w:val="355A89"/>
        </w:rPr>
      </w:pPr>
    </w:p>
    <w:p>
      <w:pPr>
        <w:ind w:left="280" w:hanging="263"/>
        <w:spacing w:after="0" w:line="316" w:lineRule="auto"/>
        <w:tabs>
          <w:tab w:leader="none" w:pos="257" w:val="left"/>
        </w:tabs>
        <w:numPr>
          <w:ilvl w:val="0"/>
          <w:numId w:val="31"/>
        </w:numPr>
        <w:rPr>
          <w:rFonts w:ascii="Arial" w:cs="Arial" w:eastAsia="Arial" w:hAnsi="Arial"/>
          <w:sz w:val="16"/>
          <w:szCs w:val="16"/>
          <w:color w:val="355A89"/>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8915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A89"/>
        </w:rPr>
        <w:t>Lauren B.</w:t>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A89"/>
        </w:rPr>
        <w:t>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1398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91540" cy="1139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78 Independent Director</w:t>
      </w:r>
    </w:p>
    <w:p>
      <w:pPr>
        <w:spacing w:after="0" w:line="301"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In addition to his experience in academia as a seasoned professor of economics, Mr. Burton’s extensive skills and experience in corporate governance, financial, compensation and legal matters allow him to provide valuable financial expertise and insights into the Company’s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360" w:hanging="267"/>
        <w:spacing w:after="0" w:line="254" w:lineRule="auto"/>
        <w:tabs>
          <w:tab w:leader="none" w:pos="517"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Professor of Economics at the University of Virginia since 1988; has held teaching positions at York College, Rice University and Cornell University, and has written and lectured extensively in the field of Economics</w:t>
      </w:r>
    </w:p>
    <w:p>
      <w:pPr>
        <w:spacing w:after="0" w:line="47" w:lineRule="exact"/>
        <w:rPr>
          <w:rFonts w:ascii="Arial" w:cs="Arial" w:eastAsia="Arial" w:hAnsi="Arial"/>
          <w:sz w:val="17"/>
          <w:szCs w:val="17"/>
          <w:color w:val="355A89"/>
        </w:rPr>
      </w:pPr>
    </w:p>
    <w:p>
      <w:pPr>
        <w:ind w:left="520" w:hanging="247"/>
        <w:spacing w:after="0"/>
        <w:tabs>
          <w:tab w:leader="none" w:pos="520"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Consultant to numerous companies on investment strategy and investment banking</w:t>
      </w:r>
    </w:p>
    <w:p>
      <w:pPr>
        <w:spacing w:after="0" w:line="90" w:lineRule="exact"/>
        <w:rPr>
          <w:rFonts w:ascii="Arial" w:cs="Arial" w:eastAsia="Arial" w:hAnsi="Arial"/>
          <w:sz w:val="17"/>
          <w:szCs w:val="17"/>
          <w:color w:val="355A89"/>
        </w:rPr>
      </w:pPr>
    </w:p>
    <w:p>
      <w:pPr>
        <w:ind w:left="540" w:right="300" w:hanging="267"/>
        <w:spacing w:after="0" w:line="244" w:lineRule="auto"/>
        <w:tabs>
          <w:tab w:leader="none" w:pos="517"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Member of the Board of Trustees of the Virginia Retirement System for state and local employees of the Commonwealth of Virginia from 1994 to 2001 and then again from 2004 to 2014, and served as its Chairman from 1997 until March 2001</w:t>
      </w:r>
    </w:p>
    <w:p>
      <w:pPr>
        <w:spacing w:after="0" w:line="57" w:lineRule="exact"/>
        <w:rPr>
          <w:rFonts w:ascii="Arial" w:cs="Arial" w:eastAsia="Arial" w:hAnsi="Arial"/>
          <w:sz w:val="17"/>
          <w:szCs w:val="17"/>
          <w:color w:val="355A89"/>
        </w:rPr>
      </w:pPr>
    </w:p>
    <w:p>
      <w:pPr>
        <w:ind w:left="540" w:right="460" w:hanging="267"/>
        <w:spacing w:after="0" w:line="312" w:lineRule="auto"/>
        <w:tabs>
          <w:tab w:leader="none" w:pos="517" w:val="left"/>
        </w:tabs>
        <w:numPr>
          <w:ilvl w:val="0"/>
          <w:numId w:val="32"/>
        </w:numPr>
        <w:rPr>
          <w:rFonts w:ascii="Arial" w:cs="Arial" w:eastAsia="Arial" w:hAnsi="Arial"/>
          <w:sz w:val="16"/>
          <w:szCs w:val="16"/>
          <w:color w:val="355A89"/>
        </w:rPr>
      </w:pPr>
      <w:r>
        <w:rPr>
          <w:rFonts w:ascii="Arial" w:cs="Arial" w:eastAsia="Arial" w:hAnsi="Arial"/>
          <w:sz w:val="16"/>
          <w:szCs w:val="16"/>
          <w:color w:val="auto"/>
        </w:rPr>
        <w:t>Senior Vice President, Managing Director and director of Interstate Johnson Lane, Incorporated, an investment banking firm, where he was in charge of the Corporate Finance and Public Finance Divisions from 1994 to 1995</w:t>
      </w:r>
    </w:p>
    <w:p>
      <w:pPr>
        <w:spacing w:after="0" w:line="7" w:lineRule="exact"/>
        <w:rPr>
          <w:rFonts w:ascii="Arial" w:cs="Arial" w:eastAsia="Arial" w:hAnsi="Arial"/>
          <w:sz w:val="16"/>
          <w:szCs w:val="16"/>
          <w:color w:val="355A89"/>
        </w:rPr>
      </w:pPr>
    </w:p>
    <w:p>
      <w:pPr>
        <w:ind w:left="540" w:right="20" w:hanging="267"/>
        <w:spacing w:after="0" w:line="244" w:lineRule="auto"/>
        <w:tabs>
          <w:tab w:leader="none" w:pos="517"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President of Rothschild Financial Services, Incorporated (a subsidiary of Rothschild, Inc. of North America), an investment banking company headquartered in New York City that is involved in proprietary trading, securities lending and other investment activities from 1987 to 1994</w:t>
      </w:r>
    </w:p>
    <w:p>
      <w:pPr>
        <w:spacing w:after="0" w:line="70" w:lineRule="exact"/>
        <w:rPr>
          <w:rFonts w:ascii="Arial" w:cs="Arial" w:eastAsia="Arial" w:hAnsi="Arial"/>
          <w:sz w:val="17"/>
          <w:szCs w:val="17"/>
          <w:color w:val="355A89"/>
        </w:rPr>
      </w:pPr>
    </w:p>
    <w:p>
      <w:pPr>
        <w:ind w:left="520" w:hanging="247"/>
        <w:spacing w:after="0"/>
        <w:tabs>
          <w:tab w:leader="none" w:pos="520"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Consultant to the American Stock Exchange from 1985 to 1986</w:t>
      </w:r>
    </w:p>
    <w:p>
      <w:pPr>
        <w:spacing w:after="0" w:line="76" w:lineRule="exact"/>
        <w:rPr>
          <w:rFonts w:ascii="Arial" w:cs="Arial" w:eastAsia="Arial" w:hAnsi="Arial"/>
          <w:sz w:val="17"/>
          <w:szCs w:val="17"/>
          <w:color w:val="355A89"/>
        </w:rPr>
      </w:pPr>
    </w:p>
    <w:p>
      <w:pPr>
        <w:ind w:left="520" w:hanging="247"/>
        <w:spacing w:after="0"/>
        <w:tabs>
          <w:tab w:leader="none" w:pos="520"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Senior vice president with Smith Barney (or its corporate predecessor) from 1976 to 1984</w:t>
      </w:r>
    </w:p>
    <w:p>
      <w:pPr>
        <w:spacing w:after="0" w:line="76" w:lineRule="exact"/>
        <w:rPr>
          <w:rFonts w:ascii="Arial" w:cs="Arial" w:eastAsia="Arial" w:hAnsi="Arial"/>
          <w:sz w:val="17"/>
          <w:szCs w:val="17"/>
          <w:color w:val="355A89"/>
        </w:rPr>
      </w:pPr>
    </w:p>
    <w:p>
      <w:pPr>
        <w:ind w:left="520" w:hanging="247"/>
        <w:spacing w:after="0"/>
        <w:tabs>
          <w:tab w:leader="none" w:pos="520"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Member of the Board of Directors of Chase Investors, a privately-held registered investment advisor, since 2004</w:t>
      </w:r>
    </w:p>
    <w:p>
      <w:pPr>
        <w:spacing w:after="0" w:line="90" w:lineRule="exact"/>
        <w:rPr>
          <w:rFonts w:ascii="Arial" w:cs="Arial" w:eastAsia="Arial" w:hAnsi="Arial"/>
          <w:sz w:val="17"/>
          <w:szCs w:val="17"/>
          <w:color w:val="355A89"/>
        </w:rPr>
      </w:pPr>
    </w:p>
    <w:p>
      <w:pPr>
        <w:ind w:left="540" w:right="600" w:hanging="267"/>
        <w:spacing w:after="0" w:line="312" w:lineRule="auto"/>
        <w:tabs>
          <w:tab w:leader="none" w:pos="517" w:val="left"/>
        </w:tabs>
        <w:numPr>
          <w:ilvl w:val="0"/>
          <w:numId w:val="32"/>
        </w:numPr>
        <w:rPr>
          <w:rFonts w:ascii="Arial" w:cs="Arial" w:eastAsia="Arial" w:hAnsi="Arial"/>
          <w:sz w:val="16"/>
          <w:szCs w:val="16"/>
          <w:color w:val="355A89"/>
        </w:rPr>
      </w:pPr>
      <w:r>
        <w:rPr>
          <w:rFonts w:ascii="Arial" w:cs="Arial" w:eastAsia="Arial" w:hAnsi="Arial"/>
          <w:sz w:val="16"/>
          <w:szCs w:val="16"/>
          <w:color w:val="auto"/>
        </w:rPr>
        <w:t>Former member of the Board of Directors of Capstar Hotel Company, a publicly-traded hotel company, Virginia National Bank, a publicly-traded commercial bank, and SNL Securities, a private securities data company</w:t>
      </w:r>
    </w:p>
    <w:p>
      <w:pPr>
        <w:spacing w:after="0" w:line="7" w:lineRule="exact"/>
        <w:rPr>
          <w:rFonts w:ascii="Arial" w:cs="Arial" w:eastAsia="Arial" w:hAnsi="Arial"/>
          <w:sz w:val="16"/>
          <w:szCs w:val="16"/>
          <w:color w:val="355A89"/>
        </w:rPr>
      </w:pPr>
    </w:p>
    <w:p>
      <w:pPr>
        <w:ind w:left="520" w:hanging="247"/>
        <w:spacing w:after="0"/>
        <w:tabs>
          <w:tab w:leader="none" w:pos="520" w:val="left"/>
        </w:tabs>
        <w:numPr>
          <w:ilvl w:val="0"/>
          <w:numId w:val="32"/>
        </w:numPr>
        <w:rPr>
          <w:rFonts w:ascii="Arial" w:cs="Arial" w:eastAsia="Arial" w:hAnsi="Arial"/>
          <w:sz w:val="17"/>
          <w:szCs w:val="17"/>
          <w:color w:val="355A89"/>
        </w:rPr>
      </w:pPr>
      <w:r>
        <w:rPr>
          <w:rFonts w:ascii="Arial" w:cs="Arial" w:eastAsia="Arial" w:hAnsi="Arial"/>
          <w:sz w:val="18"/>
          <w:szCs w:val="18"/>
          <w:color w:val="auto"/>
        </w:rPr>
        <w:t>B.A. degree in Economics from Rice University and Ph.D. degree in Economics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6137910" cy="420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37910" cy="4203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2016</w:t>
      </w:r>
      <w:r>
        <w:rPr>
          <w:rFonts w:ascii="Arial" w:cs="Arial" w:eastAsia="Arial" w:hAnsi="Arial"/>
          <w:sz w:val="18"/>
          <w:szCs w:val="18"/>
          <w:color w:val="auto"/>
        </w:rPr>
        <w:t xml:space="preserve"> Age: </w:t>
      </w:r>
      <w:r>
        <w:rPr>
          <w:rFonts w:ascii="Arial" w:cs="Arial" w:eastAsia="Arial" w:hAnsi="Arial"/>
          <w:sz w:val="18"/>
          <w:szCs w:val="18"/>
          <w:b w:val="1"/>
          <w:bCs w:val="1"/>
          <w:color w:val="auto"/>
        </w:rPr>
        <w:t>45 Independent Director</w:t>
      </w:r>
    </w:p>
    <w:p>
      <w:pPr>
        <w:spacing w:after="0" w:line="300" w:lineRule="exact"/>
        <w:rPr>
          <w:sz w:val="20"/>
          <w:szCs w:val="20"/>
          <w:color w:val="auto"/>
        </w:rPr>
      </w:pPr>
    </w:p>
    <w:p>
      <w:pPr>
        <w:sectPr>
          <w:pgSz w:w="11900" w:h="16838" w:orient="portrait"/>
          <w:cols w:equalWidth="0" w:num="2">
            <w:col w:w="1380" w:space="200"/>
            <w:col w:w="9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SL Green Board Service:</w:t>
      </w:r>
    </w:p>
    <w:p>
      <w:pPr>
        <w:spacing w:after="0" w:line="188" w:lineRule="exact"/>
        <w:rPr>
          <w:sz w:val="20"/>
          <w:szCs w:val="20"/>
          <w:color w:val="auto"/>
        </w:rPr>
      </w:pPr>
    </w:p>
    <w:p>
      <w:pPr>
        <w:ind w:left="280" w:right="260" w:hanging="263"/>
        <w:spacing w:after="0" w:line="312" w:lineRule="auto"/>
        <w:tabs>
          <w:tab w:leader="none" w:pos="257" w:val="left"/>
        </w:tabs>
        <w:numPr>
          <w:ilvl w:val="0"/>
          <w:numId w:val="33"/>
        </w:numPr>
        <w:rPr>
          <w:rFonts w:ascii="Arial" w:cs="Arial" w:eastAsia="Arial" w:hAnsi="Arial"/>
          <w:sz w:val="16"/>
          <w:szCs w:val="16"/>
          <w:color w:val="355A89"/>
        </w:rPr>
      </w:pPr>
      <w:r>
        <w:rPr>
          <w:rFonts w:ascii="Arial" w:cs="Arial" w:eastAsia="Arial" w:hAnsi="Arial"/>
          <w:sz w:val="16"/>
          <w:szCs w:val="16"/>
          <w:color w:val="auto"/>
        </w:rPr>
        <w:t>Audit Committee</w:t>
      </w:r>
    </w:p>
    <w:p>
      <w:pPr>
        <w:spacing w:after="0" w:line="7" w:lineRule="exact"/>
        <w:rPr>
          <w:rFonts w:ascii="Arial" w:cs="Arial" w:eastAsia="Arial" w:hAnsi="Arial"/>
          <w:sz w:val="16"/>
          <w:szCs w:val="16"/>
          <w:color w:val="355A89"/>
        </w:rPr>
      </w:pPr>
    </w:p>
    <w:p>
      <w:pPr>
        <w:ind w:left="280" w:hanging="263"/>
        <w:spacing w:after="0" w:line="290" w:lineRule="auto"/>
        <w:tabs>
          <w:tab w:leader="none" w:pos="257" w:val="left"/>
        </w:tabs>
        <w:numPr>
          <w:ilvl w:val="0"/>
          <w:numId w:val="33"/>
        </w:numPr>
        <w:rPr>
          <w:rFonts w:ascii="Arial" w:cs="Arial" w:eastAsia="Arial" w:hAnsi="Arial"/>
          <w:sz w:val="16"/>
          <w:szCs w:val="16"/>
          <w:color w:val="355A89"/>
        </w:rPr>
      </w:pPr>
      <w:r>
        <w:rPr>
          <w:rFonts w:ascii="Arial" w:cs="Arial" w:eastAsia="Arial" w:hAnsi="Arial"/>
          <w:sz w:val="16"/>
          <w:szCs w:val="16"/>
          <w:color w:val="auto"/>
        </w:rPr>
        <w:t>Compensation Committee, Chair</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Ms. Dillard’s sophisticated understanding of tax, real estate, investment programs, finance, compensation and corporate governance, all viewed through the lens of over fifteen years of global private equity experience and together with her considerable operational expertise, provides the Board and the Company with deep and practical insight on a broad range of matters.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520" w:hanging="267"/>
        <w:spacing w:after="0" w:line="254" w:lineRule="auto"/>
        <w:tabs>
          <w:tab w:leader="none" w:pos="517" w:val="left"/>
        </w:tabs>
        <w:numPr>
          <w:ilvl w:val="0"/>
          <w:numId w:val="34"/>
        </w:numPr>
        <w:rPr>
          <w:rFonts w:ascii="Arial" w:cs="Arial" w:eastAsia="Arial" w:hAnsi="Arial"/>
          <w:sz w:val="17"/>
          <w:szCs w:val="17"/>
          <w:color w:val="355A89"/>
        </w:rPr>
      </w:pPr>
      <w:r>
        <w:rPr>
          <w:rFonts w:ascii="Arial" w:cs="Arial" w:eastAsia="Arial" w:hAnsi="Arial"/>
          <w:sz w:val="18"/>
          <w:szCs w:val="18"/>
          <w:color w:val="auto"/>
        </w:rPr>
        <w:t>Executive Vice President of Investment Intelligence of Nasdaq, Inc., a global technology firm serving the capital markets and other industries, since June 2019</w:t>
      </w:r>
    </w:p>
    <w:p>
      <w:pPr>
        <w:spacing w:after="0" w:line="47" w:lineRule="exact"/>
        <w:rPr>
          <w:rFonts w:ascii="Arial" w:cs="Arial" w:eastAsia="Arial" w:hAnsi="Arial"/>
          <w:sz w:val="17"/>
          <w:szCs w:val="17"/>
          <w:color w:val="355A89"/>
        </w:rPr>
      </w:pPr>
    </w:p>
    <w:p>
      <w:pPr>
        <w:ind w:left="540" w:hanging="267"/>
        <w:spacing w:after="0" w:line="244" w:lineRule="auto"/>
        <w:tabs>
          <w:tab w:leader="none" w:pos="517" w:val="left"/>
        </w:tabs>
        <w:numPr>
          <w:ilvl w:val="0"/>
          <w:numId w:val="34"/>
        </w:numPr>
        <w:rPr>
          <w:rFonts w:ascii="Arial" w:cs="Arial" w:eastAsia="Arial" w:hAnsi="Arial"/>
          <w:sz w:val="17"/>
          <w:szCs w:val="17"/>
          <w:color w:val="355A89"/>
        </w:rPr>
      </w:pPr>
      <w:r>
        <w:rPr>
          <w:rFonts w:ascii="Arial" w:cs="Arial" w:eastAsia="Arial" w:hAnsi="Arial"/>
          <w:sz w:val="18"/>
          <w:szCs w:val="18"/>
          <w:color w:val="auto"/>
        </w:rPr>
        <w:t>Managing Director for the Carlyle Group, a global alternative asset manager, from 2011 to May 2019, head of Carlyle’s Investment Solutions Group since December 2015 and member of Carlyle’s Management Committee; joined Carlyle in 2002</w:t>
      </w:r>
    </w:p>
    <w:p>
      <w:pPr>
        <w:spacing w:after="0" w:line="70" w:lineRule="exact"/>
        <w:rPr>
          <w:rFonts w:ascii="Arial" w:cs="Arial" w:eastAsia="Arial" w:hAnsi="Arial"/>
          <w:sz w:val="17"/>
          <w:szCs w:val="17"/>
          <w:color w:val="355A89"/>
        </w:rPr>
      </w:pPr>
    </w:p>
    <w:p>
      <w:pPr>
        <w:ind w:left="540" w:right="220" w:hanging="267"/>
        <w:spacing w:after="0" w:line="290" w:lineRule="auto"/>
        <w:tabs>
          <w:tab w:leader="none" w:pos="517" w:val="left"/>
        </w:tabs>
        <w:numPr>
          <w:ilvl w:val="0"/>
          <w:numId w:val="34"/>
        </w:numPr>
        <w:rPr>
          <w:rFonts w:ascii="Arial" w:cs="Arial" w:eastAsia="Arial" w:hAnsi="Arial"/>
          <w:sz w:val="16"/>
          <w:szCs w:val="16"/>
          <w:color w:val="355A89"/>
        </w:rPr>
      </w:pPr>
      <w:r>
        <w:rPr>
          <w:rFonts w:ascii="Arial" w:cs="Arial" w:eastAsia="Arial" w:hAnsi="Arial"/>
          <w:sz w:val="16"/>
          <w:szCs w:val="16"/>
          <w:color w:val="auto"/>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p>
    <w:p>
      <w:pPr>
        <w:spacing w:after="0" w:line="21" w:lineRule="exact"/>
        <w:rPr>
          <w:rFonts w:ascii="Arial" w:cs="Arial" w:eastAsia="Arial" w:hAnsi="Arial"/>
          <w:sz w:val="16"/>
          <w:szCs w:val="16"/>
          <w:color w:val="355A89"/>
        </w:rPr>
      </w:pPr>
    </w:p>
    <w:p>
      <w:pPr>
        <w:ind w:left="520" w:hanging="247"/>
        <w:spacing w:after="0"/>
        <w:tabs>
          <w:tab w:leader="none" w:pos="520" w:val="left"/>
        </w:tabs>
        <w:numPr>
          <w:ilvl w:val="0"/>
          <w:numId w:val="34"/>
        </w:numPr>
        <w:rPr>
          <w:rFonts w:ascii="Arial" w:cs="Arial" w:eastAsia="Arial" w:hAnsi="Arial"/>
          <w:sz w:val="17"/>
          <w:szCs w:val="17"/>
          <w:color w:val="355A89"/>
        </w:rPr>
      </w:pPr>
      <w:r>
        <w:rPr>
          <w:rFonts w:ascii="Arial" w:cs="Arial" w:eastAsia="Arial" w:hAnsi="Arial"/>
          <w:sz w:val="18"/>
          <w:szCs w:val="18"/>
          <w:color w:val="auto"/>
        </w:rPr>
        <w:t>Served in the Real Estate and Financial Services Group of the Tax Practice of Arthur Andersen, LLP prior to 2002</w:t>
      </w:r>
    </w:p>
    <w:p>
      <w:pPr>
        <w:spacing w:after="0" w:line="76" w:lineRule="exact"/>
        <w:rPr>
          <w:rFonts w:ascii="Arial" w:cs="Arial" w:eastAsia="Arial" w:hAnsi="Arial"/>
          <w:sz w:val="17"/>
          <w:szCs w:val="17"/>
          <w:color w:val="355A89"/>
        </w:rPr>
      </w:pPr>
    </w:p>
    <w:p>
      <w:pPr>
        <w:ind w:left="540" w:right="500" w:hanging="267"/>
        <w:spacing w:after="0" w:line="254" w:lineRule="auto"/>
        <w:tabs>
          <w:tab w:leader="none" w:pos="517" w:val="left"/>
        </w:tabs>
        <w:numPr>
          <w:ilvl w:val="0"/>
          <w:numId w:val="34"/>
        </w:numPr>
        <w:rPr>
          <w:rFonts w:ascii="Arial" w:cs="Arial" w:eastAsia="Arial" w:hAnsi="Arial"/>
          <w:sz w:val="17"/>
          <w:szCs w:val="17"/>
          <w:color w:val="355A89"/>
        </w:rPr>
      </w:pPr>
      <w:r>
        <w:rPr>
          <w:rFonts w:ascii="Arial" w:cs="Arial" w:eastAsia="Arial" w:hAnsi="Arial"/>
          <w:sz w:val="18"/>
          <w:szCs w:val="18"/>
          <w:color w:val="auto"/>
        </w:rPr>
        <w:t>Current Executive Sponsor for the Women’s Initiative at Nasdaq, member of the Private Equity Women Investor Network (PEWIN) and other women in finance industry initiatives</w:t>
      </w:r>
    </w:p>
    <w:p>
      <w:pPr>
        <w:spacing w:after="0" w:line="61" w:lineRule="exact"/>
        <w:rPr>
          <w:rFonts w:ascii="Arial" w:cs="Arial" w:eastAsia="Arial" w:hAnsi="Arial"/>
          <w:sz w:val="17"/>
          <w:szCs w:val="17"/>
          <w:color w:val="355A89"/>
        </w:rPr>
      </w:pPr>
    </w:p>
    <w:p>
      <w:pPr>
        <w:ind w:left="520" w:hanging="247"/>
        <w:spacing w:after="0"/>
        <w:tabs>
          <w:tab w:leader="none" w:pos="520" w:val="left"/>
        </w:tabs>
        <w:numPr>
          <w:ilvl w:val="0"/>
          <w:numId w:val="34"/>
        </w:numPr>
        <w:rPr>
          <w:rFonts w:ascii="Arial" w:cs="Arial" w:eastAsia="Arial" w:hAnsi="Arial"/>
          <w:sz w:val="17"/>
          <w:szCs w:val="17"/>
          <w:color w:val="355A89"/>
        </w:rPr>
      </w:pPr>
      <w:r>
        <w:rPr>
          <w:rFonts w:ascii="Arial" w:cs="Arial" w:eastAsia="Arial" w:hAnsi="Arial"/>
          <w:sz w:val="18"/>
          <w:szCs w:val="18"/>
          <w:color w:val="auto"/>
        </w:rPr>
        <w:t>B.S. in business administration from the University of Richmond</w:t>
      </w:r>
    </w:p>
    <w:p>
      <w:pPr>
        <w:spacing w:after="0" w:line="200" w:lineRule="exact"/>
        <w:rPr>
          <w:sz w:val="20"/>
          <w:szCs w:val="20"/>
          <w:color w:val="auto"/>
        </w:rPr>
      </w:pPr>
    </w:p>
    <w:p>
      <w:pPr>
        <w:sectPr>
          <w:pgSz w:w="11900" w:h="16838" w:orient="portrait"/>
          <w:cols w:equalWidth="0" w:num="2">
            <w:col w:w="1380" w:space="200"/>
            <w:col w:w="9660"/>
          </w:cols>
          <w:pgMar w:left="320" w:top="121" w:right="339" w:bottom="1440" w:gutter="0" w:footer="0" w:header="0"/>
          <w:type w:val="continuous"/>
        </w:sectPr>
      </w:pPr>
    </w:p>
    <w:p>
      <w:pPr>
        <w:spacing w:after="0" w:line="93"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6"/>
          <w:szCs w:val="16"/>
          <w:color w:val="355A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320" w:type="dxa"/>
            <w:vAlign w:val="bottom"/>
            <w:tcBorders>
              <w:top w:val="single" w:sz="8" w:color="355889"/>
            </w:tcBorders>
          </w:tcPr>
          <w:p>
            <w:pPr>
              <w:jc w:val="center"/>
              <w:spacing w:after="0"/>
              <w:rPr>
                <w:sz w:val="20"/>
                <w:szCs w:val="20"/>
                <w:color w:val="auto"/>
              </w:rPr>
            </w:pPr>
            <w:r>
              <w:rPr>
                <w:rFonts w:ascii="Arial" w:cs="Arial" w:eastAsia="Arial" w:hAnsi="Arial"/>
                <w:sz w:val="22"/>
                <w:szCs w:val="22"/>
                <w:b w:val="1"/>
                <w:bCs w:val="1"/>
                <w:color w:val="355A89"/>
                <w:w w:val="97"/>
              </w:rPr>
              <w:t>Stephen L.</w:t>
            </w:r>
          </w:p>
        </w:tc>
        <w:tc>
          <w:tcPr>
            <w:tcW w:w="160" w:type="dxa"/>
            <w:vAlign w:val="bottom"/>
          </w:tcPr>
          <w:p>
            <w:pPr>
              <w:spacing w:after="0"/>
              <w:rPr>
                <w:sz w:val="24"/>
                <w:szCs w:val="24"/>
                <w:color w:val="auto"/>
              </w:rPr>
            </w:pPr>
          </w:p>
        </w:tc>
        <w:tc>
          <w:tcPr>
            <w:tcW w:w="9760" w:type="dxa"/>
            <w:vAlign w:val="bottom"/>
            <w:tcBorders>
              <w:top w:val="single" w:sz="8" w:color="355889"/>
            </w:tcBorders>
            <w:vMerge w:val="restart"/>
            <w:shd w:val="clear" w:color="auto" w:fill="EBEDF3"/>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83 Director</w:t>
            </w:r>
          </w:p>
        </w:tc>
        <w:tc>
          <w:tcPr>
            <w:tcW w:w="0" w:type="dxa"/>
            <w:vAlign w:val="bottom"/>
          </w:tcPr>
          <w:p>
            <w:pPr>
              <w:spacing w:after="0"/>
              <w:rPr>
                <w:sz w:val="1"/>
                <w:szCs w:val="1"/>
                <w:color w:val="auto"/>
              </w:rPr>
            </w:pPr>
          </w:p>
        </w:tc>
      </w:tr>
      <w:tr>
        <w:trPr>
          <w:trHeight w:val="152"/>
        </w:trPr>
        <w:tc>
          <w:tcPr>
            <w:tcW w:w="1480" w:type="dxa"/>
            <w:vAlign w:val="bottom"/>
            <w:gridSpan w:val="2"/>
            <w:vMerge w:val="restart"/>
          </w:tcPr>
          <w:p>
            <w:pPr>
              <w:jc w:val="center"/>
              <w:ind w:right="140"/>
              <w:spacing w:after="0"/>
              <w:rPr>
                <w:sz w:val="20"/>
                <w:szCs w:val="20"/>
                <w:color w:val="auto"/>
              </w:rPr>
            </w:pPr>
            <w:r>
              <w:rPr>
                <w:rFonts w:ascii="Arial" w:cs="Arial" w:eastAsia="Arial" w:hAnsi="Arial"/>
                <w:sz w:val="22"/>
                <w:szCs w:val="22"/>
                <w:b w:val="1"/>
                <w:bCs w:val="1"/>
                <w:color w:val="355A89"/>
                <w:w w:val="97"/>
              </w:rPr>
              <w:t>Green</w:t>
            </w:r>
          </w:p>
        </w:tc>
        <w:tc>
          <w:tcPr>
            <w:tcW w:w="9760" w:type="dxa"/>
            <w:vAlign w:val="bottom"/>
            <w:vMerge w:val="continue"/>
            <w:shd w:val="clear" w:color="auto" w:fill="EBEDF3"/>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80" w:type="dxa"/>
            <w:vAlign w:val="bottom"/>
            <w:gridSpan w:val="2"/>
            <w:vMerge w:val="continue"/>
          </w:tcPr>
          <w:p>
            <w:pPr>
              <w:spacing w:after="0"/>
              <w:rPr>
                <w:sz w:val="11"/>
                <w:szCs w:val="11"/>
                <w:color w:val="auto"/>
              </w:rPr>
            </w:pPr>
          </w:p>
        </w:tc>
        <w:tc>
          <w:tcPr>
            <w:tcW w:w="9760" w:type="dxa"/>
            <w:vAlign w:val="bottom"/>
            <w:shd w:val="clear" w:color="auto" w:fill="EBEDF3"/>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320" w:type="dxa"/>
            <w:vAlign w:val="bottom"/>
            <w:tcBorders>
              <w:bottom w:val="single" w:sz="8" w:color="355889"/>
            </w:tcBorders>
          </w:tcPr>
          <w:p>
            <w:pPr>
              <w:spacing w:after="0"/>
              <w:rPr>
                <w:sz w:val="5"/>
                <w:szCs w:val="5"/>
                <w:color w:val="auto"/>
              </w:rPr>
            </w:pPr>
          </w:p>
        </w:tc>
        <w:tc>
          <w:tcPr>
            <w:tcW w:w="160" w:type="dxa"/>
            <w:vAlign w:val="bottom"/>
          </w:tcPr>
          <w:p>
            <w:pPr>
              <w:spacing w:after="0"/>
              <w:rPr>
                <w:sz w:val="5"/>
                <w:szCs w:val="5"/>
                <w:color w:val="auto"/>
              </w:rPr>
            </w:pPr>
          </w:p>
        </w:tc>
        <w:tc>
          <w:tcPr>
            <w:tcW w:w="9760" w:type="dxa"/>
            <w:vAlign w:val="bottom"/>
            <w:tcBorders>
              <w:bottom w:val="single" w:sz="8" w:color="EBEDF3"/>
            </w:tcBorders>
            <w:shd w:val="clear" w:color="auto" w:fill="EBEDF3"/>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831215" cy="1054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31215" cy="10547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142" w:lineRule="exact"/>
        <w:rPr>
          <w:sz w:val="20"/>
          <w:szCs w:val="20"/>
          <w:color w:val="auto"/>
        </w:rPr>
      </w:pPr>
    </w:p>
    <w:p>
      <w:pPr>
        <w:ind w:left="280" w:right="120" w:hanging="263"/>
        <w:spacing w:after="0" w:line="316" w:lineRule="auto"/>
        <w:tabs>
          <w:tab w:leader="none" w:pos="257" w:val="left"/>
        </w:tabs>
        <w:numPr>
          <w:ilvl w:val="0"/>
          <w:numId w:val="36"/>
        </w:numPr>
        <w:rPr>
          <w:rFonts w:ascii="Arial" w:cs="Arial" w:eastAsia="Arial" w:hAnsi="Arial"/>
          <w:sz w:val="16"/>
          <w:szCs w:val="16"/>
          <w:color w:val="355A89"/>
        </w:rPr>
      </w:pPr>
      <w:r>
        <w:rPr>
          <w:rFonts w:ascii="Arial" w:cs="Arial" w:eastAsia="Arial" w:hAnsi="Arial"/>
          <w:sz w:val="16"/>
          <w:szCs w:val="16"/>
          <w:color w:val="auto"/>
        </w:rPr>
        <w:t>Executive Committee</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20" w:hanging="241"/>
        <w:spacing w:after="0"/>
        <w:tabs>
          <w:tab w:leader="none" w:pos="520"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Chairman Emeritus at the Company since January 2019</w:t>
      </w:r>
    </w:p>
    <w:p>
      <w:pPr>
        <w:spacing w:after="0" w:line="76" w:lineRule="exact"/>
        <w:rPr>
          <w:rFonts w:ascii="Arial" w:cs="Arial" w:eastAsia="Arial" w:hAnsi="Arial"/>
          <w:sz w:val="17"/>
          <w:szCs w:val="17"/>
          <w:color w:val="355A89"/>
        </w:rPr>
      </w:pPr>
    </w:p>
    <w:p>
      <w:pPr>
        <w:ind w:left="520" w:hanging="241"/>
        <w:spacing w:after="0"/>
        <w:tabs>
          <w:tab w:leader="none" w:pos="520"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Chairman of the Board of the Company from 1997 through January 2019</w:t>
      </w:r>
    </w:p>
    <w:p>
      <w:pPr>
        <w:spacing w:after="0" w:line="90" w:lineRule="exact"/>
        <w:rPr>
          <w:rFonts w:ascii="Arial" w:cs="Arial" w:eastAsia="Arial" w:hAnsi="Arial"/>
          <w:sz w:val="17"/>
          <w:szCs w:val="17"/>
          <w:color w:val="355A89"/>
        </w:rPr>
      </w:pPr>
    </w:p>
    <w:p>
      <w:pPr>
        <w:ind w:left="540" w:right="200" w:hanging="261"/>
        <w:spacing w:after="0" w:line="254" w:lineRule="auto"/>
        <w:tabs>
          <w:tab w:leader="none" w:pos="517"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Former executive officer working in conjunction with our Chief Executive Officer and overseeing the Company’s long-term strategic direction; formerly served as our Chief Executive Officer</w:t>
      </w:r>
    </w:p>
    <w:p>
      <w:pPr>
        <w:spacing w:after="0" w:line="47" w:lineRule="exact"/>
        <w:rPr>
          <w:rFonts w:ascii="Arial" w:cs="Arial" w:eastAsia="Arial" w:hAnsi="Arial"/>
          <w:sz w:val="17"/>
          <w:szCs w:val="17"/>
          <w:color w:val="355A89"/>
        </w:rPr>
      </w:pPr>
    </w:p>
    <w:p>
      <w:pPr>
        <w:ind w:left="540" w:right="260" w:hanging="261"/>
        <w:spacing w:after="0" w:line="312" w:lineRule="auto"/>
        <w:tabs>
          <w:tab w:leader="none" w:pos="517" w:val="left"/>
        </w:tabs>
        <w:numPr>
          <w:ilvl w:val="0"/>
          <w:numId w:val="37"/>
        </w:numPr>
        <w:rPr>
          <w:rFonts w:ascii="Arial" w:cs="Arial" w:eastAsia="Arial" w:hAnsi="Arial"/>
          <w:sz w:val="16"/>
          <w:szCs w:val="16"/>
          <w:color w:val="355A89"/>
        </w:rPr>
      </w:pPr>
      <w:r>
        <w:rPr>
          <w:rFonts w:ascii="Arial" w:cs="Arial" w:eastAsia="Arial" w:hAnsi="Arial"/>
          <w:sz w:val="16"/>
          <w:szCs w:val="16"/>
          <w:color w:val="auto"/>
        </w:rPr>
        <w:t>Founded our predecessor, S.L. Green Properties, Inc., in 1980; prior to our initial public offering in 1997, Mr. Green was involved in the acquisition of over 50 Manhattan office buildings containing in excess of 10.0 million square feet</w:t>
      </w:r>
    </w:p>
    <w:p>
      <w:pPr>
        <w:spacing w:after="0" w:line="7" w:lineRule="exact"/>
        <w:rPr>
          <w:rFonts w:ascii="Arial" w:cs="Arial" w:eastAsia="Arial" w:hAnsi="Arial"/>
          <w:sz w:val="16"/>
          <w:szCs w:val="16"/>
          <w:color w:val="355A89"/>
        </w:rPr>
      </w:pPr>
    </w:p>
    <w:p>
      <w:pPr>
        <w:ind w:left="520" w:hanging="241"/>
        <w:spacing w:after="0"/>
        <w:tabs>
          <w:tab w:leader="none" w:pos="520"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Chairman of the Board of Gramercy Capital Corp. from August 2004 to June 2009</w:t>
      </w:r>
    </w:p>
    <w:p>
      <w:pPr>
        <w:spacing w:after="0" w:line="90" w:lineRule="exact"/>
        <w:rPr>
          <w:rFonts w:ascii="Arial" w:cs="Arial" w:eastAsia="Arial" w:hAnsi="Arial"/>
          <w:sz w:val="17"/>
          <w:szCs w:val="17"/>
          <w:color w:val="355A89"/>
        </w:rPr>
      </w:pPr>
    </w:p>
    <w:p>
      <w:pPr>
        <w:ind w:left="520" w:hanging="241"/>
        <w:spacing w:after="0"/>
        <w:tabs>
          <w:tab w:leader="none" w:pos="520"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At-large member of the Executive Committee of the Board of Governors of the Real Estate Board of New York</w:t>
      </w:r>
    </w:p>
    <w:p>
      <w:pPr>
        <w:spacing w:after="0" w:line="76" w:lineRule="exact"/>
        <w:rPr>
          <w:rFonts w:ascii="Arial" w:cs="Arial" w:eastAsia="Arial" w:hAnsi="Arial"/>
          <w:sz w:val="17"/>
          <w:szCs w:val="17"/>
          <w:color w:val="355A89"/>
        </w:rPr>
      </w:pPr>
    </w:p>
    <w:p>
      <w:pPr>
        <w:ind w:left="520" w:hanging="241"/>
        <w:spacing w:after="0"/>
        <w:tabs>
          <w:tab w:leader="none" w:pos="520"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Member of the Board of Directors of Streetsquash, Inc., a Section 501(c)(3) tax-exempt organization</w:t>
      </w:r>
    </w:p>
    <w:p>
      <w:pPr>
        <w:spacing w:after="0" w:line="76" w:lineRule="exact"/>
        <w:rPr>
          <w:rFonts w:ascii="Arial" w:cs="Arial" w:eastAsia="Arial" w:hAnsi="Arial"/>
          <w:sz w:val="17"/>
          <w:szCs w:val="17"/>
          <w:color w:val="355A89"/>
        </w:rPr>
      </w:pPr>
    </w:p>
    <w:p>
      <w:pPr>
        <w:ind w:left="540" w:right="740" w:hanging="261"/>
        <w:spacing w:after="0" w:line="254" w:lineRule="auto"/>
        <w:tabs>
          <w:tab w:leader="none" w:pos="517"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Previously member of the Board of Directors of Stemedica Cell Technologies, Inc., August 2007 to April 2009; Chairman of the Real Estate Board of New York’s Tax Committee</w:t>
      </w:r>
    </w:p>
    <w:p>
      <w:pPr>
        <w:spacing w:after="0" w:line="61" w:lineRule="exact"/>
        <w:rPr>
          <w:rFonts w:ascii="Arial" w:cs="Arial" w:eastAsia="Arial" w:hAnsi="Arial"/>
          <w:sz w:val="17"/>
          <w:szCs w:val="17"/>
          <w:color w:val="355A89"/>
        </w:rPr>
      </w:pPr>
    </w:p>
    <w:p>
      <w:pPr>
        <w:ind w:left="520" w:hanging="241"/>
        <w:spacing w:after="0"/>
        <w:tabs>
          <w:tab w:leader="none" w:pos="520" w:val="left"/>
        </w:tabs>
        <w:numPr>
          <w:ilvl w:val="0"/>
          <w:numId w:val="37"/>
        </w:numPr>
        <w:rPr>
          <w:rFonts w:ascii="Arial" w:cs="Arial" w:eastAsia="Arial" w:hAnsi="Arial"/>
          <w:sz w:val="17"/>
          <w:szCs w:val="17"/>
          <w:color w:val="355A89"/>
        </w:rPr>
      </w:pPr>
      <w:r>
        <w:rPr>
          <w:rFonts w:ascii="Arial" w:cs="Arial" w:eastAsia="Arial" w:hAnsi="Arial"/>
          <w:sz w:val="18"/>
          <w:szCs w:val="18"/>
          <w:color w:val="auto"/>
        </w:rPr>
        <w:t>B.A. degree from Hartwick College and J.D. degree from Boston College Law School</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130175</wp:posOffset>
            </wp:positionV>
            <wp:extent cx="71532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1240" w:space="240"/>
            <w:col w:w="976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60" w:type="dxa"/>
            <w:vAlign w:val="bottom"/>
            <w:tcBorders>
              <w:top w:val="single" w:sz="8" w:color="355A89"/>
            </w:tcBorders>
          </w:tcPr>
          <w:p>
            <w:pPr>
              <w:jc w:val="center"/>
              <w:spacing w:after="0"/>
              <w:rPr>
                <w:sz w:val="20"/>
                <w:szCs w:val="20"/>
                <w:color w:val="auto"/>
              </w:rPr>
            </w:pPr>
            <w:r>
              <w:rPr>
                <w:rFonts w:ascii="Arial" w:cs="Arial" w:eastAsia="Arial" w:hAnsi="Arial"/>
                <w:sz w:val="22"/>
                <w:szCs w:val="22"/>
                <w:b w:val="1"/>
                <w:bCs w:val="1"/>
                <w:color w:val="355A89"/>
                <w:w w:val="99"/>
              </w:rPr>
              <w:t>Craig M.</w:t>
            </w:r>
          </w:p>
        </w:tc>
        <w:tc>
          <w:tcPr>
            <w:tcW w:w="160" w:type="dxa"/>
            <w:vAlign w:val="bottom"/>
          </w:tcPr>
          <w:p>
            <w:pPr>
              <w:spacing w:after="0"/>
              <w:rPr>
                <w:sz w:val="24"/>
                <w:szCs w:val="24"/>
                <w:color w:val="auto"/>
              </w:rPr>
            </w:pPr>
          </w:p>
        </w:tc>
        <w:tc>
          <w:tcPr>
            <w:tcW w:w="9820" w:type="dxa"/>
            <w:vAlign w:val="bottom"/>
            <w:tcBorders>
              <w:top w:val="single" w:sz="8" w:color="355A89"/>
            </w:tcBorders>
            <w:vMerge w:val="restart"/>
            <w:shd w:val="clear" w:color="auto" w:fill="E4E5EE"/>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2011</w:t>
            </w:r>
            <w:r>
              <w:rPr>
                <w:rFonts w:ascii="Arial" w:cs="Arial" w:eastAsia="Arial" w:hAnsi="Arial"/>
                <w:sz w:val="18"/>
                <w:szCs w:val="18"/>
                <w:color w:val="auto"/>
              </w:rPr>
              <w:t xml:space="preserve"> Age: </w:t>
            </w:r>
            <w:r>
              <w:rPr>
                <w:rFonts w:ascii="Arial" w:cs="Arial" w:eastAsia="Arial" w:hAnsi="Arial"/>
                <w:sz w:val="18"/>
                <w:szCs w:val="18"/>
                <w:b w:val="1"/>
                <w:bCs w:val="1"/>
                <w:color w:val="auto"/>
              </w:rPr>
              <w:t>67 Independent Director</w:t>
            </w:r>
          </w:p>
        </w:tc>
        <w:tc>
          <w:tcPr>
            <w:tcW w:w="0" w:type="dxa"/>
            <w:vAlign w:val="bottom"/>
          </w:tcPr>
          <w:p>
            <w:pPr>
              <w:spacing w:after="0"/>
              <w:rPr>
                <w:sz w:val="1"/>
                <w:szCs w:val="1"/>
                <w:color w:val="auto"/>
              </w:rPr>
            </w:pPr>
          </w:p>
        </w:tc>
      </w:tr>
      <w:tr>
        <w:trPr>
          <w:trHeight w:val="152"/>
        </w:trPr>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355A89"/>
                <w:w w:val="97"/>
              </w:rPr>
              <w:t>Hatkoff</w:t>
            </w:r>
          </w:p>
        </w:tc>
        <w:tc>
          <w:tcPr>
            <w:tcW w:w="160" w:type="dxa"/>
            <w:vAlign w:val="bottom"/>
          </w:tcPr>
          <w:p>
            <w:pPr>
              <w:spacing w:after="0"/>
              <w:rPr>
                <w:sz w:val="13"/>
                <w:szCs w:val="13"/>
                <w:color w:val="auto"/>
              </w:rPr>
            </w:pPr>
          </w:p>
        </w:tc>
        <w:tc>
          <w:tcPr>
            <w:tcW w:w="9820" w:type="dxa"/>
            <w:vAlign w:val="bottom"/>
            <w:vMerge w:val="continue"/>
            <w:shd w:val="clear" w:color="auto" w:fill="E4E5E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20" w:type="dxa"/>
            <w:vAlign w:val="bottom"/>
            <w:shd w:val="clear" w:color="auto" w:fill="E4E5E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260" w:type="dxa"/>
            <w:vAlign w:val="bottom"/>
            <w:tcBorders>
              <w:bottom w:val="single" w:sz="8" w:color="355A89"/>
            </w:tcBorders>
          </w:tcPr>
          <w:p>
            <w:pPr>
              <w:spacing w:after="0"/>
              <w:rPr>
                <w:sz w:val="5"/>
                <w:szCs w:val="5"/>
                <w:color w:val="auto"/>
              </w:rPr>
            </w:pPr>
          </w:p>
        </w:tc>
        <w:tc>
          <w:tcPr>
            <w:tcW w:w="160" w:type="dxa"/>
            <w:vAlign w:val="bottom"/>
          </w:tcPr>
          <w:p>
            <w:pPr>
              <w:spacing w:after="0"/>
              <w:rPr>
                <w:sz w:val="5"/>
                <w:szCs w:val="5"/>
                <w:color w:val="auto"/>
              </w:rPr>
            </w:pPr>
          </w:p>
        </w:tc>
        <w:tc>
          <w:tcPr>
            <w:tcW w:w="9820" w:type="dxa"/>
            <w:vAlign w:val="bottom"/>
            <w:tcBorders>
              <w:bottom w:val="single" w:sz="8" w:color="E4E5EE"/>
            </w:tcBorders>
            <w:shd w:val="clear" w:color="auto" w:fill="E4E5EE"/>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1260" w:type="dxa"/>
            <w:vAlign w:val="bottom"/>
          </w:tcPr>
          <w:p>
            <w:pPr>
              <w:spacing w:after="0"/>
              <w:rPr>
                <w:sz w:val="23"/>
                <w:szCs w:val="23"/>
                <w:color w:val="auto"/>
              </w:rPr>
            </w:pPr>
          </w:p>
        </w:tc>
        <w:tc>
          <w:tcPr>
            <w:tcW w:w="9980" w:type="dxa"/>
            <w:vAlign w:val="bottom"/>
            <w:gridSpan w:val="2"/>
          </w:tcPr>
          <w:p>
            <w:pPr>
              <w:ind w:left="160"/>
              <w:spacing w:after="0"/>
              <w:rPr>
                <w:sz w:val="20"/>
                <w:szCs w:val="20"/>
                <w:color w:val="auto"/>
              </w:rPr>
            </w:pPr>
            <w:r>
              <w:rPr>
                <w:rFonts w:ascii="Arial" w:cs="Arial" w:eastAsia="Arial" w:hAnsi="Arial"/>
                <w:sz w:val="18"/>
                <w:szCs w:val="18"/>
                <w:color w:val="auto"/>
                <w:w w:val="98"/>
              </w:rPr>
              <w:t>Mr. Hatkoff has in-depth expertise and knowledge of real estate, capital markets, finance, private investing, entrepreneurship</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and executive management through his work with Chemical Bank, Victor Capital Group and Capital Trust. As a result of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7"/>
              </w:rPr>
              <w:t>foregoing, Mr. Hatkoff provides a unique insight into the financial markets generally, valuation analysis, strategic planning, and</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unique financing structures and alternatives. He also possesses entrepreneurial, brand marketing, social media, technology</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and innovation, and senior leadership experience through his private investments and service on the Boards of numerous</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educational and charitable organizations. Mr. Hatkoff also has extensive Board and Board committee experience at other</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public companies, including his prior service at Taubman Centers, Inc. and his long-standing service to Capital Trust, Inc.,</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which enables him to provide significant insight as to governance and compliance-related matters particular to real estate</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9980" w:type="dxa"/>
            <w:vAlign w:val="bottom"/>
            <w:gridSpan w:val="2"/>
          </w:tcPr>
          <w:p>
            <w:pPr>
              <w:ind w:left="160"/>
              <w:spacing w:after="0"/>
              <w:rPr>
                <w:sz w:val="20"/>
                <w:szCs w:val="20"/>
                <w:color w:val="auto"/>
              </w:rPr>
            </w:pPr>
            <w:r>
              <w:rPr>
                <w:rFonts w:ascii="Arial" w:cs="Arial" w:eastAsia="Arial" w:hAnsi="Arial"/>
                <w:sz w:val="18"/>
                <w:szCs w:val="18"/>
                <w:color w:val="auto"/>
              </w:rPr>
              <w:t>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-1163955</wp:posOffset>
            </wp:positionV>
            <wp:extent cx="796925" cy="1045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96925" cy="1045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SL Green</w:t>
      </w:r>
    </w:p>
    <w:p>
      <w:pPr>
        <w:spacing w:after="0"/>
        <w:tabs>
          <w:tab w:leader="none" w:pos="1400" w:val="left"/>
        </w:tabs>
        <w:rPr>
          <w:sz w:val="20"/>
          <w:szCs w:val="20"/>
          <w:color w:val="auto"/>
        </w:rPr>
      </w:pPr>
      <w:r>
        <w:rPr>
          <w:rFonts w:ascii="Arial" w:cs="Arial" w:eastAsia="Arial" w:hAnsi="Arial"/>
          <w:sz w:val="18"/>
          <w:szCs w:val="18"/>
          <w:b w:val="1"/>
          <w:bCs w:val="1"/>
          <w:color w:val="auto"/>
        </w:rPr>
        <w:t>Board Service:</w:t>
      </w:r>
      <w:r>
        <w:rPr>
          <w:sz w:val="20"/>
          <w:szCs w:val="20"/>
          <w:color w:val="auto"/>
        </w:rPr>
        <w:tab/>
      </w:r>
      <w:r>
        <w:rPr>
          <w:rFonts w:ascii="Arial" w:cs="Arial" w:eastAsia="Arial" w:hAnsi="Arial"/>
          <w:sz w:val="16"/>
          <w:szCs w:val="16"/>
          <w:b w:val="1"/>
          <w:bCs w:val="1"/>
          <w:color w:val="auto"/>
        </w:rPr>
        <w:t>Professional Experience</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ind w:left="280" w:right="120" w:hanging="263"/>
        <w:spacing w:after="0" w:line="312" w:lineRule="auto"/>
        <w:tabs>
          <w:tab w:leader="none" w:pos="257" w:val="left"/>
        </w:tabs>
        <w:numPr>
          <w:ilvl w:val="0"/>
          <w:numId w:val="38"/>
        </w:numPr>
        <w:rPr>
          <w:rFonts w:ascii="Arial" w:cs="Arial" w:eastAsia="Arial" w:hAnsi="Arial"/>
          <w:sz w:val="16"/>
          <w:szCs w:val="16"/>
          <w:color w:val="355A89"/>
        </w:rPr>
      </w:pPr>
      <w:r>
        <w:rPr>
          <w:rFonts w:ascii="Arial" w:cs="Arial" w:eastAsia="Arial" w:hAnsi="Arial"/>
          <w:sz w:val="16"/>
          <w:szCs w:val="16"/>
          <w:color w:val="auto"/>
        </w:rPr>
        <w:t>Audit Committee</w:t>
      </w:r>
    </w:p>
    <w:p>
      <w:pPr>
        <w:spacing w:after="0" w:line="7" w:lineRule="exact"/>
        <w:rPr>
          <w:rFonts w:ascii="Arial" w:cs="Arial" w:eastAsia="Arial" w:hAnsi="Arial"/>
          <w:sz w:val="16"/>
          <w:szCs w:val="16"/>
          <w:color w:val="355A89"/>
        </w:rPr>
      </w:pPr>
    </w:p>
    <w:p>
      <w:pPr>
        <w:ind w:left="280" w:hanging="263"/>
        <w:spacing w:after="0" w:line="274" w:lineRule="auto"/>
        <w:tabs>
          <w:tab w:leader="none" w:pos="257" w:val="left"/>
        </w:tabs>
        <w:numPr>
          <w:ilvl w:val="0"/>
          <w:numId w:val="38"/>
        </w:numPr>
        <w:rPr>
          <w:rFonts w:ascii="Arial" w:cs="Arial" w:eastAsia="Arial" w:hAnsi="Arial"/>
          <w:sz w:val="16"/>
          <w:szCs w:val="16"/>
          <w:color w:val="355A89"/>
        </w:rPr>
      </w:pPr>
      <w:r>
        <w:rPr>
          <w:rFonts w:ascii="Arial" w:cs="Arial" w:eastAsia="Arial" w:hAnsi="Arial"/>
          <w:sz w:val="16"/>
          <w:szCs w:val="16"/>
          <w:color w:val="auto"/>
        </w:rPr>
        <w:t>Nominating and Corporate Governance Committee, Chair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540" w:right="60" w:hanging="255"/>
        <w:spacing w:after="0" w:line="244" w:lineRule="auto"/>
        <w:tabs>
          <w:tab w:leader="none" w:pos="517" w:val="left"/>
        </w:tabs>
        <w:numPr>
          <w:ilvl w:val="0"/>
          <w:numId w:val="39"/>
        </w:numPr>
        <w:rPr>
          <w:rFonts w:ascii="Arial" w:cs="Arial" w:eastAsia="Arial" w:hAnsi="Arial"/>
          <w:sz w:val="17"/>
          <w:szCs w:val="17"/>
          <w:color w:val="355A89"/>
        </w:rPr>
      </w:pPr>
      <w:r>
        <w:rPr>
          <w:rFonts w:ascii="Arial" w:cs="Arial" w:eastAsia="Arial" w:hAnsi="Arial"/>
          <w:sz w:val="18"/>
          <w:szCs w:val="18"/>
          <w:color w:val="auto"/>
        </w:rPr>
        <w:t>Vice Chairman of Capital Trust, Inc., a real estate investment management company that was listed on the New York Stock Exchange, and one of the largest dedicated real estate mezzanine lenders, from 1997 to 2000, and served on its Board of Directors from 1997 to 2010</w:t>
      </w:r>
    </w:p>
    <w:p>
      <w:pPr>
        <w:spacing w:after="0" w:line="57" w:lineRule="exact"/>
        <w:rPr>
          <w:rFonts w:ascii="Arial" w:cs="Arial" w:eastAsia="Arial" w:hAnsi="Arial"/>
          <w:sz w:val="17"/>
          <w:szCs w:val="17"/>
          <w:color w:val="355A89"/>
        </w:rPr>
      </w:pPr>
    </w:p>
    <w:p>
      <w:pPr>
        <w:ind w:left="540" w:right="360" w:hanging="255"/>
        <w:spacing w:after="0" w:line="254" w:lineRule="auto"/>
        <w:tabs>
          <w:tab w:leader="none" w:pos="517" w:val="left"/>
        </w:tabs>
        <w:numPr>
          <w:ilvl w:val="0"/>
          <w:numId w:val="39"/>
        </w:numPr>
        <w:rPr>
          <w:rFonts w:ascii="Arial" w:cs="Arial" w:eastAsia="Arial" w:hAnsi="Arial"/>
          <w:sz w:val="17"/>
          <w:szCs w:val="17"/>
          <w:color w:val="355A89"/>
        </w:rPr>
      </w:pPr>
      <w:r>
        <w:rPr>
          <w:rFonts w:ascii="Arial" w:cs="Arial" w:eastAsia="Arial" w:hAnsi="Arial"/>
          <w:sz w:val="18"/>
          <w:szCs w:val="18"/>
          <w:color w:val="auto"/>
        </w:rPr>
        <w:t>Trustee of the New York City School Construction Authority, the agency responsible for the construction of all public schools in New York City, from 2002 to 2005</w:t>
      </w:r>
    </w:p>
    <w:p>
      <w:pPr>
        <w:spacing w:after="0" w:line="61" w:lineRule="exact"/>
        <w:rPr>
          <w:rFonts w:ascii="Arial" w:cs="Arial" w:eastAsia="Arial" w:hAnsi="Arial"/>
          <w:sz w:val="17"/>
          <w:szCs w:val="17"/>
          <w:color w:val="355A89"/>
        </w:rPr>
      </w:pPr>
    </w:p>
    <w:p>
      <w:pPr>
        <w:ind w:left="540" w:right="380" w:hanging="255"/>
        <w:spacing w:after="0" w:line="254" w:lineRule="auto"/>
        <w:tabs>
          <w:tab w:leader="none" w:pos="517" w:val="left"/>
        </w:tabs>
        <w:numPr>
          <w:ilvl w:val="0"/>
          <w:numId w:val="39"/>
        </w:numPr>
        <w:rPr>
          <w:rFonts w:ascii="Arial" w:cs="Arial" w:eastAsia="Arial" w:hAnsi="Arial"/>
          <w:sz w:val="17"/>
          <w:szCs w:val="17"/>
          <w:color w:val="355A89"/>
        </w:rPr>
      </w:pPr>
      <w:r>
        <w:rPr>
          <w:rFonts w:ascii="Arial" w:cs="Arial" w:eastAsia="Arial" w:hAnsi="Arial"/>
          <w:sz w:val="18"/>
          <w:szCs w:val="18"/>
          <w:color w:val="auto"/>
        </w:rPr>
        <w:t>Founder and a managing partner of Victor Capital Group, L.P. from 1989 until its acquisition by Capital Trust, Inc. in 1997</w:t>
      </w:r>
    </w:p>
    <w:p>
      <w:pPr>
        <w:spacing w:after="0" w:line="47" w:lineRule="exact"/>
        <w:rPr>
          <w:rFonts w:ascii="Arial" w:cs="Arial" w:eastAsia="Arial" w:hAnsi="Arial"/>
          <w:sz w:val="17"/>
          <w:szCs w:val="17"/>
          <w:color w:val="355A89"/>
        </w:rPr>
      </w:pPr>
    </w:p>
    <w:p>
      <w:pPr>
        <w:ind w:left="540" w:right="280" w:hanging="255"/>
        <w:spacing w:after="0" w:line="254" w:lineRule="auto"/>
        <w:tabs>
          <w:tab w:leader="none" w:pos="517" w:val="left"/>
        </w:tabs>
        <w:numPr>
          <w:ilvl w:val="0"/>
          <w:numId w:val="39"/>
        </w:numPr>
        <w:rPr>
          <w:rFonts w:ascii="Arial" w:cs="Arial" w:eastAsia="Arial" w:hAnsi="Arial"/>
          <w:sz w:val="17"/>
          <w:szCs w:val="17"/>
          <w:color w:val="355A89"/>
        </w:rPr>
      </w:pPr>
      <w:r>
        <w:rPr>
          <w:rFonts w:ascii="Arial" w:cs="Arial" w:eastAsia="Arial" w:hAnsi="Arial"/>
          <w:sz w:val="18"/>
          <w:szCs w:val="18"/>
          <w:color w:val="auto"/>
        </w:rPr>
        <w:t>Former co-head of the real estate investment banking unit at Chemical Bank, where he was a pioneer in commercial mortgage securitization</w:t>
      </w:r>
    </w:p>
    <w:p>
      <w:pPr>
        <w:spacing w:after="0" w:line="47" w:lineRule="exact"/>
        <w:rPr>
          <w:rFonts w:ascii="Arial" w:cs="Arial" w:eastAsia="Arial" w:hAnsi="Arial"/>
          <w:sz w:val="17"/>
          <w:szCs w:val="17"/>
          <w:color w:val="355A89"/>
        </w:rPr>
      </w:pPr>
    </w:p>
    <w:p>
      <w:pPr>
        <w:ind w:left="540" w:right="700" w:hanging="255"/>
        <w:spacing w:after="0" w:line="254" w:lineRule="auto"/>
        <w:tabs>
          <w:tab w:leader="none" w:pos="517" w:val="left"/>
        </w:tabs>
        <w:numPr>
          <w:ilvl w:val="0"/>
          <w:numId w:val="39"/>
        </w:numPr>
        <w:rPr>
          <w:rFonts w:ascii="Arial" w:cs="Arial" w:eastAsia="Arial" w:hAnsi="Arial"/>
          <w:sz w:val="17"/>
          <w:szCs w:val="17"/>
          <w:color w:val="355A89"/>
        </w:rPr>
      </w:pPr>
      <w:r>
        <w:rPr>
          <w:rFonts w:ascii="Arial" w:cs="Arial" w:eastAsia="Arial" w:hAnsi="Arial"/>
          <w:sz w:val="18"/>
          <w:szCs w:val="18"/>
          <w:color w:val="auto"/>
        </w:rPr>
        <w:t>Co-founder of the Tribeca Film Festival; Chairman of Turtle Pond Publications LLC, which is active in children’s publishing and entertainment, and private investor in other entrepreneurial ventures</w:t>
      </w:r>
    </w:p>
    <w:p>
      <w:pPr>
        <w:spacing w:after="0" w:line="61" w:lineRule="exact"/>
        <w:rPr>
          <w:rFonts w:ascii="Arial" w:cs="Arial" w:eastAsia="Arial" w:hAnsi="Arial"/>
          <w:sz w:val="17"/>
          <w:szCs w:val="17"/>
          <w:color w:val="355A89"/>
        </w:rPr>
      </w:pPr>
    </w:p>
    <w:p>
      <w:pPr>
        <w:ind w:left="520" w:hanging="235"/>
        <w:spacing w:after="0"/>
        <w:tabs>
          <w:tab w:leader="none" w:pos="520" w:val="left"/>
        </w:tabs>
        <w:numPr>
          <w:ilvl w:val="0"/>
          <w:numId w:val="39"/>
        </w:numPr>
        <w:rPr>
          <w:rFonts w:ascii="Arial" w:cs="Arial" w:eastAsia="Arial" w:hAnsi="Arial"/>
          <w:sz w:val="17"/>
          <w:szCs w:val="17"/>
          <w:color w:val="355A89"/>
        </w:rPr>
      </w:pPr>
      <w:r>
        <w:rPr>
          <w:rFonts w:ascii="Arial" w:cs="Arial" w:eastAsia="Arial" w:hAnsi="Arial"/>
          <w:sz w:val="18"/>
          <w:szCs w:val="18"/>
          <w:color w:val="auto"/>
        </w:rPr>
        <w:t>Adjunct Professor at Columbia Business School, where he teaches courses on entrepreneurship and innovation</w:t>
      </w:r>
    </w:p>
    <w:p>
      <w:pPr>
        <w:spacing w:after="0" w:line="76" w:lineRule="exact"/>
        <w:rPr>
          <w:rFonts w:ascii="Arial" w:cs="Arial" w:eastAsia="Arial" w:hAnsi="Arial"/>
          <w:sz w:val="17"/>
          <w:szCs w:val="17"/>
          <w:color w:val="355A89"/>
        </w:rPr>
      </w:pPr>
    </w:p>
    <w:p>
      <w:pPr>
        <w:ind w:left="540" w:right="340" w:hanging="255"/>
        <w:spacing w:after="0" w:line="254" w:lineRule="auto"/>
        <w:tabs>
          <w:tab w:leader="none" w:pos="517" w:val="left"/>
        </w:tabs>
        <w:numPr>
          <w:ilvl w:val="0"/>
          <w:numId w:val="39"/>
        </w:numPr>
        <w:rPr>
          <w:rFonts w:ascii="Arial" w:cs="Arial" w:eastAsia="Arial" w:hAnsi="Arial"/>
          <w:sz w:val="17"/>
          <w:szCs w:val="17"/>
          <w:color w:val="355A89"/>
        </w:rPr>
      </w:pPr>
      <w:r>
        <w:rPr>
          <w:rFonts w:ascii="Arial" w:cs="Arial" w:eastAsia="Arial" w:hAnsi="Arial"/>
          <w:sz w:val="18"/>
          <w:szCs w:val="18"/>
          <w:color w:val="auto"/>
        </w:rPr>
        <w:t>Member of the Board of Directors of Subversive Real Estate Acquisition REIT LP and Chairman of the Board of Lex Markets Corp.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Directorships</w:t>
      </w:r>
    </w:p>
    <w:p>
      <w:pPr>
        <w:spacing w:after="0" w:line="234" w:lineRule="exact"/>
        <w:rPr>
          <w:sz w:val="20"/>
          <w:szCs w:val="20"/>
          <w:color w:val="auto"/>
        </w:rPr>
      </w:pPr>
    </w:p>
    <w:p>
      <w:pPr>
        <w:ind w:left="520" w:hanging="235"/>
        <w:spacing w:after="0"/>
        <w:tabs>
          <w:tab w:leader="none" w:pos="520" w:val="left"/>
        </w:tabs>
        <w:numPr>
          <w:ilvl w:val="0"/>
          <w:numId w:val="40"/>
        </w:numPr>
        <w:rPr>
          <w:rFonts w:ascii="Arial" w:cs="Arial" w:eastAsia="Arial" w:hAnsi="Arial"/>
          <w:sz w:val="17"/>
          <w:szCs w:val="17"/>
          <w:color w:val="355A89"/>
        </w:rPr>
      </w:pPr>
      <w:r>
        <w:rPr>
          <w:rFonts w:ascii="Arial" w:cs="Arial" w:eastAsia="Arial" w:hAnsi="Arial"/>
          <w:sz w:val="18"/>
          <w:szCs w:val="18"/>
          <w:color w:val="auto"/>
        </w:rPr>
        <w:t>Colony Capital, Inc. since February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w:t>
      </w:r>
    </w:p>
    <w:p>
      <w:pPr>
        <w:spacing w:after="0" w:line="230" w:lineRule="exact"/>
        <w:rPr>
          <w:sz w:val="20"/>
          <w:szCs w:val="20"/>
          <w:color w:val="auto"/>
        </w:rPr>
      </w:pPr>
    </w:p>
    <w:p>
      <w:pPr>
        <w:ind w:left="520" w:hanging="235"/>
        <w:spacing w:after="0"/>
        <w:tabs>
          <w:tab w:leader="none" w:pos="520" w:val="left"/>
        </w:tabs>
        <w:numPr>
          <w:ilvl w:val="0"/>
          <w:numId w:val="41"/>
        </w:numPr>
        <w:rPr>
          <w:rFonts w:ascii="Arial" w:cs="Arial" w:eastAsia="Arial" w:hAnsi="Arial"/>
          <w:sz w:val="17"/>
          <w:szCs w:val="17"/>
          <w:color w:val="355A89"/>
        </w:rPr>
      </w:pPr>
      <w:r>
        <w:rPr>
          <w:rFonts w:ascii="Arial" w:cs="Arial" w:eastAsia="Arial" w:hAnsi="Arial"/>
          <w:sz w:val="18"/>
          <w:szCs w:val="18"/>
          <w:color w:val="auto"/>
        </w:rPr>
        <w:t>Taubman Centers, Inc. from 2004 to January 2019</w:t>
      </w:r>
    </w:p>
    <w:p>
      <w:pPr>
        <w:spacing w:after="0" w:line="200" w:lineRule="exact"/>
        <w:rPr>
          <w:sz w:val="20"/>
          <w:szCs w:val="20"/>
          <w:color w:val="auto"/>
        </w:rPr>
      </w:pPr>
    </w:p>
    <w:p>
      <w:pPr>
        <w:sectPr>
          <w:pgSz w:w="11900" w:h="16838" w:orient="portrait"/>
          <w:cols w:equalWidth="0" w:num="2">
            <w:col w:w="1240" w:space="180"/>
            <w:col w:w="9820"/>
          </w:cols>
          <w:pgMar w:left="320" w:top="121" w:right="339" w:bottom="1440" w:gutter="0" w:footer="0" w:header="0"/>
          <w:type w:val="continuous"/>
        </w:sectPr>
      </w:pPr>
    </w:p>
    <w:p>
      <w:pPr>
        <w:spacing w:after="0" w:line="93"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6"/>
          <w:szCs w:val="16"/>
          <w:color w:val="355A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420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A89"/>
        </w:rPr>
        <w:t>Marc</w:t>
      </w:r>
    </w:p>
    <w:p>
      <w:pPr>
        <w:spacing w:after="0" w:line="16" w:lineRule="exact"/>
        <w:rPr>
          <w:sz w:val="20"/>
          <w:szCs w:val="20"/>
          <w:color w:val="auto"/>
        </w:rPr>
      </w:pPr>
    </w:p>
    <w:p>
      <w:pPr>
        <w:jc w:val="center"/>
        <w:ind w:left="40"/>
        <w:spacing w:after="0"/>
        <w:rPr>
          <w:sz w:val="20"/>
          <w:szCs w:val="20"/>
          <w:color w:val="auto"/>
        </w:rPr>
      </w:pPr>
      <w:r>
        <w:rPr>
          <w:rFonts w:ascii="Arial" w:cs="Arial" w:eastAsia="Arial" w:hAnsi="Arial"/>
          <w:sz w:val="22"/>
          <w:szCs w:val="22"/>
          <w:b w:val="1"/>
          <w:bCs w:val="1"/>
          <w:color w:val="355A89"/>
        </w:rPr>
        <w:t>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05815" cy="11061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5815" cy="1106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805815" cy="11061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0581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27" w:lineRule="auto"/>
        <w:rPr>
          <w:sz w:val="20"/>
          <w:szCs w:val="20"/>
          <w:color w:val="auto"/>
        </w:rPr>
      </w:pPr>
      <w:r>
        <w:rPr>
          <w:rFonts w:ascii="Arial" w:cs="Arial" w:eastAsia="Arial" w:hAnsi="Arial"/>
          <w:sz w:val="16"/>
          <w:szCs w:val="16"/>
          <w:b w:val="1"/>
          <w:bCs w:val="1"/>
          <w:color w:val="auto"/>
        </w:rPr>
        <w:t>SL Green Board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December 2001</w:t>
      </w:r>
      <w:r>
        <w:rPr>
          <w:rFonts w:ascii="Arial" w:cs="Arial" w:eastAsia="Arial" w:hAnsi="Arial"/>
          <w:sz w:val="18"/>
          <w:szCs w:val="18"/>
          <w:color w:val="auto"/>
        </w:rPr>
        <w:t xml:space="preserve"> Age: </w:t>
      </w:r>
      <w:r>
        <w:rPr>
          <w:rFonts w:ascii="Arial" w:cs="Arial" w:eastAsia="Arial" w:hAnsi="Arial"/>
          <w:sz w:val="18"/>
          <w:szCs w:val="18"/>
          <w:b w:val="1"/>
          <w:bCs w:val="1"/>
          <w:color w:val="auto"/>
        </w:rPr>
        <w:t>54 Chief Executive Officer and Chairman of the Board</w:t>
      </w:r>
    </w:p>
    <w:p>
      <w:pPr>
        <w:spacing w:after="0" w:line="30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20" w:hanging="242"/>
        <w:spacing w:after="0"/>
        <w:tabs>
          <w:tab w:leader="none" w:pos="520" w:val="left"/>
        </w:tabs>
        <w:numPr>
          <w:ilvl w:val="0"/>
          <w:numId w:val="43"/>
        </w:numPr>
        <w:rPr>
          <w:rFonts w:ascii="Arial" w:cs="Arial" w:eastAsia="Arial" w:hAnsi="Arial"/>
          <w:sz w:val="17"/>
          <w:szCs w:val="17"/>
          <w:color w:val="355A89"/>
        </w:rPr>
      </w:pPr>
      <w:r>
        <w:rPr>
          <w:rFonts w:ascii="Arial" w:cs="Arial" w:eastAsia="Arial" w:hAnsi="Arial"/>
          <w:sz w:val="18"/>
          <w:szCs w:val="18"/>
          <w:color w:val="auto"/>
        </w:rPr>
        <w:t>Chief Executive Officer of the Company since January 2004; Chairman of the Board since January 2019</w:t>
      </w:r>
    </w:p>
    <w:p>
      <w:pPr>
        <w:spacing w:after="0" w:line="76" w:lineRule="exact"/>
        <w:rPr>
          <w:rFonts w:ascii="Arial" w:cs="Arial" w:eastAsia="Arial" w:hAnsi="Arial"/>
          <w:sz w:val="17"/>
          <w:szCs w:val="17"/>
          <w:color w:val="355A89"/>
        </w:rPr>
      </w:pPr>
    </w:p>
    <w:p>
      <w:pPr>
        <w:ind w:left="540" w:right="560" w:hanging="262"/>
        <w:spacing w:after="0" w:line="254" w:lineRule="auto"/>
        <w:tabs>
          <w:tab w:leader="none" w:pos="517" w:val="left"/>
        </w:tabs>
        <w:numPr>
          <w:ilvl w:val="0"/>
          <w:numId w:val="43"/>
        </w:numPr>
        <w:rPr>
          <w:rFonts w:ascii="Arial" w:cs="Arial" w:eastAsia="Arial" w:hAnsi="Arial"/>
          <w:sz w:val="17"/>
          <w:szCs w:val="17"/>
          <w:color w:val="355A89"/>
        </w:rPr>
      </w:pPr>
      <w:r>
        <w:rPr>
          <w:rFonts w:ascii="Arial" w:cs="Arial" w:eastAsia="Arial" w:hAnsi="Arial"/>
          <w:sz w:val="18"/>
          <w:szCs w:val="18"/>
          <w:color w:val="auto"/>
        </w:rPr>
        <w:t>Joined the Company as Chief Investment Officer in July 1998; stepped down as President in April 2007 following promotion of Andrew Mathias, current President, to that position</w:t>
      </w:r>
    </w:p>
    <w:p>
      <w:pPr>
        <w:spacing w:after="0" w:line="61" w:lineRule="exact"/>
        <w:rPr>
          <w:rFonts w:ascii="Arial" w:cs="Arial" w:eastAsia="Arial" w:hAnsi="Arial"/>
          <w:sz w:val="17"/>
          <w:szCs w:val="17"/>
          <w:color w:val="355A89"/>
        </w:rPr>
      </w:pPr>
    </w:p>
    <w:p>
      <w:pPr>
        <w:ind w:left="540" w:right="20" w:hanging="262"/>
        <w:spacing w:after="0" w:line="254" w:lineRule="auto"/>
        <w:tabs>
          <w:tab w:leader="none" w:pos="517" w:val="left"/>
        </w:tabs>
        <w:numPr>
          <w:ilvl w:val="0"/>
          <w:numId w:val="43"/>
        </w:numPr>
        <w:rPr>
          <w:rFonts w:ascii="Arial" w:cs="Arial" w:eastAsia="Arial" w:hAnsi="Arial"/>
          <w:sz w:val="17"/>
          <w:szCs w:val="17"/>
          <w:color w:val="355A89"/>
        </w:rPr>
      </w:pPr>
      <w:r>
        <w:rPr>
          <w:rFonts w:ascii="Arial" w:cs="Arial" w:eastAsia="Arial" w:hAnsi="Arial"/>
          <w:sz w:val="18"/>
          <w:szCs w:val="18"/>
          <w:color w:val="auto"/>
        </w:rPr>
        <w:t>President and Chief Executive Officer of Gramercy Capital Corp., from August 2004 to October 2008, when Mr. Holliday stepped down</w:t>
      </w:r>
    </w:p>
    <w:p>
      <w:pPr>
        <w:spacing w:after="0" w:line="34" w:lineRule="exact"/>
        <w:rPr>
          <w:sz w:val="20"/>
          <w:szCs w:val="20"/>
          <w:color w:val="auto"/>
        </w:rPr>
      </w:pPr>
    </w:p>
    <w:p>
      <w:pPr>
        <w:sectPr>
          <w:pgSz w:w="11900" w:h="16838" w:orient="portrait"/>
          <w:cols w:equalWidth="0" w:num="2">
            <w:col w:w="1240" w:space="200"/>
            <w:col w:w="9800"/>
          </w:cols>
          <w:pgMar w:left="320" w:top="121" w:right="339" w:bottom="1440" w:gutter="0" w:footer="0" w:header="0"/>
          <w:type w:val="continuous"/>
        </w:sectPr>
      </w:pPr>
    </w:p>
    <w:p>
      <w:pPr>
        <w:ind w:left="280" w:right="220" w:hanging="263"/>
        <w:spacing w:after="0" w:line="290" w:lineRule="auto"/>
        <w:tabs>
          <w:tab w:leader="none" w:pos="257" w:val="left"/>
        </w:tabs>
        <w:numPr>
          <w:ilvl w:val="0"/>
          <w:numId w:val="44"/>
        </w:numPr>
        <w:rPr>
          <w:rFonts w:ascii="Arial" w:cs="Arial" w:eastAsia="Arial" w:hAnsi="Arial"/>
          <w:sz w:val="16"/>
          <w:szCs w:val="16"/>
          <w:color w:val="355A89"/>
        </w:rPr>
      </w:pPr>
      <w:r>
        <w:rPr>
          <w:rFonts w:ascii="Arial" w:cs="Arial" w:eastAsia="Arial" w:hAnsi="Arial"/>
          <w:sz w:val="16"/>
          <w:szCs w:val="16"/>
          <w:color w:val="auto"/>
        </w:rPr>
        <w:t>Executive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89154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355A89"/>
        </w:rPr>
        <w:t>John S.</w:t>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355A89"/>
        </w:rPr>
        <w:t>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891540" cy="11061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9154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SL Green Board Service:</w:t>
      </w:r>
    </w:p>
    <w:p>
      <w:pPr>
        <w:spacing w:after="0" w:line="188" w:lineRule="exact"/>
        <w:rPr>
          <w:sz w:val="20"/>
          <w:szCs w:val="20"/>
          <w:color w:val="auto"/>
        </w:rPr>
      </w:pPr>
    </w:p>
    <w:p>
      <w:pPr>
        <w:ind w:left="280" w:hanging="263"/>
        <w:spacing w:after="0" w:line="281" w:lineRule="auto"/>
        <w:tabs>
          <w:tab w:leader="none" w:pos="257" w:val="left"/>
        </w:tabs>
        <w:numPr>
          <w:ilvl w:val="0"/>
          <w:numId w:val="45"/>
        </w:numPr>
        <w:rPr>
          <w:rFonts w:ascii="Arial" w:cs="Arial" w:eastAsia="Arial" w:hAnsi="Arial"/>
          <w:sz w:val="16"/>
          <w:szCs w:val="16"/>
          <w:color w:val="355A89"/>
        </w:rPr>
      </w:pPr>
      <w:r>
        <w:rPr>
          <w:rFonts w:ascii="Arial" w:cs="Arial" w:eastAsia="Arial" w:hAnsi="Arial"/>
          <w:sz w:val="16"/>
          <w:szCs w:val="16"/>
          <w:color w:val="auto"/>
        </w:rPr>
        <w:t>Nominating and Corporate Governance Committee</w:t>
      </w:r>
    </w:p>
    <w:p>
      <w:pPr>
        <w:spacing w:after="0" w:line="29" w:lineRule="exact"/>
        <w:rPr>
          <w:rFonts w:ascii="Arial" w:cs="Arial" w:eastAsia="Arial" w:hAnsi="Arial"/>
          <w:sz w:val="16"/>
          <w:szCs w:val="16"/>
          <w:color w:val="355A89"/>
        </w:rPr>
      </w:pPr>
    </w:p>
    <w:p>
      <w:pPr>
        <w:ind w:left="280" w:right="20" w:hanging="263"/>
        <w:spacing w:after="0" w:line="316" w:lineRule="auto"/>
        <w:tabs>
          <w:tab w:leader="none" w:pos="257" w:val="left"/>
        </w:tabs>
        <w:numPr>
          <w:ilvl w:val="0"/>
          <w:numId w:val="45"/>
        </w:numPr>
        <w:rPr>
          <w:rFonts w:ascii="Arial" w:cs="Arial" w:eastAsia="Arial" w:hAnsi="Arial"/>
          <w:sz w:val="16"/>
          <w:szCs w:val="16"/>
          <w:color w:val="355A89"/>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ind w:left="400" w:right="100" w:hanging="262"/>
        <w:spacing w:after="0" w:line="244" w:lineRule="auto"/>
        <w:tabs>
          <w:tab w:leader="none" w:pos="377" w:val="left"/>
        </w:tabs>
        <w:numPr>
          <w:ilvl w:val="0"/>
          <w:numId w:val="46"/>
        </w:numPr>
        <w:rPr>
          <w:rFonts w:ascii="Arial" w:cs="Arial" w:eastAsia="Arial" w:hAnsi="Arial"/>
          <w:sz w:val="17"/>
          <w:szCs w:val="17"/>
          <w:color w:val="355A89"/>
        </w:rPr>
      </w:pPr>
      <w:r>
        <w:rPr>
          <w:rFonts w:ascii="Arial" w:cs="Arial" w:eastAsia="Arial" w:hAnsi="Arial"/>
          <w:sz w:val="18"/>
          <w:szCs w:val="18"/>
          <w:color w:val="auto"/>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spacing w:after="0" w:line="57" w:lineRule="exact"/>
        <w:rPr>
          <w:rFonts w:ascii="Arial" w:cs="Arial" w:eastAsia="Arial" w:hAnsi="Arial"/>
          <w:sz w:val="17"/>
          <w:szCs w:val="17"/>
          <w:color w:val="355A89"/>
        </w:rPr>
      </w:pPr>
    </w:p>
    <w:p>
      <w:pPr>
        <w:ind w:left="400" w:right="300" w:hanging="262"/>
        <w:spacing w:after="0" w:line="254" w:lineRule="auto"/>
        <w:tabs>
          <w:tab w:leader="none" w:pos="377" w:val="left"/>
        </w:tabs>
        <w:numPr>
          <w:ilvl w:val="0"/>
          <w:numId w:val="46"/>
        </w:numPr>
        <w:rPr>
          <w:rFonts w:ascii="Arial" w:cs="Arial" w:eastAsia="Arial" w:hAnsi="Arial"/>
          <w:sz w:val="17"/>
          <w:szCs w:val="17"/>
          <w:color w:val="355A89"/>
        </w:rPr>
      </w:pPr>
      <w:r>
        <w:rPr>
          <w:rFonts w:ascii="Arial" w:cs="Arial" w:eastAsia="Arial" w:hAnsi="Arial"/>
          <w:sz w:val="18"/>
          <w:szCs w:val="18"/>
          <w:color w:val="auto"/>
        </w:rPr>
        <w:t>Served in various management positions, including Senior Vice President at Capital Trust, Inc.’s predecessor, Victor Capital Group, L.P. from 1991 to 1997</w:t>
      </w:r>
    </w:p>
    <w:p>
      <w:pPr>
        <w:spacing w:after="0" w:line="61" w:lineRule="exact"/>
        <w:rPr>
          <w:rFonts w:ascii="Arial" w:cs="Arial" w:eastAsia="Arial" w:hAnsi="Arial"/>
          <w:sz w:val="17"/>
          <w:szCs w:val="17"/>
          <w:color w:val="355A89"/>
        </w:rPr>
      </w:pPr>
    </w:p>
    <w:p>
      <w:pPr>
        <w:ind w:left="400" w:right="100" w:hanging="262"/>
        <w:spacing w:after="0" w:line="254" w:lineRule="auto"/>
        <w:tabs>
          <w:tab w:leader="none" w:pos="377" w:val="left"/>
        </w:tabs>
        <w:numPr>
          <w:ilvl w:val="0"/>
          <w:numId w:val="46"/>
        </w:numPr>
        <w:rPr>
          <w:rFonts w:ascii="Arial" w:cs="Arial" w:eastAsia="Arial" w:hAnsi="Arial"/>
          <w:sz w:val="17"/>
          <w:szCs w:val="17"/>
          <w:color w:val="355A89"/>
        </w:rPr>
      </w:pPr>
      <w:r>
        <w:rPr>
          <w:rFonts w:ascii="Arial" w:cs="Arial" w:eastAsia="Arial" w:hAnsi="Arial"/>
          <w:sz w:val="18"/>
          <w:szCs w:val="18"/>
          <w:color w:val="auto"/>
        </w:rPr>
        <w:t>Member of the Board of Directors of NYRA and executive officer and member of the Board of the Real Estate Board of New York, and a former member of the Board of Directors of Columbia University</w:t>
      </w:r>
    </w:p>
    <w:p>
      <w:pPr>
        <w:spacing w:after="0" w:line="47" w:lineRule="exact"/>
        <w:rPr>
          <w:rFonts w:ascii="Arial" w:cs="Arial" w:eastAsia="Arial" w:hAnsi="Arial"/>
          <w:sz w:val="17"/>
          <w:szCs w:val="17"/>
          <w:color w:val="355A89"/>
        </w:rPr>
      </w:pPr>
    </w:p>
    <w:p>
      <w:pPr>
        <w:ind w:left="400" w:right="400" w:hanging="262"/>
        <w:spacing w:after="0" w:line="254" w:lineRule="auto"/>
        <w:tabs>
          <w:tab w:leader="none" w:pos="377" w:val="left"/>
        </w:tabs>
        <w:numPr>
          <w:ilvl w:val="0"/>
          <w:numId w:val="46"/>
        </w:numPr>
        <w:rPr>
          <w:rFonts w:ascii="Arial" w:cs="Arial" w:eastAsia="Arial" w:hAnsi="Arial"/>
          <w:sz w:val="17"/>
          <w:szCs w:val="17"/>
          <w:color w:val="355A89"/>
        </w:rPr>
      </w:pPr>
      <w:r>
        <w:rPr>
          <w:rFonts w:ascii="Arial" w:cs="Arial" w:eastAsia="Arial" w:hAnsi="Arial"/>
          <w:sz w:val="18"/>
          <w:szCs w:val="18"/>
          <w:color w:val="auto"/>
        </w:rPr>
        <w:t>B.S. degree in Business and Finance from Lehigh University in 1988 and M.S. degree in Real Estate Development from Columbia University in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6137910" cy="420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37910" cy="4203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1997</w:t>
      </w:r>
      <w:r>
        <w:rPr>
          <w:rFonts w:ascii="Arial" w:cs="Arial" w:eastAsia="Arial" w:hAnsi="Arial"/>
          <w:sz w:val="18"/>
          <w:szCs w:val="18"/>
          <w:color w:val="auto"/>
        </w:rPr>
        <w:t xml:space="preserve"> Age: </w:t>
      </w:r>
      <w:r>
        <w:rPr>
          <w:rFonts w:ascii="Arial" w:cs="Arial" w:eastAsia="Arial" w:hAnsi="Arial"/>
          <w:sz w:val="18"/>
          <w:szCs w:val="18"/>
          <w:b w:val="1"/>
          <w:bCs w:val="1"/>
          <w:color w:val="auto"/>
        </w:rPr>
        <w:t>85 Independent Director</w:t>
      </w:r>
    </w:p>
    <w:p>
      <w:pPr>
        <w:spacing w:after="0" w:line="3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34" w:lineRule="exact"/>
        <w:rPr>
          <w:sz w:val="20"/>
          <w:szCs w:val="20"/>
          <w:color w:val="auto"/>
        </w:rPr>
      </w:pPr>
    </w:p>
    <w:p>
      <w:pPr>
        <w:ind w:left="540" w:right="20" w:hanging="267"/>
        <w:spacing w:after="0" w:line="290" w:lineRule="auto"/>
        <w:tabs>
          <w:tab w:leader="none" w:pos="517" w:val="left"/>
        </w:tabs>
        <w:numPr>
          <w:ilvl w:val="0"/>
          <w:numId w:val="47"/>
        </w:numPr>
        <w:rPr>
          <w:rFonts w:ascii="Arial" w:cs="Arial" w:eastAsia="Arial" w:hAnsi="Arial"/>
          <w:sz w:val="16"/>
          <w:szCs w:val="16"/>
          <w:color w:val="355A89"/>
        </w:rPr>
      </w:pPr>
      <w:r>
        <w:rPr>
          <w:rFonts w:ascii="Arial" w:cs="Arial" w:eastAsia="Arial" w:hAnsi="Arial"/>
          <w:sz w:val="16"/>
          <w:szCs w:val="16"/>
          <w:color w:val="auto"/>
        </w:rPr>
        <w:t>Retired from Lehman Brothers Inc. in 1995; from 1983 to 1995, served as Managing Director and Chief Administrative Officer of the Financial Services Division, Senior Executive Vice President and Co-Director of the International Division and Managing Partner of the Equity Securities Division at Lehman Brothers (or its predecessors)</w:t>
      </w:r>
    </w:p>
    <w:p>
      <w:pPr>
        <w:spacing w:after="0" w:line="21" w:lineRule="exact"/>
        <w:rPr>
          <w:rFonts w:ascii="Arial" w:cs="Arial" w:eastAsia="Arial" w:hAnsi="Arial"/>
          <w:sz w:val="16"/>
          <w:szCs w:val="16"/>
          <w:color w:val="355A89"/>
        </w:rPr>
      </w:pPr>
    </w:p>
    <w:p>
      <w:pPr>
        <w:ind w:left="540" w:right="180" w:hanging="267"/>
        <w:spacing w:after="0" w:line="290" w:lineRule="auto"/>
        <w:tabs>
          <w:tab w:leader="none" w:pos="517" w:val="left"/>
        </w:tabs>
        <w:numPr>
          <w:ilvl w:val="0"/>
          <w:numId w:val="47"/>
        </w:numPr>
        <w:rPr>
          <w:rFonts w:ascii="Arial" w:cs="Arial" w:eastAsia="Arial" w:hAnsi="Arial"/>
          <w:sz w:val="16"/>
          <w:szCs w:val="16"/>
          <w:color w:val="355A89"/>
        </w:rPr>
      </w:pPr>
      <w:r>
        <w:rPr>
          <w:rFonts w:ascii="Arial" w:cs="Arial" w:eastAsia="Arial" w:hAnsi="Arial"/>
          <w:sz w:val="16"/>
          <w:szCs w:val="16"/>
          <w:color w:val="auto"/>
        </w:rPr>
        <w:t>Associated with A.G. Becker Incorporated (or its predecessors) from 1960 to 1983, where Mr. Levy served as Managing Director of the Execution Services Division, Vice President-Manager of Institutional and Retail Sales, Manager of the Institutional Sales Division, Manager of the New York Retail Office and a Registered Representative</w:t>
      </w:r>
    </w:p>
    <w:p>
      <w:pPr>
        <w:spacing w:after="0" w:line="35" w:lineRule="exact"/>
        <w:rPr>
          <w:rFonts w:ascii="Arial" w:cs="Arial" w:eastAsia="Arial" w:hAnsi="Arial"/>
          <w:sz w:val="16"/>
          <w:szCs w:val="16"/>
          <w:color w:val="355A89"/>
        </w:rPr>
      </w:pPr>
    </w:p>
    <w:p>
      <w:pPr>
        <w:ind w:left="520" w:hanging="247"/>
        <w:spacing w:after="0"/>
        <w:tabs>
          <w:tab w:leader="none" w:pos="520" w:val="left"/>
        </w:tabs>
        <w:numPr>
          <w:ilvl w:val="0"/>
          <w:numId w:val="47"/>
        </w:numPr>
        <w:rPr>
          <w:rFonts w:ascii="Arial" w:cs="Arial" w:eastAsia="Arial" w:hAnsi="Arial"/>
          <w:sz w:val="17"/>
          <w:szCs w:val="17"/>
          <w:color w:val="355A89"/>
        </w:rPr>
      </w:pPr>
      <w:r>
        <w:rPr>
          <w:rFonts w:ascii="Arial" w:cs="Arial" w:eastAsia="Arial" w:hAnsi="Arial"/>
          <w:sz w:val="18"/>
          <w:szCs w:val="18"/>
          <w:color w:val="auto"/>
        </w:rPr>
        <w:t>B.A. degree from Dartmouth College.</w:t>
      </w:r>
    </w:p>
    <w:p>
      <w:pPr>
        <w:spacing w:after="0" w:line="1233" w:lineRule="exact"/>
        <w:rPr>
          <w:sz w:val="20"/>
          <w:szCs w:val="20"/>
          <w:color w:val="auto"/>
        </w:rPr>
      </w:pPr>
    </w:p>
    <w:p>
      <w:pPr>
        <w:sectPr>
          <w:pgSz w:w="11900" w:h="16838" w:orient="portrait"/>
          <w:cols w:equalWidth="0" w:num="2">
            <w:col w:w="1400" w:space="180"/>
            <w:col w:w="9660"/>
          </w:cols>
          <w:pgMar w:left="320" w:top="121" w:right="339" w:bottom="1440" w:gutter="0" w:footer="0" w:header="0"/>
          <w:type w:val="continuous"/>
        </w:sectPr>
      </w:pPr>
    </w:p>
    <w:p>
      <w:pPr>
        <w:spacing w:after="0" w:line="31"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60" w:type="dxa"/>
            <w:vAlign w:val="bottom"/>
            <w:tcBorders>
              <w:top w:val="single" w:sz="8" w:color="355A89"/>
            </w:tcBorders>
          </w:tcPr>
          <w:p>
            <w:pPr>
              <w:jc w:val="center"/>
              <w:spacing w:after="0"/>
              <w:rPr>
                <w:sz w:val="20"/>
                <w:szCs w:val="20"/>
                <w:color w:val="auto"/>
              </w:rPr>
            </w:pPr>
            <w:r>
              <w:rPr>
                <w:rFonts w:ascii="Arial" w:cs="Arial" w:eastAsia="Arial" w:hAnsi="Arial"/>
                <w:sz w:val="22"/>
                <w:szCs w:val="22"/>
                <w:b w:val="1"/>
                <w:bCs w:val="1"/>
                <w:color w:val="355A89"/>
                <w:w w:val="96"/>
              </w:rPr>
              <w:t>Andrew W.</w:t>
            </w:r>
          </w:p>
        </w:tc>
        <w:tc>
          <w:tcPr>
            <w:tcW w:w="160" w:type="dxa"/>
            <w:vAlign w:val="bottom"/>
          </w:tcPr>
          <w:p>
            <w:pPr>
              <w:spacing w:after="0"/>
              <w:rPr>
                <w:sz w:val="24"/>
                <w:szCs w:val="24"/>
                <w:color w:val="auto"/>
              </w:rPr>
            </w:pPr>
          </w:p>
        </w:tc>
        <w:tc>
          <w:tcPr>
            <w:tcW w:w="9820" w:type="dxa"/>
            <w:vAlign w:val="bottom"/>
            <w:tcBorders>
              <w:top w:val="single" w:sz="8" w:color="355A89"/>
            </w:tcBorders>
            <w:vMerge w:val="restart"/>
            <w:shd w:val="clear" w:color="auto" w:fill="E4E5EE"/>
          </w:tcPr>
          <w:p>
            <w:pPr>
              <w:ind w:left="8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auto"/>
              </w:rPr>
              <w:t>April 2014</w:t>
            </w:r>
            <w:r>
              <w:rPr>
                <w:rFonts w:ascii="Arial" w:cs="Arial" w:eastAsia="Arial" w:hAnsi="Arial"/>
                <w:sz w:val="18"/>
                <w:szCs w:val="18"/>
                <w:color w:val="auto"/>
              </w:rPr>
              <w:t xml:space="preserve"> Age: </w:t>
            </w:r>
            <w:r>
              <w:rPr>
                <w:rFonts w:ascii="Arial" w:cs="Arial" w:eastAsia="Arial" w:hAnsi="Arial"/>
                <w:sz w:val="18"/>
                <w:szCs w:val="18"/>
                <w:b w:val="1"/>
                <w:bCs w:val="1"/>
                <w:color w:val="auto"/>
              </w:rPr>
              <w:t>47 President</w:t>
            </w:r>
          </w:p>
        </w:tc>
        <w:tc>
          <w:tcPr>
            <w:tcW w:w="0" w:type="dxa"/>
            <w:vAlign w:val="bottom"/>
          </w:tcPr>
          <w:p>
            <w:pPr>
              <w:spacing w:after="0"/>
              <w:rPr>
                <w:sz w:val="1"/>
                <w:szCs w:val="1"/>
                <w:color w:val="auto"/>
              </w:rPr>
            </w:pPr>
          </w:p>
        </w:tc>
      </w:tr>
      <w:tr>
        <w:trPr>
          <w:trHeight w:val="138"/>
        </w:trPr>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355A89"/>
                <w:w w:val="97"/>
              </w:rPr>
              <w:t>Mathias</w:t>
            </w:r>
          </w:p>
        </w:tc>
        <w:tc>
          <w:tcPr>
            <w:tcW w:w="160" w:type="dxa"/>
            <w:vAlign w:val="bottom"/>
          </w:tcPr>
          <w:p>
            <w:pPr>
              <w:spacing w:after="0"/>
              <w:rPr>
                <w:sz w:val="12"/>
                <w:szCs w:val="12"/>
                <w:color w:val="auto"/>
              </w:rPr>
            </w:pPr>
          </w:p>
        </w:tc>
        <w:tc>
          <w:tcPr>
            <w:tcW w:w="9820" w:type="dxa"/>
            <w:vAlign w:val="bottom"/>
            <w:vMerge w:val="continue"/>
            <w:shd w:val="clear" w:color="auto" w:fill="E4E5E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260" w:type="dxa"/>
            <w:vAlign w:val="bottom"/>
            <w:tcBorders>
              <w:bottom w:val="single" w:sz="8" w:color="355A89"/>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tcBorders>
              <w:bottom w:val="single" w:sz="8" w:color="E4E5EE"/>
            </w:tcBorders>
            <w:shd w:val="clear" w:color="auto" w:fill="E4E5E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260" w:type="dxa"/>
            <w:vAlign w:val="bottom"/>
          </w:tcPr>
          <w:p>
            <w:pPr>
              <w:spacing w:after="0"/>
              <w:rPr>
                <w:sz w:val="22"/>
                <w:szCs w:val="22"/>
                <w:color w:val="auto"/>
              </w:rPr>
            </w:pPr>
          </w:p>
        </w:tc>
        <w:tc>
          <w:tcPr>
            <w:tcW w:w="9980" w:type="dxa"/>
            <w:vAlign w:val="bottom"/>
            <w:gridSpan w:val="2"/>
          </w:tcPr>
          <w:p>
            <w:pPr>
              <w:ind w:left="160"/>
              <w:spacing w:after="0"/>
              <w:rPr>
                <w:sz w:val="20"/>
                <w:szCs w:val="20"/>
                <w:color w:val="auto"/>
              </w:rPr>
            </w:pPr>
            <w:r>
              <w:rPr>
                <w:rFonts w:ascii="Arial" w:cs="Arial" w:eastAsia="Arial" w:hAnsi="Arial"/>
                <w:sz w:val="18"/>
                <w:szCs w:val="18"/>
                <w:color w:val="auto"/>
                <w:w w:val="98"/>
              </w:rPr>
              <w:t>Mr. Mathias’ extensive experience in real estate, including commercial real estate investment, and in-depth knowledge of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7"/>
              </w:rPr>
              <w:t>New York City real estate market, as well as his role as President of the Company, provide him with valuable knowledge of our</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99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7"/>
              </w:rPr>
              <w:t>business and industry. Furthermore, Mr. Mathias’ presence on the Board facilitates communication between the Board and the</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9980" w:type="dxa"/>
            <w:vAlign w:val="bottom"/>
            <w:gridSpan w:val="2"/>
          </w:tcPr>
          <w:p>
            <w:pPr>
              <w:ind w:left="160"/>
              <w:spacing w:after="0"/>
              <w:rPr>
                <w:sz w:val="20"/>
                <w:szCs w:val="20"/>
                <w:color w:val="auto"/>
              </w:rPr>
            </w:pPr>
            <w:r>
              <w:rPr>
                <w:rFonts w:ascii="Arial" w:cs="Arial" w:eastAsia="Arial" w:hAnsi="Arial"/>
                <w:sz w:val="18"/>
                <w:szCs w:val="18"/>
                <w:color w:val="auto"/>
              </w:rPr>
              <w:t>Company’s senior management.</w:t>
            </w:r>
          </w:p>
        </w:tc>
        <w:tc>
          <w:tcPr>
            <w:tcW w:w="0" w:type="dxa"/>
            <w:vAlign w:val="bottom"/>
          </w:tcPr>
          <w:p>
            <w:pPr>
              <w:spacing w:after="0"/>
              <w:rPr>
                <w:sz w:val="1"/>
                <w:szCs w:val="1"/>
                <w:color w:val="auto"/>
              </w:rPr>
            </w:pPr>
          </w:p>
        </w:tc>
      </w:tr>
      <w:tr>
        <w:trPr>
          <w:trHeight w:val="418"/>
        </w:trPr>
        <w:tc>
          <w:tcPr>
            <w:tcW w:w="1260" w:type="dxa"/>
            <w:vAlign w:val="bottom"/>
          </w:tcPr>
          <w:p>
            <w:pPr>
              <w:spacing w:after="0"/>
              <w:rPr>
                <w:sz w:val="24"/>
                <w:szCs w:val="24"/>
                <w:color w:val="auto"/>
              </w:rPr>
            </w:pPr>
          </w:p>
        </w:tc>
        <w:tc>
          <w:tcPr>
            <w:tcW w:w="9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Professional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796925" cy="1062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96925" cy="1062990"/>
                    </a:xfrm>
                    <a:prstGeom prst="rect">
                      <a:avLst/>
                    </a:prstGeom>
                    <a:noFill/>
                  </pic:spPr>
                </pic:pic>
              </a:graphicData>
            </a:graphic>
          </wp:anchor>
        </w:drawing>
      </w:r>
    </w:p>
    <w:p>
      <w:pPr>
        <w:spacing w:after="0" w:line="188" w:lineRule="exact"/>
        <w:rPr>
          <w:sz w:val="20"/>
          <w:szCs w:val="20"/>
          <w:color w:val="auto"/>
        </w:rPr>
      </w:pPr>
    </w:p>
    <w:p>
      <w:pPr>
        <w:ind w:left="1940" w:hanging="235"/>
        <w:spacing w:after="0"/>
        <w:tabs>
          <w:tab w:leader="none" w:pos="1940" w:val="left"/>
        </w:tabs>
        <w:numPr>
          <w:ilvl w:val="0"/>
          <w:numId w:val="48"/>
        </w:numPr>
        <w:rPr>
          <w:rFonts w:ascii="Arial" w:cs="Arial" w:eastAsia="Arial" w:hAnsi="Arial"/>
          <w:sz w:val="17"/>
          <w:szCs w:val="17"/>
          <w:color w:val="355A89"/>
        </w:rPr>
      </w:pPr>
      <w:r>
        <w:rPr>
          <w:rFonts w:ascii="Arial" w:cs="Arial" w:eastAsia="Arial" w:hAnsi="Arial"/>
          <w:sz w:val="18"/>
          <w:szCs w:val="18"/>
          <w:color w:val="auto"/>
        </w:rPr>
        <w:t>President of the Company since April 2007</w:t>
      </w:r>
    </w:p>
    <w:p>
      <w:pPr>
        <w:spacing w:after="0" w:line="76" w:lineRule="exact"/>
        <w:rPr>
          <w:rFonts w:ascii="Arial" w:cs="Arial" w:eastAsia="Arial" w:hAnsi="Arial"/>
          <w:sz w:val="17"/>
          <w:szCs w:val="17"/>
          <w:color w:val="355A89"/>
        </w:rPr>
      </w:pPr>
    </w:p>
    <w:p>
      <w:pPr>
        <w:ind w:left="1940" w:hanging="235"/>
        <w:spacing w:after="0"/>
        <w:tabs>
          <w:tab w:leader="none" w:pos="1940" w:val="left"/>
        </w:tabs>
        <w:numPr>
          <w:ilvl w:val="0"/>
          <w:numId w:val="48"/>
        </w:numPr>
        <w:rPr>
          <w:rFonts w:ascii="Arial" w:cs="Arial" w:eastAsia="Arial" w:hAnsi="Arial"/>
          <w:sz w:val="17"/>
          <w:szCs w:val="17"/>
          <w:color w:val="355A89"/>
        </w:rPr>
      </w:pPr>
      <w:r>
        <w:rPr>
          <w:rFonts w:ascii="Arial" w:cs="Arial" w:eastAsia="Arial" w:hAnsi="Arial"/>
          <w:sz w:val="18"/>
          <w:szCs w:val="18"/>
          <w:color w:val="auto"/>
        </w:rPr>
        <w:t>Joined the Company in March 1999 as Vice President and was promoted to Director of Investments in 2002</w:t>
      </w:r>
    </w:p>
    <w:p>
      <w:pPr>
        <w:spacing w:after="0" w:line="90" w:lineRule="exact"/>
        <w:rPr>
          <w:rFonts w:ascii="Arial" w:cs="Arial" w:eastAsia="Arial" w:hAnsi="Arial"/>
          <w:sz w:val="17"/>
          <w:szCs w:val="17"/>
          <w:color w:val="355A89"/>
        </w:rPr>
      </w:pPr>
    </w:p>
    <w:p>
      <w:pPr>
        <w:ind w:left="1940" w:hanging="235"/>
        <w:spacing w:after="0"/>
        <w:tabs>
          <w:tab w:leader="none" w:pos="1940" w:val="left"/>
        </w:tabs>
        <w:numPr>
          <w:ilvl w:val="0"/>
          <w:numId w:val="48"/>
        </w:numPr>
        <w:rPr>
          <w:rFonts w:ascii="Arial" w:cs="Arial" w:eastAsia="Arial" w:hAnsi="Arial"/>
          <w:sz w:val="17"/>
          <w:szCs w:val="17"/>
          <w:color w:val="355A89"/>
        </w:rPr>
      </w:pPr>
      <w:r>
        <w:rPr>
          <w:rFonts w:ascii="Arial" w:cs="Arial" w:eastAsia="Arial" w:hAnsi="Arial"/>
          <w:sz w:val="18"/>
          <w:szCs w:val="18"/>
          <w:color w:val="auto"/>
        </w:rPr>
        <w:t>Chief Investment Officer of the Company from January 2004 until January 2011</w:t>
      </w:r>
    </w:p>
    <w:p>
      <w:pPr>
        <w:spacing w:after="0" w:line="76" w:lineRule="exact"/>
        <w:rPr>
          <w:rFonts w:ascii="Arial" w:cs="Arial" w:eastAsia="Arial" w:hAnsi="Arial"/>
          <w:sz w:val="17"/>
          <w:szCs w:val="17"/>
          <w:color w:val="355A89"/>
        </w:rPr>
      </w:pPr>
    </w:p>
    <w:p>
      <w:pPr>
        <w:ind w:left="1940" w:hanging="235"/>
        <w:spacing w:after="0"/>
        <w:tabs>
          <w:tab w:leader="none" w:pos="1940" w:val="left"/>
        </w:tabs>
        <w:numPr>
          <w:ilvl w:val="0"/>
          <w:numId w:val="48"/>
        </w:numPr>
        <w:rPr>
          <w:rFonts w:ascii="Arial" w:cs="Arial" w:eastAsia="Arial" w:hAnsi="Arial"/>
          <w:sz w:val="17"/>
          <w:szCs w:val="17"/>
          <w:color w:val="355A89"/>
        </w:rPr>
      </w:pPr>
      <w:r>
        <w:rPr>
          <w:rFonts w:ascii="Arial" w:cs="Arial" w:eastAsia="Arial" w:hAnsi="Arial"/>
          <w:sz w:val="18"/>
          <w:szCs w:val="18"/>
          <w:color w:val="auto"/>
        </w:rPr>
        <w:t>Chief Investment Officer of Gramercy Capital Corp. from August 2004 to October 2008</w:t>
      </w:r>
    </w:p>
    <w:p>
      <w:pPr>
        <w:spacing w:after="0" w:line="76" w:lineRule="exact"/>
        <w:rPr>
          <w:rFonts w:ascii="Arial" w:cs="Arial" w:eastAsia="Arial" w:hAnsi="Arial"/>
          <w:sz w:val="17"/>
          <w:szCs w:val="17"/>
          <w:color w:val="355A89"/>
        </w:rPr>
      </w:pPr>
    </w:p>
    <w:p>
      <w:pPr>
        <w:ind w:left="1940" w:hanging="235"/>
        <w:spacing w:after="0"/>
        <w:tabs>
          <w:tab w:leader="none" w:pos="1940" w:val="left"/>
        </w:tabs>
        <w:numPr>
          <w:ilvl w:val="0"/>
          <w:numId w:val="48"/>
        </w:numPr>
        <w:rPr>
          <w:rFonts w:ascii="Arial" w:cs="Arial" w:eastAsia="Arial" w:hAnsi="Arial"/>
          <w:sz w:val="17"/>
          <w:szCs w:val="17"/>
          <w:color w:val="355A89"/>
        </w:rPr>
      </w:pPr>
      <w:r>
        <w:rPr>
          <w:rFonts w:ascii="Arial" w:cs="Arial" w:eastAsia="Arial" w:hAnsi="Arial"/>
          <w:sz w:val="18"/>
          <w:szCs w:val="18"/>
          <w:color w:val="auto"/>
        </w:rPr>
        <w:t>Worked at Capital Trust, Inc. and its predecessor, Victor Capital Group, L.P.</w:t>
      </w:r>
    </w:p>
    <w:p>
      <w:pPr>
        <w:spacing w:after="0" w:line="90" w:lineRule="exact"/>
        <w:rPr>
          <w:rFonts w:ascii="Arial" w:cs="Arial" w:eastAsia="Arial" w:hAnsi="Arial"/>
          <w:sz w:val="17"/>
          <w:szCs w:val="17"/>
          <w:color w:val="355A89"/>
        </w:rPr>
      </w:pPr>
    </w:p>
    <w:p>
      <w:pPr>
        <w:ind w:left="1940" w:hanging="235"/>
        <w:spacing w:after="0"/>
        <w:tabs>
          <w:tab w:leader="none" w:pos="1940" w:val="left"/>
        </w:tabs>
        <w:numPr>
          <w:ilvl w:val="0"/>
          <w:numId w:val="48"/>
        </w:numPr>
        <w:rPr>
          <w:rFonts w:ascii="Arial" w:cs="Arial" w:eastAsia="Arial" w:hAnsi="Arial"/>
          <w:sz w:val="17"/>
          <w:szCs w:val="17"/>
          <w:color w:val="355A89"/>
        </w:rPr>
      </w:pPr>
      <w:r>
        <w:rPr>
          <w:rFonts w:ascii="Arial" w:cs="Arial" w:eastAsia="Arial" w:hAnsi="Arial"/>
          <w:sz w:val="18"/>
          <w:szCs w:val="18"/>
          <w:color w:val="auto"/>
        </w:rPr>
        <w:t>Worked on the high yield and restructuring desk at Bear Stearns and Co.</w:t>
      </w:r>
    </w:p>
    <w:p>
      <w:pPr>
        <w:spacing w:after="0" w:line="76" w:lineRule="exact"/>
        <w:rPr>
          <w:rFonts w:ascii="Arial" w:cs="Arial" w:eastAsia="Arial" w:hAnsi="Arial"/>
          <w:sz w:val="17"/>
          <w:szCs w:val="17"/>
          <w:color w:val="355A89"/>
        </w:rPr>
      </w:pPr>
    </w:p>
    <w:p>
      <w:pPr>
        <w:jc w:val="both"/>
        <w:ind w:left="1960" w:right="980" w:hanging="255"/>
        <w:spacing w:after="0" w:line="312" w:lineRule="auto"/>
        <w:tabs>
          <w:tab w:leader="none" w:pos="1937" w:val="left"/>
        </w:tabs>
        <w:numPr>
          <w:ilvl w:val="0"/>
          <w:numId w:val="48"/>
        </w:numPr>
        <w:rPr>
          <w:rFonts w:ascii="Arial" w:cs="Arial" w:eastAsia="Arial" w:hAnsi="Arial"/>
          <w:sz w:val="16"/>
          <w:szCs w:val="16"/>
          <w:color w:val="355A89"/>
        </w:rPr>
      </w:pPr>
      <w:r>
        <w:rPr>
          <w:rFonts w:ascii="Arial" w:cs="Arial" w:eastAsia="Arial" w:hAnsi="Arial"/>
          <w:sz w:val="16"/>
          <w:szCs w:val="16"/>
          <w:color w:val="auto"/>
        </w:rPr>
        <w:t>Member of the Board of Directors for the Regional Plan Association, which works to improve the prosperity, infrastructure, sustainability and quality of life of the New York-New Jersey-Connecticut metropolitan region</w:t>
      </w:r>
    </w:p>
    <w:p>
      <w:pPr>
        <w:spacing w:after="0" w:line="7" w:lineRule="exact"/>
        <w:rPr>
          <w:rFonts w:ascii="Arial" w:cs="Arial" w:eastAsia="Arial" w:hAnsi="Arial"/>
          <w:sz w:val="16"/>
          <w:szCs w:val="16"/>
          <w:color w:val="355A89"/>
        </w:rPr>
      </w:pPr>
    </w:p>
    <w:p>
      <w:pPr>
        <w:ind w:left="1940" w:hanging="235"/>
        <w:spacing w:after="0"/>
        <w:tabs>
          <w:tab w:leader="none" w:pos="1940" w:val="left"/>
        </w:tabs>
        <w:numPr>
          <w:ilvl w:val="0"/>
          <w:numId w:val="48"/>
        </w:numPr>
        <w:rPr>
          <w:rFonts w:ascii="Arial" w:cs="Arial" w:eastAsia="Arial" w:hAnsi="Arial"/>
          <w:sz w:val="17"/>
          <w:szCs w:val="17"/>
          <w:color w:val="355A89"/>
        </w:rPr>
      </w:pPr>
      <w:r>
        <w:rPr>
          <w:rFonts w:ascii="Arial" w:cs="Arial" w:eastAsia="Arial" w:hAnsi="Arial"/>
          <w:sz w:val="18"/>
          <w:szCs w:val="18"/>
          <w:color w:val="auto"/>
        </w:rPr>
        <w:t>B.S. degree in Economics from the Wharton School at the University of Pennsylvania</w:t>
      </w:r>
    </w:p>
    <w:p>
      <w:pPr>
        <w:spacing w:after="0" w:line="225"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Board Refreshment</w:t>
      </w:r>
    </w:p>
    <w:p>
      <w:pPr>
        <w:spacing w:after="0" w:line="23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Led by our Nominating and Corporate Governance Committee, the Board engages in ongoing director succession planning, including a focus on refreshing the membership and leadership of the Board and its Committees and enhancing the level of diversity. Most recently, in January 2019, the leadership of the Board was transitioned from Stephen L. Green, our founder and long-time Chairman of the Board, to Marc Holliday, who also serves as our Chief Executive Officer. Mr. Green stepped down as Chairman of the Board nearly 40 years after he founded our predecessor and following his more than 20 years of distinguished service in this role. Mr. Green continues to serve as a director and as our Chairman Emeritus. The Board also rotated Committee chairs in 2018, with Lauren Dillard replacing John Alschuler as chair of our Compensation Committee and Craig Hatkoff replacing John Levy as chair of our Nominating and Corporate Governance Committee.</w:t>
      </w:r>
    </w:p>
    <w:p>
      <w:pPr>
        <w:spacing w:after="0" w:line="19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Over the longer term, we have added three independent directors since 2011, including two women – Betsy Atkins and Lauren Dillard since 2015. For our commitment to board diversity, we were recognized as a 2020 Women on Boards Winning ‘W’ Company. These additions have provided new perspectives and enhanced the quality of the Board. With these additions, one-third of our independent directors are women. We are looking to further enhance the diversity of perspectives on the Board, potentially through directors that contribute ethnic/racial diversity.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00" w:type="dxa"/>
            <w:vAlign w:val="bottom"/>
            <w:shd w:val="clear" w:color="auto" w:fill="A2A9C3"/>
          </w:tcPr>
          <w:p>
            <w:pPr>
              <w:ind w:left="180"/>
              <w:spacing w:after="0"/>
              <w:rPr>
                <w:sz w:val="20"/>
                <w:szCs w:val="20"/>
                <w:color w:val="auto"/>
              </w:rPr>
            </w:pPr>
            <w:r>
              <w:rPr>
                <w:rFonts w:ascii="Arial" w:cs="Arial" w:eastAsia="Arial" w:hAnsi="Arial"/>
                <w:sz w:val="18"/>
                <w:szCs w:val="18"/>
                <w:b w:val="1"/>
                <w:bCs w:val="1"/>
                <w:color w:val="355A89"/>
              </w:rPr>
              <w:t>Diversity</w:t>
            </w:r>
          </w:p>
        </w:tc>
        <w:tc>
          <w:tcPr>
            <w:tcW w:w="3760" w:type="dxa"/>
            <w:vAlign w:val="bottom"/>
            <w:shd w:val="clear" w:color="auto" w:fill="A2A9C3"/>
          </w:tcPr>
          <w:p>
            <w:pPr>
              <w:ind w:left="160"/>
              <w:spacing w:after="0"/>
              <w:rPr>
                <w:sz w:val="20"/>
                <w:szCs w:val="20"/>
                <w:color w:val="auto"/>
              </w:rPr>
            </w:pPr>
            <w:r>
              <w:rPr>
                <w:rFonts w:ascii="Arial" w:cs="Arial" w:eastAsia="Arial" w:hAnsi="Arial"/>
                <w:sz w:val="18"/>
                <w:szCs w:val="18"/>
                <w:b w:val="1"/>
                <w:bCs w:val="1"/>
                <w:color w:val="355A89"/>
              </w:rPr>
              <w:t>Experience</w:t>
            </w:r>
          </w:p>
        </w:tc>
        <w:tc>
          <w:tcPr>
            <w:tcW w:w="3780" w:type="dxa"/>
            <w:vAlign w:val="bottom"/>
            <w:shd w:val="clear" w:color="auto" w:fill="A2A9C3"/>
          </w:tcPr>
          <w:p>
            <w:pPr>
              <w:ind w:left="100"/>
              <w:spacing w:after="0"/>
              <w:rPr>
                <w:sz w:val="20"/>
                <w:szCs w:val="20"/>
                <w:color w:val="auto"/>
              </w:rPr>
            </w:pPr>
            <w:r>
              <w:rPr>
                <w:rFonts w:ascii="Arial" w:cs="Arial" w:eastAsia="Arial" w:hAnsi="Arial"/>
                <w:sz w:val="18"/>
                <w:szCs w:val="18"/>
                <w:b w:val="1"/>
                <w:bCs w:val="1"/>
                <w:color w:val="355A89"/>
              </w:rPr>
              <w:t>Leadership</w:t>
            </w:r>
          </w:p>
        </w:tc>
      </w:tr>
      <w:tr>
        <w:trPr>
          <w:trHeight w:val="262"/>
        </w:trPr>
        <w:tc>
          <w:tcPr>
            <w:tcW w:w="3700" w:type="dxa"/>
            <w:vAlign w:val="bottom"/>
            <w:shd w:val="clear" w:color="auto" w:fill="A2A9C3"/>
          </w:tcPr>
          <w:p>
            <w:pPr>
              <w:ind w:left="180"/>
              <w:spacing w:after="0"/>
              <w:rPr>
                <w:sz w:val="20"/>
                <w:szCs w:val="20"/>
                <w:color w:val="auto"/>
              </w:rPr>
            </w:pPr>
            <w:r>
              <w:rPr>
                <w:rFonts w:ascii="Arial" w:cs="Arial" w:eastAsia="Arial" w:hAnsi="Arial"/>
                <w:sz w:val="18"/>
                <w:szCs w:val="18"/>
                <w:color w:val="355A89"/>
              </w:rPr>
              <w:t>Our Board has a diversity of knowledge,</w:t>
            </w:r>
          </w:p>
        </w:tc>
        <w:tc>
          <w:tcPr>
            <w:tcW w:w="3760" w:type="dxa"/>
            <w:vAlign w:val="bottom"/>
            <w:shd w:val="clear" w:color="auto" w:fill="A2A9C3"/>
          </w:tcPr>
          <w:p>
            <w:pPr>
              <w:ind w:left="160"/>
              <w:spacing w:after="0"/>
              <w:rPr>
                <w:sz w:val="20"/>
                <w:szCs w:val="20"/>
                <w:color w:val="auto"/>
              </w:rPr>
            </w:pPr>
            <w:r>
              <w:rPr>
                <w:rFonts w:ascii="Arial" w:cs="Arial" w:eastAsia="Arial" w:hAnsi="Arial"/>
                <w:sz w:val="18"/>
                <w:szCs w:val="18"/>
                <w:color w:val="355A89"/>
              </w:rPr>
              <w:t>Our Board members have broad experience</w:t>
            </w:r>
          </w:p>
        </w:tc>
        <w:tc>
          <w:tcPr>
            <w:tcW w:w="3780" w:type="dxa"/>
            <w:vAlign w:val="bottom"/>
            <w:shd w:val="clear" w:color="auto" w:fill="A2A9C3"/>
          </w:tcPr>
          <w:p>
            <w:pPr>
              <w:ind w:left="100"/>
              <w:spacing w:after="0"/>
              <w:rPr>
                <w:sz w:val="20"/>
                <w:szCs w:val="20"/>
                <w:color w:val="auto"/>
              </w:rPr>
            </w:pPr>
            <w:r>
              <w:rPr>
                <w:rFonts w:ascii="Arial" w:cs="Arial" w:eastAsia="Arial" w:hAnsi="Arial"/>
                <w:sz w:val="18"/>
                <w:szCs w:val="18"/>
                <w:color w:val="355A89"/>
              </w:rPr>
              <w:t>Our Board members have strong corporate</w:t>
            </w:r>
          </w:p>
        </w:tc>
      </w:tr>
      <w:tr>
        <w:trPr>
          <w:trHeight w:val="203"/>
        </w:trPr>
        <w:tc>
          <w:tcPr>
            <w:tcW w:w="3700" w:type="dxa"/>
            <w:vAlign w:val="bottom"/>
            <w:shd w:val="clear" w:color="auto" w:fill="A2A9C3"/>
          </w:tcPr>
          <w:p>
            <w:pPr>
              <w:ind w:left="180"/>
              <w:spacing w:after="0" w:line="202" w:lineRule="exact"/>
              <w:rPr>
                <w:sz w:val="20"/>
                <w:szCs w:val="20"/>
                <w:color w:val="auto"/>
              </w:rPr>
            </w:pPr>
            <w:r>
              <w:rPr>
                <w:rFonts w:ascii="Arial" w:cs="Arial" w:eastAsia="Arial" w:hAnsi="Arial"/>
                <w:sz w:val="18"/>
                <w:szCs w:val="18"/>
                <w:color w:val="355A89"/>
              </w:rPr>
              <w:t>skills and education, as well as diversity of</w:t>
            </w:r>
          </w:p>
        </w:tc>
        <w:tc>
          <w:tcPr>
            <w:tcW w:w="3760" w:type="dxa"/>
            <w:vAlign w:val="bottom"/>
            <w:shd w:val="clear" w:color="auto" w:fill="A2A9C3"/>
          </w:tcPr>
          <w:p>
            <w:pPr>
              <w:ind w:left="160"/>
              <w:spacing w:after="0" w:line="202" w:lineRule="exact"/>
              <w:rPr>
                <w:sz w:val="20"/>
                <w:szCs w:val="20"/>
                <w:color w:val="auto"/>
              </w:rPr>
            </w:pPr>
            <w:r>
              <w:rPr>
                <w:rFonts w:ascii="Arial" w:cs="Arial" w:eastAsia="Arial" w:hAnsi="Arial"/>
                <w:sz w:val="18"/>
                <w:szCs w:val="18"/>
                <w:color w:val="355A89"/>
              </w:rPr>
              <w:t>serving on public boards in industries</w:t>
            </w:r>
          </w:p>
        </w:tc>
        <w:tc>
          <w:tcPr>
            <w:tcW w:w="3780" w:type="dxa"/>
            <w:vAlign w:val="bottom"/>
            <w:shd w:val="clear" w:color="auto" w:fill="A2A9C3"/>
          </w:tcPr>
          <w:p>
            <w:pPr>
              <w:ind w:left="100"/>
              <w:spacing w:after="0" w:line="202" w:lineRule="exact"/>
              <w:rPr>
                <w:sz w:val="20"/>
                <w:szCs w:val="20"/>
                <w:color w:val="auto"/>
              </w:rPr>
            </w:pPr>
            <w:r>
              <w:rPr>
                <w:rFonts w:ascii="Arial" w:cs="Arial" w:eastAsia="Arial" w:hAnsi="Arial"/>
                <w:sz w:val="18"/>
                <w:szCs w:val="18"/>
                <w:color w:val="355A89"/>
              </w:rPr>
              <w:t>leadership backgrounds such as being CEO,</w:t>
            </w:r>
          </w:p>
        </w:tc>
      </w:tr>
      <w:tr>
        <w:trPr>
          <w:trHeight w:val="211"/>
        </w:trPr>
        <w:tc>
          <w:tcPr>
            <w:tcW w:w="3700" w:type="dxa"/>
            <w:vAlign w:val="bottom"/>
            <w:shd w:val="clear" w:color="auto" w:fill="A2A9C3"/>
          </w:tcPr>
          <w:p>
            <w:pPr>
              <w:ind w:left="180"/>
              <w:spacing w:after="0"/>
              <w:rPr>
                <w:sz w:val="20"/>
                <w:szCs w:val="20"/>
                <w:color w:val="auto"/>
              </w:rPr>
            </w:pPr>
            <w:r>
              <w:rPr>
                <w:rFonts w:ascii="Arial" w:cs="Arial" w:eastAsia="Arial" w:hAnsi="Arial"/>
                <w:sz w:val="18"/>
                <w:szCs w:val="18"/>
                <w:color w:val="355A89"/>
              </w:rPr>
              <w:t>age, gender and outlook</w:t>
            </w:r>
          </w:p>
        </w:tc>
        <w:tc>
          <w:tcPr>
            <w:tcW w:w="3760" w:type="dxa"/>
            <w:vAlign w:val="bottom"/>
            <w:shd w:val="clear" w:color="auto" w:fill="A2A9C3"/>
          </w:tcPr>
          <w:p>
            <w:pPr>
              <w:ind w:left="160"/>
              <w:spacing w:after="0"/>
              <w:rPr>
                <w:sz w:val="20"/>
                <w:szCs w:val="20"/>
                <w:color w:val="auto"/>
              </w:rPr>
            </w:pPr>
            <w:r>
              <w:rPr>
                <w:rFonts w:ascii="Arial" w:cs="Arial" w:eastAsia="Arial" w:hAnsi="Arial"/>
                <w:sz w:val="18"/>
                <w:szCs w:val="18"/>
                <w:color w:val="355A89"/>
              </w:rPr>
              <w:t>relevant to the Company</w:t>
            </w:r>
          </w:p>
        </w:tc>
        <w:tc>
          <w:tcPr>
            <w:tcW w:w="3780" w:type="dxa"/>
            <w:vAlign w:val="bottom"/>
            <w:shd w:val="clear" w:color="auto" w:fill="A2A9C3"/>
          </w:tcPr>
          <w:p>
            <w:pPr>
              <w:ind w:left="100"/>
              <w:spacing w:after="0"/>
              <w:rPr>
                <w:sz w:val="20"/>
                <w:szCs w:val="20"/>
                <w:color w:val="auto"/>
              </w:rPr>
            </w:pPr>
            <w:r>
              <w:rPr>
                <w:rFonts w:ascii="Arial" w:cs="Arial" w:eastAsia="Arial" w:hAnsi="Arial"/>
                <w:sz w:val="18"/>
                <w:szCs w:val="18"/>
                <w:color w:val="355A89"/>
              </w:rPr>
              <w:t>CFO or holding other Executive positions</w:t>
            </w:r>
          </w:p>
        </w:tc>
      </w:tr>
      <w:tr>
        <w:trPr>
          <w:trHeight w:val="1517"/>
        </w:trPr>
        <w:tc>
          <w:tcPr>
            <w:tcW w:w="3700" w:type="dxa"/>
            <w:vAlign w:val="bottom"/>
            <w:shd w:val="clear" w:color="auto" w:fill="A2A9C3"/>
          </w:tcPr>
          <w:p>
            <w:pPr>
              <w:ind w:left="180"/>
              <w:spacing w:after="0"/>
              <w:rPr>
                <w:sz w:val="20"/>
                <w:szCs w:val="20"/>
                <w:color w:val="auto"/>
              </w:rPr>
            </w:pPr>
            <w:r>
              <w:rPr>
                <w:rFonts w:ascii="Arial" w:cs="Arial" w:eastAsia="Arial" w:hAnsi="Arial"/>
                <w:sz w:val="18"/>
                <w:szCs w:val="18"/>
                <w:b w:val="1"/>
                <w:bCs w:val="1"/>
                <w:color w:val="355A89"/>
                <w:w w:val="98"/>
              </w:rPr>
              <w:t xml:space="preserve">33% </w:t>
            </w:r>
            <w:r>
              <w:rPr>
                <w:rFonts w:ascii="Arial" w:cs="Arial" w:eastAsia="Arial" w:hAnsi="Arial"/>
                <w:sz w:val="18"/>
                <w:szCs w:val="18"/>
                <w:color w:val="355A89"/>
                <w:w w:val="98"/>
              </w:rPr>
              <w:t>of our independent Board members are</w:t>
            </w:r>
          </w:p>
        </w:tc>
        <w:tc>
          <w:tcPr>
            <w:tcW w:w="3760" w:type="dxa"/>
            <w:vAlign w:val="bottom"/>
            <w:shd w:val="clear" w:color="auto" w:fill="A2A9C3"/>
          </w:tcPr>
          <w:p>
            <w:pPr>
              <w:ind w:left="160"/>
              <w:spacing w:after="0"/>
              <w:rPr>
                <w:sz w:val="20"/>
                <w:szCs w:val="20"/>
                <w:color w:val="auto"/>
              </w:rPr>
            </w:pPr>
            <w:r>
              <w:rPr>
                <w:rFonts w:ascii="Arial" w:cs="Arial" w:eastAsia="Arial" w:hAnsi="Arial"/>
                <w:sz w:val="18"/>
                <w:szCs w:val="18"/>
                <w:b w:val="1"/>
                <w:bCs w:val="1"/>
                <w:color w:val="355A89"/>
              </w:rPr>
              <w:t xml:space="preserve">67% </w:t>
            </w:r>
            <w:r>
              <w:rPr>
                <w:rFonts w:ascii="Arial" w:cs="Arial" w:eastAsia="Arial" w:hAnsi="Arial"/>
                <w:sz w:val="18"/>
                <w:szCs w:val="18"/>
                <w:color w:val="355A89"/>
              </w:rPr>
              <w:t>of our Board currently serve or have</w:t>
            </w:r>
          </w:p>
        </w:tc>
        <w:tc>
          <w:tcPr>
            <w:tcW w:w="3780" w:type="dxa"/>
            <w:vAlign w:val="bottom"/>
            <w:shd w:val="clear" w:color="auto" w:fill="A2A9C3"/>
          </w:tcPr>
          <w:p>
            <w:pPr>
              <w:ind w:left="100"/>
              <w:spacing w:after="0"/>
              <w:rPr>
                <w:sz w:val="20"/>
                <w:szCs w:val="20"/>
                <w:color w:val="auto"/>
              </w:rPr>
            </w:pPr>
            <w:r>
              <w:rPr>
                <w:rFonts w:ascii="Arial" w:cs="Arial" w:eastAsia="Arial" w:hAnsi="Arial"/>
                <w:sz w:val="18"/>
                <w:szCs w:val="18"/>
                <w:b w:val="1"/>
                <w:bCs w:val="1"/>
                <w:color w:val="355A89"/>
              </w:rPr>
              <w:t xml:space="preserve">100% </w:t>
            </w:r>
            <w:r>
              <w:rPr>
                <w:rFonts w:ascii="Arial" w:cs="Arial" w:eastAsia="Arial" w:hAnsi="Arial"/>
                <w:sz w:val="18"/>
                <w:szCs w:val="18"/>
                <w:color w:val="355A89"/>
              </w:rPr>
              <w:t>of our Board currently serve or have</w:t>
            </w:r>
          </w:p>
        </w:tc>
      </w:tr>
      <w:tr>
        <w:trPr>
          <w:trHeight w:val="203"/>
        </w:trPr>
        <w:tc>
          <w:tcPr>
            <w:tcW w:w="3700" w:type="dxa"/>
            <w:vAlign w:val="bottom"/>
            <w:shd w:val="clear" w:color="auto" w:fill="A2A9C3"/>
          </w:tcPr>
          <w:p>
            <w:pPr>
              <w:ind w:left="180"/>
              <w:spacing w:after="0" w:line="202" w:lineRule="exact"/>
              <w:rPr>
                <w:sz w:val="20"/>
                <w:szCs w:val="20"/>
                <w:color w:val="auto"/>
              </w:rPr>
            </w:pPr>
            <w:r>
              <w:rPr>
                <w:rFonts w:ascii="Arial" w:cs="Arial" w:eastAsia="Arial" w:hAnsi="Arial"/>
                <w:sz w:val="18"/>
                <w:szCs w:val="18"/>
                <w:color w:val="355A89"/>
              </w:rPr>
              <w:t>women</w:t>
            </w:r>
          </w:p>
        </w:tc>
        <w:tc>
          <w:tcPr>
            <w:tcW w:w="3760" w:type="dxa"/>
            <w:vAlign w:val="bottom"/>
            <w:shd w:val="clear" w:color="auto" w:fill="A2A9C3"/>
          </w:tcPr>
          <w:p>
            <w:pPr>
              <w:ind w:left="160"/>
              <w:spacing w:after="0" w:line="202" w:lineRule="exact"/>
              <w:rPr>
                <w:sz w:val="20"/>
                <w:szCs w:val="20"/>
                <w:color w:val="auto"/>
              </w:rPr>
            </w:pPr>
            <w:r>
              <w:rPr>
                <w:rFonts w:ascii="Arial" w:cs="Arial" w:eastAsia="Arial" w:hAnsi="Arial"/>
                <w:sz w:val="18"/>
                <w:szCs w:val="18"/>
                <w:color w:val="355A89"/>
                <w:w w:val="99"/>
              </w:rPr>
              <w:t>served on the Boards of other publicly traded</w:t>
            </w:r>
          </w:p>
        </w:tc>
        <w:tc>
          <w:tcPr>
            <w:tcW w:w="3780" w:type="dxa"/>
            <w:vAlign w:val="bottom"/>
            <w:shd w:val="clear" w:color="auto" w:fill="A2A9C3"/>
          </w:tcPr>
          <w:p>
            <w:pPr>
              <w:ind w:left="100"/>
              <w:spacing w:after="0" w:line="202" w:lineRule="exact"/>
              <w:rPr>
                <w:sz w:val="20"/>
                <w:szCs w:val="20"/>
                <w:color w:val="auto"/>
              </w:rPr>
            </w:pPr>
            <w:r>
              <w:rPr>
                <w:rFonts w:ascii="Arial" w:cs="Arial" w:eastAsia="Arial" w:hAnsi="Arial"/>
                <w:sz w:val="18"/>
                <w:szCs w:val="18"/>
                <w:color w:val="355A89"/>
              </w:rPr>
              <w:t>served as CEO or in senior leadership</w:t>
            </w:r>
          </w:p>
        </w:tc>
      </w:tr>
      <w:tr>
        <w:trPr>
          <w:trHeight w:val="211"/>
        </w:trPr>
        <w:tc>
          <w:tcPr>
            <w:tcW w:w="3700" w:type="dxa"/>
            <w:vAlign w:val="bottom"/>
            <w:shd w:val="clear" w:color="auto" w:fill="A2A9C3"/>
          </w:tcPr>
          <w:p>
            <w:pPr>
              <w:spacing w:after="0"/>
              <w:rPr>
                <w:sz w:val="18"/>
                <w:szCs w:val="18"/>
                <w:color w:val="auto"/>
              </w:rPr>
            </w:pPr>
          </w:p>
        </w:tc>
        <w:tc>
          <w:tcPr>
            <w:tcW w:w="3760" w:type="dxa"/>
            <w:vAlign w:val="bottom"/>
            <w:shd w:val="clear" w:color="auto" w:fill="A2A9C3"/>
          </w:tcPr>
          <w:p>
            <w:pPr>
              <w:ind w:left="160"/>
              <w:spacing w:after="0"/>
              <w:rPr>
                <w:sz w:val="20"/>
                <w:szCs w:val="20"/>
                <w:color w:val="auto"/>
              </w:rPr>
            </w:pPr>
            <w:r>
              <w:rPr>
                <w:rFonts w:ascii="Arial" w:cs="Arial" w:eastAsia="Arial" w:hAnsi="Arial"/>
                <w:sz w:val="18"/>
                <w:szCs w:val="18"/>
                <w:color w:val="355A89"/>
              </w:rPr>
              <w:t>companies</w:t>
            </w:r>
          </w:p>
        </w:tc>
        <w:tc>
          <w:tcPr>
            <w:tcW w:w="3780" w:type="dxa"/>
            <w:vAlign w:val="bottom"/>
            <w:shd w:val="clear" w:color="auto" w:fill="A2A9C3"/>
          </w:tcPr>
          <w:p>
            <w:pPr>
              <w:ind w:left="100"/>
              <w:spacing w:after="0"/>
              <w:rPr>
                <w:sz w:val="20"/>
                <w:szCs w:val="20"/>
                <w:color w:val="auto"/>
              </w:rPr>
            </w:pPr>
            <w:r>
              <w:rPr>
                <w:rFonts w:ascii="Arial" w:cs="Arial" w:eastAsia="Arial" w:hAnsi="Arial"/>
                <w:sz w:val="18"/>
                <w:szCs w:val="18"/>
                <w:color w:val="355A89"/>
              </w:rPr>
              <w:t>positions</w:t>
            </w:r>
          </w:p>
        </w:tc>
      </w:tr>
      <w:tr>
        <w:trPr>
          <w:trHeight w:val="56"/>
        </w:trPr>
        <w:tc>
          <w:tcPr>
            <w:tcW w:w="3700" w:type="dxa"/>
            <w:vAlign w:val="bottom"/>
            <w:shd w:val="clear" w:color="auto" w:fill="A2A9C3"/>
          </w:tcPr>
          <w:p>
            <w:pPr>
              <w:spacing w:after="0"/>
              <w:rPr>
                <w:sz w:val="4"/>
                <w:szCs w:val="4"/>
                <w:color w:val="auto"/>
              </w:rPr>
            </w:pPr>
          </w:p>
        </w:tc>
        <w:tc>
          <w:tcPr>
            <w:tcW w:w="3760" w:type="dxa"/>
            <w:vAlign w:val="bottom"/>
            <w:shd w:val="clear" w:color="auto" w:fill="A2A9C3"/>
          </w:tcPr>
          <w:p>
            <w:pPr>
              <w:spacing w:after="0"/>
              <w:rPr>
                <w:sz w:val="4"/>
                <w:szCs w:val="4"/>
                <w:color w:val="auto"/>
              </w:rPr>
            </w:pPr>
          </w:p>
        </w:tc>
        <w:tc>
          <w:tcPr>
            <w:tcW w:w="3780" w:type="dxa"/>
            <w:vAlign w:val="bottom"/>
            <w:shd w:val="clear" w:color="auto" w:fill="A2A9C3"/>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-1233805</wp:posOffset>
            </wp:positionV>
            <wp:extent cx="771525" cy="771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-1233805</wp:posOffset>
            </wp:positionV>
            <wp:extent cx="1071245" cy="745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71245" cy="7454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-1233805</wp:posOffset>
            </wp:positionV>
            <wp:extent cx="737235" cy="7626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7235" cy="76263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Identification of Director Candidates</w:t>
      </w:r>
    </w:p>
    <w:p>
      <w:pPr>
        <w:spacing w:after="0" w:line="23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adopted a written policy on the criteria and process of identifying and reviewing director candidates.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Each director candidate must have:</w:t>
      </w:r>
    </w:p>
    <w:p>
      <w:pPr>
        <w:spacing w:after="0" w:line="212" w:lineRule="exact"/>
        <w:rPr>
          <w:sz w:val="20"/>
          <w:szCs w:val="20"/>
          <w:color w:val="auto"/>
        </w:rPr>
      </w:pPr>
    </w:p>
    <w:p>
      <w:pPr>
        <w:ind w:left="300" w:right="160" w:hanging="292"/>
        <w:spacing w:after="0" w:line="239" w:lineRule="auto"/>
        <w:tabs>
          <w:tab w:leader="none" w:pos="300" w:val="left"/>
        </w:tabs>
        <w:numPr>
          <w:ilvl w:val="0"/>
          <w:numId w:val="50"/>
        </w:numPr>
        <w:rPr>
          <w:rFonts w:ascii="Arial" w:cs="Arial" w:eastAsia="Arial" w:hAnsi="Arial"/>
          <w:sz w:val="18"/>
          <w:szCs w:val="18"/>
          <w:color w:val="355A89"/>
        </w:rPr>
      </w:pPr>
      <w:r>
        <w:rPr>
          <w:rFonts w:ascii="Arial" w:cs="Arial" w:eastAsia="Arial" w:hAnsi="Arial"/>
          <w:sz w:val="18"/>
          <w:szCs w:val="18"/>
          <w:color w:val="auto"/>
        </w:rPr>
        <w:t>education and experience that provides knowledge of business, financial, governmental or legal matters that are relevant to the Company’s business or to its status as a publicly owned company;</w:t>
      </w:r>
    </w:p>
    <w:p>
      <w:pPr>
        <w:spacing w:after="0" w:line="235" w:lineRule="exact"/>
        <w:rPr>
          <w:rFonts w:ascii="Arial" w:cs="Arial" w:eastAsia="Arial" w:hAnsi="Arial"/>
          <w:sz w:val="18"/>
          <w:szCs w:val="18"/>
          <w:color w:val="355A89"/>
        </w:rPr>
      </w:pPr>
    </w:p>
    <w:p>
      <w:pPr>
        <w:ind w:left="300" w:hanging="292"/>
        <w:spacing w:after="0"/>
        <w:tabs>
          <w:tab w:leader="none" w:pos="300" w:val="left"/>
        </w:tabs>
        <w:numPr>
          <w:ilvl w:val="0"/>
          <w:numId w:val="50"/>
        </w:numPr>
        <w:rPr>
          <w:rFonts w:ascii="Arial" w:cs="Arial" w:eastAsia="Arial" w:hAnsi="Arial"/>
          <w:sz w:val="18"/>
          <w:szCs w:val="18"/>
          <w:color w:val="355A89"/>
        </w:rPr>
      </w:pPr>
      <w:r>
        <w:rPr>
          <w:rFonts w:ascii="Arial" w:cs="Arial" w:eastAsia="Arial" w:hAnsi="Arial"/>
          <w:sz w:val="18"/>
          <w:szCs w:val="18"/>
          <w:color w:val="auto"/>
        </w:rPr>
        <w:t>an unblemished reputation for integrity;</w:t>
      </w:r>
    </w:p>
    <w:p>
      <w:pPr>
        <w:spacing w:after="0" w:line="238" w:lineRule="exact"/>
        <w:rPr>
          <w:rFonts w:ascii="Arial" w:cs="Arial" w:eastAsia="Arial" w:hAnsi="Arial"/>
          <w:sz w:val="18"/>
          <w:szCs w:val="18"/>
          <w:color w:val="355A89"/>
        </w:rPr>
      </w:pPr>
    </w:p>
    <w:p>
      <w:pPr>
        <w:ind w:left="300" w:hanging="292"/>
        <w:spacing w:after="0"/>
        <w:tabs>
          <w:tab w:leader="none" w:pos="300" w:val="left"/>
        </w:tabs>
        <w:numPr>
          <w:ilvl w:val="0"/>
          <w:numId w:val="50"/>
        </w:numPr>
        <w:rPr>
          <w:rFonts w:ascii="Arial" w:cs="Arial" w:eastAsia="Arial" w:hAnsi="Arial"/>
          <w:sz w:val="18"/>
          <w:szCs w:val="18"/>
          <w:color w:val="355A89"/>
        </w:rPr>
      </w:pPr>
      <w:r>
        <w:rPr>
          <w:rFonts w:ascii="Arial" w:cs="Arial" w:eastAsia="Arial" w:hAnsi="Arial"/>
          <w:sz w:val="18"/>
          <w:szCs w:val="18"/>
          <w:color w:val="auto"/>
        </w:rPr>
        <w:t>a reputation for exercising good business judgment; and</w:t>
      </w:r>
    </w:p>
    <w:p>
      <w:pPr>
        <w:spacing w:after="0" w:line="238" w:lineRule="exact"/>
        <w:rPr>
          <w:rFonts w:ascii="Arial" w:cs="Arial" w:eastAsia="Arial" w:hAnsi="Arial"/>
          <w:sz w:val="18"/>
          <w:szCs w:val="18"/>
          <w:color w:val="355A89"/>
        </w:rPr>
      </w:pPr>
    </w:p>
    <w:p>
      <w:pPr>
        <w:ind w:left="300" w:right="360" w:hanging="292"/>
        <w:spacing w:after="0" w:line="239" w:lineRule="auto"/>
        <w:tabs>
          <w:tab w:leader="none" w:pos="300" w:val="left"/>
        </w:tabs>
        <w:numPr>
          <w:ilvl w:val="0"/>
          <w:numId w:val="50"/>
        </w:numPr>
        <w:rPr>
          <w:rFonts w:ascii="Arial" w:cs="Arial" w:eastAsia="Arial" w:hAnsi="Arial"/>
          <w:sz w:val="18"/>
          <w:szCs w:val="18"/>
          <w:color w:val="355A89"/>
        </w:rPr>
      </w:pPr>
      <w:r>
        <w:rPr>
          <w:rFonts w:ascii="Arial" w:cs="Arial" w:eastAsia="Arial" w:hAnsi="Arial"/>
          <w:sz w:val="18"/>
          <w:szCs w:val="18"/>
          <w:color w:val="auto"/>
        </w:rPr>
        <w:t>sufficient available time to be able to fulfill his or her responsibilities as a member of the Board and of any committees to which he or she may be appointed.</w:t>
      </w:r>
    </w:p>
    <w:p>
      <w:pPr>
        <w:spacing w:after="0" w:line="209"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208"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65A8B"/>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544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486591"/>
        </w:rPr>
        <w:t>Director Recruitment Process</w:t>
      </w:r>
    </w:p>
    <w:p>
      <w:pPr>
        <w:spacing w:after="0" w:line="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0" w:type="dxa"/>
            <w:vAlign w:val="bottom"/>
            <w:vMerge w:val="restart"/>
          </w:tcPr>
          <w:p>
            <w:pPr>
              <w:spacing w:after="0"/>
              <w:rPr>
                <w:sz w:val="20"/>
                <w:szCs w:val="20"/>
                <w:color w:val="auto"/>
              </w:rPr>
            </w:pPr>
            <w:r>
              <w:rPr>
                <w:rFonts w:ascii="Arial" w:cs="Arial" w:eastAsia="Arial" w:hAnsi="Arial"/>
                <w:sz w:val="36"/>
                <w:szCs w:val="36"/>
                <w:color w:val="FFFFFF"/>
                <w:w w:val="99"/>
              </w:rPr>
              <w:t>1</w:t>
            </w:r>
          </w:p>
        </w:tc>
        <w:tc>
          <w:tcPr>
            <w:tcW w:w="2240" w:type="dxa"/>
            <w:vAlign w:val="bottom"/>
          </w:tcPr>
          <w:p>
            <w:pPr>
              <w:ind w:left="80"/>
              <w:spacing w:after="0"/>
              <w:rPr>
                <w:sz w:val="20"/>
                <w:szCs w:val="20"/>
                <w:color w:val="auto"/>
              </w:rPr>
            </w:pPr>
            <w:r>
              <w:rPr>
                <w:rFonts w:ascii="Arial" w:cs="Arial" w:eastAsia="Arial" w:hAnsi="Arial"/>
                <w:sz w:val="18"/>
                <w:szCs w:val="18"/>
                <w:b w:val="1"/>
                <w:bCs w:val="1"/>
                <w:color w:val="FFFFFF"/>
              </w:rPr>
              <w:t>Identify Potential</w:t>
            </w:r>
          </w:p>
        </w:tc>
        <w:tc>
          <w:tcPr>
            <w:tcW w:w="480" w:type="dxa"/>
            <w:vAlign w:val="bottom"/>
            <w:vMerge w:val="restart"/>
          </w:tcPr>
          <w:p>
            <w:pPr>
              <w:ind w:left="260"/>
              <w:spacing w:after="0"/>
              <w:rPr>
                <w:sz w:val="20"/>
                <w:szCs w:val="20"/>
                <w:color w:val="auto"/>
              </w:rPr>
            </w:pPr>
            <w:r>
              <w:rPr>
                <w:rFonts w:ascii="Arial" w:cs="Arial" w:eastAsia="Arial" w:hAnsi="Arial"/>
                <w:sz w:val="36"/>
                <w:szCs w:val="36"/>
                <w:color w:val="FFFFFF"/>
                <w:w w:val="99"/>
              </w:rPr>
              <w:t>2</w:t>
            </w:r>
          </w:p>
        </w:tc>
        <w:tc>
          <w:tcPr>
            <w:tcW w:w="2480" w:type="dxa"/>
            <w:vAlign w:val="bottom"/>
          </w:tcPr>
          <w:p>
            <w:pPr>
              <w:ind w:left="100"/>
              <w:spacing w:after="0"/>
              <w:rPr>
                <w:sz w:val="20"/>
                <w:szCs w:val="20"/>
                <w:color w:val="auto"/>
              </w:rPr>
            </w:pPr>
            <w:r>
              <w:rPr>
                <w:rFonts w:ascii="Arial" w:cs="Arial" w:eastAsia="Arial" w:hAnsi="Arial"/>
                <w:sz w:val="18"/>
                <w:szCs w:val="18"/>
                <w:b w:val="1"/>
                <w:bCs w:val="1"/>
                <w:color w:val="FFFFFF"/>
                <w:w w:val="99"/>
              </w:rPr>
              <w:t>In-Depth Committee Review</w:t>
            </w:r>
          </w:p>
        </w:tc>
        <w:tc>
          <w:tcPr>
            <w:tcW w:w="300" w:type="dxa"/>
            <w:vAlign w:val="bottom"/>
            <w:vMerge w:val="restart"/>
          </w:tcPr>
          <w:p>
            <w:pPr>
              <w:ind w:left="80"/>
              <w:spacing w:after="0"/>
              <w:rPr>
                <w:sz w:val="20"/>
                <w:szCs w:val="20"/>
                <w:color w:val="auto"/>
              </w:rPr>
            </w:pPr>
            <w:r>
              <w:rPr>
                <w:rFonts w:ascii="Arial" w:cs="Arial" w:eastAsia="Arial" w:hAnsi="Arial"/>
                <w:sz w:val="36"/>
                <w:szCs w:val="36"/>
                <w:color w:val="FFFFFF"/>
                <w:w w:val="99"/>
              </w:rPr>
              <w:t>3</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FFFFFF"/>
                <w:w w:val="99"/>
              </w:rPr>
              <w:t>Recommend Candidates to</w:t>
            </w:r>
          </w:p>
        </w:tc>
        <w:tc>
          <w:tcPr>
            <w:tcW w:w="340" w:type="dxa"/>
            <w:vAlign w:val="bottom"/>
            <w:vMerge w:val="restart"/>
          </w:tcPr>
          <w:p>
            <w:pPr>
              <w:ind w:left="100"/>
              <w:spacing w:after="0"/>
              <w:rPr>
                <w:sz w:val="20"/>
                <w:szCs w:val="20"/>
                <w:color w:val="auto"/>
              </w:rPr>
            </w:pPr>
            <w:r>
              <w:rPr>
                <w:rFonts w:ascii="Arial" w:cs="Arial" w:eastAsia="Arial" w:hAnsi="Arial"/>
                <w:sz w:val="36"/>
                <w:szCs w:val="36"/>
                <w:color w:val="FFFFFF"/>
              </w:rPr>
              <w:t>4</w:t>
            </w:r>
          </w:p>
        </w:tc>
        <w:tc>
          <w:tcPr>
            <w:tcW w:w="2480" w:type="dxa"/>
            <w:vAlign w:val="bottom"/>
          </w:tcPr>
          <w:p>
            <w:pPr>
              <w:ind w:left="60"/>
              <w:spacing w:after="0"/>
              <w:rPr>
                <w:sz w:val="20"/>
                <w:szCs w:val="20"/>
                <w:color w:val="auto"/>
              </w:rPr>
            </w:pPr>
            <w:r>
              <w:rPr>
                <w:rFonts w:ascii="Arial" w:cs="Arial" w:eastAsia="Arial" w:hAnsi="Arial"/>
                <w:sz w:val="18"/>
                <w:szCs w:val="18"/>
                <w:b w:val="1"/>
                <w:bCs w:val="1"/>
                <w:color w:val="FFFFFF"/>
              </w:rPr>
              <w:t>Review by Full Board</w:t>
            </w:r>
          </w:p>
        </w:tc>
        <w:tc>
          <w:tcPr>
            <w:tcW w:w="0" w:type="dxa"/>
            <w:vAlign w:val="bottom"/>
          </w:tcPr>
          <w:p>
            <w:pPr>
              <w:spacing w:after="0"/>
              <w:rPr>
                <w:sz w:val="1"/>
                <w:szCs w:val="1"/>
                <w:color w:val="auto"/>
              </w:rPr>
            </w:pPr>
          </w:p>
        </w:tc>
      </w:tr>
      <w:tr>
        <w:trPr>
          <w:trHeight w:val="248"/>
        </w:trPr>
        <w:tc>
          <w:tcPr>
            <w:tcW w:w="220" w:type="dxa"/>
            <w:vAlign w:val="bottom"/>
            <w:vMerge w:val="continue"/>
          </w:tcPr>
          <w:p>
            <w:pPr>
              <w:spacing w:after="0"/>
              <w:rPr>
                <w:sz w:val="21"/>
                <w:szCs w:val="21"/>
                <w:color w:val="auto"/>
              </w:rPr>
            </w:pPr>
          </w:p>
        </w:tc>
        <w:tc>
          <w:tcPr>
            <w:tcW w:w="2240" w:type="dxa"/>
            <w:vAlign w:val="bottom"/>
          </w:tcPr>
          <w:p>
            <w:pPr>
              <w:ind w:left="80"/>
              <w:spacing w:after="0"/>
              <w:rPr>
                <w:sz w:val="20"/>
                <w:szCs w:val="20"/>
                <w:color w:val="auto"/>
              </w:rPr>
            </w:pPr>
            <w:r>
              <w:rPr>
                <w:rFonts w:ascii="Arial" w:cs="Arial" w:eastAsia="Arial" w:hAnsi="Arial"/>
                <w:sz w:val="18"/>
                <w:szCs w:val="18"/>
                <w:b w:val="1"/>
                <w:bCs w:val="1"/>
                <w:color w:val="FFFFFF"/>
              </w:rPr>
              <w:t>Candidates</w:t>
            </w:r>
          </w:p>
        </w:tc>
        <w:tc>
          <w:tcPr>
            <w:tcW w:w="480" w:type="dxa"/>
            <w:vAlign w:val="bottom"/>
            <w:vMerge w:val="continue"/>
          </w:tcPr>
          <w:p>
            <w:pPr>
              <w:spacing w:after="0"/>
              <w:rPr>
                <w:sz w:val="21"/>
                <w:szCs w:val="21"/>
                <w:color w:val="auto"/>
              </w:rPr>
            </w:pPr>
          </w:p>
        </w:tc>
        <w:tc>
          <w:tcPr>
            <w:tcW w:w="24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2440" w:type="dxa"/>
            <w:vAlign w:val="bottom"/>
          </w:tcPr>
          <w:p>
            <w:pPr>
              <w:ind w:left="100"/>
              <w:spacing w:after="0"/>
              <w:rPr>
                <w:sz w:val="20"/>
                <w:szCs w:val="20"/>
                <w:color w:val="auto"/>
              </w:rPr>
            </w:pPr>
            <w:r>
              <w:rPr>
                <w:rFonts w:ascii="Arial" w:cs="Arial" w:eastAsia="Arial" w:hAnsi="Arial"/>
                <w:sz w:val="18"/>
                <w:szCs w:val="18"/>
                <w:b w:val="1"/>
                <w:bCs w:val="1"/>
                <w:color w:val="FFFFFF"/>
              </w:rPr>
              <w:t>Full Board</w:t>
            </w:r>
          </w:p>
        </w:tc>
        <w:tc>
          <w:tcPr>
            <w:tcW w:w="340" w:type="dxa"/>
            <w:vAlign w:val="bottom"/>
            <w:vMerge w:val="continue"/>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460" w:type="dxa"/>
            <w:vAlign w:val="bottom"/>
            <w:gridSpan w:val="2"/>
          </w:tcPr>
          <w:p>
            <w:pPr>
              <w:spacing w:after="0"/>
              <w:rPr>
                <w:sz w:val="20"/>
                <w:szCs w:val="20"/>
                <w:color w:val="auto"/>
              </w:rPr>
            </w:pPr>
            <w:r>
              <w:rPr>
                <w:rFonts w:ascii="Arial" w:cs="Arial" w:eastAsia="Arial" w:hAnsi="Arial"/>
                <w:sz w:val="18"/>
                <w:szCs w:val="18"/>
                <w:color w:val="486591"/>
              </w:rPr>
              <w:t>Identified by:</w:t>
            </w:r>
          </w:p>
        </w:tc>
        <w:tc>
          <w:tcPr>
            <w:tcW w:w="480" w:type="dxa"/>
            <w:vAlign w:val="bottom"/>
          </w:tcPr>
          <w:p>
            <w:pPr>
              <w:ind w:left="280"/>
              <w:spacing w:after="0"/>
              <w:rPr>
                <w:sz w:val="20"/>
                <w:szCs w:val="20"/>
                <w:color w:val="auto"/>
              </w:rPr>
            </w:pPr>
            <w:r>
              <w:rPr>
                <w:rFonts w:ascii="Arial" w:cs="Arial" w:eastAsia="Arial" w:hAnsi="Arial"/>
                <w:sz w:val="17"/>
                <w:szCs w:val="17"/>
                <w:color w:val="486591"/>
              </w:rPr>
              <w:t>●</w:t>
            </w:r>
          </w:p>
        </w:tc>
        <w:tc>
          <w:tcPr>
            <w:tcW w:w="2480" w:type="dxa"/>
            <w:vAlign w:val="bottom"/>
          </w:tcPr>
          <w:p>
            <w:pPr>
              <w:ind w:left="40"/>
              <w:spacing w:after="0"/>
              <w:rPr>
                <w:sz w:val="20"/>
                <w:szCs w:val="20"/>
                <w:color w:val="auto"/>
              </w:rPr>
            </w:pPr>
            <w:r>
              <w:rPr>
                <w:rFonts w:ascii="Arial" w:cs="Arial" w:eastAsia="Arial" w:hAnsi="Arial"/>
                <w:sz w:val="18"/>
                <w:szCs w:val="18"/>
                <w:color w:val="486591"/>
              </w:rPr>
              <w:t>Consider experience,</w:t>
            </w:r>
          </w:p>
        </w:tc>
        <w:tc>
          <w:tcPr>
            <w:tcW w:w="300" w:type="dxa"/>
            <w:vAlign w:val="bottom"/>
          </w:tcPr>
          <w:p>
            <w:pPr>
              <w:ind w:left="100"/>
              <w:spacing w:after="0"/>
              <w:rPr>
                <w:sz w:val="20"/>
                <w:szCs w:val="20"/>
                <w:color w:val="auto"/>
              </w:rPr>
            </w:pPr>
            <w:r>
              <w:rPr>
                <w:rFonts w:ascii="Arial" w:cs="Arial" w:eastAsia="Arial" w:hAnsi="Arial"/>
                <w:sz w:val="17"/>
                <w:szCs w:val="17"/>
                <w:color w:val="486591"/>
              </w:rPr>
              <w:t>●</w:t>
            </w:r>
          </w:p>
        </w:tc>
        <w:tc>
          <w:tcPr>
            <w:tcW w:w="2440" w:type="dxa"/>
            <w:vAlign w:val="bottom"/>
          </w:tcPr>
          <w:p>
            <w:pPr>
              <w:ind w:left="40"/>
              <w:spacing w:after="0"/>
              <w:rPr>
                <w:sz w:val="20"/>
                <w:szCs w:val="20"/>
                <w:color w:val="auto"/>
              </w:rPr>
            </w:pPr>
            <w:r>
              <w:rPr>
                <w:rFonts w:ascii="Arial" w:cs="Arial" w:eastAsia="Arial" w:hAnsi="Arial"/>
                <w:sz w:val="18"/>
                <w:szCs w:val="18"/>
                <w:color w:val="486591"/>
              </w:rPr>
              <w:t>NCGC presents potential</w:t>
            </w:r>
          </w:p>
        </w:tc>
        <w:tc>
          <w:tcPr>
            <w:tcW w:w="2820" w:type="dxa"/>
            <w:vAlign w:val="bottom"/>
            <w:gridSpan w:val="2"/>
          </w:tcPr>
          <w:p>
            <w:pPr>
              <w:ind w:left="100"/>
              <w:spacing w:after="0"/>
              <w:rPr>
                <w:sz w:val="20"/>
                <w:szCs w:val="20"/>
                <w:color w:val="auto"/>
              </w:rPr>
            </w:pPr>
            <w:r>
              <w:rPr>
                <w:rFonts w:ascii="Arial" w:cs="Arial" w:eastAsia="Arial" w:hAnsi="Arial"/>
                <w:sz w:val="17"/>
                <w:szCs w:val="17"/>
                <w:color w:val="486591"/>
              </w:rPr>
              <w:t>●  The full Board is responsible for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7"/>
                <w:szCs w:val="17"/>
                <w:color w:val="486591"/>
              </w:rPr>
              <w:t>●</w:t>
            </w:r>
          </w:p>
        </w:tc>
        <w:tc>
          <w:tcPr>
            <w:tcW w:w="2240" w:type="dxa"/>
            <w:vAlign w:val="bottom"/>
          </w:tcPr>
          <w:p>
            <w:pPr>
              <w:ind w:left="20"/>
              <w:spacing w:after="0"/>
              <w:rPr>
                <w:sz w:val="20"/>
                <w:szCs w:val="20"/>
                <w:color w:val="auto"/>
              </w:rPr>
            </w:pPr>
            <w:r>
              <w:rPr>
                <w:rFonts w:ascii="Arial" w:cs="Arial" w:eastAsia="Arial" w:hAnsi="Arial"/>
                <w:sz w:val="18"/>
                <w:szCs w:val="18"/>
                <w:color w:val="486591"/>
              </w:rPr>
              <w:t>Independent Directors</w:t>
            </w:r>
          </w:p>
        </w:tc>
        <w:tc>
          <w:tcPr>
            <w:tcW w:w="48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486591"/>
              </w:rPr>
              <w:t>qualifications, and diversity</w:t>
            </w:r>
          </w:p>
        </w:tc>
        <w:tc>
          <w:tcPr>
            <w:tcW w:w="30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486591"/>
              </w:rPr>
              <w:t>candidates to full Board for</w:t>
            </w:r>
          </w:p>
        </w:tc>
        <w:tc>
          <w:tcPr>
            <w:tcW w:w="34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Arial" w:cs="Arial" w:eastAsia="Arial" w:hAnsi="Arial"/>
                <w:sz w:val="18"/>
                <w:szCs w:val="18"/>
                <w:color w:val="486591"/>
                <w:w w:val="99"/>
              </w:rPr>
              <w:t>approving potential candidates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7"/>
                <w:szCs w:val="17"/>
                <w:color w:val="486591"/>
              </w:rPr>
              <w:t>●</w:t>
            </w:r>
          </w:p>
        </w:tc>
        <w:tc>
          <w:tcPr>
            <w:tcW w:w="2240" w:type="dxa"/>
            <w:vAlign w:val="bottom"/>
          </w:tcPr>
          <w:p>
            <w:pPr>
              <w:ind w:left="20"/>
              <w:spacing w:after="0"/>
              <w:rPr>
                <w:sz w:val="20"/>
                <w:szCs w:val="20"/>
                <w:color w:val="auto"/>
              </w:rPr>
            </w:pPr>
            <w:r>
              <w:rPr>
                <w:rFonts w:ascii="Arial" w:cs="Arial" w:eastAsia="Arial" w:hAnsi="Arial"/>
                <w:sz w:val="18"/>
                <w:szCs w:val="18"/>
                <w:color w:val="486591"/>
              </w:rPr>
              <w:t>Executive Officers</w:t>
            </w:r>
          </w:p>
        </w:tc>
        <w:tc>
          <w:tcPr>
            <w:tcW w:w="2960" w:type="dxa"/>
            <w:vAlign w:val="bottom"/>
            <w:gridSpan w:val="2"/>
          </w:tcPr>
          <w:p>
            <w:pPr>
              <w:ind w:left="280"/>
              <w:spacing w:after="0"/>
              <w:rPr>
                <w:sz w:val="20"/>
                <w:szCs w:val="20"/>
                <w:color w:val="auto"/>
              </w:rPr>
            </w:pPr>
            <w:r>
              <w:rPr>
                <w:rFonts w:ascii="Arial" w:cs="Arial" w:eastAsia="Arial" w:hAnsi="Arial"/>
                <w:sz w:val="17"/>
                <w:szCs w:val="17"/>
                <w:color w:val="486591"/>
              </w:rPr>
              <w:t>●  Meet with candidates and</w:t>
            </w:r>
          </w:p>
        </w:tc>
        <w:tc>
          <w:tcPr>
            <w:tcW w:w="30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486591"/>
              </w:rPr>
              <w:t>open discussion</w:t>
            </w: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486591"/>
              </w:rPr>
              <w:t>●  Third Party Search Firms</w:t>
            </w:r>
          </w:p>
        </w:tc>
        <w:tc>
          <w:tcPr>
            <w:tcW w:w="480" w:type="dxa"/>
            <w:vAlign w:val="bottom"/>
            <w:vMerge w:val="restart"/>
          </w:tcPr>
          <w:p>
            <w:pPr>
              <w:ind w:left="280"/>
              <w:spacing w:after="0"/>
              <w:rPr>
                <w:sz w:val="20"/>
                <w:szCs w:val="20"/>
                <w:color w:val="auto"/>
              </w:rPr>
            </w:pPr>
            <w:r>
              <w:rPr>
                <w:rFonts w:ascii="Arial" w:cs="Arial" w:eastAsia="Arial" w:hAnsi="Arial"/>
                <w:sz w:val="17"/>
                <w:szCs w:val="17"/>
                <w:color w:val="486591"/>
              </w:rPr>
              <w:t>●</w:t>
            </w:r>
          </w:p>
        </w:tc>
        <w:tc>
          <w:tcPr>
            <w:tcW w:w="2480" w:type="dxa"/>
            <w:vAlign w:val="bottom"/>
          </w:tcPr>
          <w:p>
            <w:pPr>
              <w:ind w:left="60"/>
              <w:spacing w:after="0"/>
              <w:rPr>
                <w:sz w:val="20"/>
                <w:szCs w:val="20"/>
                <w:color w:val="auto"/>
              </w:rPr>
            </w:pPr>
            <w:r>
              <w:rPr>
                <w:rFonts w:ascii="Arial" w:cs="Arial" w:eastAsia="Arial" w:hAnsi="Arial"/>
                <w:sz w:val="18"/>
                <w:szCs w:val="18"/>
                <w:color w:val="486591"/>
              </w:rPr>
              <w:t>conduct interviews</w:t>
            </w:r>
          </w:p>
        </w:tc>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7"/>
                <w:szCs w:val="17"/>
                <w:color w:val="486591"/>
              </w:rPr>
              <w:t>●</w:t>
            </w:r>
          </w:p>
        </w:tc>
        <w:tc>
          <w:tcPr>
            <w:tcW w:w="2240" w:type="dxa"/>
            <w:vAlign w:val="bottom"/>
          </w:tcPr>
          <w:p>
            <w:pPr>
              <w:ind w:left="20"/>
              <w:spacing w:after="0"/>
              <w:rPr>
                <w:sz w:val="20"/>
                <w:szCs w:val="20"/>
                <w:color w:val="auto"/>
              </w:rPr>
            </w:pPr>
            <w:r>
              <w:rPr>
                <w:rFonts w:ascii="Arial" w:cs="Arial" w:eastAsia="Arial" w:hAnsi="Arial"/>
                <w:sz w:val="18"/>
                <w:szCs w:val="18"/>
                <w:color w:val="486591"/>
              </w:rPr>
              <w:t>Stockholders</w:t>
            </w:r>
          </w:p>
        </w:tc>
        <w:tc>
          <w:tcPr>
            <w:tcW w:w="480" w:type="dxa"/>
            <w:vAlign w:val="bottom"/>
            <w:vMerge w:val="continue"/>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486591"/>
              </w:rPr>
              <w:t>Review independence and</w:t>
            </w:r>
          </w:p>
        </w:tc>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486591"/>
              </w:rPr>
              <w:t>potential conflicts</w:t>
            </w:r>
          </w:p>
        </w:tc>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NCGC Director Recruitment Process</w:t>
      </w:r>
    </w:p>
    <w:p>
      <w:pPr>
        <w:spacing w:after="0" w:line="235"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In making recommendations to the Board, our Nominating and Corporate Governance Committee considers such factors as it deems appropriate, in light of the skills, qualifications and background of the Board’s current composition and the opportunities and challenges the Board anticipates in the future. Such factors include diversity of perspectives, including with respect to gender, race and ethnicity. The Nominating and Corporate Governance Committee may also consider the following:</w:t>
      </w:r>
    </w:p>
    <w:p>
      <w:pPr>
        <w:spacing w:after="0" w:line="208" w:lineRule="exact"/>
        <w:rPr>
          <w:sz w:val="20"/>
          <w:szCs w:val="20"/>
          <w:color w:val="auto"/>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ability to bring new perspectives and add to Board discussion and consideration</w:t>
      </w:r>
    </w:p>
    <w:p>
      <w:pPr>
        <w:spacing w:after="0" w:line="58" w:lineRule="exact"/>
        <w:rPr>
          <w:rFonts w:ascii="Arial" w:cs="Arial" w:eastAsia="Arial" w:hAnsi="Arial"/>
          <w:sz w:val="17"/>
          <w:szCs w:val="17"/>
          <w:color w:val="486591"/>
        </w:rPr>
      </w:pPr>
    </w:p>
    <w:p>
      <w:pPr>
        <w:ind w:left="540" w:right="40" w:hanging="262"/>
        <w:spacing w:after="0" w:line="246" w:lineRule="auto"/>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experience with businesses and other organizations comparable to the Company (including experience managing public companies, marketing experience and experience determining compensation of officers of public companies)</w:t>
      </w:r>
    </w:p>
    <w:p>
      <w:pPr>
        <w:spacing w:after="0" w:line="52"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the interplay of the candidate’s experience with the experience of other Board members</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the candidate’s industry knowledge and experience</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the ability of a nominee to devote sufficient time to the affairs of the Company</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any actual or potential conflicts of interest and whether the candidate meets the NYSE independence criteria</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the extent to which the candidate generally would be a desirable addition to the Board and any committees of the Board</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qualifications to serve on appropriate Board committees (including financial acumen)</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technological literacy</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strategic insight</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ability to introduce the Company to business or other opportunities</w:t>
      </w:r>
    </w:p>
    <w:p>
      <w:pPr>
        <w:spacing w:after="0" w:line="63"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reputation in the corporate governance community</w:t>
      </w:r>
    </w:p>
    <w:p>
      <w:pPr>
        <w:spacing w:after="0" w:line="54" w:lineRule="exact"/>
        <w:rPr>
          <w:rFonts w:ascii="Arial" w:cs="Arial" w:eastAsia="Arial" w:hAnsi="Arial"/>
          <w:sz w:val="17"/>
          <w:szCs w:val="17"/>
          <w:color w:val="486591"/>
        </w:rPr>
      </w:pP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risk management skills</w:t>
      </w:r>
    </w:p>
    <w:p>
      <w:pPr>
        <w:ind w:left="540" w:hanging="262"/>
        <w:spacing w:after="0"/>
        <w:tabs>
          <w:tab w:leader="none" w:pos="540" w:val="left"/>
        </w:tabs>
        <w:numPr>
          <w:ilvl w:val="0"/>
          <w:numId w:val="51"/>
        </w:numPr>
        <w:rPr>
          <w:rFonts w:ascii="Arial" w:cs="Arial" w:eastAsia="Arial" w:hAnsi="Arial"/>
          <w:sz w:val="17"/>
          <w:szCs w:val="17"/>
          <w:color w:val="486591"/>
        </w:rPr>
      </w:pPr>
      <w:r>
        <w:rPr>
          <w:rFonts w:ascii="Arial" w:cs="Arial" w:eastAsia="Arial" w:hAnsi="Arial"/>
          <w:sz w:val="18"/>
          <w:szCs w:val="18"/>
          <w:color w:val="auto"/>
        </w:rPr>
        <w:t>the candidate’s knowledge in the area of cybersecurity</w:t>
      </w:r>
    </w:p>
    <w:p>
      <w:pPr>
        <w:spacing w:after="0" w:line="27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considering a potential nominee, each member of the Nominating and Corporate Governance Committee has the opportunity to interview potential nominees in person or by telephone and to submit questions to such potential candidate.</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Nominating and Corporate Governance Committee solicits and considers suggestions from our directors and management regarding possible nominees. Our Nominating and Corporate Governance Committee also may procure the services of outside sources or third parties to assist in the identification of director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Role of Third Party Advisors in Director Recruitment Process</w:t>
      </w:r>
    </w:p>
    <w:p>
      <w:pPr>
        <w:spacing w:after="0" w:line="23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FTI Consulting, Inc., or FTI Consulting, assists us in the initial search, screening, interviewing and vetting of potential new directors and worked closely with our Nominating and Corporate Governance Committee in connection with the additions of Craig Hatkoff in 2011, Betsy Atkins in 2015 and Lauren Dillard in 2016.</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Stockholder Recommendations of Director Candidates</w:t>
      </w:r>
    </w:p>
    <w:p>
      <w:pPr>
        <w:spacing w:after="0" w:line="235"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w:t>
      </w:r>
    </w:p>
    <w:p>
      <w:pPr>
        <w:spacing w:after="0" w:line="186"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65A8B"/>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Board Structure</w:t>
      </w:r>
    </w:p>
    <w:p>
      <w:pPr>
        <w:spacing w:after="0" w:line="23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Board currently consists of nine members. At the annual meeting of stockholders in 2017, stockholders approved a proposal to declassify our Board over three years. Accordingly, our Board of Directors is fully declassified as of our 2020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Board Leadership Structure; Lead Independent Director</w:t>
      </w:r>
    </w:p>
    <w:p>
      <w:pPr>
        <w:spacing w:after="0" w:line="23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current leadership structure of the Board consists of Marc Holliday, who serves as the Chairman of the Board and our Chief Executive Officer, John Alschuler, who serves as our Lead Independent Director, and the independent directors who serve as Chairs for the Audit Committee, Compensation Committee and Nominating and Corporate Governance Committee of the Board. With over 17 years of experience leading the Company, Mr. Holliday is uniquely qualified to serve as the Chairman of the Board, and the Board believes that Mr. Holliday’s combined role as Chairman of the Board and Chief Executive Officer, together with the participation of other members of management and independent directors in its leadership structure, helps promote unified leadership and direction for the Company and the Board while also ensuring appropriate independent oversight of management by the Board.</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Board, which is currently comprised of six independent directors and three non-independent directors, established the role of Lead Independent Director beginning in 2010. 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w:t>
      </w:r>
    </w:p>
    <w:p>
      <w:pPr>
        <w:spacing w:after="0" w:line="184"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65A8B"/>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46501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4650105"/>
                    </a:xfrm>
                    <a:prstGeom prst="rect">
                      <a:avLst/>
                    </a:prstGeom>
                    <a:noFill/>
                  </pic:spPr>
                </pic:pic>
              </a:graphicData>
            </a:graphic>
          </wp:anchor>
        </w:drawing>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355A89"/>
        </w:rPr>
        <w:t>Role of the Lead Independent Director</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addition to presiding at executive sessions of independent directors, the Lead Independent Director has the responsibility to:</w:t>
      </w:r>
    </w:p>
    <w:p>
      <w:pPr>
        <w:spacing w:after="0" w:line="212" w:lineRule="exact"/>
        <w:rPr>
          <w:sz w:val="20"/>
          <w:szCs w:val="20"/>
          <w:color w:val="auto"/>
        </w:rPr>
      </w:pPr>
    </w:p>
    <w:p>
      <w:pPr>
        <w:ind w:left="520" w:right="280" w:hanging="386"/>
        <w:spacing w:after="0" w:line="239" w:lineRule="auto"/>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consult with the Chairman of the Board and Chief Executive Officer as to an appropriate schedule and agenda for each Board meeting, seeking to ensure that the independent directors can perform their duties effectively and responsibly;</w:t>
      </w:r>
    </w:p>
    <w:p>
      <w:pPr>
        <w:spacing w:after="0" w:line="235" w:lineRule="exact"/>
        <w:rPr>
          <w:rFonts w:ascii="Arial" w:cs="Arial" w:eastAsia="Arial" w:hAnsi="Arial"/>
          <w:sz w:val="18"/>
          <w:szCs w:val="18"/>
          <w:color w:val="355A89"/>
        </w:rPr>
      </w:pPr>
    </w:p>
    <w:p>
      <w:pPr>
        <w:ind w:left="520" w:right="160" w:hanging="386"/>
        <w:spacing w:after="0" w:line="239" w:lineRule="auto"/>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ensure that the independent directors have adequate resources, especially by way of full, timely and relevant information to support their decision making;</w:t>
      </w:r>
    </w:p>
    <w:p>
      <w:pPr>
        <w:spacing w:after="0" w:line="235" w:lineRule="exact"/>
        <w:rPr>
          <w:rFonts w:ascii="Arial" w:cs="Arial" w:eastAsia="Arial" w:hAnsi="Arial"/>
          <w:sz w:val="18"/>
          <w:szCs w:val="18"/>
          <w:color w:val="355A89"/>
        </w:rPr>
      </w:pPr>
    </w:p>
    <w:p>
      <w:pPr>
        <w:ind w:left="520" w:right="660" w:hanging="386"/>
        <w:spacing w:after="0" w:line="238" w:lineRule="auto"/>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advise the Chief Executive Officer and Chairman as to the quality, quantity and timeliness of the information submitted by the Company’s management that is necessary or appropriate for the independent directors to effectively and responsibly perform their duties;</w:t>
      </w:r>
    </w:p>
    <w:p>
      <w:pPr>
        <w:spacing w:after="0" w:line="234" w:lineRule="exact"/>
        <w:rPr>
          <w:rFonts w:ascii="Arial" w:cs="Arial" w:eastAsia="Arial" w:hAnsi="Arial"/>
          <w:sz w:val="18"/>
          <w:szCs w:val="18"/>
          <w:color w:val="355A89"/>
        </w:rPr>
      </w:pPr>
    </w:p>
    <w:p>
      <w:pPr>
        <w:ind w:left="520" w:hanging="386"/>
        <w:spacing w:after="0"/>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recommend to the Board and the Board Committees the retention of advisers and consultants who report directly to the Board;</w:t>
      </w:r>
    </w:p>
    <w:p>
      <w:pPr>
        <w:spacing w:after="0" w:line="238" w:lineRule="exact"/>
        <w:rPr>
          <w:rFonts w:ascii="Arial" w:cs="Arial" w:eastAsia="Arial" w:hAnsi="Arial"/>
          <w:sz w:val="18"/>
          <w:szCs w:val="18"/>
          <w:color w:val="355A89"/>
        </w:rPr>
      </w:pPr>
    </w:p>
    <w:p>
      <w:pPr>
        <w:ind w:left="520" w:right="560" w:hanging="386"/>
        <w:spacing w:after="0" w:line="239" w:lineRule="auto"/>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ensure that independent directors have adequate opportunities to meet and discuss issues in sessions of the independent directors without management present and, as appropriate, call meetings of the Independent Directors;</w:t>
      </w:r>
    </w:p>
    <w:p>
      <w:pPr>
        <w:spacing w:after="0" w:line="235" w:lineRule="exact"/>
        <w:rPr>
          <w:rFonts w:ascii="Arial" w:cs="Arial" w:eastAsia="Arial" w:hAnsi="Arial"/>
          <w:sz w:val="18"/>
          <w:szCs w:val="18"/>
          <w:color w:val="355A89"/>
        </w:rPr>
      </w:pPr>
    </w:p>
    <w:p>
      <w:pPr>
        <w:ind w:left="520" w:hanging="386"/>
        <w:spacing w:after="0"/>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serve as Chairman of the sessions of the independent directors;</w:t>
      </w:r>
    </w:p>
    <w:p>
      <w:pPr>
        <w:spacing w:after="0" w:line="238" w:lineRule="exact"/>
        <w:rPr>
          <w:rFonts w:ascii="Arial" w:cs="Arial" w:eastAsia="Arial" w:hAnsi="Arial"/>
          <w:sz w:val="18"/>
          <w:szCs w:val="18"/>
          <w:color w:val="355A89"/>
        </w:rPr>
      </w:pPr>
    </w:p>
    <w:p>
      <w:pPr>
        <w:ind w:left="520" w:right="840" w:hanging="386"/>
        <w:spacing w:after="0" w:line="239" w:lineRule="auto"/>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serve as principal liaison between the independent directors and the Chief Executive Officer and Chairman of the Company and between the independent directors and senior management;</w:t>
      </w:r>
    </w:p>
    <w:p>
      <w:pPr>
        <w:spacing w:after="0" w:line="235" w:lineRule="exact"/>
        <w:rPr>
          <w:rFonts w:ascii="Arial" w:cs="Arial" w:eastAsia="Arial" w:hAnsi="Arial"/>
          <w:sz w:val="18"/>
          <w:szCs w:val="18"/>
          <w:color w:val="355A89"/>
        </w:rPr>
      </w:pPr>
    </w:p>
    <w:p>
      <w:pPr>
        <w:ind w:left="520" w:hanging="386"/>
        <w:spacing w:after="0"/>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communicate to management, as appropriate, the results of private discussions among independent directors;</w:t>
      </w:r>
    </w:p>
    <w:p>
      <w:pPr>
        <w:spacing w:after="0" w:line="238" w:lineRule="exact"/>
        <w:rPr>
          <w:rFonts w:ascii="Arial" w:cs="Arial" w:eastAsia="Arial" w:hAnsi="Arial"/>
          <w:sz w:val="18"/>
          <w:szCs w:val="18"/>
          <w:color w:val="355A89"/>
        </w:rPr>
      </w:pPr>
    </w:p>
    <w:p>
      <w:pPr>
        <w:ind w:left="520" w:hanging="386"/>
        <w:spacing w:after="0"/>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chair the meetings of the Board when the Chairman is not present;</w:t>
      </w:r>
    </w:p>
    <w:p>
      <w:pPr>
        <w:spacing w:after="0" w:line="238" w:lineRule="exact"/>
        <w:rPr>
          <w:rFonts w:ascii="Arial" w:cs="Arial" w:eastAsia="Arial" w:hAnsi="Arial"/>
          <w:sz w:val="18"/>
          <w:szCs w:val="18"/>
          <w:color w:val="355A89"/>
        </w:rPr>
      </w:pPr>
    </w:p>
    <w:p>
      <w:pPr>
        <w:ind w:left="520" w:right="220" w:hanging="386"/>
        <w:spacing w:after="0" w:line="238" w:lineRule="auto"/>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p>
    <w:p>
      <w:pPr>
        <w:spacing w:after="0" w:line="234" w:lineRule="exact"/>
        <w:rPr>
          <w:rFonts w:ascii="Arial" w:cs="Arial" w:eastAsia="Arial" w:hAnsi="Arial"/>
          <w:sz w:val="18"/>
          <w:szCs w:val="18"/>
          <w:color w:val="355A89"/>
        </w:rPr>
      </w:pPr>
    </w:p>
    <w:p>
      <w:pPr>
        <w:ind w:left="520" w:hanging="386"/>
        <w:spacing w:after="0"/>
        <w:tabs>
          <w:tab w:leader="none" w:pos="520" w:val="left"/>
        </w:tabs>
        <w:numPr>
          <w:ilvl w:val="0"/>
          <w:numId w:val="53"/>
        </w:numPr>
        <w:rPr>
          <w:rFonts w:ascii="Arial" w:cs="Arial" w:eastAsia="Arial" w:hAnsi="Arial"/>
          <w:sz w:val="18"/>
          <w:szCs w:val="18"/>
          <w:color w:val="355A89"/>
        </w:rPr>
      </w:pPr>
      <w:r>
        <w:rPr>
          <w:rFonts w:ascii="Arial" w:cs="Arial" w:eastAsia="Arial" w:hAnsi="Arial"/>
          <w:sz w:val="18"/>
          <w:szCs w:val="18"/>
          <w:color w:val="auto"/>
        </w:rPr>
        <w:t>perform such other duties as the Board from time to time may delegate.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Board and Committee Self-Evaluations</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 The Board then conducts its annual evaluation to determine whether it and its committees function effectively, with independent directors meeting separately with outside counsel. The discussions with stockholders, as well as the evaluations, are the basis for the Board’s annual review of possible changes to the Company’s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054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355889"/>
        </w:rPr>
        <w:t>Board Evaluation Process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423"/>
        </w:trPr>
        <w:tc>
          <w:tcPr>
            <w:tcW w:w="3920" w:type="dxa"/>
            <w:vAlign w:val="bottom"/>
          </w:tcPr>
          <w:p>
            <w:pPr>
              <w:ind w:left="120"/>
              <w:spacing w:after="0"/>
              <w:rPr>
                <w:sz w:val="20"/>
                <w:szCs w:val="20"/>
                <w:color w:val="auto"/>
              </w:rPr>
            </w:pPr>
            <w:r>
              <w:rPr>
                <w:rFonts w:ascii="Arial" w:cs="Arial" w:eastAsia="Arial" w:hAnsi="Arial"/>
                <w:sz w:val="36"/>
                <w:szCs w:val="36"/>
                <w:color w:val="FFFFFF"/>
              </w:rPr>
              <w:t xml:space="preserve">1 </w:t>
            </w:r>
            <w:r>
              <w:rPr>
                <w:rFonts w:ascii="Arial" w:cs="Arial" w:eastAsia="Arial" w:hAnsi="Arial"/>
                <w:sz w:val="17"/>
                <w:szCs w:val="17"/>
                <w:b w:val="1"/>
                <w:bCs w:val="1"/>
                <w:color w:val="FFFFFF"/>
              </w:rPr>
              <w:t>Initiate Process</w:t>
            </w:r>
          </w:p>
        </w:tc>
        <w:tc>
          <w:tcPr>
            <w:tcW w:w="3700" w:type="dxa"/>
            <w:vAlign w:val="bottom"/>
          </w:tcPr>
          <w:p>
            <w:pPr>
              <w:ind w:left="280"/>
              <w:spacing w:after="0"/>
              <w:rPr>
                <w:sz w:val="20"/>
                <w:szCs w:val="20"/>
                <w:color w:val="auto"/>
              </w:rPr>
            </w:pPr>
            <w:r>
              <w:rPr>
                <w:rFonts w:ascii="Arial" w:cs="Arial" w:eastAsia="Arial" w:hAnsi="Arial"/>
                <w:sz w:val="36"/>
                <w:szCs w:val="36"/>
                <w:color w:val="FFFFFF"/>
              </w:rPr>
              <w:t xml:space="preserve">2 </w:t>
            </w:r>
            <w:r>
              <w:rPr>
                <w:rFonts w:ascii="Arial" w:cs="Arial" w:eastAsia="Arial" w:hAnsi="Arial"/>
                <w:sz w:val="17"/>
                <w:szCs w:val="17"/>
                <w:b w:val="1"/>
                <w:bCs w:val="1"/>
                <w:color w:val="FFFFFF"/>
              </w:rPr>
              <w:t>Conduct Evaluation</w:t>
            </w:r>
          </w:p>
        </w:tc>
        <w:tc>
          <w:tcPr>
            <w:tcW w:w="3640" w:type="dxa"/>
            <w:vAlign w:val="bottom"/>
          </w:tcPr>
          <w:p>
            <w:pPr>
              <w:ind w:left="140"/>
              <w:spacing w:after="0"/>
              <w:rPr>
                <w:sz w:val="20"/>
                <w:szCs w:val="20"/>
                <w:color w:val="auto"/>
              </w:rPr>
            </w:pPr>
            <w:r>
              <w:rPr>
                <w:rFonts w:ascii="Arial" w:cs="Arial" w:eastAsia="Arial" w:hAnsi="Arial"/>
                <w:sz w:val="36"/>
                <w:szCs w:val="36"/>
                <w:color w:val="FFFFFF"/>
              </w:rPr>
              <w:t xml:space="preserve">3 </w:t>
            </w:r>
            <w:r>
              <w:rPr>
                <w:rFonts w:ascii="Arial" w:cs="Arial" w:eastAsia="Arial" w:hAnsi="Arial"/>
                <w:sz w:val="17"/>
                <w:szCs w:val="17"/>
                <w:b w:val="1"/>
                <w:bCs w:val="1"/>
                <w:color w:val="FFFFFF"/>
              </w:rPr>
              <w:t>Implement Conclusions</w:t>
            </w:r>
          </w:p>
        </w:tc>
      </w:tr>
      <w:tr>
        <w:trPr>
          <w:trHeight w:val="203"/>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355889"/>
              </w:rPr>
              <w:t>NCGC establishes Board and committee self-</w:t>
            </w: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355889"/>
              </w:rPr>
              <w:t>Directors meet to formally discuss the</w:t>
            </w:r>
          </w:p>
        </w:tc>
        <w:tc>
          <w:tcPr>
            <w:tcW w:w="3640" w:type="dxa"/>
            <w:vAlign w:val="bottom"/>
          </w:tcPr>
          <w:p>
            <w:pPr>
              <w:ind w:left="140"/>
              <w:spacing w:after="0" w:line="202" w:lineRule="exact"/>
              <w:rPr>
                <w:sz w:val="20"/>
                <w:szCs w:val="20"/>
                <w:color w:val="auto"/>
              </w:rPr>
            </w:pPr>
            <w:r>
              <w:rPr>
                <w:rFonts w:ascii="Arial" w:cs="Arial" w:eastAsia="Arial" w:hAnsi="Arial"/>
                <w:sz w:val="18"/>
                <w:szCs w:val="18"/>
                <w:color w:val="355889"/>
              </w:rPr>
              <w:t>The Board and each committee implement</w:t>
            </w:r>
          </w:p>
        </w:tc>
      </w:tr>
      <w:tr>
        <w:trPr>
          <w:trHeight w:val="202"/>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355889"/>
              </w:rPr>
              <w:t>evaluation process, including incorporation of</w:t>
            </w: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355889"/>
              </w:rPr>
              <w:t>functioning of the Board and any</w:t>
            </w:r>
          </w:p>
        </w:tc>
        <w:tc>
          <w:tcPr>
            <w:tcW w:w="3640" w:type="dxa"/>
            <w:vAlign w:val="bottom"/>
          </w:tcPr>
          <w:p>
            <w:pPr>
              <w:ind w:left="140"/>
              <w:spacing w:after="0" w:line="202" w:lineRule="exact"/>
              <w:rPr>
                <w:sz w:val="20"/>
                <w:szCs w:val="20"/>
                <w:color w:val="auto"/>
              </w:rPr>
            </w:pPr>
            <w:r>
              <w:rPr>
                <w:rFonts w:ascii="Arial" w:cs="Arial" w:eastAsia="Arial" w:hAnsi="Arial"/>
                <w:sz w:val="18"/>
                <w:szCs w:val="18"/>
                <w:color w:val="355889"/>
              </w:rPr>
              <w:t>proposed governance improvements with</w:t>
            </w:r>
          </w:p>
        </w:tc>
      </w:tr>
      <w:tr>
        <w:trPr>
          <w:trHeight w:val="203"/>
        </w:trPr>
        <w:tc>
          <w:tcPr>
            <w:tcW w:w="3920" w:type="dxa"/>
            <w:vAlign w:val="bottom"/>
          </w:tcPr>
          <w:p>
            <w:pPr>
              <w:ind w:left="120"/>
              <w:spacing w:after="0" w:line="202" w:lineRule="exact"/>
              <w:rPr>
                <w:sz w:val="20"/>
                <w:szCs w:val="20"/>
                <w:color w:val="auto"/>
              </w:rPr>
            </w:pPr>
            <w:r>
              <w:rPr>
                <w:rFonts w:ascii="Arial" w:cs="Arial" w:eastAsia="Arial" w:hAnsi="Arial"/>
                <w:sz w:val="18"/>
                <w:szCs w:val="18"/>
                <w:color w:val="355889"/>
              </w:rPr>
              <w:t>process improvements from previous review</w:t>
            </w:r>
          </w:p>
        </w:tc>
        <w:tc>
          <w:tcPr>
            <w:tcW w:w="3700" w:type="dxa"/>
            <w:vAlign w:val="bottom"/>
          </w:tcPr>
          <w:p>
            <w:pPr>
              <w:ind w:left="280"/>
              <w:spacing w:after="0" w:line="202" w:lineRule="exact"/>
              <w:rPr>
                <w:sz w:val="20"/>
                <w:szCs w:val="20"/>
                <w:color w:val="auto"/>
              </w:rPr>
            </w:pPr>
            <w:r>
              <w:rPr>
                <w:rFonts w:ascii="Arial" w:cs="Arial" w:eastAsia="Arial" w:hAnsi="Arial"/>
                <w:sz w:val="18"/>
                <w:szCs w:val="18"/>
                <w:color w:val="355889"/>
              </w:rPr>
              <w:t>committees on which they serve to identify</w:t>
            </w:r>
          </w:p>
        </w:tc>
        <w:tc>
          <w:tcPr>
            <w:tcW w:w="3640" w:type="dxa"/>
            <w:vAlign w:val="bottom"/>
          </w:tcPr>
          <w:p>
            <w:pPr>
              <w:ind w:left="140"/>
              <w:spacing w:after="0" w:line="202" w:lineRule="exact"/>
              <w:rPr>
                <w:sz w:val="20"/>
                <w:szCs w:val="20"/>
                <w:color w:val="auto"/>
              </w:rPr>
            </w:pPr>
            <w:r>
              <w:rPr>
                <w:rFonts w:ascii="Arial" w:cs="Arial" w:eastAsia="Arial" w:hAnsi="Arial"/>
                <w:sz w:val="18"/>
                <w:szCs w:val="18"/>
                <w:color w:val="355889"/>
              </w:rPr>
              <w:t>assistance of management and third party</w:t>
            </w:r>
          </w:p>
        </w:tc>
      </w:tr>
      <w:tr>
        <w:trPr>
          <w:trHeight w:val="211"/>
        </w:trPr>
        <w:tc>
          <w:tcPr>
            <w:tcW w:w="3920" w:type="dxa"/>
            <w:vAlign w:val="bottom"/>
          </w:tcPr>
          <w:p>
            <w:pPr>
              <w:ind w:left="120"/>
              <w:spacing w:after="0"/>
              <w:rPr>
                <w:sz w:val="20"/>
                <w:szCs w:val="20"/>
                <w:color w:val="auto"/>
              </w:rPr>
            </w:pPr>
            <w:r>
              <w:rPr>
                <w:rFonts w:ascii="Arial" w:cs="Arial" w:eastAsia="Arial" w:hAnsi="Arial"/>
                <w:sz w:val="18"/>
                <w:szCs w:val="18"/>
                <w:color w:val="355889"/>
              </w:rPr>
              <w:t>cycles</w:t>
            </w:r>
          </w:p>
        </w:tc>
        <w:tc>
          <w:tcPr>
            <w:tcW w:w="3700" w:type="dxa"/>
            <w:vAlign w:val="bottom"/>
          </w:tcPr>
          <w:p>
            <w:pPr>
              <w:ind w:left="280"/>
              <w:spacing w:after="0"/>
              <w:rPr>
                <w:sz w:val="20"/>
                <w:szCs w:val="20"/>
                <w:color w:val="auto"/>
              </w:rPr>
            </w:pPr>
            <w:r>
              <w:rPr>
                <w:rFonts w:ascii="Arial" w:cs="Arial" w:eastAsia="Arial" w:hAnsi="Arial"/>
                <w:sz w:val="18"/>
                <w:szCs w:val="18"/>
                <w:color w:val="355889"/>
              </w:rPr>
              <w:t>areas for improvement</w:t>
            </w:r>
          </w:p>
        </w:tc>
        <w:tc>
          <w:tcPr>
            <w:tcW w:w="3640" w:type="dxa"/>
            <w:vAlign w:val="bottom"/>
          </w:tcPr>
          <w:p>
            <w:pPr>
              <w:ind w:left="140"/>
              <w:spacing w:after="0"/>
              <w:rPr>
                <w:sz w:val="20"/>
                <w:szCs w:val="20"/>
                <w:color w:val="auto"/>
              </w:rPr>
            </w:pPr>
            <w:r>
              <w:rPr>
                <w:rFonts w:ascii="Arial" w:cs="Arial" w:eastAsia="Arial" w:hAnsi="Arial"/>
                <w:sz w:val="18"/>
                <w:szCs w:val="18"/>
                <w:color w:val="355889"/>
              </w:rPr>
              <w:t>advisors, as needed</w:t>
            </w:r>
          </w:p>
        </w:tc>
      </w:tr>
      <w:tr>
        <w:trPr>
          <w:trHeight w:val="526"/>
        </w:trPr>
        <w:tc>
          <w:tcPr>
            <w:tcW w:w="3920" w:type="dxa"/>
            <w:vAlign w:val="bottom"/>
          </w:tcPr>
          <w:p>
            <w:pPr>
              <w:spacing w:after="0"/>
              <w:rPr>
                <w:sz w:val="20"/>
                <w:szCs w:val="20"/>
                <w:color w:val="auto"/>
              </w:rPr>
            </w:pPr>
            <w:r>
              <w:rPr>
                <w:rFonts w:ascii="Arial" w:cs="Arial" w:eastAsia="Arial" w:hAnsi="Arial"/>
                <w:sz w:val="18"/>
                <w:szCs w:val="18"/>
                <w:color w:val="355A89"/>
              </w:rPr>
              <w:t xml:space="preserve">22 </w:t>
            </w:r>
            <w:r>
              <w:rPr>
                <w:rFonts w:ascii="Arial" w:cs="Arial" w:eastAsia="Arial" w:hAnsi="Arial"/>
                <w:sz w:val="18"/>
                <w:szCs w:val="18"/>
                <w:color w:val="000000"/>
              </w:rPr>
              <w:t>SL Green Realty Corp.</w:t>
            </w:r>
          </w:p>
        </w:tc>
        <w:tc>
          <w:tcPr>
            <w:tcW w:w="37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5"/>
        </w:trPr>
        <w:tc>
          <w:tcPr>
            <w:tcW w:w="392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65A8B"/>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Director Independence</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and the applicable rules promulgated by the SEC.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directors and director nominees has no direct or indirect material relationship with us and is independent under the listing standards of the NYSE, the applicable rules promulgated by the SEC and our director independence standards: Mses. Betsy Atkins and Lauren B. Dillard and Messrs. John H. Alschuler, Edwin T. Burton, III, Craig M. Hatkoff and John S. Levy. The Board has determined that Messrs. Stephen L. Green, Marc Holliday and Andrew W. Mathias, our three other directors, are not independent because they are also executive officers of the Company or have been within the last three years.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Executive Sessions of Non-Management Directors</w:t>
      </w: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Communications with the Board</w:t>
      </w:r>
    </w:p>
    <w:p>
      <w:pPr>
        <w:spacing w:after="0" w:line="23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One Vanderbilt Avenue, 28th Floor, New York, New York 10017-3852. Mr. Levine forwards all such communications to the intended recipient or recipients. Any such communications may be made anonymously.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Director Attendance</w:t>
      </w:r>
    </w:p>
    <w:p>
      <w:pPr>
        <w:spacing w:after="0" w:line="23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The Board held nine meetings and all directors attended 75% or more of the Board meetings and meetings of the committees on which they served during the periods they served during fiscal year 2020. In addition to participating in formal meetings, our Board members regularly communicate with each other, members of management and advisors and take action by written consent.</w:t>
      </w:r>
    </w:p>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encourage each member of the Board to attend each annual meeting of stockholders. Four of our directors attended the annual meeting of stockholders held on May 28, 2020.</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 com under the “Investors—Corporate Governance” section. Further, we will provide a copy of these charters without charge to each stockholder upon written request. Requests for copies should be addressed to Andrew S. Levine, Secretary, at SL Green Realty Corp., One Vanderbilt Avenue, 28th Floor, New York, New York 10017-3852. From time to time, the Board also may create additional committees for such purposes as the Board may determine.</w:t>
      </w:r>
    </w:p>
    <w:p>
      <w:pPr>
        <w:spacing w:after="0" w:line="210"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Audit Committee</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Audit Committee consists of Edwin T. Burton, III (Chair), Betsy S. Atkins, Lauren B. Dillard and Craig M. Hatkoff, each of whom is independent within the meaning of the rules of the NYSE and the SEC and each of whom meets the financial literacy standard required by the rules of the NYSE.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Our Audit Committee held 14 formal meetings during fiscal year 2020. Additional information regarding the functions performed by our Audit Committee is set forth in the “Audit Committee Report” included in this annual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Audit Committee Financial Expert</w:t>
      </w:r>
    </w:p>
    <w:p>
      <w:pPr>
        <w:spacing w:after="0" w:line="2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Board determined that Edwin T. Burton, III qualifies as an “audit committee financial expert,” as defined in Item 407(d) of SEC Regulation S-K.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Compensation Committee</w:t>
      </w: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Compensation Committee consists of Lauren B. Dillard (Chair), Edwin T. Burton, III and John S. Levy, each 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 Our Compensation Committee held two formal meetings during fiscal year 2020. In addition to participating in formal meetings, our Compensation Committee members regularly communicate with each other, members of management and advisors and take action by written consent.</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Nominating and Corporate Governance Committee</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Nominating and Corporate Governance Committee consists of Craig M. Hatkoff (Chair), John H. Alschuler, Betsy Atkins and John S. Levy,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one formal meeting during fiscal year 2020. In addition to participating in formal meetings, our Nominating and Corporate Governance Committee members regularly communicate with each other, members of management and advisors and take action by written consent.</w:t>
      </w:r>
    </w:p>
    <w:p>
      <w:pPr>
        <w:spacing w:after="0" w:line="208"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Executive Committee</w:t>
      </w:r>
    </w:p>
    <w:p>
      <w:pPr>
        <w:spacing w:after="0" w:line="23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Subject to the supervision and oversight of the Board, our Executive Committee, which consists of Marc Holliday (Chair), Stephen L. Green and John H. Alschuler,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2020, as all matters within its authority were approved by the Board.</w:t>
      </w:r>
    </w:p>
    <w:p>
      <w:pPr>
        <w:spacing w:after="0" w:line="17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Board Oversight of Strategy</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One of the most important functions of the Board relates to its role in formulating and overseeing the execution of our business strategy. The Board actively participates with management in the formulation and refinement of our business strategy to help ensure that our strategic goals are thoughtfully constructed and well-articulated. To facilitate this process, the Board periodically meets with our management and external advisors in full day or multi-day sessions focused on long-term strategic planning. Additionally, on a more frequent basis, the Board receives updates from management regarding internal progress toward strategic goals and changes in market conditions and external strategic opportunities and challenges, which the Board uses to assist our management in refining its business strategy and reacting to particular opportunities or challenges that arise. While management is charged with executing strategy on a daily basis, the Board monitors and evaluates performance through these regular updates and by actively engaging in dialogues with our senior management team. Aspects of our business strategy are discussed at every meeting, and key elements of our strategy are embedded in the work performed by the committees of the Board. In addition to financial and operational performance, non-financial measures, including sustainability, social and governance goals, are discussed by the Board. The Board believes that, through these ongoing efforts, it is able to focus on our performance over the short, intermediate and long term to secure the continuing health and success of the business for our stockholders. Since the beginning of the COVID-19 pandemic, the Board has devoted significant time to overseeing our strategic response to the pandemic, including working with management to assess the impact of the pandemic on all aspects of our business, and guiding the Company as we enhanced and deployed our pandemic response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Stockholder Outreach</w:t>
      </w:r>
    </w:p>
    <w:p>
      <w:pPr>
        <w:spacing w:after="0" w:line="23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Board and our Lead Independent Director believe that engaging in stockholder outreach is an essential element of strong corporate governance. We strive for a collaborative approach to issues of importance to investors and continually seek to better understand the views of our investors on key topics. Over the past several years, our Lead Independent Director, the chairman of our Compensation Committee and members of our senior management team contacted many of our largest institutional investors. Since the 2020 annual meeting of stockholders, we have reached out to institutional investors representing ownership of approximately 65% of our outstanding common stock. We held meetings, conducted calls and otherwise engaged with all of these investors who were interested in doing so. In addition, we reached out to two institutional shareholder advisory firms, Institutional Shareholder Services, Inc., or ISS, and Glass Lewis &amp; Co LLC, or Glass Lewis. We then shared the feedback received during our outreach process with the Board and its committees to make meaningful changes to our compensation and corporate governance practices and launch new initiatives. As a result of our engagement efforts and our commitment to corporate governance, over the last few years we have undertaken the declassification of our Board, adopted a proxy access bylaw, implemented a majority voting standard for director elections, and adopted an amendment to our bylaws to permit our stockholders to amend our bylaws by a majority vote, as discussed in more detail below.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Stockholder Amendments to Bylaws</w:t>
      </w:r>
    </w:p>
    <w:p>
      <w:pPr>
        <w:spacing w:after="0" w:line="23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bylaws provide our stockholders the right to amend our bylaws by the affirmative vote of a majority of all the votes entitled to be cast on the matter. As amended, our bylaws do not place any limitations on stockholder proposals to amend our bylaws beyond the advance notice provisions that apply to all stockholder proposals. Accordingly, all of our stockholders now have the right to propose any amendments to our bylaws that are permitted by applicable law and, if any such amendment is approved by the affirmative vote of a majority of the votes entitled to be cast on the matter, it will become effective.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Declassified Board</w:t>
      </w:r>
    </w:p>
    <w:p>
      <w:pPr>
        <w:spacing w:after="0" w:line="23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Board is fully declassified, and our directors are elected for one-year terms following stockholder approval of our proposal to declassify our Board submitted to stockholders at the 2017 annual meeting of stockholders.</w:t>
      </w:r>
    </w:p>
    <w:p>
      <w:pPr>
        <w:spacing w:after="0" w:line="209"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Proxy Access</w:t>
      </w:r>
    </w:p>
    <w:p>
      <w:pPr>
        <w:spacing w:after="0" w:line="23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Information—Other Matters—Stockholder Proposals and Nominations.”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Majority Voting Standard and Director Resignation Policy</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 (regardless of whether or not thereafter revised or supplemented).</w:t>
      </w:r>
    </w:p>
    <w:p>
      <w:pPr>
        <w:spacing w:after="0" w:line="20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Environmental Social &amp; Governance (ESG)</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Our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568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68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55A89"/>
        </w:rPr>
        <w:t>Environmental</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55A89"/>
        </w:rPr>
        <w:t>Sustainability</w:t>
      </w:r>
    </w:p>
    <w:p>
      <w:pPr>
        <w:spacing w:after="0" w:line="212" w:lineRule="exact"/>
        <w:rPr>
          <w:sz w:val="20"/>
          <w:szCs w:val="20"/>
          <w:color w:val="auto"/>
        </w:rPr>
      </w:pPr>
    </w:p>
    <w:p>
      <w:pPr>
        <w:ind w:left="100"/>
        <w:spacing w:after="0" w:line="236" w:lineRule="auto"/>
        <w:rPr>
          <w:sz w:val="20"/>
          <w:szCs w:val="20"/>
          <w:color w:val="auto"/>
        </w:rPr>
      </w:pPr>
      <w:r>
        <w:rPr>
          <w:rFonts w:ascii="Arial" w:cs="Arial" w:eastAsia="Arial" w:hAnsi="Arial"/>
          <w:sz w:val="18"/>
          <w:szCs w:val="18"/>
          <w:color w:val="auto"/>
        </w:rPr>
        <w:t>Central to our mission to improve New York City are our efforts to contribute to its low carbon future. Our unrelenting focus on environmental stewardship has advanced the sustainability of our portfolio, benefiting our partners, tenants, and the greater community.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355A89"/>
        </w:rPr>
        <w:t>Social Responsibility</w:t>
      </w:r>
    </w:p>
    <w:p>
      <w:pPr>
        <w:spacing w:after="0" w:line="23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SL Green works hand in hand with employees, tenants, suppliers, community leaders, not-for-profit organizations, and government officials to achieve the collective vision of a greater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355A89"/>
        </w:rPr>
        <w:t>E&amp;S Governance</w:t>
      </w:r>
    </w:p>
    <w:p>
      <w:pPr>
        <w:spacing w:after="0" w:line="234" w:lineRule="exact"/>
        <w:rPr>
          <w:sz w:val="20"/>
          <w:szCs w:val="20"/>
          <w:color w:val="auto"/>
        </w:rPr>
      </w:pPr>
    </w:p>
    <w:p>
      <w:pPr>
        <w:ind w:right="500"/>
        <w:spacing w:after="0" w:line="236" w:lineRule="auto"/>
        <w:rPr>
          <w:sz w:val="20"/>
          <w:szCs w:val="20"/>
          <w:color w:val="auto"/>
        </w:rPr>
      </w:pPr>
      <w:r>
        <w:rPr>
          <w:rFonts w:ascii="Arial" w:cs="Arial" w:eastAsia="Arial" w:hAnsi="Arial"/>
          <w:sz w:val="18"/>
          <w:szCs w:val="18"/>
          <w:color w:val="auto"/>
        </w:rPr>
        <w:t>SL Green’s prudent approach to risk management prepares us for unpredictable market conditions. We balance financial responsibility and corporate citizenship with full board oversight of environmental and social issues and climate-related risks and opportunities.</w:t>
      </w:r>
    </w:p>
    <w:p>
      <w:pPr>
        <w:spacing w:after="0" w:line="200" w:lineRule="exact"/>
        <w:rPr>
          <w:sz w:val="20"/>
          <w:szCs w:val="20"/>
          <w:color w:val="auto"/>
        </w:rPr>
      </w:pPr>
    </w:p>
    <w:p>
      <w:pPr>
        <w:sectPr>
          <w:pgSz w:w="11900" w:h="16838" w:orient="portrait"/>
          <w:cols w:equalWidth="0" w:num="3">
            <w:col w:w="3460" w:space="480"/>
            <w:col w:w="3280" w:space="620"/>
            <w:col w:w="3400"/>
          </w:cols>
          <w:pgMar w:left="320" w:top="121" w:right="33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Environmental Sustainability</w:t>
      </w:r>
    </w:p>
    <w:p>
      <w:pPr>
        <w:spacing w:after="0" w:line="23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the largest commercial office owner in New York, SL Green is committed to reducing greenhouse gas emissions and resource consumption in order to mitigate environmental impacts across our portfolio. Since 2010, we have invested in targeted sustainability programs across 100% of our New York City properties, which has led to an over 26% reduction in greenhouse gas emissions from a base year of 2012. We established a portfolio-wide greenhouse gas intensity reduction goal of 30% by 2025, part of our voluntary participation with CDP (formerly known as the Carbon Disclosure Project). Since we are tracking ahead of our emissions target, a target for further emission reduction is under evaluation.</w:t>
      </w:r>
    </w:p>
    <w:p>
      <w:pPr>
        <w:spacing w:after="0" w:line="186"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355A89"/>
        </w:rPr>
        <w:t>OUR BOARD OF DIRECTORS AND CORPORATE GOVERNANCE</w:t>
      </w:r>
    </w:p>
    <w:p>
      <w:pPr>
        <w:spacing w:after="0" w:line="23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As part of our focus on sustainable building operations, we directly engage with state and local officials to design a thoughtful path toward achieving New York’s climate goals, which align with the 1.5°C climate scenario. SL Green reduces Scope 1 and Scope 2 greenhouse gas emissions by optimizing building operations, implementing intensive energy management strategies, and deploying capital investment in state-of-the-art equipment. Since tenants typically account for over 60% of whole building energy and emissions, we equip our tenants with the data and tools to achieve Scope 3 energy reductions within their spaces. Incorporated in our strategy is our commitment to Green Leases, which refine lease language to promote sustainability. Our Green Lease efforts have been recognized with Institute for Market Transformation’s top accolade, the 2020 (Gold Level) Green Lease Leaders Award.</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efforts to minimize our environmental impact also extend to water conservation and waste reduction. Our investments in low flow fixture upgrades alone has reduced water consumption by 30% across our LEED certified Manhattan portfolio, equivalent to saving 29 million gallons of water annually. This includes our most recent ground-up development, One Vanderbilt, which has a rainwater capture system that is expected to save over one million gallons of water per year.</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also partnered with our tenants, employees, union stakeholders and vendors to reduce the amount of waste sent to landfills. For example, as the global standard for sustainable development, One Vanderbilt achieved a 75% recycling rate during the project’s demolition and the steel used to construct the building was 90% recycled content. To further reduce waste, we offer recycling training to over 150,000 individuals annually across our portfolio.</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Social Responsibility</w:t>
      </w:r>
    </w:p>
    <w:p>
      <w:pPr>
        <w:spacing w:after="0" w:line="23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Social vision is enhancing the health and resiliency of our employees, tenants, and the community. At the forefront of our plans is creating a work culture that prioritizes productivity and wellness through training, diversity, education, and volunteerism.</w:t>
      </w:r>
    </w:p>
    <w:p>
      <w:pPr>
        <w:spacing w:after="0" w:line="209"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We are committed to enhancing the health and well-being of our employees with market-leading benefits programs spanning healthcare, 401(k) match, employee stock purchase plan, disability coverage, wellness and life insurance. In addition to the incremental employee benefits outlined in the COVID-19 Response section at the beginning of this proxy statement, as part of our health and wellness program, we offer our employees extensive mental health programs, advanced fertility treatment coverage and leading parental benefits.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Guided by employee feedback, we launched our latest learning and development initiative, The Academy, in 2020 to further strengthen our employee development efforts. The program offers employees tuition reimbursement toward a professional certificate in partnership with New York University and Columbia University. We also provide cross-training between departments, allowing our workforce to be agile in a rapidly developing industry. To ensure we cultivate female talent, we have also partnered with Declare, a women’s leadership development organization, to provide exclusive learning and networking activities.</w:t>
      </w:r>
    </w:p>
    <w:p>
      <w:pPr>
        <w:spacing w:after="0" w:line="211"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SL Green is dedicated to creating a diverse workplace where employees feel valued and accepted regardless of race, color, religion, national origin, gender, sexual orientation, age, disability, or veteran status. We have a zero-tolerance policy for harassment of all types and are committed to preventing incidents of noncompliance. As such, all SL Green employees are required to complete an anti-harassment training course annually. We are also focused on supporting Minority and Women-owned Businesses (MWBEs). As an example, 19% of contractors onsite at One Vanderbilt were MWBEs. Additionally, as of December 31, 2020, 47% of our total workforce was ethnically/racially diverse.</w:t>
      </w:r>
    </w:p>
    <w:p>
      <w:pPr>
        <w:spacing w:after="0" w:line="18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With the impact of COVID-19 on New York City, we are committed now more than ever to help our neighbors in need. In 2020, we contributed over $3 million, including employee donations, across more than 65 organizations, the objectives of which align with UN Sustainable Development Goals of promoting education and eliminating poverty and hunger.</w:t>
      </w:r>
    </w:p>
    <w:p>
      <w:pPr>
        <w:spacing w:after="0" w:line="20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In line with this vision for a greater New York, we are constructing 185 Broadway, a 34-story, mixed use ground-up development. Once completed, the building will be Lower Manhattan’s first development built under the Affordable New York Housing Program, providing 30% of residential units at affordable prices.</w:t>
      </w:r>
    </w:p>
    <w:p>
      <w:pPr>
        <w:spacing w:after="0" w:line="208"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Environment &amp; Social Governance</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Instituting a cultural focus on sustainability and corporate social responsibility begins with an organization’s leadership. With full Board oversight of our ESG program and executive-level participation on our dedicated Sustainability Team, these initiatives have top-down support and are a company-wide priority. While the Board considered directing the oversight of our sustainability initiatives to a specific committee, it decided that the far-reach and importance of the program across our business warrants the full Board’s attention. SL Green’s Board and Executive Team receive ESG updates on a regular basis throughout the year.</w:t>
      </w:r>
    </w:p>
    <w:p>
      <w:pPr>
        <w:spacing w:after="0" w:line="21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SL Green is committed to transparent disclosure of material ESG topics. In evaluating our annual reporting, we have selectively pursued standards that are most relevant to our business operations and requested by our stakeholders, including GRI, CDP, GRESB, and SASB. Our disclosures are also aligned with TCFD and UN SDG guidelines. For further assurance, our environmental disclosures are externally verified.</w:t>
      </w:r>
    </w:p>
    <w:p>
      <w:pPr>
        <w:spacing w:after="0" w:line="1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our roots in New York City, we are at the center of one of the world’s most aggressive climate legislation and recognize our responsibility to lead by example. Our investments over the last 20 years, focused on increasing energy efficiency and reducing greenhouse gas emissions, have resulted in effectively mitigating the potential impact of recent climate legislation on our portfolio. In alignment with our efforts to maximize the resiliency of our properties, we have implemented comprehensive response procedures to manage the risk associated with climate-related weather events. As demonstrated by our rapid response to COVID-19 and our ability to adapt to its effects, we believe our prudent approach to risk-management through the precautionary principle fortifies the stability of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Risk Oversight</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 In particular, the Board focuses on overseeing risks relating to the structure and amount of our debt, including overall aggregate principal balance, variable rate versus fixed rate debt, maturity schedules and balance of secured and unsecured debt.</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Board delegated to the Audit Committee oversight of the Company’s risk management process. Among its duties, the Audit Committee reviews with management (a) Company policies with respect to risk assessment and management of risks that may be material to the Company,</w:t>
      </w:r>
    </w:p>
    <w:p>
      <w:pPr>
        <w:ind w:right="160" w:firstLine="8"/>
        <w:spacing w:after="0" w:line="236" w:lineRule="auto"/>
        <w:tabs>
          <w:tab w:leader="none" w:pos="2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disclosure controls and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2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addition, our Compensation Committee considers potential risks to the Company in its determinations of the overall structure of our executive compensation program and the specific goals it establishes for our executives.</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208"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the Board leadership structure supports this approach.</w:t>
      </w:r>
    </w:p>
    <w:p>
      <w:pPr>
        <w:spacing w:after="0" w:line="209"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Included in our approach to risk management is a focus on cybersecurity. As we transmit sensitive data across networks and rely on Internet-based systems to run our buildings, we are dedicated to protecting this information and the systems used to process it. We also ensure our employees, processes, systems, and external partners are aligned with cybersecurity best practices. Our Board and executive management team regularly assess our program and are positioned to respond to security and privacy risks, identify vulnerability gaps, and assess data governance programs. We conduct quarterly mandatory training for employees, constantly scan our systems for vulnerabilities and ensure that any identified risks are immediately addressed. We also periodically employ external agencies to test the efficacy of our security protocols, maintain cyber liability insurance coverage, and leverage the cloud to employ sophisticated cybersecurity measures.</w:t>
      </w:r>
    </w:p>
    <w:p>
      <w:pPr>
        <w:spacing w:after="0" w:line="190"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Governance Principles</w:t>
      </w:r>
    </w:p>
    <w:p>
      <w:pPr>
        <w:spacing w:after="0" w:line="23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 including the Investor Stewardship Group (ISG) and the ISG Corporate Governance Principles.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Code of Ethics</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adopted a Code of Ethics that applies to our directors, executive officers and employees.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NYSE.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Whistleblowing and Whistleblower Protection Policy</w:t>
      </w:r>
    </w:p>
    <w:p>
      <w:pPr>
        <w:spacing w:after="0" w:line="23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have adopted a Whistleblowing and Whistleblower Protection Policy pursuant to which our employees must report if they observe, suspect or become aware of a violation of applicable laws, regulations, or business ethics standards, and pursuant to which the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One Vanderbilt Avenue, 28th Floor, New York, New York 10017-3852. Any such communications may be made anonymously.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Additional Information</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You are encouraged to visit the “Investors—Corporate Governance” section of our corporate website at http://www.slgreen.com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One Vanderbilt Avenue, 28th Floor, New York, New York 10017-3852, Attention: Investor Relations.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Lobbying, Political Contributions and Trade Associations</w:t>
      </w:r>
    </w:p>
    <w:p>
      <w:pPr>
        <w:spacing w:after="0" w:line="233"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Company believes that participation in the public policy process is an important and essential means of enhancing stockholder value. Our efforts in this area are directly overseen by Mr. Holliday and reviewed by the full Board on a quarterly basis and by our legal department on an ongoing basis to ensure compliance with applicable laws.</w:t>
      </w:r>
    </w:p>
    <w:p>
      <w:pPr>
        <w:spacing w:after="0" w:line="208"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OUR BOARD OF DIRECTORS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Directors of the Company who are also employees receive no additional compensation for their services as directors. The following table sets forth information regarding the compensation paid to our non-employee directors for their service during the fiscal year ended December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355A89"/>
              </w:rPr>
              <w:t>Fees Earned or</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Stock</w:t>
            </w:r>
          </w:p>
        </w:tc>
        <w:tc>
          <w:tcPr>
            <w:tcW w:w="9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355A89"/>
              </w:rPr>
              <w:t>Option</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355A89"/>
              </w:rPr>
              <w:t>All Other</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59"/>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ind w:left="20"/>
              <w:spacing w:after="0" w:line="159" w:lineRule="exact"/>
              <w:rPr>
                <w:sz w:val="20"/>
                <w:szCs w:val="20"/>
                <w:color w:val="auto"/>
              </w:rPr>
            </w:pPr>
            <w:r>
              <w:rPr>
                <w:rFonts w:ascii="Arial" w:cs="Arial" w:eastAsia="Arial" w:hAnsi="Arial"/>
                <w:sz w:val="11"/>
                <w:szCs w:val="11"/>
                <w:b w:val="1"/>
                <w:bCs w:val="1"/>
                <w:color w:val="355A89"/>
              </w:rPr>
              <w:t>Paid in Cash</w:t>
            </w:r>
            <w:r>
              <w:rPr>
                <w:rFonts w:ascii="Arial" w:cs="Arial" w:eastAsia="Arial" w:hAnsi="Arial"/>
                <w:sz w:val="18"/>
                <w:szCs w:val="18"/>
                <w:b w:val="1"/>
                <w:bCs w:val="1"/>
                <w:color w:val="355A89"/>
                <w:vertAlign w:val="superscript"/>
              </w:rPr>
              <w:t>(1)</w:t>
            </w:r>
          </w:p>
        </w:tc>
        <w:tc>
          <w:tcPr>
            <w:tcW w:w="22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1"/>
                <w:szCs w:val="11"/>
                <w:b w:val="1"/>
                <w:bCs w:val="1"/>
                <w:color w:val="355A89"/>
              </w:rPr>
              <w:t>Awards</w:t>
            </w:r>
            <w:r>
              <w:rPr>
                <w:rFonts w:ascii="Arial" w:cs="Arial" w:eastAsia="Arial" w:hAnsi="Arial"/>
                <w:sz w:val="18"/>
                <w:szCs w:val="18"/>
                <w:b w:val="1"/>
                <w:bCs w:val="1"/>
                <w:color w:val="355A89"/>
                <w:vertAlign w:val="superscript"/>
              </w:rPr>
              <w:t>(2)</w:t>
            </w:r>
          </w:p>
        </w:tc>
        <w:tc>
          <w:tcPr>
            <w:tcW w:w="960" w:type="dxa"/>
            <w:vAlign w:val="bottom"/>
            <w:gridSpan w:val="3"/>
          </w:tcPr>
          <w:p>
            <w:pPr>
              <w:jc w:val="right"/>
              <w:ind w:right="340"/>
              <w:spacing w:after="0" w:line="159" w:lineRule="exact"/>
              <w:rPr>
                <w:sz w:val="20"/>
                <w:szCs w:val="20"/>
                <w:color w:val="auto"/>
              </w:rPr>
            </w:pPr>
            <w:r>
              <w:rPr>
                <w:rFonts w:ascii="Arial" w:cs="Arial" w:eastAsia="Arial" w:hAnsi="Arial"/>
                <w:sz w:val="11"/>
                <w:szCs w:val="11"/>
                <w:b w:val="1"/>
                <w:bCs w:val="1"/>
                <w:color w:val="355A89"/>
              </w:rPr>
              <w:t>Awards</w:t>
            </w:r>
            <w:r>
              <w:rPr>
                <w:rFonts w:ascii="Arial" w:cs="Arial" w:eastAsia="Arial" w:hAnsi="Arial"/>
                <w:sz w:val="18"/>
                <w:szCs w:val="18"/>
                <w:b w:val="1"/>
                <w:bCs w:val="1"/>
                <w:color w:val="355A89"/>
                <w:vertAlign w:val="superscript"/>
              </w:rPr>
              <w:t>(3)</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355A89"/>
              </w:rPr>
              <w:t>Compensation</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355A89"/>
              </w:rPr>
              <w:t>Total</w:t>
            </w:r>
          </w:p>
        </w:tc>
      </w:tr>
      <w:tr>
        <w:trPr>
          <w:trHeight w:val="185"/>
        </w:trPr>
        <w:tc>
          <w:tcPr>
            <w:tcW w:w="56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355A89"/>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355A89"/>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355A89"/>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355A89"/>
              </w:rPr>
              <w:t>($)</w:t>
            </w:r>
          </w:p>
        </w:tc>
      </w:tr>
      <w:tr>
        <w:trPr>
          <w:trHeight w:val="34"/>
        </w:trPr>
        <w:tc>
          <w:tcPr>
            <w:tcW w:w="560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55989"/>
          </w:tcPr>
          <w:p>
            <w:pPr>
              <w:spacing w:after="0"/>
              <w:rPr>
                <w:sz w:val="2"/>
                <w:szCs w:val="2"/>
                <w:color w:val="auto"/>
              </w:rPr>
            </w:pPr>
          </w:p>
        </w:tc>
        <w:tc>
          <w:tcPr>
            <w:tcW w:w="7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55989"/>
          </w:tcPr>
          <w:p>
            <w:pPr>
              <w:spacing w:after="0"/>
              <w:rPr>
                <w:sz w:val="2"/>
                <w:szCs w:val="2"/>
                <w:color w:val="auto"/>
              </w:rPr>
            </w:pPr>
          </w:p>
        </w:tc>
        <w:tc>
          <w:tcPr>
            <w:tcW w:w="78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6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989"/>
          </w:tcPr>
          <w:p>
            <w:pPr>
              <w:spacing w:after="0"/>
              <w:rPr>
                <w:sz w:val="2"/>
                <w:szCs w:val="2"/>
                <w:color w:val="auto"/>
              </w:rPr>
            </w:pPr>
          </w:p>
        </w:tc>
        <w:tc>
          <w:tcPr>
            <w:tcW w:w="760" w:type="dxa"/>
            <w:vAlign w:val="bottom"/>
            <w:shd w:val="clear" w:color="auto" w:fill="355989"/>
          </w:tcPr>
          <w:p>
            <w:pPr>
              <w:spacing w:after="0"/>
              <w:rPr>
                <w:sz w:val="2"/>
                <w:szCs w:val="2"/>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color w:val="auto"/>
              </w:rPr>
              <w:t>John H. Alschuler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138,000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373,000</w:t>
            </w:r>
          </w:p>
        </w:tc>
      </w:tr>
      <w:tr>
        <w:trPr>
          <w:trHeight w:val="21"/>
        </w:trPr>
        <w:tc>
          <w:tcPr>
            <w:tcW w:w="56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7F89AD"/>
          </w:tcPr>
          <w:p>
            <w:pPr>
              <w:spacing w:after="0" w:line="20" w:lineRule="exact"/>
              <w:rPr>
                <w:sz w:val="1"/>
                <w:szCs w:val="1"/>
                <w:color w:val="auto"/>
              </w:rPr>
            </w:pPr>
          </w:p>
        </w:tc>
        <w:tc>
          <w:tcPr>
            <w:tcW w:w="10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color w:val="auto"/>
              </w:rPr>
              <w:t>Betsy Atkins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86,000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321,000</w:t>
            </w:r>
          </w:p>
        </w:tc>
      </w:tr>
      <w:tr>
        <w:trPr>
          <w:trHeight w:val="21"/>
        </w:trPr>
        <w:tc>
          <w:tcPr>
            <w:tcW w:w="56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7F89AD"/>
          </w:tcPr>
          <w:p>
            <w:pPr>
              <w:spacing w:after="0" w:line="20" w:lineRule="exact"/>
              <w:rPr>
                <w:sz w:val="1"/>
                <w:szCs w:val="1"/>
                <w:color w:val="auto"/>
              </w:rPr>
            </w:pPr>
          </w:p>
        </w:tc>
        <w:tc>
          <w:tcPr>
            <w:tcW w:w="10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color w:val="auto"/>
              </w:rPr>
              <w:t>Edwin T. Burton, III</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114,000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349,000</w:t>
            </w:r>
          </w:p>
        </w:tc>
      </w:tr>
      <w:tr>
        <w:trPr>
          <w:trHeight w:val="21"/>
        </w:trPr>
        <w:tc>
          <w:tcPr>
            <w:tcW w:w="56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7F89AD"/>
          </w:tcPr>
          <w:p>
            <w:pPr>
              <w:spacing w:after="0" w:line="20" w:lineRule="exact"/>
              <w:rPr>
                <w:sz w:val="1"/>
                <w:szCs w:val="1"/>
                <w:color w:val="auto"/>
              </w:rPr>
            </w:pPr>
          </w:p>
        </w:tc>
        <w:tc>
          <w:tcPr>
            <w:tcW w:w="10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color w:val="auto"/>
              </w:rPr>
              <w:t>Lauren B. Dillard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125,500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360,500</w:t>
            </w:r>
          </w:p>
        </w:tc>
      </w:tr>
      <w:tr>
        <w:trPr>
          <w:trHeight w:val="21"/>
        </w:trPr>
        <w:tc>
          <w:tcPr>
            <w:tcW w:w="56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7F89AD"/>
          </w:tcPr>
          <w:p>
            <w:pPr>
              <w:spacing w:after="0" w:line="20" w:lineRule="exact"/>
              <w:rPr>
                <w:sz w:val="1"/>
                <w:szCs w:val="1"/>
                <w:color w:val="auto"/>
              </w:rPr>
            </w:pPr>
          </w:p>
        </w:tc>
        <w:tc>
          <w:tcPr>
            <w:tcW w:w="10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r>
      <w:tr>
        <w:trPr>
          <w:trHeight w:val="310"/>
        </w:trPr>
        <w:tc>
          <w:tcPr>
            <w:tcW w:w="5600" w:type="dxa"/>
            <w:vAlign w:val="bottom"/>
          </w:tcPr>
          <w:p>
            <w:pPr>
              <w:spacing w:after="0"/>
              <w:rPr>
                <w:sz w:val="20"/>
                <w:szCs w:val="20"/>
                <w:color w:val="auto"/>
              </w:rPr>
            </w:pPr>
            <w:r>
              <w:rPr>
                <w:rFonts w:ascii="Arial" w:cs="Arial" w:eastAsia="Arial" w:hAnsi="Arial"/>
                <w:sz w:val="18"/>
                <w:szCs w:val="18"/>
                <w:color w:val="auto"/>
              </w:rPr>
              <w:t>Stephen L. Green</w:t>
            </w: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63,500</w:t>
            </w:r>
          </w:p>
        </w:tc>
        <w:tc>
          <w:tcPr>
            <w:tcW w:w="1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24"/>
                <w:szCs w:val="24"/>
                <w:color w:val="auto"/>
              </w:rPr>
            </w:pPr>
          </w:p>
        </w:tc>
        <w:tc>
          <w:tcPr>
            <w:tcW w:w="96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line="310" w:lineRule="exact"/>
              <w:rPr>
                <w:sz w:val="20"/>
                <w:szCs w:val="20"/>
                <w:color w:val="auto"/>
              </w:rPr>
            </w:pPr>
            <w:r>
              <w:rPr>
                <w:rFonts w:ascii="Arial" w:cs="Arial" w:eastAsia="Arial" w:hAnsi="Arial"/>
                <w:sz w:val="18"/>
                <w:szCs w:val="18"/>
                <w:color w:val="auto"/>
              </w:rPr>
              <w:t>650,000</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948,500</w:t>
            </w:r>
          </w:p>
        </w:tc>
      </w:tr>
      <w:tr>
        <w:trPr>
          <w:trHeight w:val="20"/>
        </w:trPr>
        <w:tc>
          <w:tcPr>
            <w:tcW w:w="56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7F89AD"/>
          </w:tcPr>
          <w:p>
            <w:pPr>
              <w:spacing w:after="0" w:line="20" w:lineRule="exact"/>
              <w:rPr>
                <w:sz w:val="1"/>
                <w:szCs w:val="1"/>
                <w:color w:val="auto"/>
              </w:rPr>
            </w:pPr>
          </w:p>
        </w:tc>
        <w:tc>
          <w:tcPr>
            <w:tcW w:w="10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92,500</w:t>
            </w:r>
          </w:p>
        </w:tc>
        <w:tc>
          <w:tcPr>
            <w:tcW w:w="16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19"/>
                <w:szCs w:val="19"/>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327,500</w:t>
            </w:r>
          </w:p>
        </w:tc>
      </w:tr>
      <w:tr>
        <w:trPr>
          <w:trHeight w:val="21"/>
        </w:trPr>
        <w:tc>
          <w:tcPr>
            <w:tcW w:w="56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7F89AD"/>
          </w:tcPr>
          <w:p>
            <w:pPr>
              <w:spacing w:after="0" w:line="20" w:lineRule="exact"/>
              <w:rPr>
                <w:sz w:val="1"/>
                <w:szCs w:val="1"/>
                <w:color w:val="auto"/>
              </w:rPr>
            </w:pPr>
          </w:p>
        </w:tc>
        <w:tc>
          <w:tcPr>
            <w:tcW w:w="10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7F89AD"/>
          </w:tcPr>
          <w:p>
            <w:pPr>
              <w:spacing w:after="0" w:line="20" w:lineRule="exact"/>
              <w:rPr>
                <w:sz w:val="1"/>
                <w:szCs w:val="1"/>
                <w:color w:val="auto"/>
              </w:rPr>
            </w:pPr>
          </w:p>
        </w:tc>
        <w:tc>
          <w:tcPr>
            <w:tcW w:w="760" w:type="dxa"/>
            <w:vAlign w:val="bottom"/>
            <w:shd w:val="clear" w:color="auto" w:fill="7F89AD"/>
          </w:tcPr>
          <w:p>
            <w:pPr>
              <w:spacing w:after="0" w:line="20" w:lineRule="exact"/>
              <w:rPr>
                <w:sz w:val="1"/>
                <w:szCs w:val="1"/>
                <w:color w:val="auto"/>
              </w:rPr>
            </w:pPr>
          </w:p>
        </w:tc>
      </w:tr>
      <w:tr>
        <w:trPr>
          <w:trHeight w:val="235"/>
        </w:trPr>
        <w:tc>
          <w:tcPr>
            <w:tcW w:w="5600" w:type="dxa"/>
            <w:vAlign w:val="bottom"/>
          </w:tcPr>
          <w:p>
            <w:pPr>
              <w:spacing w:after="0"/>
              <w:rPr>
                <w:sz w:val="20"/>
                <w:szCs w:val="20"/>
                <w:color w:val="auto"/>
              </w:rPr>
            </w:pPr>
            <w:r>
              <w:rPr>
                <w:rFonts w:ascii="Arial" w:cs="Arial" w:eastAsia="Arial" w:hAnsi="Arial"/>
                <w:sz w:val="18"/>
                <w:szCs w:val="18"/>
                <w:color w:val="auto"/>
              </w:rPr>
              <w:t>John S. Levy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68,000</w:t>
            </w:r>
          </w:p>
        </w:tc>
        <w:tc>
          <w:tcPr>
            <w:tcW w:w="1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20"/>
                <w:szCs w:val="20"/>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303,000</w:t>
            </w:r>
          </w:p>
        </w:tc>
      </w:tr>
      <w:tr>
        <w:trPr>
          <w:trHeight w:val="35"/>
        </w:trPr>
        <w:tc>
          <w:tcPr>
            <w:tcW w:w="560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shd w:val="clear" w:color="auto" w:fill="355989"/>
          </w:tcPr>
          <w:p>
            <w:pPr>
              <w:spacing w:after="0"/>
              <w:rPr>
                <w:sz w:val="3"/>
                <w:szCs w:val="3"/>
                <w:color w:val="auto"/>
              </w:rPr>
            </w:pPr>
          </w:p>
        </w:tc>
        <w:tc>
          <w:tcPr>
            <w:tcW w:w="76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shd w:val="clear" w:color="auto" w:fill="355989"/>
          </w:tcPr>
          <w:p>
            <w:pPr>
              <w:spacing w:after="0"/>
              <w:rPr>
                <w:sz w:val="3"/>
                <w:szCs w:val="3"/>
                <w:color w:val="auto"/>
              </w:rPr>
            </w:pPr>
          </w:p>
        </w:tc>
        <w:tc>
          <w:tcPr>
            <w:tcW w:w="78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shd w:val="clear" w:color="auto" w:fill="355989"/>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shd w:val="clear" w:color="auto" w:fill="355989"/>
          </w:tcPr>
          <w:p>
            <w:pPr>
              <w:spacing w:after="0"/>
              <w:rPr>
                <w:sz w:val="3"/>
                <w:szCs w:val="3"/>
                <w:color w:val="auto"/>
              </w:rPr>
            </w:pPr>
          </w:p>
        </w:tc>
        <w:tc>
          <w:tcPr>
            <w:tcW w:w="106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shd w:val="clear" w:color="auto" w:fill="355989"/>
          </w:tcPr>
          <w:p>
            <w:pPr>
              <w:spacing w:after="0"/>
              <w:rPr>
                <w:sz w:val="3"/>
                <w:szCs w:val="3"/>
                <w:color w:val="auto"/>
              </w:rPr>
            </w:pPr>
          </w:p>
        </w:tc>
        <w:tc>
          <w:tcPr>
            <w:tcW w:w="760" w:type="dxa"/>
            <w:vAlign w:val="bottom"/>
            <w:shd w:val="clear" w:color="auto" w:fill="355989"/>
          </w:tcPr>
          <w:p>
            <w:pPr>
              <w:spacing w:after="0"/>
              <w:rPr>
                <w:sz w:val="3"/>
                <w:szCs w:val="3"/>
                <w:color w:val="auto"/>
              </w:rPr>
            </w:pPr>
          </w:p>
        </w:tc>
      </w:tr>
    </w:tbl>
    <w:p>
      <w:pPr>
        <w:spacing w:after="0" w:line="242" w:lineRule="exact"/>
        <w:rPr>
          <w:sz w:val="20"/>
          <w:szCs w:val="20"/>
          <w:color w:val="auto"/>
        </w:rPr>
      </w:pPr>
    </w:p>
    <w:p>
      <w:pPr>
        <w:ind w:left="320" w:right="60" w:hanging="312"/>
        <w:spacing w:after="0" w:line="245" w:lineRule="auto"/>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Mr. Levy and Ms. Dillard deferred all of their 2020 cash compensation and Mr. Alschuler deferred $60,000 of his 2020 cash compensation pursuant to our Non-Employee Directors’ Deferral Program. Mr. Hatkoff elected to receive $25,000 of his 2020 cash compensation in the form of shares of our common stock. Accordingly, our non-employee directors received the following shares of our common stock or phantom stock units with respect to the portion of their 2020 cash compensation that they elected to defer or receive in stock, as applicable: Mr. Alschuler received 1,172 units, Ms. Dillard received 3,650 units, Mr. Levy received 5,494 units and Mr. Hatkoff received 489 shares.</w:t>
      </w:r>
    </w:p>
    <w:p>
      <w:pPr>
        <w:spacing w:after="0" w:line="51" w:lineRule="exact"/>
        <w:rPr>
          <w:rFonts w:ascii="Arial" w:cs="Arial" w:eastAsia="Arial" w:hAnsi="Arial"/>
          <w:sz w:val="13"/>
          <w:szCs w:val="13"/>
          <w:color w:val="auto"/>
        </w:rPr>
      </w:pPr>
    </w:p>
    <w:p>
      <w:pPr>
        <w:ind w:left="320" w:right="20" w:hanging="312"/>
        <w:spacing w:after="0" w:line="258" w:lineRule="auto"/>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Amounts shown reflect the full grant date fair value on the date of grant of shares of our common stock or phantom stock units granted to the directors in 2020, excluding shares of our common stock and phantom stock units credited in lieu of annual fees and meeting fees.</w:t>
      </w:r>
    </w:p>
    <w:p>
      <w:pPr>
        <w:spacing w:after="0" w:line="43" w:lineRule="exact"/>
        <w:rPr>
          <w:rFonts w:ascii="Arial" w:cs="Arial" w:eastAsia="Arial" w:hAnsi="Arial"/>
          <w:sz w:val="13"/>
          <w:szCs w:val="13"/>
          <w:color w:val="auto"/>
        </w:rPr>
      </w:pPr>
    </w:p>
    <w:p>
      <w:pPr>
        <w:ind w:left="320" w:right="260" w:hanging="312"/>
        <w:spacing w:after="0" w:line="258" w:lineRule="auto"/>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There were no stock options granted to members of the Board in 2020. At December 31, 2020, the aggregate number of option awards held by our non-employee directors was as follows: Mr. Alschuler—14,500; and Mr. Levy—20,500.</w:t>
      </w:r>
    </w:p>
    <w:p>
      <w:pPr>
        <w:spacing w:after="0" w:line="43" w:lineRule="exact"/>
        <w:rPr>
          <w:rFonts w:ascii="Arial" w:cs="Arial" w:eastAsia="Arial" w:hAnsi="Arial"/>
          <w:sz w:val="13"/>
          <w:szCs w:val="13"/>
          <w:color w:val="auto"/>
        </w:rPr>
      </w:pPr>
    </w:p>
    <w:p>
      <w:pPr>
        <w:ind w:left="320" w:right="100" w:hanging="312"/>
        <w:spacing w:after="0" w:line="258" w:lineRule="auto"/>
        <w:tabs>
          <w:tab w:leader="none" w:pos="3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monthly retainer fees paid pursuant to the chairman emeritus agreement we entered into with Mr. Green in connection with his retirement as Chairman of the Company in January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6299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629920"/>
                    </a:xfrm>
                    <a:prstGeom prst="rect">
                      <a:avLst/>
                    </a:prstGeom>
                    <a:noFill/>
                  </pic:spPr>
                </pic:pic>
              </a:graphicData>
            </a:graphic>
          </wp:anchor>
        </w:drawing>
      </w:r>
    </w:p>
    <w:p>
      <w:pPr>
        <w:spacing w:after="0" w:line="288" w:lineRule="exact"/>
        <w:rPr>
          <w:sz w:val="20"/>
          <w:szCs w:val="20"/>
          <w:color w:val="auto"/>
        </w:rPr>
      </w:pPr>
    </w:p>
    <w:p>
      <w:pPr>
        <w:jc w:val="center"/>
        <w:spacing w:after="0" w:line="245" w:lineRule="auto"/>
        <w:rPr>
          <w:sz w:val="20"/>
          <w:szCs w:val="20"/>
          <w:color w:val="auto"/>
        </w:rPr>
      </w:pPr>
      <w:r>
        <w:rPr>
          <w:rFonts w:ascii="Arial" w:cs="Arial" w:eastAsia="Arial" w:hAnsi="Arial"/>
          <w:sz w:val="22"/>
          <w:szCs w:val="22"/>
          <w:b w:val="1"/>
          <w:bCs w:val="1"/>
          <w:color w:val="4B6794"/>
        </w:rPr>
        <w:t>Since 2019, we have reduced the value of the annual stock grant to directors by $65,000 from $300,000 to $235,000 and reduced the cash retainer paid for serving as our Lead Independent Director by $15,000 from $85,000 to $70,000</w:t>
      </w:r>
    </w:p>
    <w:p>
      <w:pPr>
        <w:spacing w:after="0" w:line="341"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Only non-employee Directors are compensated for service on the Board. During the fiscal year ended December 31, 2020, the fees for non-employee Directors were: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00" w:type="dxa"/>
            <w:vAlign w:val="bottom"/>
            <w:gridSpan w:val="2"/>
          </w:tcPr>
          <w:p>
            <w:pPr>
              <w:spacing w:after="0"/>
              <w:rPr>
                <w:sz w:val="20"/>
                <w:szCs w:val="20"/>
                <w:color w:val="auto"/>
              </w:rPr>
            </w:pPr>
            <w:r>
              <w:rPr>
                <w:rFonts w:ascii="Arial" w:cs="Arial" w:eastAsia="Arial" w:hAnsi="Arial"/>
                <w:sz w:val="13"/>
                <w:szCs w:val="13"/>
                <w:b w:val="1"/>
                <w:bCs w:val="1"/>
                <w:color w:val="auto"/>
              </w:rPr>
              <w:t>Annual cash retainers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
        </w:trPr>
        <w:tc>
          <w:tcPr>
            <w:tcW w:w="100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355989"/>
            </w:tcBorders>
          </w:tcPr>
          <w:p>
            <w:pPr>
              <w:spacing w:after="0"/>
              <w:rPr>
                <w:sz w:val="4"/>
                <w:szCs w:val="4"/>
                <w:color w:val="auto"/>
              </w:rPr>
            </w:pPr>
          </w:p>
        </w:tc>
        <w:tc>
          <w:tcPr>
            <w:tcW w:w="780" w:type="dxa"/>
            <w:vAlign w:val="bottom"/>
            <w:tcBorders>
              <w:bottom w:val="single" w:sz="8" w:color="355989"/>
            </w:tcBorders>
          </w:tcPr>
          <w:p>
            <w:pPr>
              <w:spacing w:after="0"/>
              <w:rPr>
                <w:sz w:val="4"/>
                <w:szCs w:val="4"/>
                <w:color w:val="auto"/>
              </w:rPr>
            </w:pPr>
          </w:p>
        </w:tc>
      </w:tr>
      <w:tr>
        <w:trPr>
          <w:trHeight w:val="236"/>
        </w:trPr>
        <w:tc>
          <w:tcPr>
            <w:tcW w:w="1004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Cash retainer</w:t>
            </w:r>
          </w:p>
        </w:tc>
        <w:tc>
          <w:tcPr>
            <w:tcW w:w="160" w:type="dxa"/>
            <w:vAlign w:val="bottom"/>
          </w:tcPr>
          <w:p>
            <w:pPr>
              <w:spacing w:after="0"/>
              <w:rPr>
                <w:sz w:val="20"/>
                <w:szCs w:val="20"/>
                <w:color w:val="auto"/>
              </w:rPr>
            </w:pPr>
          </w:p>
        </w:tc>
        <w:tc>
          <w:tcPr>
            <w:tcW w:w="260" w:type="dxa"/>
            <w:vAlign w:val="bottom"/>
            <w:tcBorders>
              <w:bottom w:val="single" w:sz="8" w:color="7F89AD"/>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1004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Additional cash retainer if serving as the Lead Independent Director</w:t>
            </w:r>
          </w:p>
        </w:tc>
        <w:tc>
          <w:tcPr>
            <w:tcW w:w="160" w:type="dxa"/>
            <w:vAlign w:val="bottom"/>
          </w:tcPr>
          <w:p>
            <w:pPr>
              <w:spacing w:after="0"/>
              <w:rPr>
                <w:sz w:val="20"/>
                <w:szCs w:val="20"/>
                <w:color w:val="auto"/>
              </w:rPr>
            </w:pPr>
          </w:p>
        </w:tc>
        <w:tc>
          <w:tcPr>
            <w:tcW w:w="260" w:type="dxa"/>
            <w:vAlign w:val="bottom"/>
            <w:tcBorders>
              <w:bottom w:val="single" w:sz="8" w:color="7F89AD"/>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70,000</w:t>
            </w:r>
          </w:p>
        </w:tc>
      </w:tr>
      <w:tr>
        <w:trPr>
          <w:trHeight w:val="236"/>
        </w:trPr>
        <w:tc>
          <w:tcPr>
            <w:tcW w:w="1004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Additional cash retainer if serving as a chair of the Audit Committee</w:t>
            </w:r>
          </w:p>
        </w:tc>
        <w:tc>
          <w:tcPr>
            <w:tcW w:w="160" w:type="dxa"/>
            <w:vAlign w:val="bottom"/>
          </w:tcPr>
          <w:p>
            <w:pPr>
              <w:spacing w:after="0"/>
              <w:rPr>
                <w:sz w:val="20"/>
                <w:szCs w:val="20"/>
                <w:color w:val="auto"/>
              </w:rPr>
            </w:pPr>
          </w:p>
        </w:tc>
        <w:tc>
          <w:tcPr>
            <w:tcW w:w="260" w:type="dxa"/>
            <w:vAlign w:val="bottom"/>
            <w:tcBorders>
              <w:bottom w:val="single" w:sz="8" w:color="7F89AD"/>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25,000</w:t>
            </w:r>
          </w:p>
        </w:tc>
      </w:tr>
      <w:tr>
        <w:trPr>
          <w:trHeight w:val="237"/>
        </w:trPr>
        <w:tc>
          <w:tcPr>
            <w:tcW w:w="1004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Additional cash retainer if serving as a chair of the Compensation Committee</w:t>
            </w:r>
          </w:p>
        </w:tc>
        <w:tc>
          <w:tcPr>
            <w:tcW w:w="160" w:type="dxa"/>
            <w:vAlign w:val="bottom"/>
          </w:tcPr>
          <w:p>
            <w:pPr>
              <w:spacing w:after="0"/>
              <w:rPr>
                <w:sz w:val="20"/>
                <w:szCs w:val="20"/>
                <w:color w:val="auto"/>
              </w:rPr>
            </w:pPr>
          </w:p>
        </w:tc>
        <w:tc>
          <w:tcPr>
            <w:tcW w:w="260" w:type="dxa"/>
            <w:vAlign w:val="bottom"/>
            <w:tcBorders>
              <w:bottom w:val="single" w:sz="8" w:color="7F89AD"/>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20,000</w:t>
            </w:r>
          </w:p>
        </w:tc>
      </w:tr>
      <w:tr>
        <w:trPr>
          <w:trHeight w:val="236"/>
        </w:trPr>
        <w:tc>
          <w:tcPr>
            <w:tcW w:w="1004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Additional cash retainer if serving as a chair of the Corporate Governance Committee</w:t>
            </w:r>
          </w:p>
        </w:tc>
        <w:tc>
          <w:tcPr>
            <w:tcW w:w="160" w:type="dxa"/>
            <w:vAlign w:val="bottom"/>
          </w:tcPr>
          <w:p>
            <w:pPr>
              <w:spacing w:after="0"/>
              <w:rPr>
                <w:sz w:val="20"/>
                <w:szCs w:val="20"/>
                <w:color w:val="auto"/>
              </w:rPr>
            </w:pPr>
          </w:p>
        </w:tc>
        <w:tc>
          <w:tcPr>
            <w:tcW w:w="260" w:type="dxa"/>
            <w:vAlign w:val="bottom"/>
            <w:tcBorders>
              <w:bottom w:val="single" w:sz="8" w:color="7F89AD"/>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5,000</w:t>
            </w:r>
          </w:p>
        </w:tc>
      </w:tr>
      <w:tr>
        <w:trPr>
          <w:trHeight w:val="202"/>
        </w:trPr>
        <w:tc>
          <w:tcPr>
            <w:tcW w:w="10200" w:type="dxa"/>
            <w:vAlign w:val="bottom"/>
            <w:gridSpan w:val="2"/>
          </w:tcPr>
          <w:p>
            <w:pPr>
              <w:spacing w:after="0"/>
              <w:rPr>
                <w:sz w:val="20"/>
                <w:szCs w:val="20"/>
                <w:color w:val="auto"/>
              </w:rPr>
            </w:pPr>
            <w:r>
              <w:rPr>
                <w:rFonts w:ascii="Arial" w:cs="Arial" w:eastAsia="Arial" w:hAnsi="Arial"/>
                <w:sz w:val="13"/>
                <w:szCs w:val="13"/>
                <w:b w:val="1"/>
                <w:bCs w:val="1"/>
                <w:color w:val="auto"/>
              </w:rPr>
              <w:t>Meeting fees</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
        </w:trPr>
        <w:tc>
          <w:tcPr>
            <w:tcW w:w="10040" w:type="dxa"/>
            <w:vAlign w:val="bottom"/>
            <w:tcBorders>
              <w:bottom w:val="single" w:sz="8" w:color="7F89AD"/>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7F89AD"/>
            </w:tcBorders>
          </w:tcPr>
          <w:p>
            <w:pPr>
              <w:spacing w:after="0"/>
              <w:rPr>
                <w:sz w:val="3"/>
                <w:szCs w:val="3"/>
                <w:color w:val="auto"/>
              </w:rPr>
            </w:pPr>
          </w:p>
        </w:tc>
        <w:tc>
          <w:tcPr>
            <w:tcW w:w="780" w:type="dxa"/>
            <w:vAlign w:val="bottom"/>
            <w:tcBorders>
              <w:bottom w:val="single" w:sz="8" w:color="7F89AD"/>
            </w:tcBorders>
          </w:tcPr>
          <w:p>
            <w:pPr>
              <w:spacing w:after="0"/>
              <w:rPr>
                <w:sz w:val="3"/>
                <w:szCs w:val="3"/>
                <w:color w:val="auto"/>
              </w:rPr>
            </w:pPr>
          </w:p>
        </w:tc>
      </w:tr>
      <w:tr>
        <w:trPr>
          <w:trHeight w:val="230"/>
        </w:trPr>
        <w:tc>
          <w:tcPr>
            <w:tcW w:w="1004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For each meeting of the Board or a committee of the Board</w:t>
            </w:r>
          </w:p>
        </w:tc>
        <w:tc>
          <w:tcPr>
            <w:tcW w:w="160" w:type="dxa"/>
            <w:vAlign w:val="bottom"/>
          </w:tcPr>
          <w:p>
            <w:pPr>
              <w:spacing w:after="0"/>
              <w:rPr>
                <w:sz w:val="20"/>
                <w:szCs w:val="20"/>
                <w:color w:val="auto"/>
              </w:rPr>
            </w:pPr>
          </w:p>
        </w:tc>
        <w:tc>
          <w:tcPr>
            <w:tcW w:w="260" w:type="dxa"/>
            <w:vAlign w:val="bottom"/>
            <w:tcBorders>
              <w:bottom w:val="single" w:sz="8" w:color="7F89AD"/>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1,500</w:t>
            </w:r>
          </w:p>
        </w:tc>
      </w:tr>
      <w:tr>
        <w:trPr>
          <w:trHeight w:val="237"/>
        </w:trPr>
        <w:tc>
          <w:tcPr>
            <w:tcW w:w="1004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For each special meeting of the Audit Committee held independently of Board meetings</w:t>
            </w:r>
          </w:p>
        </w:tc>
        <w:tc>
          <w:tcPr>
            <w:tcW w:w="160" w:type="dxa"/>
            <w:vAlign w:val="bottom"/>
          </w:tcPr>
          <w:p>
            <w:pPr>
              <w:spacing w:after="0"/>
              <w:rPr>
                <w:sz w:val="20"/>
                <w:szCs w:val="20"/>
                <w:color w:val="auto"/>
              </w:rPr>
            </w:pPr>
          </w:p>
        </w:tc>
        <w:tc>
          <w:tcPr>
            <w:tcW w:w="260" w:type="dxa"/>
            <w:vAlign w:val="bottom"/>
            <w:tcBorders>
              <w:bottom w:val="single" w:sz="8" w:color="7F89AD"/>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4,000</w:t>
            </w:r>
          </w:p>
        </w:tc>
      </w:tr>
      <w:tr>
        <w:trPr>
          <w:trHeight w:val="202"/>
        </w:trPr>
        <w:tc>
          <w:tcPr>
            <w:tcW w:w="10200" w:type="dxa"/>
            <w:vAlign w:val="bottom"/>
            <w:gridSpan w:val="2"/>
          </w:tcPr>
          <w:p>
            <w:pPr>
              <w:spacing w:after="0"/>
              <w:rPr>
                <w:sz w:val="20"/>
                <w:szCs w:val="20"/>
                <w:color w:val="auto"/>
              </w:rPr>
            </w:pPr>
            <w:r>
              <w:rPr>
                <w:rFonts w:ascii="Arial" w:cs="Arial" w:eastAsia="Arial" w:hAnsi="Arial"/>
                <w:sz w:val="13"/>
                <w:szCs w:val="13"/>
                <w:b w:val="1"/>
                <w:bCs w:val="1"/>
                <w:color w:val="auto"/>
              </w:rPr>
              <w:t>Stock grant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
        </w:trPr>
        <w:tc>
          <w:tcPr>
            <w:tcW w:w="10040" w:type="dxa"/>
            <w:vAlign w:val="bottom"/>
            <w:tcBorders>
              <w:bottom w:val="single" w:sz="8" w:color="7F89AD"/>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7F89AD"/>
            </w:tcBorders>
          </w:tcPr>
          <w:p>
            <w:pPr>
              <w:spacing w:after="0"/>
              <w:rPr>
                <w:sz w:val="3"/>
                <w:szCs w:val="3"/>
                <w:color w:val="auto"/>
              </w:rPr>
            </w:pPr>
          </w:p>
        </w:tc>
        <w:tc>
          <w:tcPr>
            <w:tcW w:w="780" w:type="dxa"/>
            <w:vAlign w:val="bottom"/>
            <w:tcBorders>
              <w:bottom w:val="single" w:sz="8" w:color="7F89AD"/>
            </w:tcBorders>
          </w:tcPr>
          <w:p>
            <w:pPr>
              <w:spacing w:after="0"/>
              <w:rPr>
                <w:sz w:val="3"/>
                <w:szCs w:val="3"/>
                <w:color w:val="auto"/>
              </w:rPr>
            </w:pPr>
          </w:p>
        </w:tc>
      </w:tr>
      <w:tr>
        <w:trPr>
          <w:trHeight w:val="243"/>
        </w:trPr>
        <w:tc>
          <w:tcPr>
            <w:tcW w:w="1004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Valued at the grant date with shares fully vested on such grant date.</w:t>
            </w:r>
          </w:p>
        </w:tc>
        <w:tc>
          <w:tcPr>
            <w:tcW w:w="160" w:type="dxa"/>
            <w:vAlign w:val="bottom"/>
          </w:tcPr>
          <w:p>
            <w:pPr>
              <w:spacing w:after="0"/>
              <w:rPr>
                <w:sz w:val="21"/>
                <w:szCs w:val="21"/>
                <w:color w:val="auto"/>
              </w:rPr>
            </w:pPr>
          </w:p>
        </w:tc>
        <w:tc>
          <w:tcPr>
            <w:tcW w:w="260" w:type="dxa"/>
            <w:vAlign w:val="bottom"/>
            <w:tcBorders>
              <w:bottom w:val="single" w:sz="8" w:color="355989"/>
            </w:tcBorders>
          </w:tcPr>
          <w:p>
            <w:pPr>
              <w:jc w:val="right"/>
              <w:ind w:right="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235,000</w:t>
            </w:r>
          </w:p>
        </w:tc>
      </w:tr>
    </w:tbl>
    <w:p>
      <w:pPr>
        <w:spacing w:after="0" w:line="21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annual fees and meeting fees generally are payable quarterly in cash. Each director may elect to receive some or all of these fees in stock and, as noted below, may elect to defer some or all of these fees.</w:t>
      </w:r>
    </w:p>
    <w:p>
      <w:pPr>
        <w:spacing w:after="0" w:line="2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w:t>
      </w:r>
    </w:p>
    <w:p>
      <w:pPr>
        <w:spacing w:after="0" w:line="214"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355A89"/>
        </w:rPr>
        <w:t>OUR BOARD OF DIRECTORS AND CORPORATE GOVERNANCE</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Director Compensation Process</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Board and/or the Compensation Committee review our director compensation annually. During 2018, the Compensation Committee engaged FTI Consulting to evaluate the structure and competitiveness of our non-employee director compensation and recommend changes, as appropriate. Based on this review, the Compensation Committee recommended the reduction of the annual stock grant by $50,000 and reduced the cash retainer paid for serving as our Lead Independent Director by $15,000, which the Board approved. In December 2019, the Compensation Committee revisited the overall structure of our non-employee director compensation in consultation with FTI Consulting and subsequently recommended the approval of an additional reduction to the annual stock grant by $15,000 to better align with our peers, while continuing to ensure the attraction and retention of qualified directors, which the Board approved. Most recently, in December 2020, the Compensation Committee again conducted a full review of our director compensation in consultation with FTI Consulting and no changes were recommended or approved.</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biographical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689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355A89"/>
        </w:rPr>
        <w:t>Matthew J.</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355A89"/>
        </w:rPr>
        <w:t>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831215" cy="1062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31215" cy="1062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831215" cy="1062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3121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Since:</w:t>
      </w:r>
    </w:p>
    <w:p>
      <w:pPr>
        <w:spacing w:after="0"/>
        <w:rPr>
          <w:sz w:val="20"/>
          <w:szCs w:val="20"/>
          <w:color w:val="auto"/>
        </w:rPr>
      </w:pPr>
      <w:r>
        <w:rPr>
          <w:rFonts w:ascii="Arial" w:cs="Arial" w:eastAsia="Arial" w:hAnsi="Arial"/>
          <w:sz w:val="18"/>
          <w:szCs w:val="18"/>
          <w:color w:val="auto"/>
        </w:rPr>
        <w:t>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831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31215" cy="17145"/>
                    </a:xfrm>
                    <a:prstGeom prst="rect">
                      <a:avLst/>
                    </a:prstGeom>
                    <a:noFill/>
                  </pic:spPr>
                </pic:pic>
              </a:graphicData>
            </a:graphic>
          </wp:anchor>
        </w:drawing>
      </w:r>
    </w:p>
    <w:p>
      <w:pPr>
        <w:spacing w:after="0" w:line="250"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355A89"/>
        </w:rPr>
        <w:t>Andrew S.</w:t>
      </w:r>
    </w:p>
    <w:p>
      <w:pPr>
        <w:spacing w:after="0" w:line="16"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355A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8312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Chief Financial Officer</w:t>
      </w:r>
    </w:p>
    <w:p>
      <w:pPr>
        <w:spacing w:after="0" w:line="23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Matthew J. DiLiberto </w:t>
      </w:r>
      <w:r>
        <w:rPr>
          <w:rFonts w:ascii="Arial" w:cs="Arial" w:eastAsia="Arial" w:hAnsi="Arial"/>
          <w:sz w:val="18"/>
          <w:szCs w:val="18"/>
          <w:color w:val="auto"/>
        </w:rPr>
        <w:t>joined the Company in September 2004 and currently serves as the Company’s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overseeing the finance, accounting, tax, investor relations and corporate capital markets functions of the organization. Mr. DiLiberto previously served as the Company’s Chief Accounting Officer &amp; Treasurer from 2007 to 2014. 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 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 Prior to joining Vornado Realty Trust, Mr. DiLiberto worked as a Business Assurance Associate at Coopers and Lybrand, LLP (now PricewaterhouseCoopers LLP). Mr. DiLiberto currently serves on the National Association of Real Estate Investment Trust’s Best Financial Practices Council, is a member of the Board of Directors and treasurer of the FDNY Foundation, and has been a firefighter and EMT in New Jersey since 1997. Mr. DiLiberto received a B.S. degree in Accounting from The University of Scranton.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197600" cy="3689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97600" cy="36893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General Counsel</w:t>
      </w:r>
    </w:p>
    <w:p>
      <w:pPr>
        <w:spacing w:after="0" w:line="238" w:lineRule="exact"/>
        <w:rPr>
          <w:sz w:val="20"/>
          <w:szCs w:val="20"/>
          <w:color w:val="auto"/>
        </w:rPr>
      </w:pPr>
    </w:p>
    <w:p>
      <w:pPr>
        <w:sectPr>
          <w:pgSz w:w="11900" w:h="16838" w:orient="portrait"/>
          <w:cols w:equalWidth="0" w:num="2">
            <w:col w:w="1220" w:space="260"/>
            <w:col w:w="9760"/>
          </w:cols>
          <w:pgMar w:left="320" w:top="121" w:right="339" w:bottom="1440" w:gutter="0" w:footer="0" w:header="0"/>
          <w:type w:val="continuous"/>
        </w:sectPr>
      </w:pPr>
    </w:p>
    <w:p>
      <w:pPr>
        <w:ind w:left="1480" w:right="60"/>
        <w:spacing w:after="0" w:line="239" w:lineRule="auto"/>
        <w:rPr>
          <w:sz w:val="20"/>
          <w:szCs w:val="20"/>
          <w:color w:val="auto"/>
        </w:rPr>
      </w:pPr>
      <w:r>
        <w:rPr>
          <w:rFonts w:ascii="Arial" w:cs="Arial" w:eastAsia="Arial" w:hAnsi="Arial"/>
          <w:sz w:val="18"/>
          <w:szCs w:val="18"/>
          <w:b w:val="1"/>
          <w:bCs w:val="1"/>
          <w:color w:val="auto"/>
        </w:rPr>
        <w:t xml:space="preserve">Andrew S. Levine </w:t>
      </w:r>
      <w:r>
        <w:rPr>
          <w:rFonts w:ascii="Arial" w:cs="Arial" w:eastAsia="Arial" w:hAnsi="Arial"/>
          <w:sz w:val="18"/>
          <w:szCs w:val="18"/>
          <w:color w:val="auto"/>
        </w:rPr>
        <w:t>has served as our Chief Legal Officer and General Counsel since April 2007 and as our General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and Secretary since 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 Mr. Levine received a B.A. degree from the University of Vermont and a J.D. degree from Rutgers School of Law, where Mr. Levine was an Editor of the Law Review. He currently serves as a member of the Advisory Committee for Rutgers Center for Corporate Law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-903605</wp:posOffset>
            </wp:positionV>
            <wp:extent cx="831215" cy="1062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31215" cy="10629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Since:</w:t>
      </w:r>
    </w:p>
    <w:p>
      <w:pPr>
        <w:spacing w:after="0"/>
        <w:rPr>
          <w:sz w:val="20"/>
          <w:szCs w:val="20"/>
          <w:color w:val="auto"/>
        </w:rPr>
      </w:pPr>
      <w:r>
        <w:rPr>
          <w:rFonts w:ascii="Arial" w:cs="Arial" w:eastAsia="Arial" w:hAnsi="Arial"/>
          <w:sz w:val="18"/>
          <w:szCs w:val="18"/>
          <w:color w:val="auto"/>
        </w:rPr>
        <w:t>April 2007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40201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4020185"/>
                    </a:xfrm>
                    <a:prstGeom prst="rect">
                      <a:avLst/>
                    </a:prstGeom>
                    <a:noFill/>
                  </pic:spPr>
                </pic:pic>
              </a:graphicData>
            </a:graphic>
          </wp:anchor>
        </w:drawing>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Proposal 2: Advisory Vote on the Compensation of our Named Executive Officers</w:t>
      </w:r>
    </w:p>
    <w:p>
      <w:pPr>
        <w:spacing w:after="0" w:line="31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208"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At our 2017 annual stockholder meeting, our stockholders advised on a non-binding basis, by an affirmative vote of a majority of all votes cast, that the Company should hold non-binding advisory votes on executive compensation on an annual basis. On June 1, 2017,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2023.</w:t>
      </w:r>
    </w:p>
    <w:p>
      <w:pPr>
        <w:spacing w:after="0" w:line="211"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Accordingly, pursuant to Section 14A(a)(1) of the Exchange Act, the Company is providing stockholders with the opportunity to approve the following non-binding, advisory resolution:</w:t>
      </w:r>
    </w:p>
    <w:p>
      <w:pPr>
        <w:spacing w:after="0" w:line="20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258" w:lineRule="exact"/>
        <w:rPr>
          <w:sz w:val="20"/>
          <w:szCs w:val="20"/>
          <w:color w:val="auto"/>
        </w:rPr>
      </w:pPr>
    </w:p>
    <w:p>
      <w:pPr>
        <w:jc w:val="center"/>
        <w:ind w:left="500" w:right="360"/>
        <w:spacing w:after="0" w:line="241" w:lineRule="auto"/>
        <w:rPr>
          <w:sz w:val="20"/>
          <w:szCs w:val="20"/>
          <w:color w:val="auto"/>
        </w:rPr>
      </w:pPr>
      <w:r>
        <w:rPr>
          <w:rFonts w:ascii="Arial" w:cs="Arial" w:eastAsia="Arial" w:hAnsi="Arial"/>
          <w:sz w:val="20"/>
          <w:szCs w:val="20"/>
          <w:b w:val="1"/>
          <w:bCs w:val="1"/>
          <w:color w:val="486591"/>
        </w:rPr>
        <w:t xml:space="preserve">The Board unanimously recommends a vote </w:t>
      </w:r>
      <w:r>
        <w:rPr>
          <w:rFonts w:ascii="Arial" w:cs="Arial" w:eastAsia="Arial" w:hAnsi="Arial"/>
          <w:sz w:val="20"/>
          <w:szCs w:val="20"/>
          <w:b w:val="1"/>
          <w:bCs w:val="1"/>
          <w:color w:val="242424"/>
        </w:rPr>
        <w:t>“FOR”</w:t>
      </w:r>
      <w:r>
        <w:rPr>
          <w:rFonts w:ascii="Arial" w:cs="Arial" w:eastAsia="Arial" w:hAnsi="Arial"/>
          <w:sz w:val="20"/>
          <w:szCs w:val="20"/>
          <w:b w:val="1"/>
          <w:bCs w:val="1"/>
          <w:color w:val="486591"/>
        </w:rPr>
        <w:t xml:space="preserve"> the above resolution regarding the compensation of our named executive officers, as disclosed in the Compensation Discussion and Analysis section and the accompanying compensation tables in this Proxy Statement.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affirmative vote of a majority of all the votes cast with respect to this proposal will be required to approve this proposal.</w:t>
      </w:r>
    </w:p>
    <w:p>
      <w:pPr>
        <w:spacing w:after="0" w:line="212" w:lineRule="exact"/>
        <w:rPr>
          <w:sz w:val="20"/>
          <w:szCs w:val="20"/>
          <w:color w:val="auto"/>
        </w:rPr>
      </w:pPr>
    </w:p>
    <w:p>
      <w:pPr>
        <w:jc w:val="both"/>
        <w:ind w:left="120" w:right="160"/>
        <w:spacing w:after="0" w:line="299" w:lineRule="auto"/>
        <w:rPr>
          <w:sz w:val="20"/>
          <w:szCs w:val="20"/>
          <w:color w:val="auto"/>
        </w:rPr>
      </w:pPr>
      <w:r>
        <w:rPr>
          <w:rFonts w:ascii="Arial" w:cs="Arial" w:eastAsia="Arial" w:hAnsi="Arial"/>
          <w:sz w:val="16"/>
          <w:szCs w:val="16"/>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Compensation Committee</w:t>
      </w:r>
    </w:p>
    <w:p>
      <w:pPr>
        <w:spacing w:after="0" w:line="234" w:lineRule="auto"/>
        <w:rPr>
          <w:sz w:val="20"/>
          <w:szCs w:val="20"/>
          <w:color w:val="auto"/>
        </w:rPr>
      </w:pPr>
      <w:r>
        <w:rPr>
          <w:rFonts w:ascii="Arial" w:cs="Arial" w:eastAsia="Arial" w:hAnsi="Arial"/>
          <w:sz w:val="18"/>
          <w:szCs w:val="18"/>
          <w:color w:val="auto"/>
        </w:rPr>
        <w:t>Lauren B. Dillard (Chair)</w:t>
      </w:r>
    </w:p>
    <w:p>
      <w:pPr>
        <w:spacing w:after="0" w:line="235" w:lineRule="auto"/>
        <w:rPr>
          <w:sz w:val="20"/>
          <w:szCs w:val="20"/>
          <w:color w:val="auto"/>
        </w:rPr>
      </w:pPr>
      <w:r>
        <w:rPr>
          <w:rFonts w:ascii="Arial" w:cs="Arial" w:eastAsia="Arial" w:hAnsi="Arial"/>
          <w:sz w:val="18"/>
          <w:szCs w:val="18"/>
          <w:color w:val="auto"/>
        </w:rPr>
        <w:t>Edwin T. Burton, III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John S. Levy</w:t>
      </w:r>
    </w:p>
    <w:p>
      <w:pPr>
        <w:spacing w:after="0" w:line="212"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20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Throughout this proxy statement, the individuals who served as our Chief Executive Officer, President, Chief Financial Officer and General Counsel during our 2020 fiscal year are referred to as the “named executive officers” or our “executives.”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Executive Summary</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Business Overview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b w:val="1"/>
                <w:bCs w:val="1"/>
                <w:color w:val="auto"/>
              </w:rPr>
              <w:t>Our Mission</w:t>
            </w:r>
          </w:p>
        </w:tc>
        <w:tc>
          <w:tcPr>
            <w:tcW w:w="10020" w:type="dxa"/>
            <w:vAlign w:val="bottom"/>
            <w:gridSpan w:val="4"/>
          </w:tcPr>
          <w:p>
            <w:pPr>
              <w:spacing w:after="0"/>
              <w:rPr>
                <w:sz w:val="20"/>
                <w:szCs w:val="20"/>
                <w:color w:val="auto"/>
              </w:rPr>
            </w:pPr>
            <w:r>
              <w:rPr>
                <w:rFonts w:ascii="Arial" w:cs="Arial" w:eastAsia="Arial" w:hAnsi="Arial"/>
                <w:sz w:val="13"/>
                <w:szCs w:val="13"/>
                <w:color w:val="auto"/>
              </w:rPr>
              <w:t>SL Green Realty Corp., Manhattan’s largest office landlord, is a fully integrated real estate investment trust, or REIT, that is focused primarily on acquiring, developing,</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3"/>
                <w:szCs w:val="13"/>
                <w:color w:val="auto"/>
              </w:rPr>
              <w:t>managing, and maximizing the value of Manhattan commercial properties.</w:t>
            </w:r>
          </w:p>
        </w:tc>
        <w:tc>
          <w:tcPr>
            <w:tcW w:w="2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1220" w:type="dxa"/>
            <w:vAlign w:val="bottom"/>
          </w:tcPr>
          <w:p>
            <w:pPr>
              <w:spacing w:after="0"/>
              <w:rPr>
                <w:sz w:val="20"/>
                <w:szCs w:val="20"/>
                <w:color w:val="auto"/>
              </w:rPr>
            </w:pPr>
            <w:r>
              <w:rPr>
                <w:rFonts w:ascii="Arial" w:cs="Arial" w:eastAsia="Arial" w:hAnsi="Arial"/>
                <w:sz w:val="18"/>
                <w:szCs w:val="18"/>
                <w:b w:val="1"/>
                <w:bCs w:val="1"/>
                <w:color w:val="auto"/>
              </w:rPr>
              <w:t>Who We Are</w:t>
            </w:r>
          </w:p>
        </w:tc>
        <w:tc>
          <w:tcPr>
            <w:tcW w:w="2480" w:type="dxa"/>
            <w:vAlign w:val="bottom"/>
            <w:vMerge w:val="restart"/>
            <w:shd w:val="clear" w:color="auto" w:fill="8F98B7"/>
          </w:tcPr>
          <w:p>
            <w:pPr>
              <w:jc w:val="center"/>
              <w:spacing w:after="0"/>
              <w:rPr>
                <w:sz w:val="20"/>
                <w:szCs w:val="20"/>
                <w:color w:val="auto"/>
              </w:rPr>
            </w:pPr>
            <w:r>
              <w:rPr>
                <w:rFonts w:ascii="Arial" w:cs="Arial" w:eastAsia="Arial" w:hAnsi="Arial"/>
                <w:sz w:val="22"/>
                <w:szCs w:val="22"/>
                <w:b w:val="1"/>
                <w:bCs w:val="1"/>
                <w:color w:val="FFFFFF"/>
                <w:w w:val="98"/>
              </w:rPr>
              <w:t>$1.6 Billion</w:t>
            </w:r>
          </w:p>
        </w:tc>
        <w:tc>
          <w:tcPr>
            <w:tcW w:w="2640" w:type="dxa"/>
            <w:vAlign w:val="bottom"/>
            <w:shd w:val="clear" w:color="auto" w:fill="8F98B7"/>
          </w:tcPr>
          <w:p>
            <w:pPr>
              <w:jc w:val="center"/>
              <w:spacing w:after="0"/>
              <w:rPr>
                <w:sz w:val="20"/>
                <w:szCs w:val="20"/>
                <w:color w:val="auto"/>
              </w:rPr>
            </w:pPr>
            <w:r>
              <w:rPr>
                <w:rFonts w:ascii="Arial" w:cs="Arial" w:eastAsia="Arial" w:hAnsi="Arial"/>
                <w:sz w:val="22"/>
                <w:szCs w:val="22"/>
                <w:b w:val="1"/>
                <w:bCs w:val="1"/>
                <w:color w:val="FFFFFF"/>
                <w:w w:val="97"/>
              </w:rPr>
              <w:t>#1</w:t>
            </w:r>
          </w:p>
        </w:tc>
        <w:tc>
          <w:tcPr>
            <w:tcW w:w="2420" w:type="dxa"/>
            <w:vAlign w:val="bottom"/>
            <w:vMerge w:val="restart"/>
            <w:shd w:val="clear" w:color="auto" w:fill="8F98B7"/>
          </w:tcPr>
          <w:p>
            <w:pPr>
              <w:jc w:val="center"/>
              <w:ind w:right="2"/>
              <w:spacing w:after="0"/>
              <w:rPr>
                <w:sz w:val="20"/>
                <w:szCs w:val="20"/>
                <w:color w:val="auto"/>
              </w:rPr>
            </w:pPr>
            <w:r>
              <w:rPr>
                <w:rFonts w:ascii="Arial" w:cs="Arial" w:eastAsia="Arial" w:hAnsi="Arial"/>
                <w:sz w:val="22"/>
                <w:szCs w:val="22"/>
                <w:b w:val="1"/>
                <w:bCs w:val="1"/>
                <w:color w:val="FFFFFF"/>
                <w:w w:val="97"/>
              </w:rPr>
              <w:t>38.2 Million</w:t>
            </w:r>
          </w:p>
        </w:tc>
        <w:tc>
          <w:tcPr>
            <w:tcW w:w="2480" w:type="dxa"/>
            <w:vAlign w:val="bottom"/>
            <w:vMerge w:val="restart"/>
            <w:shd w:val="clear" w:color="auto" w:fill="8F98B7"/>
          </w:tcPr>
          <w:p>
            <w:pPr>
              <w:jc w:val="center"/>
              <w:spacing w:after="0"/>
              <w:rPr>
                <w:sz w:val="20"/>
                <w:szCs w:val="20"/>
                <w:color w:val="auto"/>
              </w:rPr>
            </w:pPr>
            <w:r>
              <w:rPr>
                <w:rFonts w:ascii="Arial" w:cs="Arial" w:eastAsia="Arial" w:hAnsi="Arial"/>
                <w:sz w:val="22"/>
                <w:szCs w:val="22"/>
                <w:b w:val="1"/>
                <w:bCs w:val="1"/>
                <w:color w:val="FFFFFF"/>
                <w:w w:val="98"/>
              </w:rPr>
              <w:t>$14.5 Billion</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2480" w:type="dxa"/>
            <w:vAlign w:val="bottom"/>
            <w:vMerge w:val="continue"/>
            <w:shd w:val="clear" w:color="auto" w:fill="8F98B7"/>
          </w:tcPr>
          <w:p>
            <w:pPr>
              <w:spacing w:after="0"/>
              <w:rPr>
                <w:sz w:val="8"/>
                <w:szCs w:val="8"/>
                <w:color w:val="auto"/>
              </w:rPr>
            </w:pPr>
          </w:p>
        </w:tc>
        <w:tc>
          <w:tcPr>
            <w:tcW w:w="2640" w:type="dxa"/>
            <w:vAlign w:val="bottom"/>
            <w:vMerge w:val="restart"/>
            <w:shd w:val="clear" w:color="auto" w:fill="8F98B7"/>
          </w:tcPr>
          <w:p>
            <w:pPr>
              <w:jc w:val="center"/>
              <w:spacing w:after="0" w:line="202" w:lineRule="exact"/>
              <w:rPr>
                <w:sz w:val="20"/>
                <w:szCs w:val="20"/>
                <w:color w:val="auto"/>
              </w:rPr>
            </w:pPr>
            <w:r>
              <w:rPr>
                <w:rFonts w:ascii="Arial" w:cs="Arial" w:eastAsia="Arial" w:hAnsi="Arial"/>
                <w:sz w:val="18"/>
                <w:szCs w:val="18"/>
                <w:b w:val="1"/>
                <w:bCs w:val="1"/>
                <w:color w:val="486591"/>
                <w:w w:val="98"/>
              </w:rPr>
              <w:t>Owner of Office</w:t>
            </w:r>
          </w:p>
        </w:tc>
        <w:tc>
          <w:tcPr>
            <w:tcW w:w="2420" w:type="dxa"/>
            <w:vAlign w:val="bottom"/>
            <w:vMerge w:val="continue"/>
            <w:shd w:val="clear" w:color="auto" w:fill="8F98B7"/>
          </w:tcPr>
          <w:p>
            <w:pPr>
              <w:spacing w:after="0"/>
              <w:rPr>
                <w:sz w:val="8"/>
                <w:szCs w:val="8"/>
                <w:color w:val="auto"/>
              </w:rPr>
            </w:pPr>
          </w:p>
        </w:tc>
        <w:tc>
          <w:tcPr>
            <w:tcW w:w="2480" w:type="dxa"/>
            <w:vAlign w:val="bottom"/>
            <w:vMerge w:val="continue"/>
            <w:shd w:val="clear" w:color="auto" w:fill="8F98B7"/>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2480" w:type="dxa"/>
            <w:vAlign w:val="bottom"/>
            <w:vMerge w:val="restart"/>
            <w:shd w:val="clear" w:color="auto" w:fill="8F98B7"/>
          </w:tcPr>
          <w:p>
            <w:pPr>
              <w:jc w:val="center"/>
              <w:spacing w:after="0"/>
              <w:rPr>
                <w:sz w:val="20"/>
                <w:szCs w:val="20"/>
                <w:color w:val="auto"/>
              </w:rPr>
            </w:pPr>
            <w:r>
              <w:rPr>
                <w:rFonts w:ascii="Arial" w:cs="Arial" w:eastAsia="Arial" w:hAnsi="Arial"/>
                <w:sz w:val="18"/>
                <w:szCs w:val="18"/>
                <w:b w:val="1"/>
                <w:bCs w:val="1"/>
                <w:color w:val="486591"/>
                <w:w w:val="97"/>
              </w:rPr>
              <w:t>Combined Revenues</w:t>
            </w:r>
          </w:p>
        </w:tc>
        <w:tc>
          <w:tcPr>
            <w:tcW w:w="2640" w:type="dxa"/>
            <w:vAlign w:val="bottom"/>
            <w:vMerge w:val="continue"/>
            <w:shd w:val="clear" w:color="auto" w:fill="8F98B7"/>
          </w:tcPr>
          <w:p>
            <w:pPr>
              <w:spacing w:after="0"/>
              <w:rPr>
                <w:sz w:val="9"/>
                <w:szCs w:val="9"/>
                <w:color w:val="auto"/>
              </w:rPr>
            </w:pPr>
          </w:p>
        </w:tc>
        <w:tc>
          <w:tcPr>
            <w:tcW w:w="2420" w:type="dxa"/>
            <w:vAlign w:val="bottom"/>
            <w:vMerge w:val="restart"/>
            <w:shd w:val="clear" w:color="auto" w:fill="8F98B7"/>
          </w:tcPr>
          <w:p>
            <w:pPr>
              <w:jc w:val="center"/>
              <w:ind w:right="22"/>
              <w:spacing w:after="0"/>
              <w:rPr>
                <w:sz w:val="20"/>
                <w:szCs w:val="20"/>
                <w:color w:val="auto"/>
              </w:rPr>
            </w:pPr>
            <w:r>
              <w:rPr>
                <w:rFonts w:ascii="Arial" w:cs="Arial" w:eastAsia="Arial" w:hAnsi="Arial"/>
                <w:sz w:val="18"/>
                <w:szCs w:val="18"/>
                <w:b w:val="1"/>
                <w:bCs w:val="1"/>
                <w:color w:val="486591"/>
                <w:w w:val="96"/>
              </w:rPr>
              <w:t>Total Square Feet</w:t>
            </w:r>
          </w:p>
        </w:tc>
        <w:tc>
          <w:tcPr>
            <w:tcW w:w="2480" w:type="dxa"/>
            <w:vAlign w:val="bottom"/>
            <w:vMerge w:val="restart"/>
            <w:shd w:val="clear" w:color="auto" w:fill="8F98B7"/>
          </w:tcPr>
          <w:p>
            <w:pPr>
              <w:jc w:val="center"/>
              <w:spacing w:after="0"/>
              <w:rPr>
                <w:sz w:val="20"/>
                <w:szCs w:val="20"/>
                <w:color w:val="auto"/>
              </w:rPr>
            </w:pPr>
            <w:r>
              <w:rPr>
                <w:rFonts w:ascii="Arial" w:cs="Arial" w:eastAsia="Arial" w:hAnsi="Arial"/>
                <w:sz w:val="18"/>
                <w:szCs w:val="18"/>
                <w:b w:val="1"/>
                <w:bCs w:val="1"/>
                <w:color w:val="486591"/>
                <w:w w:val="95"/>
              </w:rPr>
              <w:t>Enterprise Value</w:t>
            </w:r>
          </w:p>
        </w:tc>
        <w:tc>
          <w:tcPr>
            <w:tcW w:w="0" w:type="dxa"/>
            <w:vAlign w:val="bottom"/>
          </w:tcPr>
          <w:p>
            <w:pPr>
              <w:spacing w:after="0"/>
              <w:rPr>
                <w:sz w:val="1"/>
                <w:szCs w:val="1"/>
                <w:color w:val="auto"/>
              </w:rPr>
            </w:pPr>
          </w:p>
        </w:tc>
      </w:tr>
      <w:tr>
        <w:trPr>
          <w:trHeight w:val="125"/>
        </w:trPr>
        <w:tc>
          <w:tcPr>
            <w:tcW w:w="1220" w:type="dxa"/>
            <w:vAlign w:val="bottom"/>
          </w:tcPr>
          <w:p>
            <w:pPr>
              <w:spacing w:after="0"/>
              <w:rPr>
                <w:sz w:val="10"/>
                <w:szCs w:val="10"/>
                <w:color w:val="auto"/>
              </w:rPr>
            </w:pPr>
          </w:p>
        </w:tc>
        <w:tc>
          <w:tcPr>
            <w:tcW w:w="2480" w:type="dxa"/>
            <w:vAlign w:val="bottom"/>
            <w:vMerge w:val="continue"/>
            <w:shd w:val="clear" w:color="auto" w:fill="8F98B7"/>
          </w:tcPr>
          <w:p>
            <w:pPr>
              <w:spacing w:after="0"/>
              <w:rPr>
                <w:sz w:val="10"/>
                <w:szCs w:val="10"/>
                <w:color w:val="auto"/>
              </w:rPr>
            </w:pPr>
          </w:p>
        </w:tc>
        <w:tc>
          <w:tcPr>
            <w:tcW w:w="2640" w:type="dxa"/>
            <w:vAlign w:val="bottom"/>
            <w:vMerge w:val="restart"/>
            <w:shd w:val="clear" w:color="auto" w:fill="8F98B7"/>
          </w:tcPr>
          <w:p>
            <w:pPr>
              <w:jc w:val="center"/>
              <w:spacing w:after="0"/>
              <w:rPr>
                <w:sz w:val="20"/>
                <w:szCs w:val="20"/>
                <w:color w:val="auto"/>
              </w:rPr>
            </w:pPr>
            <w:r>
              <w:rPr>
                <w:rFonts w:ascii="Arial" w:cs="Arial" w:eastAsia="Arial" w:hAnsi="Arial"/>
                <w:sz w:val="18"/>
                <w:szCs w:val="18"/>
                <w:b w:val="1"/>
                <w:bCs w:val="1"/>
                <w:color w:val="486591"/>
                <w:w w:val="96"/>
              </w:rPr>
              <w:t>Property in Manhattan</w:t>
            </w:r>
          </w:p>
        </w:tc>
        <w:tc>
          <w:tcPr>
            <w:tcW w:w="2420" w:type="dxa"/>
            <w:vAlign w:val="bottom"/>
            <w:vMerge w:val="continue"/>
            <w:shd w:val="clear" w:color="auto" w:fill="8F98B7"/>
          </w:tcPr>
          <w:p>
            <w:pPr>
              <w:spacing w:after="0"/>
              <w:rPr>
                <w:sz w:val="10"/>
                <w:szCs w:val="10"/>
                <w:color w:val="auto"/>
              </w:rPr>
            </w:pPr>
          </w:p>
        </w:tc>
        <w:tc>
          <w:tcPr>
            <w:tcW w:w="2480" w:type="dxa"/>
            <w:vAlign w:val="bottom"/>
            <w:vMerge w:val="continue"/>
            <w:shd w:val="clear" w:color="auto" w:fill="8F98B7"/>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2480" w:type="dxa"/>
            <w:vAlign w:val="bottom"/>
            <w:shd w:val="clear" w:color="auto" w:fill="8F98B7"/>
          </w:tcPr>
          <w:p>
            <w:pPr>
              <w:spacing w:after="0"/>
              <w:rPr>
                <w:sz w:val="9"/>
                <w:szCs w:val="9"/>
                <w:color w:val="auto"/>
              </w:rPr>
            </w:pPr>
          </w:p>
        </w:tc>
        <w:tc>
          <w:tcPr>
            <w:tcW w:w="2640" w:type="dxa"/>
            <w:vAlign w:val="bottom"/>
            <w:vMerge w:val="continue"/>
            <w:shd w:val="clear" w:color="auto" w:fill="8F98B7"/>
          </w:tcPr>
          <w:p>
            <w:pPr>
              <w:spacing w:after="0"/>
              <w:rPr>
                <w:sz w:val="9"/>
                <w:szCs w:val="9"/>
                <w:color w:val="auto"/>
              </w:rPr>
            </w:pPr>
          </w:p>
        </w:tc>
        <w:tc>
          <w:tcPr>
            <w:tcW w:w="2420" w:type="dxa"/>
            <w:vAlign w:val="bottom"/>
            <w:shd w:val="clear" w:color="auto" w:fill="8F98B7"/>
          </w:tcPr>
          <w:p>
            <w:pPr>
              <w:spacing w:after="0"/>
              <w:rPr>
                <w:sz w:val="9"/>
                <w:szCs w:val="9"/>
                <w:color w:val="auto"/>
              </w:rPr>
            </w:pPr>
          </w:p>
        </w:tc>
        <w:tc>
          <w:tcPr>
            <w:tcW w:w="2480" w:type="dxa"/>
            <w:vAlign w:val="bottom"/>
            <w:shd w:val="clear" w:color="auto" w:fill="8F98B7"/>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2480" w:type="dxa"/>
            <w:vAlign w:val="bottom"/>
            <w:shd w:val="clear" w:color="auto" w:fill="8F98B7"/>
          </w:tcPr>
          <w:p>
            <w:pPr>
              <w:spacing w:after="0"/>
              <w:rPr>
                <w:sz w:val="4"/>
                <w:szCs w:val="4"/>
                <w:color w:val="auto"/>
              </w:rPr>
            </w:pPr>
          </w:p>
        </w:tc>
        <w:tc>
          <w:tcPr>
            <w:tcW w:w="2640" w:type="dxa"/>
            <w:vAlign w:val="bottom"/>
            <w:shd w:val="clear" w:color="auto" w:fill="8F98B7"/>
          </w:tcPr>
          <w:p>
            <w:pPr>
              <w:spacing w:after="0"/>
              <w:rPr>
                <w:sz w:val="4"/>
                <w:szCs w:val="4"/>
                <w:color w:val="auto"/>
              </w:rPr>
            </w:pPr>
          </w:p>
        </w:tc>
        <w:tc>
          <w:tcPr>
            <w:tcW w:w="2420" w:type="dxa"/>
            <w:vAlign w:val="bottom"/>
            <w:shd w:val="clear" w:color="auto" w:fill="8F98B7"/>
          </w:tcPr>
          <w:p>
            <w:pPr>
              <w:spacing w:after="0"/>
              <w:rPr>
                <w:sz w:val="4"/>
                <w:szCs w:val="4"/>
                <w:color w:val="auto"/>
              </w:rPr>
            </w:pPr>
          </w:p>
        </w:tc>
        <w:tc>
          <w:tcPr>
            <w:tcW w:w="2480" w:type="dxa"/>
            <w:vAlign w:val="bottom"/>
            <w:shd w:val="clear" w:color="auto" w:fill="8F98B7"/>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-496570</wp:posOffset>
            </wp:positionV>
            <wp:extent cx="17145" cy="4972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49720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-496570</wp:posOffset>
            </wp:positionV>
            <wp:extent cx="17145" cy="4972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 cy="49720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-496570</wp:posOffset>
            </wp:positionV>
            <wp:extent cx="17145" cy="4972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4972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differentiate ourselves from our peers and competitors in four key ways: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220" w:type="dxa"/>
            <w:vAlign w:val="bottom"/>
            <w:tcBorders>
              <w:top w:val="single" w:sz="8" w:color="355A89"/>
            </w:tcBorders>
            <w:shd w:val="clear" w:color="auto" w:fill="E4E5EE"/>
          </w:tcPr>
          <w:p>
            <w:pPr>
              <w:ind w:left="120"/>
              <w:spacing w:after="0"/>
              <w:rPr>
                <w:sz w:val="20"/>
                <w:szCs w:val="20"/>
                <w:color w:val="auto"/>
              </w:rPr>
            </w:pPr>
            <w:r>
              <w:rPr>
                <w:rFonts w:ascii="Arial" w:cs="Arial" w:eastAsia="Arial" w:hAnsi="Arial"/>
                <w:sz w:val="20"/>
                <w:szCs w:val="20"/>
                <w:b w:val="1"/>
                <w:bCs w:val="1"/>
                <w:color w:val="355A89"/>
              </w:rPr>
              <w:t>Value Creation</w:t>
            </w:r>
          </w:p>
        </w:tc>
        <w:tc>
          <w:tcPr>
            <w:tcW w:w="9020" w:type="dxa"/>
            <w:vAlign w:val="bottom"/>
            <w:tcBorders>
              <w:top w:val="single" w:sz="8" w:color="355A89"/>
            </w:tcBorders>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At the onset of COVID-19, the Board and management activated SL Green Forward, our pandemic response</w:t>
            </w:r>
          </w:p>
        </w:tc>
        <w:tc>
          <w:tcPr>
            <w:tcW w:w="20" w:type="dxa"/>
            <w:vAlign w:val="bottom"/>
          </w:tcPr>
          <w:p>
            <w:pPr>
              <w:spacing w:after="0"/>
              <w:rPr>
                <w:sz w:val="21"/>
                <w:szCs w:val="21"/>
                <w:color w:val="auto"/>
              </w:rPr>
            </w:pPr>
          </w:p>
        </w:tc>
      </w:tr>
      <w:tr>
        <w:trPr>
          <w:trHeight w:val="261"/>
        </w:trPr>
        <w:tc>
          <w:tcPr>
            <w:tcW w:w="2220" w:type="dxa"/>
            <w:vAlign w:val="bottom"/>
            <w:shd w:val="clear" w:color="auto" w:fill="E4E5EE"/>
          </w:tcPr>
          <w:p>
            <w:pPr>
              <w:ind w:left="120"/>
              <w:spacing w:after="0"/>
              <w:rPr>
                <w:sz w:val="20"/>
                <w:szCs w:val="20"/>
                <w:color w:val="auto"/>
              </w:rPr>
            </w:pPr>
            <w:r>
              <w:rPr>
                <w:rFonts w:ascii="Arial" w:cs="Arial" w:eastAsia="Arial" w:hAnsi="Arial"/>
                <w:sz w:val="20"/>
                <w:szCs w:val="20"/>
                <w:b w:val="1"/>
                <w:bCs w:val="1"/>
                <w:color w:val="355A89"/>
              </w:rPr>
              <w:t>During the Pandemic</w:t>
            </w: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plan</w:t>
            </w:r>
          </w:p>
        </w:tc>
      </w:tr>
      <w:tr>
        <w:trPr>
          <w:trHeight w:val="250"/>
        </w:trPr>
        <w:tc>
          <w:tcPr>
            <w:tcW w:w="2220" w:type="dxa"/>
            <w:vAlign w:val="bottom"/>
            <w:shd w:val="clear" w:color="auto" w:fill="E4E5EE"/>
          </w:tcPr>
          <w:p>
            <w:pPr>
              <w:spacing w:after="0"/>
              <w:rPr>
                <w:sz w:val="21"/>
                <w:szCs w:val="21"/>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Despite the pandemic, SLG maintained momentum on multiple development and redevelopment projects in</w:t>
            </w:r>
          </w:p>
        </w:tc>
      </w:tr>
      <w:tr>
        <w:trPr>
          <w:trHeight w:val="216"/>
        </w:trPr>
        <w:tc>
          <w:tcPr>
            <w:tcW w:w="2220" w:type="dxa"/>
            <w:vAlign w:val="bottom"/>
            <w:shd w:val="clear" w:color="auto" w:fill="E4E5EE"/>
          </w:tcPr>
          <w:p>
            <w:pPr>
              <w:spacing w:after="0"/>
              <w:rPr>
                <w:sz w:val="18"/>
                <w:szCs w:val="18"/>
                <w:color w:val="auto"/>
              </w:rPr>
            </w:pPr>
          </w:p>
        </w:tc>
        <w:tc>
          <w:tcPr>
            <w:tcW w:w="9020" w:type="dxa"/>
            <w:vAlign w:val="bottom"/>
          </w:tcPr>
          <w:p>
            <w:pPr>
              <w:ind w:left="54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r>
      <w:tr>
        <w:trPr>
          <w:trHeight w:val="283"/>
        </w:trPr>
        <w:tc>
          <w:tcPr>
            <w:tcW w:w="2220" w:type="dxa"/>
            <w:vAlign w:val="bottom"/>
            <w:shd w:val="clear" w:color="auto" w:fill="E4E5EE"/>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One Vanderbilt, one of NYC’s tallest and eco-friendly office towers, was opened ahead of schedule and under</w:t>
            </w:r>
          </w:p>
        </w:tc>
      </w:tr>
      <w:tr>
        <w:trPr>
          <w:trHeight w:val="216"/>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budget</w:t>
            </w:r>
          </w:p>
        </w:tc>
      </w:tr>
      <w:tr>
        <w:trPr>
          <w:trHeight w:val="270"/>
        </w:trPr>
        <w:tc>
          <w:tcPr>
            <w:tcW w:w="2220" w:type="dxa"/>
            <w:vAlign w:val="bottom"/>
            <w:shd w:val="clear" w:color="auto" w:fill="E4E5EE"/>
          </w:tcPr>
          <w:p>
            <w:pPr>
              <w:spacing w:after="0"/>
              <w:rPr>
                <w:sz w:val="23"/>
                <w:szCs w:val="23"/>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SLG executed its “$1 Billion Dollar Plan” at the onset of the pandemic – a $1.0 billion cash reserve to ensure</w:t>
            </w:r>
          </w:p>
        </w:tc>
      </w:tr>
      <w:tr>
        <w:trPr>
          <w:trHeight w:val="216"/>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strong business resilience and continued execution of SLG’s strategic value creation plan</w:t>
            </w:r>
          </w:p>
        </w:tc>
      </w:tr>
      <w:tr>
        <w:trPr>
          <w:trHeight w:val="270"/>
        </w:trPr>
        <w:tc>
          <w:tcPr>
            <w:tcW w:w="2220" w:type="dxa"/>
            <w:vAlign w:val="bottom"/>
            <w:shd w:val="clear" w:color="auto" w:fill="E4E5EE"/>
          </w:tcPr>
          <w:p>
            <w:pPr>
              <w:spacing w:after="0"/>
              <w:rPr>
                <w:sz w:val="23"/>
                <w:szCs w:val="23"/>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SLG not only continued to pay its ordinary dividend in 2020, but also increased its annualized dividend at the</w:t>
            </w:r>
          </w:p>
        </w:tc>
      </w:tr>
      <w:tr>
        <w:trPr>
          <w:trHeight w:val="216"/>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beginning of 2021 by 2.8% to $3.64 per share, marking the tenth consecutive annual increase</w:t>
            </w:r>
          </w:p>
        </w:tc>
      </w:tr>
      <w:tr>
        <w:trPr>
          <w:trHeight w:val="284"/>
        </w:trPr>
        <w:tc>
          <w:tcPr>
            <w:tcW w:w="2220" w:type="dxa"/>
            <w:vAlign w:val="bottom"/>
            <w:shd w:val="clear" w:color="auto" w:fill="E4E5EE"/>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SLG restarted its stock repurchase program in May 2020 and completed approximately $559.5 million of</w:t>
            </w:r>
          </w:p>
        </w:tc>
      </w:tr>
      <w:tr>
        <w:trPr>
          <w:trHeight w:val="208"/>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share repurchases and operating partnership unit redemptions in 2020, reflecting confidence in the</w:t>
            </w:r>
          </w:p>
        </w:tc>
      </w:tr>
      <w:tr>
        <w:trPr>
          <w:trHeight w:val="220"/>
        </w:trPr>
        <w:tc>
          <w:tcPr>
            <w:tcW w:w="2220" w:type="dxa"/>
            <w:vAlign w:val="bottom"/>
            <w:tcBorders>
              <w:bottom w:val="single" w:sz="8" w:color="8089AD"/>
            </w:tcBorders>
            <w:shd w:val="clear" w:color="auto" w:fill="E4E5EE"/>
          </w:tcPr>
          <w:p>
            <w:pPr>
              <w:spacing w:after="0"/>
              <w:rPr>
                <w:sz w:val="19"/>
                <w:szCs w:val="19"/>
                <w:color w:val="auto"/>
              </w:rPr>
            </w:pPr>
          </w:p>
        </w:tc>
        <w:tc>
          <w:tcPr>
            <w:tcW w:w="9020" w:type="dxa"/>
            <w:vAlign w:val="bottom"/>
            <w:tcBorders>
              <w:bottom w:val="single" w:sz="8" w:color="8089AD"/>
            </w:tcBorders>
          </w:tcPr>
          <w:p>
            <w:pPr>
              <w:ind w:left="540"/>
              <w:spacing w:after="0"/>
              <w:rPr>
                <w:sz w:val="20"/>
                <w:szCs w:val="20"/>
                <w:color w:val="auto"/>
              </w:rPr>
            </w:pPr>
            <w:r>
              <w:rPr>
                <w:rFonts w:ascii="Arial" w:cs="Arial" w:eastAsia="Arial" w:hAnsi="Arial"/>
                <w:sz w:val="18"/>
                <w:szCs w:val="18"/>
                <w:color w:val="auto"/>
              </w:rPr>
              <w:t>Company’s business resiliency and prospects for the future</w:t>
            </w:r>
          </w:p>
        </w:tc>
        <w:tc>
          <w:tcPr>
            <w:tcW w:w="20" w:type="dxa"/>
            <w:vAlign w:val="bottom"/>
          </w:tcPr>
          <w:p>
            <w:pPr>
              <w:spacing w:after="0"/>
              <w:rPr>
                <w:sz w:val="19"/>
                <w:szCs w:val="19"/>
                <w:color w:val="auto"/>
              </w:rPr>
            </w:pPr>
          </w:p>
        </w:tc>
      </w:tr>
      <w:tr>
        <w:trPr>
          <w:trHeight w:val="215"/>
        </w:trPr>
        <w:tc>
          <w:tcPr>
            <w:tcW w:w="2220" w:type="dxa"/>
            <w:vAlign w:val="bottom"/>
            <w:shd w:val="clear" w:color="auto" w:fill="E4E5EE"/>
          </w:tcPr>
          <w:p>
            <w:pPr>
              <w:ind w:left="120"/>
              <w:spacing w:after="0" w:line="215" w:lineRule="exact"/>
              <w:rPr>
                <w:sz w:val="20"/>
                <w:szCs w:val="20"/>
                <w:color w:val="auto"/>
              </w:rPr>
            </w:pPr>
            <w:r>
              <w:rPr>
                <w:rFonts w:ascii="Arial" w:cs="Arial" w:eastAsia="Arial" w:hAnsi="Arial"/>
                <w:sz w:val="20"/>
                <w:szCs w:val="20"/>
                <w:b w:val="1"/>
                <w:bCs w:val="1"/>
                <w:color w:val="355A89"/>
              </w:rPr>
              <w:t>Active and Engaged</w:t>
            </w: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SLG does not subscribe to a traditional “buy and hold” strategy and is a very active transaction-oriented</w:t>
            </w:r>
          </w:p>
        </w:tc>
      </w:tr>
      <w:tr>
        <w:trPr>
          <w:trHeight w:val="261"/>
        </w:trPr>
        <w:tc>
          <w:tcPr>
            <w:tcW w:w="2220" w:type="dxa"/>
            <w:vAlign w:val="bottom"/>
            <w:shd w:val="clear" w:color="auto" w:fill="E4E5EE"/>
          </w:tcPr>
          <w:p>
            <w:pPr>
              <w:ind w:left="120"/>
              <w:spacing w:after="0"/>
              <w:rPr>
                <w:sz w:val="20"/>
                <w:szCs w:val="20"/>
                <w:color w:val="auto"/>
              </w:rPr>
            </w:pPr>
            <w:r>
              <w:rPr>
                <w:rFonts w:ascii="Arial" w:cs="Arial" w:eastAsia="Arial" w:hAnsi="Arial"/>
                <w:sz w:val="20"/>
                <w:szCs w:val="20"/>
                <w:b w:val="1"/>
                <w:bCs w:val="1"/>
                <w:color w:val="355A89"/>
              </w:rPr>
              <w:t>Business Strategy</w:t>
            </w: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company</w:t>
            </w:r>
          </w:p>
        </w:tc>
      </w:tr>
      <w:tr>
        <w:trPr>
          <w:trHeight w:val="250"/>
        </w:trPr>
        <w:tc>
          <w:tcPr>
            <w:tcW w:w="2220" w:type="dxa"/>
            <w:vAlign w:val="bottom"/>
            <w:shd w:val="clear" w:color="auto" w:fill="E4E5EE"/>
          </w:tcPr>
          <w:p>
            <w:pPr>
              <w:spacing w:after="0"/>
              <w:rPr>
                <w:sz w:val="21"/>
                <w:szCs w:val="21"/>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We execute more transactions than many of our competitors over a much longer, multi-year period</w:t>
            </w:r>
          </w:p>
        </w:tc>
      </w:tr>
      <w:tr>
        <w:trPr>
          <w:trHeight w:val="326"/>
        </w:trPr>
        <w:tc>
          <w:tcPr>
            <w:tcW w:w="2220" w:type="dxa"/>
            <w:vAlign w:val="bottom"/>
            <w:tcBorders>
              <w:bottom w:val="single" w:sz="8" w:color="E4E5EE"/>
            </w:tcBorders>
            <w:shd w:val="clear" w:color="auto" w:fill="E4E5EE"/>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Accordingly, we frequently capitalize on opportunities in the market, maximizing returns</w:t>
            </w:r>
          </w:p>
        </w:tc>
      </w:tr>
      <w:tr>
        <w:trPr>
          <w:trHeight w:val="209"/>
        </w:trPr>
        <w:tc>
          <w:tcPr>
            <w:tcW w:w="2220" w:type="dxa"/>
            <w:vAlign w:val="bottom"/>
            <w:tcBorders>
              <w:top w:val="single" w:sz="8" w:color="8089AD"/>
            </w:tcBorders>
            <w:shd w:val="clear" w:color="auto" w:fill="E4E5EE"/>
          </w:tcPr>
          <w:p>
            <w:pPr>
              <w:ind w:left="120"/>
              <w:spacing w:after="0" w:line="208" w:lineRule="exact"/>
              <w:rPr>
                <w:sz w:val="20"/>
                <w:szCs w:val="20"/>
                <w:color w:val="auto"/>
              </w:rPr>
            </w:pPr>
            <w:r>
              <w:rPr>
                <w:rFonts w:ascii="Arial" w:cs="Arial" w:eastAsia="Arial" w:hAnsi="Arial"/>
                <w:sz w:val="20"/>
                <w:szCs w:val="20"/>
                <w:b w:val="1"/>
                <w:bCs w:val="1"/>
                <w:color w:val="355A89"/>
              </w:rPr>
              <w:t>Operations on</w:t>
            </w:r>
          </w:p>
        </w:tc>
        <w:tc>
          <w:tcPr>
            <w:tcW w:w="9020" w:type="dxa"/>
            <w:vAlign w:val="bottom"/>
            <w:tcBorders>
              <w:top w:val="single" w:sz="8" w:color="8089AD"/>
            </w:tcBorders>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Buy and sell properties independently and collaborate with other investors through joint ventures when</w:t>
            </w:r>
          </w:p>
        </w:tc>
        <w:tc>
          <w:tcPr>
            <w:tcW w:w="20" w:type="dxa"/>
            <w:vAlign w:val="bottom"/>
          </w:tcPr>
          <w:p>
            <w:pPr>
              <w:spacing w:after="0"/>
              <w:rPr>
                <w:sz w:val="18"/>
                <w:szCs w:val="18"/>
                <w:color w:val="auto"/>
              </w:rPr>
            </w:pPr>
          </w:p>
        </w:tc>
      </w:tr>
      <w:tr>
        <w:trPr>
          <w:trHeight w:val="261"/>
        </w:trPr>
        <w:tc>
          <w:tcPr>
            <w:tcW w:w="2220" w:type="dxa"/>
            <w:vAlign w:val="bottom"/>
            <w:shd w:val="clear" w:color="auto" w:fill="E4E5EE"/>
          </w:tcPr>
          <w:p>
            <w:pPr>
              <w:ind w:left="120"/>
              <w:spacing w:after="0"/>
              <w:rPr>
                <w:sz w:val="20"/>
                <w:szCs w:val="20"/>
                <w:color w:val="auto"/>
              </w:rPr>
            </w:pPr>
            <w:r>
              <w:rPr>
                <w:rFonts w:ascii="Arial" w:cs="Arial" w:eastAsia="Arial" w:hAnsi="Arial"/>
                <w:sz w:val="20"/>
                <w:szCs w:val="20"/>
                <w:b w:val="1"/>
                <w:bCs w:val="1"/>
                <w:color w:val="355A89"/>
              </w:rPr>
              <w:t>Multiple Platforms</w:t>
            </w: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advantageous</w:t>
            </w:r>
          </w:p>
        </w:tc>
      </w:tr>
      <w:tr>
        <w:trPr>
          <w:trHeight w:val="251"/>
        </w:trPr>
        <w:tc>
          <w:tcPr>
            <w:tcW w:w="2220" w:type="dxa"/>
            <w:vAlign w:val="bottom"/>
            <w:shd w:val="clear" w:color="auto" w:fill="E4E5EE"/>
          </w:tcPr>
          <w:p>
            <w:pPr>
              <w:spacing w:after="0"/>
              <w:rPr>
                <w:sz w:val="21"/>
                <w:szCs w:val="21"/>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Invest in redeveloping existing assets (e.g. One Madison Avenue) and developing projects from the ground</w:t>
            </w:r>
          </w:p>
        </w:tc>
      </w:tr>
      <w:tr>
        <w:trPr>
          <w:trHeight w:val="216"/>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up (e.g. One Vanderbilt, 185 Broadway and 15 Beekman)</w:t>
            </w:r>
          </w:p>
        </w:tc>
      </w:tr>
      <w:tr>
        <w:trPr>
          <w:trHeight w:val="284"/>
        </w:trPr>
        <w:tc>
          <w:tcPr>
            <w:tcW w:w="2220" w:type="dxa"/>
            <w:vAlign w:val="bottom"/>
            <w:shd w:val="clear" w:color="auto" w:fill="E4E5EE"/>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Provide financing for other real estate related entities through our debt and preferred equity platform – a</w:t>
            </w:r>
          </w:p>
        </w:tc>
      </w:tr>
      <w:tr>
        <w:trPr>
          <w:trHeight w:val="208"/>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w w:val="99"/>
              </w:rPr>
              <w:t>unique business that we operate at a scale unmatched by our peers, which provides us a diversified source</w:t>
            </w:r>
          </w:p>
        </w:tc>
      </w:tr>
      <w:tr>
        <w:trPr>
          <w:trHeight w:val="220"/>
        </w:trPr>
        <w:tc>
          <w:tcPr>
            <w:tcW w:w="2220" w:type="dxa"/>
            <w:vAlign w:val="bottom"/>
            <w:tcBorders>
              <w:bottom w:val="single" w:sz="8" w:color="8089AD"/>
            </w:tcBorders>
            <w:shd w:val="clear" w:color="auto" w:fill="E4E5EE"/>
          </w:tcPr>
          <w:p>
            <w:pPr>
              <w:spacing w:after="0"/>
              <w:rPr>
                <w:sz w:val="19"/>
                <w:szCs w:val="19"/>
                <w:color w:val="auto"/>
              </w:rPr>
            </w:pPr>
          </w:p>
        </w:tc>
        <w:tc>
          <w:tcPr>
            <w:tcW w:w="9020" w:type="dxa"/>
            <w:vAlign w:val="bottom"/>
            <w:tcBorders>
              <w:bottom w:val="single" w:sz="8" w:color="8089AD"/>
            </w:tcBorders>
          </w:tcPr>
          <w:p>
            <w:pPr>
              <w:ind w:left="540"/>
              <w:spacing w:after="0"/>
              <w:rPr>
                <w:sz w:val="20"/>
                <w:szCs w:val="20"/>
                <w:color w:val="auto"/>
              </w:rPr>
            </w:pPr>
            <w:r>
              <w:rPr>
                <w:rFonts w:ascii="Arial" w:cs="Arial" w:eastAsia="Arial" w:hAnsi="Arial"/>
                <w:sz w:val="18"/>
                <w:szCs w:val="18"/>
                <w:color w:val="auto"/>
              </w:rPr>
              <w:t>of revenue and market intelligence</w:t>
            </w:r>
          </w:p>
        </w:tc>
        <w:tc>
          <w:tcPr>
            <w:tcW w:w="20" w:type="dxa"/>
            <w:vAlign w:val="bottom"/>
          </w:tcPr>
          <w:p>
            <w:pPr>
              <w:spacing w:after="0"/>
              <w:rPr>
                <w:sz w:val="19"/>
                <w:szCs w:val="19"/>
                <w:color w:val="auto"/>
              </w:rPr>
            </w:pPr>
          </w:p>
        </w:tc>
      </w:tr>
      <w:tr>
        <w:trPr>
          <w:trHeight w:val="215"/>
        </w:trPr>
        <w:tc>
          <w:tcPr>
            <w:tcW w:w="2220" w:type="dxa"/>
            <w:vAlign w:val="bottom"/>
            <w:shd w:val="clear" w:color="auto" w:fill="E4E5EE"/>
          </w:tcPr>
          <w:p>
            <w:pPr>
              <w:ind w:left="120"/>
              <w:spacing w:after="0" w:line="215" w:lineRule="exact"/>
              <w:rPr>
                <w:sz w:val="20"/>
                <w:szCs w:val="20"/>
                <w:color w:val="auto"/>
              </w:rPr>
            </w:pPr>
            <w:r>
              <w:rPr>
                <w:rFonts w:ascii="Arial" w:cs="Arial" w:eastAsia="Arial" w:hAnsi="Arial"/>
                <w:sz w:val="20"/>
                <w:szCs w:val="20"/>
                <w:b w:val="1"/>
                <w:bCs w:val="1"/>
                <w:color w:val="355A89"/>
              </w:rPr>
              <w:t>NYC-Focused</w:t>
            </w: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Singularly focused on New York City real estate – one of the most liquid and resilient markets through</w:t>
            </w:r>
          </w:p>
        </w:tc>
      </w:tr>
      <w:tr>
        <w:trPr>
          <w:trHeight w:val="261"/>
        </w:trPr>
        <w:tc>
          <w:tcPr>
            <w:tcW w:w="2220" w:type="dxa"/>
            <w:vAlign w:val="bottom"/>
            <w:shd w:val="clear" w:color="auto" w:fill="E4E5EE"/>
          </w:tcPr>
          <w:p>
            <w:pPr>
              <w:ind w:left="120"/>
              <w:spacing w:after="0"/>
              <w:rPr>
                <w:sz w:val="20"/>
                <w:szCs w:val="20"/>
                <w:color w:val="auto"/>
              </w:rPr>
            </w:pPr>
            <w:r>
              <w:rPr>
                <w:rFonts w:ascii="Arial" w:cs="Arial" w:eastAsia="Arial" w:hAnsi="Arial"/>
                <w:sz w:val="20"/>
                <w:szCs w:val="20"/>
                <w:b w:val="1"/>
                <w:bCs w:val="1"/>
                <w:color w:val="355A89"/>
              </w:rPr>
              <w:t>Business Model</w:t>
            </w: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business cycles, and also one of the most complex and competitive</w:t>
            </w:r>
          </w:p>
        </w:tc>
      </w:tr>
      <w:tr>
        <w:trPr>
          <w:trHeight w:val="251"/>
        </w:trPr>
        <w:tc>
          <w:tcPr>
            <w:tcW w:w="2220" w:type="dxa"/>
            <w:vAlign w:val="bottom"/>
            <w:shd w:val="clear" w:color="auto" w:fill="E4E5EE"/>
          </w:tcPr>
          <w:p>
            <w:pPr>
              <w:spacing w:after="0"/>
              <w:rPr>
                <w:sz w:val="21"/>
                <w:szCs w:val="21"/>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Presence and operations in this complex and highly competitive market necessitate a top level of talent in our</w:t>
            </w:r>
          </w:p>
        </w:tc>
      </w:tr>
      <w:tr>
        <w:trPr>
          <w:trHeight w:val="216"/>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rPr>
              <w:t>executive ranks</w:t>
            </w:r>
          </w:p>
        </w:tc>
      </w:tr>
      <w:tr>
        <w:trPr>
          <w:trHeight w:val="284"/>
        </w:trPr>
        <w:tc>
          <w:tcPr>
            <w:tcW w:w="2220" w:type="dxa"/>
            <w:vAlign w:val="bottom"/>
            <w:shd w:val="clear" w:color="auto" w:fill="E4E5EE"/>
          </w:tcPr>
          <w:p>
            <w:pPr>
              <w:spacing w:after="0"/>
              <w:rPr>
                <w:sz w:val="24"/>
                <w:szCs w:val="24"/>
                <w:color w:val="auto"/>
              </w:rPr>
            </w:pPr>
          </w:p>
        </w:tc>
        <w:tc>
          <w:tcPr>
            <w:tcW w:w="904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Our leadership team actively manages our Company, allowing us to be very efficient, with an employee base</w:t>
            </w:r>
          </w:p>
        </w:tc>
      </w:tr>
      <w:tr>
        <w:trPr>
          <w:trHeight w:val="208"/>
        </w:trPr>
        <w:tc>
          <w:tcPr>
            <w:tcW w:w="2220" w:type="dxa"/>
            <w:vAlign w:val="bottom"/>
            <w:shd w:val="clear" w:color="auto" w:fill="E4E5EE"/>
          </w:tcPr>
          <w:p>
            <w:pPr>
              <w:spacing w:after="0"/>
              <w:rPr>
                <w:sz w:val="18"/>
                <w:szCs w:val="18"/>
                <w:color w:val="auto"/>
              </w:rPr>
            </w:pPr>
          </w:p>
        </w:tc>
        <w:tc>
          <w:tcPr>
            <w:tcW w:w="9040" w:type="dxa"/>
            <w:vAlign w:val="bottom"/>
            <w:gridSpan w:val="2"/>
          </w:tcPr>
          <w:p>
            <w:pPr>
              <w:ind w:left="540"/>
              <w:spacing w:after="0"/>
              <w:rPr>
                <w:sz w:val="20"/>
                <w:szCs w:val="20"/>
                <w:color w:val="auto"/>
              </w:rPr>
            </w:pPr>
            <w:r>
              <w:rPr>
                <w:rFonts w:ascii="Arial" w:cs="Arial" w:eastAsia="Arial" w:hAnsi="Arial"/>
                <w:sz w:val="18"/>
                <w:szCs w:val="18"/>
                <w:color w:val="auto"/>
                <w:w w:val="99"/>
              </w:rPr>
              <w:t>much smaller than other fully-integrated “gateway city” real estate companies that transact far less business</w:t>
            </w:r>
          </w:p>
        </w:tc>
      </w:tr>
      <w:tr>
        <w:trPr>
          <w:trHeight w:val="233"/>
        </w:trPr>
        <w:tc>
          <w:tcPr>
            <w:tcW w:w="2220" w:type="dxa"/>
            <w:vAlign w:val="bottom"/>
            <w:tcBorders>
              <w:bottom w:val="single" w:sz="8" w:color="355A89"/>
            </w:tcBorders>
            <w:shd w:val="clear" w:color="auto" w:fill="E4E5EE"/>
          </w:tcPr>
          <w:p>
            <w:pPr>
              <w:spacing w:after="0"/>
              <w:rPr>
                <w:sz w:val="20"/>
                <w:szCs w:val="20"/>
                <w:color w:val="auto"/>
              </w:rPr>
            </w:pPr>
          </w:p>
        </w:tc>
        <w:tc>
          <w:tcPr>
            <w:tcW w:w="9020" w:type="dxa"/>
            <w:vAlign w:val="bottom"/>
            <w:tcBorders>
              <w:bottom w:val="single" w:sz="8" w:color="355A89"/>
            </w:tcBorders>
          </w:tcPr>
          <w:p>
            <w:pPr>
              <w:ind w:left="540"/>
              <w:spacing w:after="0"/>
              <w:rPr>
                <w:sz w:val="20"/>
                <w:szCs w:val="20"/>
                <w:color w:val="auto"/>
              </w:rPr>
            </w:pPr>
            <w:r>
              <w:rPr>
                <w:rFonts w:ascii="Arial" w:cs="Arial" w:eastAsia="Arial" w:hAnsi="Arial"/>
                <w:sz w:val="18"/>
                <w:szCs w:val="18"/>
                <w:color w:val="auto"/>
              </w:rPr>
              <w:t>than SLG</w:t>
            </w:r>
          </w:p>
        </w:tc>
        <w:tc>
          <w:tcPr>
            <w:tcW w:w="20" w:type="dxa"/>
            <w:vAlign w:val="bottom"/>
          </w:tcPr>
          <w:p>
            <w:pPr>
              <w:spacing w:after="0"/>
              <w:rPr>
                <w:sz w:val="20"/>
                <w:szCs w:val="20"/>
                <w:color w:val="auto"/>
              </w:rPr>
            </w:pPr>
          </w:p>
        </w:tc>
      </w:tr>
      <w:tr>
        <w:trPr>
          <w:trHeight w:val="430"/>
        </w:trPr>
        <w:tc>
          <w:tcPr>
            <w:tcW w:w="2220" w:type="dxa"/>
            <w:vAlign w:val="bottom"/>
          </w:tcPr>
          <w:p>
            <w:pPr>
              <w:spacing w:after="0"/>
              <w:rPr>
                <w:sz w:val="24"/>
                <w:szCs w:val="24"/>
                <w:color w:val="auto"/>
              </w:rPr>
            </w:pPr>
          </w:p>
        </w:tc>
        <w:tc>
          <w:tcPr>
            <w:tcW w:w="9040" w:type="dxa"/>
            <w:vAlign w:val="bottom"/>
            <w:gridSpan w:val="2"/>
          </w:tcPr>
          <w:p>
            <w:pPr>
              <w:ind w:left="7000"/>
              <w:spacing w:after="0"/>
              <w:rPr>
                <w:sz w:val="20"/>
                <w:szCs w:val="20"/>
                <w:color w:val="auto"/>
              </w:rPr>
            </w:pPr>
            <w:r>
              <w:rPr>
                <w:rFonts w:ascii="Arial" w:cs="Arial" w:eastAsia="Arial" w:hAnsi="Arial"/>
                <w:sz w:val="18"/>
                <w:szCs w:val="18"/>
                <w:color w:val="auto"/>
                <w:w w:val="99"/>
              </w:rPr>
              <w:t xml:space="preserve">2021 Proxy Statement </w:t>
            </w:r>
            <w:r>
              <w:rPr>
                <w:rFonts w:ascii="Arial" w:cs="Arial" w:eastAsia="Arial" w:hAnsi="Arial"/>
                <w:sz w:val="18"/>
                <w:szCs w:val="18"/>
                <w:color w:val="355A89"/>
                <w:w w:val="99"/>
              </w:rPr>
              <w:t>33</w:t>
            </w:r>
          </w:p>
        </w:tc>
      </w:tr>
      <w:tr>
        <w:trPr>
          <w:trHeight w:val="215"/>
        </w:trPr>
        <w:tc>
          <w:tcPr>
            <w:tcW w:w="2220" w:type="dxa"/>
            <w:vAlign w:val="bottom"/>
            <w:tcBorders>
              <w:bottom w:val="single" w:sz="8" w:color="808080"/>
            </w:tcBorders>
          </w:tcPr>
          <w:p>
            <w:pPr>
              <w:spacing w:after="0"/>
              <w:rPr>
                <w:sz w:val="18"/>
                <w:szCs w:val="18"/>
                <w:color w:val="auto"/>
              </w:rPr>
            </w:pPr>
          </w:p>
        </w:tc>
        <w:tc>
          <w:tcPr>
            <w:tcW w:w="90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Impact of COVID-19 on NYC Real Estate Market and SL Green</w:t>
      </w:r>
    </w:p>
    <w:p>
      <w:pPr>
        <w:spacing w:after="0" w:line="23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are the largest office landlord in New York City with interests in 88 buildings as of December 31, 2020. The chart below provides a visual representation of the impact the pandemic had on our industry and how well SL Green performed through it.</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impact of the pandemic on New York City is encapsulated in the lower half of the chart (Office Sector Employment Growth). In 2020, after a decade of growth, New York City saw a significant decline in office sector employment.</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However, as seen at the top of the graphic, in SLG’s Manhattan Office Leasing, SL Green’s leasing activity remained robust, achieving nearly the same levels it achieved in 2017, despite significantly negative economic indicators.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believe this reflects the quality of SL Green’s portfolio, a result of our strategic execution over many years.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CONTINUED OPERATIONAL &amp; FINANCIAL OUTPERFORMANCE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55A89"/>
        </w:rPr>
        <w:t>Maintained Strong Business Resilience Despite Negative Economic Indicators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486591"/>
        </w:rPr>
        <w:t>SLG Leasing Volume In the Pandemic</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SLG’s Manhattan Office Leasing vs. NYC Office Sector Employment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5374640" cy="32829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7464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SLG Actions in Response to COVID-19</w:t>
      </w:r>
    </w:p>
    <w:p>
      <w:pPr>
        <w:spacing w:after="0" w:line="235"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Our Board of Directors and Executive Team actively prepare for potential disruptive events by continually refining our business resiliency playbook. This process has been a framework for decision making since our IPO 24 years ago, employing risk management and planning strategies that optimizes the company’s performance and strengthens stakeholder confidence during times of unexpected disruption.</w:t>
      </w:r>
    </w:p>
    <w:p>
      <w:pPr>
        <w:spacing w:after="0" w:line="177"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result of this precautionary planning we were able to immediately activate and enhance our pandemic response plan, which we now refer to as SL Green Forward. This comprehensive plan was an extension of our best-in-class operating platform to address COVID-19, ensuring a high degree of safety across our portfolio for all of our building occupants, and the physical and mental well-being of our employees, as well as addressing the critical needs of our New York City community.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actions taken during 2020:</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86591"/>
        </w:rPr>
        <w:t>Implemented Stringent Health &amp; Safety Standards to Protect All of Our Building Occupants</w:t>
      </w:r>
    </w:p>
    <w:p>
      <w:pPr>
        <w:spacing w:after="0" w:line="235" w:lineRule="exact"/>
        <w:rPr>
          <w:sz w:val="20"/>
          <w:szCs w:val="20"/>
          <w:color w:val="auto"/>
        </w:rPr>
      </w:pPr>
    </w:p>
    <w:p>
      <w:pPr>
        <w:jc w:val="both"/>
        <w:ind w:left="540" w:right="200" w:hanging="262"/>
        <w:spacing w:after="0" w:line="238" w:lineRule="auto"/>
        <w:tabs>
          <w:tab w:leader="none" w:pos="540" w:val="left"/>
        </w:tabs>
        <w:numPr>
          <w:ilvl w:val="0"/>
          <w:numId w:val="62"/>
        </w:numPr>
        <w:rPr>
          <w:rFonts w:ascii="Arial" w:cs="Arial" w:eastAsia="Arial" w:hAnsi="Arial"/>
          <w:sz w:val="17"/>
          <w:szCs w:val="17"/>
          <w:color w:val="355A89"/>
        </w:rPr>
      </w:pPr>
      <w:r>
        <w:rPr>
          <w:rFonts w:ascii="Arial" w:cs="Arial" w:eastAsia="Arial" w:hAnsi="Arial"/>
          <w:sz w:val="18"/>
          <w:szCs w:val="18"/>
          <w:color w:val="auto"/>
        </w:rPr>
        <w:t>SLG is home to essential businesses that employ thousands of workers - medical offices, health care companies, visiting nurses, major media outlets and broadcast studios, making it critical for us to rapidly respond and create a safe workplace for our employees, tenants, and visitors.</w:t>
      </w:r>
    </w:p>
    <w:p>
      <w:pPr>
        <w:spacing w:after="0" w:line="59" w:lineRule="exact"/>
        <w:rPr>
          <w:rFonts w:ascii="Arial" w:cs="Arial" w:eastAsia="Arial" w:hAnsi="Arial"/>
          <w:sz w:val="17"/>
          <w:szCs w:val="17"/>
          <w:color w:val="355A89"/>
        </w:rPr>
      </w:pPr>
    </w:p>
    <w:p>
      <w:pPr>
        <w:ind w:left="540" w:right="640" w:hanging="262"/>
        <w:spacing w:after="0" w:line="239" w:lineRule="auto"/>
        <w:tabs>
          <w:tab w:leader="none" w:pos="540" w:val="left"/>
        </w:tabs>
        <w:numPr>
          <w:ilvl w:val="0"/>
          <w:numId w:val="62"/>
        </w:numPr>
        <w:rPr>
          <w:rFonts w:ascii="Arial" w:cs="Arial" w:eastAsia="Arial" w:hAnsi="Arial"/>
          <w:sz w:val="17"/>
          <w:szCs w:val="17"/>
          <w:color w:val="355A89"/>
        </w:rPr>
      </w:pPr>
      <w:r>
        <w:rPr>
          <w:rFonts w:ascii="Arial" w:cs="Arial" w:eastAsia="Arial" w:hAnsi="Arial"/>
          <w:sz w:val="18"/>
          <w:szCs w:val="18"/>
          <w:color w:val="auto"/>
        </w:rPr>
        <w:t>We increased the effectiveness of our pandemic response plan by making significant financial investments to adapt to the impacts resulting from COVID-19, which also aligned with evolving local, state, and federal agency guidance.</w:t>
      </w:r>
    </w:p>
    <w:p>
      <w:pPr>
        <w:spacing w:after="0" w:line="60" w:lineRule="exact"/>
        <w:rPr>
          <w:rFonts w:ascii="Arial" w:cs="Arial" w:eastAsia="Arial" w:hAnsi="Arial"/>
          <w:sz w:val="17"/>
          <w:szCs w:val="17"/>
          <w:color w:val="355A89"/>
        </w:rPr>
      </w:pPr>
    </w:p>
    <w:p>
      <w:pPr>
        <w:ind w:left="540" w:hanging="262"/>
        <w:spacing w:after="0"/>
        <w:tabs>
          <w:tab w:leader="none" w:pos="540" w:val="left"/>
        </w:tabs>
        <w:numPr>
          <w:ilvl w:val="0"/>
          <w:numId w:val="62"/>
        </w:numPr>
        <w:rPr>
          <w:rFonts w:ascii="Arial" w:cs="Arial" w:eastAsia="Arial" w:hAnsi="Arial"/>
          <w:sz w:val="17"/>
          <w:szCs w:val="17"/>
          <w:color w:val="355A89"/>
        </w:rPr>
      </w:pPr>
      <w:r>
        <w:rPr>
          <w:rFonts w:ascii="Arial" w:cs="Arial" w:eastAsia="Arial" w:hAnsi="Arial"/>
          <w:sz w:val="18"/>
          <w:szCs w:val="18"/>
          <w:color w:val="auto"/>
        </w:rPr>
        <w:t>As a result of our efforts, we were able to keep our buildings fully operational and accessible throughout the pandemic.</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86591"/>
        </w:rPr>
        <w:t>Listened To and Cared For Our Employees</w:t>
      </w:r>
    </w:p>
    <w:p>
      <w:pPr>
        <w:spacing w:after="0" w:line="23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SL Green employees are one of our most important assets. As we navigated through the challenges of COVID-19, SL Green implemented new employee programs, guided by employee input, and physical office space enhancements, in order to keep our employees safe and motivated. These programs included onsite tutors for employees with young children, subsidized daycare and parking expenses and free employee office lunches. As a result of these actions, SLG was one of the first employers in New York City to be able to return 100% of its employees to the office in June 2020.</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86591"/>
        </w:rPr>
        <w:t>Demonstrated Leadership in Social Responsibility</w:t>
      </w:r>
    </w:p>
    <w:p>
      <w:pPr>
        <w:spacing w:after="0" w:line="23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April 2020, SL Green established Food1st, a 501(c)(3) not-for-profit committed to providing meals to first responders and food-insecure New Yorkers, while revitalizing restaurant kitchens throughout the city. We partnered with esteemed chef, Daniel Boulud, who used his own downtown prep kitchen to prepare 1,250 meals daily.</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SL Green seeded Food1st with a $1 million initial contribution, with an additional $240,000 contributed by SL Green employees. As of March 31, 2021, Food1st has 30 partner kitchens and has raised nearly $5 million. The not-for-profit has prepared nearly 600,000 meals for those in need, kept over 300 restaurant staff employed, and delivered meals to nearly 150 unique recipient locations across the five boroughs, stimulating economic activity and contributing to alleviate the ongoing food shortage, exacerbated by COVID-19, in New York City.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86591"/>
        </w:rPr>
        <w:t>Continued Execution of SL Green’s Stockholder Value Creation Strategy</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SL Green management did not stop the execution of its value creation plan because of the pandemic. Instead, management quickly strengthened the Company’s resiliency by amassing a $1.0 billion strategic cash reserve, originally expected to be completed over a three-month period by June 30, 2020, but actually achieved 30 days ahead of schedule. This allowed the Company to maintain momentum on numerous redevelopment and development projects in 2020, including the opening of One Vanderbilt, one of NYC’s tallest and most eco-friendly office towers, ahead of schedule and under budget.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Highlights of SL Green’s 2020 portfolio M&amp;A, redevelopment and development activities and other business activities include:</w:t>
      </w:r>
    </w:p>
    <w:p>
      <w:pPr>
        <w:sectPr>
          <w:pgSz w:w="11900" w:h="16838" w:orient="portrait"/>
          <w:cols w:equalWidth="0" w:num="1">
            <w:col w:w="11160"/>
          </w:cols>
          <w:pgMar w:left="320" w:top="121" w:right="41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355A89"/>
        </w:rPr>
        <w:t>BUSINESS RESILIENCE &amp; MOMENTUM</w:t>
      </w:r>
    </w:p>
    <w:p>
      <w:pPr>
        <w:spacing w:after="0" w:line="214"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355A89"/>
        </w:rPr>
        <w:t>Portfolio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8890</wp:posOffset>
            </wp:positionV>
            <wp:extent cx="2297430" cy="58889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97430" cy="5888990"/>
                    </a:xfrm>
                    <a:prstGeom prst="rect">
                      <a:avLst/>
                    </a:prstGeom>
                    <a:noFill/>
                  </pic:spPr>
                </pic:pic>
              </a:graphicData>
            </a:graphic>
          </wp:anchor>
        </w:drawing>
      </w:r>
    </w:p>
    <w:p>
      <w:pPr>
        <w:spacing w:after="0" w:line="395"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MARCH</w:t>
      </w:r>
    </w:p>
    <w:p>
      <w:pPr>
        <w:spacing w:after="0" w:line="67" w:lineRule="exact"/>
        <w:rPr>
          <w:sz w:val="20"/>
          <w:szCs w:val="20"/>
          <w:color w:val="auto"/>
        </w:rPr>
      </w:pPr>
    </w:p>
    <w:p>
      <w:pPr>
        <w:ind w:left="1400" w:right="3720" w:hanging="299"/>
        <w:spacing w:after="0" w:line="284" w:lineRule="auto"/>
        <w:tabs>
          <w:tab w:leader="none" w:pos="1305" w:val="left"/>
        </w:tabs>
        <w:numPr>
          <w:ilvl w:val="0"/>
          <w:numId w:val="63"/>
        </w:numPr>
        <w:rPr>
          <w:rFonts w:ascii="Arial" w:cs="Arial" w:eastAsia="Arial" w:hAnsi="Arial"/>
          <w:sz w:val="13"/>
          <w:szCs w:val="13"/>
          <w:color w:val="355A89"/>
        </w:rPr>
      </w:pPr>
      <w:r>
        <w:rPr>
          <w:rFonts w:ascii="Arial" w:cs="Arial" w:eastAsia="Arial" w:hAnsi="Arial"/>
          <w:sz w:val="13"/>
          <w:szCs w:val="13"/>
          <w:b w:val="1"/>
          <w:bCs w:val="1"/>
          <w:color w:val="auto"/>
        </w:rPr>
        <w:t xml:space="preserve">Sold 315 West 33rd Street </w:t>
      </w:r>
      <w:r>
        <w:rPr>
          <w:rFonts w:ascii="Arial" w:cs="Arial" w:eastAsia="Arial" w:hAnsi="Arial"/>
          <w:sz w:val="13"/>
          <w:szCs w:val="13"/>
          <w:color w:val="auto"/>
        </w:rPr>
        <w:t>for</w:t>
      </w:r>
      <w:r>
        <w:rPr>
          <w:rFonts w:ascii="Arial" w:cs="Arial" w:eastAsia="Arial" w:hAnsi="Arial"/>
          <w:sz w:val="13"/>
          <w:szCs w:val="13"/>
          <w:b w:val="1"/>
          <w:bCs w:val="1"/>
          <w:color w:val="auto"/>
        </w:rPr>
        <w:t xml:space="preserve"> $446.5M</w:t>
      </w:r>
    </w:p>
    <w:p>
      <w:pPr>
        <w:spacing w:after="0" w:line="200" w:lineRule="exact"/>
        <w:rPr>
          <w:sz w:val="20"/>
          <w:szCs w:val="20"/>
          <w:color w:val="auto"/>
        </w:rPr>
      </w:pPr>
    </w:p>
    <w:p>
      <w:pPr>
        <w:spacing w:after="0" w:line="324"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APRIL</w:t>
      </w:r>
    </w:p>
    <w:p>
      <w:pPr>
        <w:spacing w:after="0" w:line="67" w:lineRule="exact"/>
        <w:rPr>
          <w:sz w:val="20"/>
          <w:szCs w:val="20"/>
          <w:color w:val="auto"/>
        </w:rPr>
      </w:pPr>
    </w:p>
    <w:p>
      <w:pPr>
        <w:ind w:left="1400" w:right="3460" w:hanging="299"/>
        <w:spacing w:after="0" w:line="261" w:lineRule="auto"/>
        <w:tabs>
          <w:tab w:leader="none" w:pos="1305" w:val="left"/>
        </w:tabs>
        <w:numPr>
          <w:ilvl w:val="0"/>
          <w:numId w:val="64"/>
        </w:numPr>
        <w:rPr>
          <w:rFonts w:ascii="Arial" w:cs="Arial" w:eastAsia="Arial" w:hAnsi="Arial"/>
          <w:sz w:val="13"/>
          <w:szCs w:val="13"/>
          <w:color w:val="355A89"/>
        </w:rPr>
      </w:pPr>
      <w:r>
        <w:rPr>
          <w:rFonts w:ascii="Arial" w:cs="Arial" w:eastAsia="Arial" w:hAnsi="Arial"/>
          <w:sz w:val="13"/>
          <w:szCs w:val="13"/>
          <w:b w:val="1"/>
          <w:bCs w:val="1"/>
          <w:color w:val="auto"/>
        </w:rPr>
        <w:t xml:space="preserve">Launched “Food1st” </w:t>
      </w:r>
      <w:r>
        <w:rPr>
          <w:rFonts w:ascii="Arial" w:cs="Arial" w:eastAsia="Arial" w:hAnsi="Arial"/>
          <w:sz w:val="13"/>
          <w:szCs w:val="13"/>
          <w:color w:val="auto"/>
        </w:rPr>
        <w:t>Charity to</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Food Assistance and Re-Activate Restaurant Kitchens</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APRIL - MAY</w:t>
      </w:r>
    </w:p>
    <w:p>
      <w:pPr>
        <w:spacing w:after="0" w:line="80" w:lineRule="exact"/>
        <w:rPr>
          <w:sz w:val="20"/>
          <w:szCs w:val="20"/>
          <w:color w:val="auto"/>
        </w:rPr>
      </w:pPr>
    </w:p>
    <w:p>
      <w:pPr>
        <w:ind w:left="1400" w:right="3280" w:hanging="299"/>
        <w:spacing w:after="0" w:line="253" w:lineRule="auto"/>
        <w:tabs>
          <w:tab w:leader="none" w:pos="1305" w:val="left"/>
        </w:tabs>
        <w:numPr>
          <w:ilvl w:val="0"/>
          <w:numId w:val="65"/>
        </w:numPr>
        <w:rPr>
          <w:rFonts w:ascii="Arial" w:cs="Arial" w:eastAsia="Arial" w:hAnsi="Arial"/>
          <w:sz w:val="13"/>
          <w:szCs w:val="13"/>
          <w:color w:val="355A89"/>
        </w:rPr>
      </w:pPr>
      <w:r>
        <w:rPr>
          <w:rFonts w:ascii="Arial" w:cs="Arial" w:eastAsia="Arial" w:hAnsi="Arial"/>
          <w:sz w:val="13"/>
          <w:szCs w:val="13"/>
          <w:color w:val="auto"/>
        </w:rPr>
        <w:t xml:space="preserve">Announced </w:t>
      </w:r>
      <w:r>
        <w:rPr>
          <w:rFonts w:ascii="Arial" w:cs="Arial" w:eastAsia="Arial" w:hAnsi="Arial"/>
          <w:sz w:val="13"/>
          <w:szCs w:val="13"/>
          <w:b w:val="1"/>
          <w:bCs w:val="1"/>
          <w:color w:val="auto"/>
        </w:rPr>
        <w:t>sale of five</w:t>
      </w:r>
      <w:r>
        <w:rPr>
          <w:rFonts w:ascii="Arial" w:cs="Arial" w:eastAsia="Arial" w:hAnsi="Arial"/>
          <w:sz w:val="13"/>
          <w:szCs w:val="13"/>
          <w:color w:val="auto"/>
        </w:rPr>
        <w:t xml:space="preserve"> debt and preferred </w:t>
      </w:r>
      <w:r>
        <w:rPr>
          <w:rFonts w:ascii="Arial" w:cs="Arial" w:eastAsia="Arial" w:hAnsi="Arial"/>
          <w:sz w:val="13"/>
          <w:szCs w:val="13"/>
          <w:b w:val="1"/>
          <w:bCs w:val="1"/>
          <w:color w:val="auto"/>
        </w:rPr>
        <w:t>equity assets</w:t>
      </w:r>
      <w:r>
        <w:rPr>
          <w:rFonts w:ascii="Arial" w:cs="Arial" w:eastAsia="Arial" w:hAnsi="Arial"/>
          <w:sz w:val="13"/>
          <w:szCs w:val="13"/>
          <w:color w:val="auto"/>
        </w:rPr>
        <w:t xml:space="preserve"> for </w:t>
      </w:r>
      <w:r>
        <w:rPr>
          <w:rFonts w:ascii="Arial" w:cs="Arial" w:eastAsia="Arial" w:hAnsi="Arial"/>
          <w:sz w:val="13"/>
          <w:szCs w:val="13"/>
          <w:b w:val="1"/>
          <w:bCs w:val="1"/>
          <w:color w:val="auto"/>
        </w:rPr>
        <w:t>$259.1M</w:t>
      </w:r>
      <w:r>
        <w:rPr>
          <w:rFonts w:ascii="Arial" w:cs="Arial" w:eastAsia="Arial" w:hAnsi="Arial"/>
          <w:sz w:val="13"/>
          <w:szCs w:val="13"/>
          <w:color w:val="auto"/>
        </w:rPr>
        <w:t xml:space="preserve"> at an </w:t>
      </w:r>
      <w:r>
        <w:rPr>
          <w:rFonts w:ascii="Arial" w:cs="Arial" w:eastAsia="Arial" w:hAnsi="Arial"/>
          <w:sz w:val="13"/>
          <w:szCs w:val="13"/>
          <w:b w:val="1"/>
          <w:bCs w:val="1"/>
          <w:color w:val="auto"/>
        </w:rPr>
        <w:t>average price of 99.5% of</w:t>
      </w:r>
      <w:r>
        <w:rPr>
          <w:rFonts w:ascii="Arial" w:cs="Arial" w:eastAsia="Arial" w:hAnsi="Arial"/>
          <w:sz w:val="13"/>
          <w:szCs w:val="13"/>
          <w:color w:val="auto"/>
        </w:rPr>
        <w:t xml:space="preserve"> </w:t>
      </w:r>
      <w:r>
        <w:rPr>
          <w:rFonts w:ascii="Arial" w:cs="Arial" w:eastAsia="Arial" w:hAnsi="Arial"/>
          <w:sz w:val="13"/>
          <w:szCs w:val="13"/>
          <w:b w:val="1"/>
          <w:bCs w:val="1"/>
          <w:color w:val="auto"/>
        </w:rPr>
        <w:t>book value</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MAY</w:t>
      </w:r>
    </w:p>
    <w:p>
      <w:pPr>
        <w:spacing w:after="0" w:line="67" w:lineRule="exact"/>
        <w:rPr>
          <w:sz w:val="20"/>
          <w:szCs w:val="20"/>
          <w:color w:val="auto"/>
        </w:rPr>
      </w:pPr>
    </w:p>
    <w:p>
      <w:pPr>
        <w:ind w:left="1400" w:right="3380" w:hanging="299"/>
        <w:spacing w:after="0" w:line="284" w:lineRule="auto"/>
        <w:tabs>
          <w:tab w:leader="none" w:pos="1305" w:val="left"/>
        </w:tabs>
        <w:numPr>
          <w:ilvl w:val="0"/>
          <w:numId w:val="66"/>
        </w:numPr>
        <w:rPr>
          <w:rFonts w:ascii="Arial" w:cs="Arial" w:eastAsia="Arial" w:hAnsi="Arial"/>
          <w:sz w:val="13"/>
          <w:szCs w:val="13"/>
          <w:color w:val="355A89"/>
        </w:rPr>
      </w:pPr>
      <w:r>
        <w:rPr>
          <w:rFonts w:ascii="Arial" w:cs="Arial" w:eastAsia="Arial" w:hAnsi="Arial"/>
          <w:sz w:val="13"/>
          <w:szCs w:val="13"/>
          <w:b w:val="1"/>
          <w:bCs w:val="1"/>
          <w:color w:val="auto"/>
        </w:rPr>
        <w:t xml:space="preserve">Sold </w:t>
      </w:r>
      <w:r>
        <w:rPr>
          <w:rFonts w:ascii="Arial" w:cs="Arial" w:eastAsia="Arial" w:hAnsi="Arial"/>
          <w:sz w:val="13"/>
          <w:szCs w:val="13"/>
          <w:color w:val="auto"/>
        </w:rPr>
        <w:t>repositioned</w:t>
      </w:r>
      <w:r>
        <w:rPr>
          <w:rFonts w:ascii="Arial" w:cs="Arial" w:eastAsia="Arial" w:hAnsi="Arial"/>
          <w:sz w:val="13"/>
          <w:szCs w:val="13"/>
          <w:b w:val="1"/>
          <w:bCs w:val="1"/>
          <w:color w:val="auto"/>
        </w:rPr>
        <w:t xml:space="preserve"> 609 Fifth Avenue </w:t>
      </w:r>
      <w:r>
        <w:rPr>
          <w:rFonts w:ascii="Arial" w:cs="Arial" w:eastAsia="Arial" w:hAnsi="Arial"/>
          <w:sz w:val="13"/>
          <w:szCs w:val="13"/>
          <w:color w:val="auto"/>
        </w:rPr>
        <w:t xml:space="preserve">retail condominium for </w:t>
      </w:r>
      <w:r>
        <w:rPr>
          <w:rFonts w:ascii="Arial" w:cs="Arial" w:eastAsia="Arial" w:hAnsi="Arial"/>
          <w:sz w:val="13"/>
          <w:szCs w:val="13"/>
          <w:b w:val="1"/>
          <w:bCs w:val="1"/>
          <w:color w:val="auto"/>
        </w:rPr>
        <w:t>$168.0M</w:t>
      </w:r>
    </w:p>
    <w:p>
      <w:pPr>
        <w:spacing w:after="0" w:line="200" w:lineRule="exact"/>
        <w:rPr>
          <w:sz w:val="20"/>
          <w:szCs w:val="20"/>
          <w:color w:val="auto"/>
        </w:rPr>
      </w:pPr>
    </w:p>
    <w:p>
      <w:pPr>
        <w:spacing w:after="0" w:line="28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JUNE</w:t>
      </w:r>
    </w:p>
    <w:p>
      <w:pPr>
        <w:spacing w:after="0" w:line="80" w:lineRule="exact"/>
        <w:rPr>
          <w:sz w:val="20"/>
          <w:szCs w:val="20"/>
          <w:color w:val="auto"/>
        </w:rPr>
      </w:pPr>
    </w:p>
    <w:p>
      <w:pPr>
        <w:ind w:left="1400" w:right="3460" w:hanging="299"/>
        <w:spacing w:after="0" w:line="246" w:lineRule="auto"/>
        <w:tabs>
          <w:tab w:leader="none" w:pos="1305" w:val="left"/>
        </w:tabs>
        <w:numPr>
          <w:ilvl w:val="0"/>
          <w:numId w:val="67"/>
        </w:numPr>
        <w:rPr>
          <w:rFonts w:ascii="Arial" w:cs="Arial" w:eastAsia="Arial" w:hAnsi="Arial"/>
          <w:sz w:val="13"/>
          <w:szCs w:val="13"/>
          <w:color w:val="355A89"/>
        </w:rPr>
      </w:pPr>
      <w:r>
        <w:rPr>
          <w:rFonts w:ascii="Arial" w:cs="Arial" w:eastAsia="Arial" w:hAnsi="Arial"/>
          <w:sz w:val="13"/>
          <w:szCs w:val="13"/>
          <w:b w:val="1"/>
          <w:bCs w:val="1"/>
          <w:color w:val="auto"/>
        </w:rPr>
        <w:t xml:space="preserve">Sold </w:t>
      </w:r>
      <w:r>
        <w:rPr>
          <w:rFonts w:ascii="Arial" w:cs="Arial" w:eastAsia="Arial" w:hAnsi="Arial"/>
          <w:sz w:val="13"/>
          <w:szCs w:val="13"/>
          <w:color w:val="auto"/>
        </w:rPr>
        <w:t>49.5% joint venture interest in</w:t>
      </w:r>
      <w:r>
        <w:rPr>
          <w:rFonts w:ascii="Arial" w:cs="Arial" w:eastAsia="Arial" w:hAnsi="Arial"/>
          <w:sz w:val="13"/>
          <w:szCs w:val="13"/>
          <w:b w:val="1"/>
          <w:bCs w:val="1"/>
          <w:color w:val="auto"/>
        </w:rPr>
        <w:t xml:space="preserve"> One Madison Avenue</w:t>
      </w:r>
      <w:r>
        <w:rPr>
          <w:rFonts w:ascii="Arial" w:cs="Arial" w:eastAsia="Arial" w:hAnsi="Arial"/>
          <w:sz w:val="13"/>
          <w:szCs w:val="13"/>
          <w:color w:val="auto"/>
        </w:rPr>
        <w:t>, a</w:t>
      </w:r>
      <w:r>
        <w:rPr>
          <w:rFonts w:ascii="Arial" w:cs="Arial" w:eastAsia="Arial" w:hAnsi="Arial"/>
          <w:sz w:val="13"/>
          <w:szCs w:val="13"/>
          <w:b w:val="1"/>
          <w:bCs w:val="1"/>
          <w:color w:val="auto"/>
        </w:rPr>
        <w:t xml:space="preserve"> $2.3B project</w:t>
      </w:r>
    </w:p>
    <w:p>
      <w:pPr>
        <w:spacing w:after="0" w:line="1" w:lineRule="exact"/>
        <w:rPr>
          <w:rFonts w:ascii="Arial" w:cs="Arial" w:eastAsia="Arial" w:hAnsi="Arial"/>
          <w:sz w:val="13"/>
          <w:szCs w:val="13"/>
          <w:color w:val="355A89"/>
        </w:rPr>
      </w:pPr>
    </w:p>
    <w:p>
      <w:pPr>
        <w:ind w:left="1400" w:right="3340" w:hanging="299"/>
        <w:spacing w:after="0" w:line="258" w:lineRule="auto"/>
        <w:tabs>
          <w:tab w:leader="none" w:pos="1305" w:val="left"/>
        </w:tabs>
        <w:numPr>
          <w:ilvl w:val="0"/>
          <w:numId w:val="67"/>
        </w:numPr>
        <w:rPr>
          <w:rFonts w:ascii="Arial" w:cs="Arial" w:eastAsia="Arial" w:hAnsi="Arial"/>
          <w:sz w:val="13"/>
          <w:szCs w:val="13"/>
          <w:color w:val="355A89"/>
        </w:rPr>
      </w:pPr>
      <w:r>
        <w:rPr>
          <w:rFonts w:ascii="Arial" w:cs="Arial" w:eastAsia="Arial" w:hAnsi="Arial"/>
          <w:sz w:val="13"/>
          <w:szCs w:val="13"/>
          <w:b w:val="1"/>
          <w:bCs w:val="1"/>
          <w:color w:val="auto"/>
        </w:rPr>
        <w:t>100% of SLG corporate employees return to headquarters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SEPTEMBER</w:t>
      </w:r>
    </w:p>
    <w:p>
      <w:pPr>
        <w:spacing w:after="0" w:line="67" w:lineRule="exact"/>
        <w:rPr>
          <w:sz w:val="20"/>
          <w:szCs w:val="20"/>
          <w:color w:val="auto"/>
        </w:rPr>
      </w:pPr>
    </w:p>
    <w:p>
      <w:pPr>
        <w:ind w:left="1400" w:right="3760" w:hanging="299"/>
        <w:spacing w:after="0" w:line="284" w:lineRule="auto"/>
        <w:tabs>
          <w:tab w:leader="none" w:pos="1305" w:val="left"/>
        </w:tabs>
        <w:numPr>
          <w:ilvl w:val="0"/>
          <w:numId w:val="68"/>
        </w:numPr>
        <w:rPr>
          <w:rFonts w:ascii="Arial" w:cs="Arial" w:eastAsia="Arial" w:hAnsi="Arial"/>
          <w:sz w:val="13"/>
          <w:szCs w:val="13"/>
          <w:color w:val="355A89"/>
        </w:rPr>
      </w:pPr>
      <w:r>
        <w:rPr>
          <w:rFonts w:ascii="Arial" w:cs="Arial" w:eastAsia="Arial" w:hAnsi="Arial"/>
          <w:sz w:val="13"/>
          <w:szCs w:val="13"/>
          <w:b w:val="1"/>
          <w:bCs w:val="1"/>
          <w:color w:val="auto"/>
        </w:rPr>
        <w:t xml:space="preserve">Sold 400 East 58th Street </w:t>
      </w:r>
      <w:r>
        <w:rPr>
          <w:rFonts w:ascii="Arial" w:cs="Arial" w:eastAsia="Arial" w:hAnsi="Arial"/>
          <w:sz w:val="13"/>
          <w:szCs w:val="13"/>
          <w:color w:val="auto"/>
        </w:rPr>
        <w:t>for</w:t>
      </w:r>
      <w:r>
        <w:rPr>
          <w:rFonts w:ascii="Arial" w:cs="Arial" w:eastAsia="Arial" w:hAnsi="Arial"/>
          <w:sz w:val="13"/>
          <w:szCs w:val="13"/>
          <w:b w:val="1"/>
          <w:bCs w:val="1"/>
          <w:color w:val="auto"/>
        </w:rPr>
        <w:t xml:space="preserve"> $62.0M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DECEMBER</w:t>
      </w:r>
    </w:p>
    <w:p>
      <w:pPr>
        <w:spacing w:after="0" w:line="80" w:lineRule="exact"/>
        <w:rPr>
          <w:sz w:val="20"/>
          <w:szCs w:val="20"/>
          <w:color w:val="auto"/>
        </w:rPr>
      </w:pPr>
    </w:p>
    <w:p>
      <w:pPr>
        <w:ind w:left="1400" w:right="3300" w:hanging="299"/>
        <w:spacing w:after="0" w:line="261" w:lineRule="auto"/>
        <w:tabs>
          <w:tab w:leader="none" w:pos="1305" w:val="left"/>
        </w:tabs>
        <w:numPr>
          <w:ilvl w:val="0"/>
          <w:numId w:val="69"/>
        </w:numPr>
        <w:rPr>
          <w:rFonts w:ascii="Arial" w:cs="Arial" w:eastAsia="Arial" w:hAnsi="Arial"/>
          <w:sz w:val="13"/>
          <w:szCs w:val="13"/>
          <w:color w:val="355A89"/>
        </w:rPr>
      </w:pPr>
      <w:r>
        <w:rPr>
          <w:rFonts w:ascii="Arial" w:cs="Arial" w:eastAsia="Arial" w:hAnsi="Arial"/>
          <w:sz w:val="13"/>
          <w:szCs w:val="13"/>
          <w:b w:val="1"/>
          <w:bCs w:val="1"/>
          <w:color w:val="auto"/>
        </w:rPr>
        <w:t xml:space="preserve">Sold 410 Tenth Avenue </w:t>
      </w:r>
      <w:r>
        <w:rPr>
          <w:rFonts w:ascii="Arial" w:cs="Arial" w:eastAsia="Arial" w:hAnsi="Arial"/>
          <w:sz w:val="13"/>
          <w:szCs w:val="13"/>
          <w:color w:val="auto"/>
        </w:rPr>
        <w:t>for</w:t>
      </w:r>
      <w:r>
        <w:rPr>
          <w:rFonts w:ascii="Arial" w:cs="Arial" w:eastAsia="Arial" w:hAnsi="Arial"/>
          <w:sz w:val="13"/>
          <w:szCs w:val="13"/>
          <w:b w:val="1"/>
          <w:bCs w:val="1"/>
          <w:color w:val="auto"/>
        </w:rPr>
        <w:t xml:space="preserve"> $952.5M</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largest U.S. commercial property sale since March 2020</w:t>
      </w:r>
    </w:p>
    <w:p>
      <w:pPr>
        <w:spacing w:after="0" w:line="65" w:lineRule="exact"/>
        <w:rPr>
          <w:rFonts w:ascii="Arial" w:cs="Arial" w:eastAsia="Arial" w:hAnsi="Arial"/>
          <w:sz w:val="13"/>
          <w:szCs w:val="13"/>
          <w:color w:val="355A89"/>
        </w:rPr>
      </w:pPr>
    </w:p>
    <w:p>
      <w:pPr>
        <w:ind w:left="1400" w:right="3280" w:hanging="299"/>
        <w:spacing w:after="0" w:line="251" w:lineRule="auto"/>
        <w:tabs>
          <w:tab w:leader="none" w:pos="1305" w:val="left"/>
        </w:tabs>
        <w:numPr>
          <w:ilvl w:val="0"/>
          <w:numId w:val="69"/>
        </w:numPr>
        <w:rPr>
          <w:rFonts w:ascii="Arial" w:cs="Arial" w:eastAsia="Arial" w:hAnsi="Arial"/>
          <w:sz w:val="13"/>
          <w:szCs w:val="13"/>
          <w:color w:val="355A89"/>
        </w:rPr>
      </w:pPr>
      <w:r>
        <w:rPr>
          <w:rFonts w:ascii="Arial" w:cs="Arial" w:eastAsia="Arial" w:hAnsi="Arial"/>
          <w:sz w:val="13"/>
          <w:szCs w:val="13"/>
          <w:b w:val="1"/>
          <w:bCs w:val="1"/>
          <w:color w:val="auto"/>
        </w:rPr>
        <w:t xml:space="preserve">Increased annual Ordinary Dividend by 2.8% </w:t>
      </w:r>
      <w:r>
        <w:rPr>
          <w:rFonts w:ascii="Arial" w:cs="Arial" w:eastAsia="Arial" w:hAnsi="Arial"/>
          <w:sz w:val="13"/>
          <w:szCs w:val="13"/>
          <w:color w:val="auto"/>
        </w:rPr>
        <w:t>and announced a</w:t>
      </w:r>
    </w:p>
    <w:p>
      <w:pPr>
        <w:ind w:left="1400" w:right="3600"/>
        <w:spacing w:after="0" w:line="258" w:lineRule="auto"/>
        <w:rPr>
          <w:rFonts w:ascii="Arial" w:cs="Arial" w:eastAsia="Arial" w:hAnsi="Arial"/>
          <w:sz w:val="13"/>
          <w:szCs w:val="13"/>
          <w:color w:val="355A89"/>
        </w:rPr>
      </w:pPr>
      <w:r>
        <w:rPr>
          <w:rFonts w:ascii="Arial" w:cs="Arial" w:eastAsia="Arial" w:hAnsi="Arial"/>
          <w:sz w:val="13"/>
          <w:szCs w:val="13"/>
          <w:b w:val="1"/>
          <w:bCs w:val="1"/>
          <w:color w:val="auto"/>
        </w:rPr>
        <w:t>Special Dividend of $1.70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55A89"/>
        </w:rPr>
        <w:t>Redevelopment / Development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MARCH</w:t>
      </w:r>
    </w:p>
    <w:p>
      <w:pPr>
        <w:spacing w:after="0" w:line="67" w:lineRule="exact"/>
        <w:rPr>
          <w:sz w:val="20"/>
          <w:szCs w:val="20"/>
          <w:color w:val="auto"/>
        </w:rPr>
      </w:pPr>
    </w:p>
    <w:p>
      <w:pPr>
        <w:ind w:left="580" w:right="780" w:hanging="315"/>
        <w:spacing w:after="0" w:line="253" w:lineRule="auto"/>
        <w:tabs>
          <w:tab w:leader="none" w:pos="485" w:val="left"/>
        </w:tabs>
        <w:numPr>
          <w:ilvl w:val="0"/>
          <w:numId w:val="70"/>
        </w:numPr>
        <w:rPr>
          <w:rFonts w:ascii="Arial" w:cs="Arial" w:eastAsia="Arial" w:hAnsi="Arial"/>
          <w:sz w:val="13"/>
          <w:szCs w:val="13"/>
          <w:color w:val="355A89"/>
        </w:rPr>
      </w:pPr>
      <w:r>
        <w:rPr>
          <w:rFonts w:ascii="Arial" w:cs="Arial" w:eastAsia="Arial" w:hAnsi="Arial"/>
          <w:sz w:val="13"/>
          <w:szCs w:val="13"/>
          <w:color w:val="auto"/>
        </w:rPr>
        <w:t xml:space="preserve">Announced development of </w:t>
      </w:r>
      <w:r>
        <w:rPr>
          <w:rFonts w:ascii="Arial" w:cs="Arial" w:eastAsia="Arial" w:hAnsi="Arial"/>
          <w:sz w:val="13"/>
          <w:szCs w:val="13"/>
          <w:b w:val="1"/>
          <w:bCs w:val="1"/>
          <w:color w:val="auto"/>
        </w:rPr>
        <w:t>new 215K</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sq. foot building </w:t>
      </w:r>
      <w:r>
        <w:rPr>
          <w:rFonts w:ascii="Arial" w:cs="Arial" w:eastAsia="Arial" w:hAnsi="Arial"/>
          <w:sz w:val="13"/>
          <w:szCs w:val="13"/>
          <w:color w:val="auto"/>
        </w:rPr>
        <w:t>at</w:t>
      </w:r>
      <w:r>
        <w:rPr>
          <w:rFonts w:ascii="Arial" w:cs="Arial" w:eastAsia="Arial" w:hAnsi="Arial"/>
          <w:sz w:val="13"/>
          <w:szCs w:val="13"/>
          <w:b w:val="1"/>
          <w:bCs w:val="1"/>
          <w:color w:val="auto"/>
        </w:rPr>
        <w:t xml:space="preserve"> 15 Beekman</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home to future Pace U. academic center</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APRIL</w:t>
      </w:r>
    </w:p>
    <w:p>
      <w:pPr>
        <w:spacing w:after="0" w:line="67" w:lineRule="exact"/>
        <w:rPr>
          <w:sz w:val="20"/>
          <w:szCs w:val="20"/>
          <w:color w:val="auto"/>
        </w:rPr>
      </w:pPr>
    </w:p>
    <w:p>
      <w:pPr>
        <w:ind w:left="580" w:right="880" w:hanging="315"/>
        <w:spacing w:after="0" w:line="249" w:lineRule="auto"/>
        <w:tabs>
          <w:tab w:leader="none" w:pos="485" w:val="left"/>
        </w:tabs>
        <w:numPr>
          <w:ilvl w:val="0"/>
          <w:numId w:val="71"/>
        </w:numPr>
        <w:rPr>
          <w:rFonts w:ascii="Arial" w:cs="Arial" w:eastAsia="Arial" w:hAnsi="Arial"/>
          <w:sz w:val="13"/>
          <w:szCs w:val="13"/>
          <w:color w:val="355A89"/>
        </w:rPr>
      </w:pPr>
      <w:r>
        <w:rPr>
          <w:rFonts w:ascii="Arial" w:cs="Arial" w:eastAsia="Arial" w:hAnsi="Arial"/>
          <w:sz w:val="13"/>
          <w:szCs w:val="13"/>
          <w:b w:val="1"/>
          <w:bCs w:val="1"/>
          <w:color w:val="auto"/>
        </w:rPr>
        <w:t xml:space="preserve">Announced the “$1 Billion Dollar Plan” </w:t>
      </w:r>
      <w:r>
        <w:rPr>
          <w:rFonts w:ascii="Arial" w:cs="Arial" w:eastAsia="Arial" w:hAnsi="Arial"/>
          <w:sz w:val="13"/>
          <w:szCs w:val="13"/>
          <w:color w:val="auto"/>
        </w:rPr>
        <w:t>to amass at least $1.0 Billion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strategic cash reserve by June 30, 2020 – </w:t>
      </w:r>
      <w:r>
        <w:rPr>
          <w:rFonts w:ascii="Arial" w:cs="Arial" w:eastAsia="Arial" w:hAnsi="Arial"/>
          <w:sz w:val="13"/>
          <w:szCs w:val="13"/>
          <w:b w:val="1"/>
          <w:bCs w:val="1"/>
          <w:color w:val="auto"/>
        </w:rPr>
        <w:t>Achieved Plan 30 days</w:t>
      </w:r>
      <w:r>
        <w:rPr>
          <w:rFonts w:ascii="Arial" w:cs="Arial" w:eastAsia="Arial" w:hAnsi="Arial"/>
          <w:sz w:val="13"/>
          <w:szCs w:val="13"/>
          <w:color w:val="auto"/>
        </w:rPr>
        <w:t xml:space="preserve"> </w:t>
      </w:r>
      <w:r>
        <w:rPr>
          <w:rFonts w:ascii="Arial" w:cs="Arial" w:eastAsia="Arial" w:hAnsi="Arial"/>
          <w:sz w:val="13"/>
          <w:szCs w:val="13"/>
          <w:b w:val="1"/>
          <w:bCs w:val="1"/>
          <w:color w:val="auto"/>
        </w:rPr>
        <w:t>ahead of schedule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MAY</w:t>
      </w:r>
    </w:p>
    <w:p>
      <w:pPr>
        <w:spacing w:after="0" w:line="80" w:lineRule="exact"/>
        <w:rPr>
          <w:sz w:val="20"/>
          <w:szCs w:val="20"/>
          <w:color w:val="auto"/>
        </w:rPr>
      </w:pPr>
    </w:p>
    <w:p>
      <w:pPr>
        <w:ind w:left="580" w:right="1240" w:hanging="315"/>
        <w:spacing w:after="0" w:line="284" w:lineRule="auto"/>
        <w:tabs>
          <w:tab w:leader="none" w:pos="485" w:val="left"/>
        </w:tabs>
        <w:numPr>
          <w:ilvl w:val="0"/>
          <w:numId w:val="72"/>
        </w:numPr>
        <w:rPr>
          <w:rFonts w:ascii="Arial" w:cs="Arial" w:eastAsia="Arial" w:hAnsi="Arial"/>
          <w:sz w:val="13"/>
          <w:szCs w:val="13"/>
          <w:color w:val="355A89"/>
        </w:rPr>
      </w:pPr>
      <w:r>
        <w:rPr>
          <w:rFonts w:ascii="Arial" w:cs="Arial" w:eastAsia="Arial" w:hAnsi="Arial"/>
          <w:sz w:val="13"/>
          <w:szCs w:val="13"/>
          <w:b w:val="1"/>
          <w:bCs w:val="1"/>
          <w:color w:val="auto"/>
        </w:rPr>
        <w:t>Restarted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SEPTEMBER</w:t>
      </w:r>
    </w:p>
    <w:p>
      <w:pPr>
        <w:spacing w:after="0" w:line="67" w:lineRule="exact"/>
        <w:rPr>
          <w:sz w:val="20"/>
          <w:szCs w:val="20"/>
          <w:color w:val="auto"/>
        </w:rPr>
      </w:pPr>
    </w:p>
    <w:p>
      <w:pPr>
        <w:ind w:left="580" w:right="840" w:hanging="315"/>
        <w:spacing w:after="0" w:line="261" w:lineRule="auto"/>
        <w:tabs>
          <w:tab w:leader="none" w:pos="485" w:val="left"/>
        </w:tabs>
        <w:numPr>
          <w:ilvl w:val="0"/>
          <w:numId w:val="73"/>
        </w:numPr>
        <w:rPr>
          <w:rFonts w:ascii="Arial" w:cs="Arial" w:eastAsia="Arial" w:hAnsi="Arial"/>
          <w:sz w:val="13"/>
          <w:szCs w:val="13"/>
          <w:color w:val="355A89"/>
        </w:rPr>
      </w:pPr>
      <w:r>
        <w:rPr>
          <w:rFonts w:ascii="Arial" w:cs="Arial" w:eastAsia="Arial" w:hAnsi="Arial"/>
          <w:sz w:val="13"/>
          <w:szCs w:val="13"/>
          <w:b w:val="1"/>
          <w:bCs w:val="1"/>
          <w:color w:val="auto"/>
        </w:rPr>
        <w:t>Opened One Vanderbilt</w:t>
      </w:r>
      <w:r>
        <w:rPr>
          <w:rFonts w:ascii="Arial" w:cs="Arial" w:eastAsia="Arial" w:hAnsi="Arial"/>
          <w:sz w:val="13"/>
          <w:szCs w:val="13"/>
          <w:color w:val="auto"/>
        </w:rPr>
        <w:t>, NYC’s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second tallest office building, </w:t>
      </w:r>
      <w:r>
        <w:rPr>
          <w:rFonts w:ascii="Arial" w:cs="Arial" w:eastAsia="Arial" w:hAnsi="Arial"/>
          <w:sz w:val="13"/>
          <w:szCs w:val="13"/>
          <w:b w:val="1"/>
          <w:bCs w:val="1"/>
          <w:color w:val="auto"/>
        </w:rPr>
        <w:t>ahead</w:t>
      </w:r>
      <w:r>
        <w:rPr>
          <w:rFonts w:ascii="Arial" w:cs="Arial" w:eastAsia="Arial" w:hAnsi="Arial"/>
          <w:sz w:val="13"/>
          <w:szCs w:val="13"/>
          <w:color w:val="auto"/>
        </w:rPr>
        <w:t xml:space="preserve"> </w:t>
      </w:r>
      <w:r>
        <w:rPr>
          <w:rFonts w:ascii="Arial" w:cs="Arial" w:eastAsia="Arial" w:hAnsi="Arial"/>
          <w:sz w:val="13"/>
          <w:szCs w:val="13"/>
          <w:b w:val="1"/>
          <w:bCs w:val="1"/>
          <w:color w:val="auto"/>
        </w:rPr>
        <w:t>of schedule and under budget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SEPTEMBER</w:t>
      </w:r>
    </w:p>
    <w:p>
      <w:pPr>
        <w:spacing w:after="0" w:line="67" w:lineRule="exact"/>
        <w:rPr>
          <w:sz w:val="20"/>
          <w:szCs w:val="20"/>
          <w:color w:val="auto"/>
        </w:rPr>
      </w:pPr>
    </w:p>
    <w:p>
      <w:pPr>
        <w:ind w:left="580" w:right="940" w:hanging="315"/>
        <w:spacing w:after="0" w:line="246" w:lineRule="auto"/>
        <w:tabs>
          <w:tab w:leader="none" w:pos="485" w:val="left"/>
        </w:tabs>
        <w:numPr>
          <w:ilvl w:val="0"/>
          <w:numId w:val="74"/>
        </w:numPr>
        <w:rPr>
          <w:rFonts w:ascii="Arial" w:cs="Arial" w:eastAsia="Arial" w:hAnsi="Arial"/>
          <w:sz w:val="13"/>
          <w:szCs w:val="13"/>
          <w:color w:val="355A89"/>
        </w:rPr>
      </w:pPr>
      <w:r>
        <w:rPr>
          <w:rFonts w:ascii="Arial" w:cs="Arial" w:eastAsia="Arial" w:hAnsi="Arial"/>
          <w:sz w:val="13"/>
          <w:szCs w:val="13"/>
          <w:b w:val="1"/>
          <w:bCs w:val="1"/>
          <w:color w:val="auto"/>
        </w:rPr>
        <w:t>Topping off of 185 Broadway</w:t>
      </w:r>
      <w:r>
        <w:rPr>
          <w:rFonts w:ascii="Arial" w:cs="Arial" w:eastAsia="Arial" w:hAnsi="Arial"/>
          <w:sz w:val="13"/>
          <w:szCs w:val="13"/>
          <w:color w:val="auto"/>
        </w:rPr>
        <w:t>, first</w:t>
      </w:r>
      <w:r>
        <w:rPr>
          <w:rFonts w:ascii="Arial" w:cs="Arial" w:eastAsia="Arial" w:hAnsi="Arial"/>
          <w:sz w:val="13"/>
          <w:szCs w:val="13"/>
          <w:b w:val="1"/>
          <w:bCs w:val="1"/>
          <w:color w:val="auto"/>
        </w:rPr>
        <w:t xml:space="preserve"> </w:t>
      </w:r>
      <w:r>
        <w:rPr>
          <w:rFonts w:ascii="Arial" w:cs="Arial" w:eastAsia="Arial" w:hAnsi="Arial"/>
          <w:sz w:val="13"/>
          <w:szCs w:val="13"/>
          <w:color w:val="auto"/>
        </w:rPr>
        <w:t>residential project in Lower Manhattan to be built under</w:t>
      </w:r>
    </w:p>
    <w:p>
      <w:pPr>
        <w:spacing w:after="0" w:line="1" w:lineRule="exact"/>
        <w:rPr>
          <w:rFonts w:ascii="Arial" w:cs="Arial" w:eastAsia="Arial" w:hAnsi="Arial"/>
          <w:sz w:val="13"/>
          <w:szCs w:val="13"/>
          <w:color w:val="355A89"/>
        </w:rPr>
      </w:pPr>
    </w:p>
    <w:p>
      <w:pPr>
        <w:ind w:left="580"/>
        <w:spacing w:after="0"/>
        <w:rPr>
          <w:rFonts w:ascii="Arial" w:cs="Arial" w:eastAsia="Arial" w:hAnsi="Arial"/>
          <w:sz w:val="13"/>
          <w:szCs w:val="13"/>
          <w:color w:val="355A89"/>
        </w:rPr>
      </w:pPr>
      <w:r>
        <w:rPr>
          <w:rFonts w:ascii="Arial" w:cs="Arial" w:eastAsia="Arial" w:hAnsi="Arial"/>
          <w:sz w:val="13"/>
          <w:szCs w:val="13"/>
          <w:b w:val="1"/>
          <w:bCs w:val="1"/>
          <w:color w:val="auto"/>
        </w:rPr>
        <w:t>Affordable NY Housing Program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NOVEMBER</w:t>
      </w:r>
    </w:p>
    <w:p>
      <w:pPr>
        <w:spacing w:after="0" w:line="67" w:lineRule="exact"/>
        <w:rPr>
          <w:sz w:val="20"/>
          <w:szCs w:val="20"/>
          <w:color w:val="auto"/>
        </w:rPr>
      </w:pPr>
    </w:p>
    <w:p>
      <w:pPr>
        <w:ind w:left="580" w:right="820" w:hanging="315"/>
        <w:spacing w:after="0" w:line="253" w:lineRule="auto"/>
        <w:tabs>
          <w:tab w:leader="none" w:pos="485" w:val="left"/>
        </w:tabs>
        <w:numPr>
          <w:ilvl w:val="0"/>
          <w:numId w:val="75"/>
        </w:numPr>
        <w:rPr>
          <w:rFonts w:ascii="Arial" w:cs="Arial" w:eastAsia="Arial" w:hAnsi="Arial"/>
          <w:sz w:val="13"/>
          <w:szCs w:val="13"/>
          <w:color w:val="355A89"/>
        </w:rPr>
      </w:pPr>
      <w:r>
        <w:rPr>
          <w:rFonts w:ascii="Arial" w:cs="Arial" w:eastAsia="Arial" w:hAnsi="Arial"/>
          <w:sz w:val="13"/>
          <w:szCs w:val="13"/>
          <w:b w:val="1"/>
          <w:bCs w:val="1"/>
          <w:color w:val="auto"/>
        </w:rPr>
        <w:t xml:space="preserve">Commenced redevelopment </w:t>
      </w:r>
      <w:r>
        <w:rPr>
          <w:rFonts w:ascii="Arial" w:cs="Arial" w:eastAsia="Arial" w:hAnsi="Arial"/>
          <w:sz w:val="13"/>
          <w:szCs w:val="13"/>
          <w:color w:val="auto"/>
        </w:rPr>
        <w:t>of</w:t>
      </w:r>
      <w:r>
        <w:rPr>
          <w:rFonts w:ascii="Arial" w:cs="Arial" w:eastAsia="Arial" w:hAnsi="Arial"/>
          <w:sz w:val="13"/>
          <w:szCs w:val="13"/>
          <w:b w:val="1"/>
          <w:bCs w:val="1"/>
          <w:color w:val="auto"/>
        </w:rPr>
        <w:t xml:space="preserve"> One Madison Avenue</w:t>
      </w:r>
      <w:r>
        <w:rPr>
          <w:rFonts w:ascii="Arial" w:cs="Arial" w:eastAsia="Arial" w:hAnsi="Arial"/>
          <w:sz w:val="13"/>
          <w:szCs w:val="13"/>
          <w:color w:val="auto"/>
        </w:rPr>
        <w:t>, a premier</w:t>
      </w:r>
      <w:r>
        <w:rPr>
          <w:rFonts w:ascii="Arial" w:cs="Arial" w:eastAsia="Arial" w:hAnsi="Arial"/>
          <w:sz w:val="13"/>
          <w:szCs w:val="13"/>
          <w:b w:val="1"/>
          <w:bCs w:val="1"/>
          <w:color w:val="auto"/>
        </w:rPr>
        <w:t xml:space="preserve"> 1.4M sq. ft office tower </w:t>
      </w:r>
      <w:r>
        <w:rPr>
          <w:rFonts w:ascii="Arial" w:cs="Arial" w:eastAsia="Arial" w:hAnsi="Arial"/>
          <w:sz w:val="13"/>
          <w:szCs w:val="13"/>
          <w:color w:val="auto"/>
        </w:rPr>
        <w:t>that will anchor</w:t>
      </w:r>
      <w:r>
        <w:rPr>
          <w:rFonts w:ascii="Arial" w:cs="Arial" w:eastAsia="Arial" w:hAnsi="Arial"/>
          <w:sz w:val="13"/>
          <w:szCs w:val="13"/>
          <w:b w:val="1"/>
          <w:bCs w:val="1"/>
          <w:color w:val="auto"/>
        </w:rPr>
        <w:t xml:space="preserve"> </w:t>
      </w:r>
      <w:r>
        <w:rPr>
          <w:rFonts w:ascii="Arial" w:cs="Arial" w:eastAsia="Arial" w:hAnsi="Arial"/>
          <w:sz w:val="13"/>
          <w:szCs w:val="13"/>
          <w:color w:val="auto"/>
        </w:rPr>
        <w:t>Midtown South</w:t>
      </w:r>
    </w:p>
    <w:p>
      <w:pPr>
        <w:spacing w:after="0" w:line="1000" w:lineRule="exact"/>
        <w:rPr>
          <w:sz w:val="20"/>
          <w:szCs w:val="20"/>
          <w:color w:val="auto"/>
        </w:rPr>
      </w:pPr>
    </w:p>
    <w:p>
      <w:pPr>
        <w:sectPr>
          <w:pgSz w:w="11900" w:h="16838" w:orient="portrait"/>
          <w:cols w:equalWidth="0" w:num="2">
            <w:col w:w="6880" w:space="720"/>
            <w:col w:w="3560"/>
          </w:cols>
          <w:pgMar w:left="320" w:top="121" w:right="419" w:bottom="1440" w:gutter="0" w:footer="0" w:header="0"/>
          <w:type w:val="continuous"/>
        </w:sectPr>
      </w:pP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management’s actions, SL Green not only continued to pay its dividend in 2020, but also increase its annualized ordinary dividend at the beginning of 2021 by 2.8% to $3.64 per share, marking the tenth consecutive annual increase, and declared a special stock dividend of $1.70 per share in December 2020. And while SL Green initially paused its stock repurchase program in mid-March, the Company restarted the program in May 2020 and completed approximately $559.5 million of share repurchases and operating partnership unit redemptions in 2020, reflecting confidence in SL Green’s business resiliency and prospects for the future.</w:t>
      </w:r>
    </w:p>
    <w:p>
      <w:pPr>
        <w:spacing w:after="0" w:line="211" w:lineRule="exact"/>
        <w:rPr>
          <w:sz w:val="20"/>
          <w:szCs w:val="20"/>
          <w:color w:val="auto"/>
        </w:rPr>
      </w:pPr>
    </w:p>
    <w:p>
      <w:pPr>
        <w:ind w:left="300" w:hanging="292"/>
        <w:spacing w:after="0"/>
        <w:tabs>
          <w:tab w:leader="none" w:pos="300" w:val="left"/>
        </w:tabs>
        <w:numPr>
          <w:ilvl w:val="0"/>
          <w:numId w:val="76"/>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Compensation Committee Deliberations and Decisions in Response to COVID-19</w:t>
      </w:r>
    </w:p>
    <w:p>
      <w:pPr>
        <w:spacing w:after="0" w:line="23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January 2020, the Compensation Committee, or the Committee, developed and adopted targets for 2020 performance-based cash and equity incentives based on our strategic priorities at the time and expectations for 2020 performance as reflected in our publicly disclosed financial guidance. Over the next several months, with the onset and increasing intensity of the pandemic, it became clear that our strategic priorities for 2020 needed to shift significantly from those that were initially established, and that many of the assumptions and expectations underlying our financial guidance had significantly changed. In April 2020, the Company released revised financial guidance reflecting an overall reduction and a much wider range in expected FFO for 2020. As a result, the Committee recognized that the targets that had been initially adopted for our 2020 performance-based cash and equity incentives were unlikely to appropriately measure our executives’ performance for 2020.</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86591"/>
        </w:rPr>
        <w:t>No Changes to Annual and Long-Term Incentive Goals, Structure and Vesting</w:t>
      </w:r>
    </w:p>
    <w:p>
      <w:pPr>
        <w:spacing w:after="0" w:line="23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Throughout the year, the Committee evaluated several options including whether to make changes to the incentive structure to adjust 2020 performance-based targets to align with our revised financial guidance. Ultimately, the Committee determined not to adjust any of these targets or modify the structure of any outstanding performance-based compensation elements. Instead, the Committee decided to review our executives’ compensation on a holistic basis at the end of the year, at which point it could assess whether formulaic payouts were commensurate with the Company’s and executives’ achievements.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242424"/>
        </w:rPr>
        <w:t>Annual Cash Bonus</w:t>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At the end of 2020, the Committee assessed our performance relative to the goals established in January 2020 for the formulaic annual cash bonus program for our CEO and President. This assessment resulted in payouts for our CEO and President that were well below target and over 70% lower than the payouts for the previous year. Although the Committee did not revise any of the targets under the formulaic annual cash bonus program, the Committee did consider what the payouts would have been utilizing targets that more closely aligned with the revised financial guidance that we released in April 2020. If performance had been measured using these revised performance target, the overall payouts would have significantly exceeded target amounts.</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After significant deliberation, the Committee determined that simply relying on a formulaic determination of annual cash bonuses using the targets originally established in January 2020 would fail to recognize the efforts that our CEO and President undertook to ensure the success of the Company as well as the protection of long-term stockholder value in response to the challenges presented by the pandemic. The Committee recognized that the impact of SL Green’s strategic dispositions, active redevelopment / development projects and philanthropic actions would not be appropriately captured by the formulaic targets established prior to the onset of the COVID-19 pandemic, despite benefiting all stakeholders. However, the Committee also determined that, in light of the real short-term decline in our stock price and operating performance during 2020, it also would not be appropriate to provide for total bonuses in excess of target, notwithstanding that an evaluation of our performance as measured against our revised financial guidance might suggest that would be an appropriate result.</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Committee decided that, on balance, using the formulaic performance against the preset goals was an appropriate starting point, and that the resulting amounts should be supplemented to appropriately recognize management’s significant efforts that protected shareholder value in the face of the unprecedented challenges caused by the COVID-19 pandemic. Final annual bonuses awarded to Messrs. Holliday and Mathias for 2020, consisting of the earned formulaic amounts and additional discretionary amounts, equaled the target amounts established in January 2020. These amounts were approximately 22% lower for Mr. Holliday and 20% lower for Mr. Mathias than the annual cash bonus awards earned for 2019, which were determined on a 100% formulaic basis. Similarly, Messrs. DiLiberto and Levine received annual cash bonus amounts for 2020 that were approximately 5-10% lower than the amounts earned by each executive for 2019.</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242424"/>
        </w:rPr>
        <w:t>Annual Long-Term Incentive Program</w:t>
      </w:r>
    </w:p>
    <w:p>
      <w:pPr>
        <w:spacing w:after="0" w:line="23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Our annual long-term incentive program for 2020 included a performance-based award component and a time-based award component. The performance-based awards were granted on a prospective basis in January 2020, before the onset of the COVID-19 pandemic, and were intended to motivate our executives to achieve short-term operational goals while also building long-term shareholder returns. The time-based awards were granted in early 2021, with the value of the grants based on each executive’s target award amount and the performance of the Company and each executive during 2020.</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242424"/>
        </w:rPr>
        <w:t>Long-Term Incentive Program - 2020 Performance-Based Awards</w:t>
      </w:r>
    </w:p>
    <w:p>
      <w:pPr>
        <w:spacing w:after="0" w:line="235"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In line with its commitment to performance-based incentives, the Committee determined the amount of the annual time-based wards to be granted in early 2021 based on its assessment of the performance of the Company and each executive during 2020. In early 2021, the Committee determined the portion of these awards that were earned based on our</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operational performance in 2020 as compared to the performance targets initially established in early 2020. At that time, the Committee also decided not to make any adjustment to the TSR hurdles applicable to these awards, notwithstanding the adverse impact the COVID-19 pandemic was having on the ability to achieve these hurdles.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242424"/>
        </w:rPr>
        <w:t>Long-Term Incentive Program – 2020 Time-Based Awards</w:t>
      </w:r>
    </w:p>
    <w:p>
      <w:pPr>
        <w:spacing w:after="0" w:line="23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Consistent with the intended structure of the annual long-term incentive program, the Committee took into account the performance of the Company and each executive when determining the value of annual time-based awards for 2020, which were granted in early 2021. In making these time-based awards, the Committee also considered the impact of the COVID-19 pandemic on the value of the overall compensation received by each executive.</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determined to grant time-based equity awards to our CEO and President that were above target, primarily as a result of their performance during 2020 both in response to the COVID-19 pandemic and in achieving numerous other business goals, as well as the impact of the COVID-19 pandemic on other elements of their compensation for 2020. These equity awards, which derive their value purely from our stock performance, will focus our executives on TSR growth while also strengthening retention given the three-year vesting and additional post-vesting holding requirements of these awards.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242424"/>
        </w:rPr>
        <w:t>Aggregate Impact of Compensation Committee Decisions</w:t>
      </w:r>
    </w:p>
    <w:p>
      <w:pPr>
        <w:spacing w:after="0" w:line="23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overall result intended by the Committee, after factoring in the above-target, time-based equity awards and the impact of the pandemic on performance-based compensation elements, was an approximately 10% reduction in 2020 compensation as compared to 2019 compensation for each of our CEO and President. The Committee calculated this reduction based on the actual value of compensation for each year determined in the manner described below under “2020 CEO Compensation.” The Committee viewed this overall reduction as the appropriate balance between the continued motivation of our senior leadership, the recognition of our executives’ extraordinary achievements in very challenging circumstances and the decline in our stock price and operating performance during 2020.</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2020 Executive Compensation</w:t>
      </w:r>
    </w:p>
    <w:p>
      <w:pPr>
        <w:spacing w:after="0" w:line="233"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At the heart of our executive compensation philosophy is a commitment to variable, incentive-based pay that aligns shareholder value with the economic interests of our management team. For 2020, approximately 75% of our CEO’s compensation and approximately 66% of the annual compensation paid to our other named executive officers was in the form of multi-year time-based and performance-based equity grants.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Majority of 2020 Pay at Risk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70" w:type="dxa"/>
            <w:vAlign w:val="bottom"/>
            <w:shd w:val="clear" w:color="auto" w:fill="A3AAC4"/>
          </w:tcPr>
          <w:p>
            <w:pPr>
              <w:ind w:left="120"/>
              <w:spacing w:after="0"/>
              <w:rPr>
                <w:sz w:val="20"/>
                <w:szCs w:val="20"/>
                <w:color w:val="auto"/>
              </w:rPr>
            </w:pPr>
            <w:r>
              <w:rPr>
                <w:rFonts w:ascii="Arial" w:cs="Arial" w:eastAsia="Arial" w:hAnsi="Arial"/>
                <w:sz w:val="13"/>
                <w:szCs w:val="13"/>
                <w:b w:val="1"/>
                <w:bCs w:val="1"/>
                <w:color w:val="355A89"/>
              </w:rPr>
              <w:t>Chief Executive Officer Pay Mix</w:t>
            </w:r>
          </w:p>
        </w:tc>
        <w:tc>
          <w:tcPr>
            <w:tcW w:w="5570" w:type="dxa"/>
            <w:vAlign w:val="bottom"/>
            <w:shd w:val="clear" w:color="auto" w:fill="A3AAC4"/>
          </w:tcPr>
          <w:p>
            <w:pPr>
              <w:ind w:left="110"/>
              <w:spacing w:after="0"/>
              <w:rPr>
                <w:sz w:val="20"/>
                <w:szCs w:val="20"/>
                <w:color w:val="auto"/>
              </w:rPr>
            </w:pPr>
            <w:r>
              <w:rPr>
                <w:rFonts w:ascii="Arial" w:cs="Arial" w:eastAsia="Arial" w:hAnsi="Arial"/>
                <w:sz w:val="13"/>
                <w:szCs w:val="13"/>
                <w:b w:val="1"/>
                <w:bCs w:val="1"/>
                <w:color w:val="355A89"/>
              </w:rPr>
              <w:t>Other Named Executive Officer Pay Mix</w:t>
            </w:r>
          </w:p>
        </w:tc>
      </w:tr>
      <w:tr>
        <w:trPr>
          <w:trHeight w:val="2596"/>
        </w:trPr>
        <w:tc>
          <w:tcPr>
            <w:tcW w:w="5670" w:type="dxa"/>
            <w:vAlign w:val="bottom"/>
            <w:shd w:val="clear" w:color="auto" w:fill="A3AAC4"/>
          </w:tcPr>
          <w:p>
            <w:pPr>
              <w:spacing w:after="0"/>
              <w:rPr>
                <w:sz w:val="24"/>
                <w:szCs w:val="24"/>
                <w:color w:val="auto"/>
              </w:rPr>
            </w:pPr>
          </w:p>
        </w:tc>
        <w:tc>
          <w:tcPr>
            <w:tcW w:w="5570" w:type="dxa"/>
            <w:vAlign w:val="bottom"/>
            <w:shd w:val="clear" w:color="auto" w:fill="A3AAC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-1645285</wp:posOffset>
            </wp:positionV>
            <wp:extent cx="6978015" cy="1534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78015" cy="1534160"/>
                    </a:xfrm>
                    <a:prstGeom prst="rect">
                      <a:avLst/>
                    </a:prstGeom>
                    <a:noFill/>
                  </pic:spPr>
                </pic:pic>
              </a:graphicData>
            </a:graphic>
          </wp:anchor>
        </w:drawing>
      </w:r>
    </w:p>
    <w:p>
      <w:pPr>
        <w:spacing w:after="0" w:line="199" w:lineRule="exact"/>
        <w:rPr>
          <w:sz w:val="20"/>
          <w:szCs w:val="20"/>
          <w:color w:val="auto"/>
        </w:rPr>
      </w:pPr>
    </w:p>
    <w:p>
      <w:pPr>
        <w:ind w:left="300" w:hanging="292"/>
        <w:spacing w:after="0"/>
        <w:tabs>
          <w:tab w:leader="none" w:pos="300" w:val="left"/>
        </w:tabs>
        <w:numPr>
          <w:ilvl w:val="0"/>
          <w:numId w:val="77"/>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Majority of 2020 Compensation Paid in Equity</w:t>
      </w:r>
    </w:p>
    <w:p>
      <w:pPr>
        <w:spacing w:after="0" w:line="283" w:lineRule="exact"/>
        <w:rPr>
          <w:sz w:val="20"/>
          <w:szCs w:val="20"/>
          <w:color w:val="auto"/>
        </w:rPr>
      </w:pPr>
    </w:p>
    <w:p>
      <w:pPr>
        <w:ind w:left="7060"/>
        <w:spacing w:after="0"/>
        <w:tabs>
          <w:tab w:leader="none" w:pos="9460" w:val="left"/>
        </w:tabs>
        <w:rPr>
          <w:sz w:val="20"/>
          <w:szCs w:val="20"/>
          <w:color w:val="auto"/>
        </w:rPr>
      </w:pPr>
      <w:r>
        <w:rPr>
          <w:rFonts w:ascii="Arial" w:cs="Arial" w:eastAsia="Arial" w:hAnsi="Arial"/>
          <w:sz w:val="13"/>
          <w:szCs w:val="13"/>
          <w:b w:val="1"/>
          <w:bCs w:val="1"/>
          <w:color w:val="355A89"/>
        </w:rPr>
        <w:t>CEO</w:t>
      </w:r>
      <w:r>
        <w:rPr>
          <w:sz w:val="20"/>
          <w:szCs w:val="20"/>
          <w:color w:val="auto"/>
        </w:rPr>
        <w:tab/>
      </w:r>
      <w:r>
        <w:rPr>
          <w:rFonts w:ascii="Arial" w:cs="Arial" w:eastAsia="Arial" w:hAnsi="Arial"/>
          <w:sz w:val="13"/>
          <w:szCs w:val="13"/>
          <w:b w:val="1"/>
          <w:bCs w:val="1"/>
          <w:color w:val="355A89"/>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355A89"/>
        </w:rPr>
        <w:t>Equity Compensation</w:t>
      </w:r>
    </w:p>
    <w:p>
      <w:pPr>
        <w:spacing w:after="0" w:line="72" w:lineRule="exact"/>
        <w:rPr>
          <w:sz w:val="20"/>
          <w:szCs w:val="20"/>
          <w:color w:val="auto"/>
        </w:rPr>
      </w:pPr>
    </w:p>
    <w:p>
      <w:pPr>
        <w:ind w:left="240" w:hanging="232"/>
        <w:spacing w:after="0"/>
        <w:tabs>
          <w:tab w:leader="none" w:pos="240" w:val="left"/>
        </w:tabs>
        <w:numPr>
          <w:ilvl w:val="0"/>
          <w:numId w:val="78"/>
        </w:numPr>
        <w:rPr>
          <w:rFonts w:ascii="Arial" w:cs="Arial" w:eastAsia="Arial" w:hAnsi="Arial"/>
          <w:sz w:val="16"/>
          <w:szCs w:val="16"/>
          <w:color w:val="355A89"/>
        </w:rPr>
      </w:pPr>
      <w:r>
        <w:rPr>
          <w:rFonts w:ascii="Arial" w:cs="Arial" w:eastAsia="Arial" w:hAnsi="Arial"/>
          <w:sz w:val="16"/>
          <w:szCs w:val="16"/>
          <w:color w:val="auto"/>
        </w:rPr>
        <w:t>Performance-Based Equity Awards</w:t>
      </w:r>
    </w:p>
    <w:p>
      <w:pPr>
        <w:spacing w:after="0" w:line="86" w:lineRule="exact"/>
        <w:rPr>
          <w:rFonts w:ascii="Arial" w:cs="Arial" w:eastAsia="Arial" w:hAnsi="Arial"/>
          <w:sz w:val="16"/>
          <w:szCs w:val="16"/>
          <w:color w:val="355A89"/>
        </w:rPr>
      </w:pPr>
    </w:p>
    <w:p>
      <w:pPr>
        <w:ind w:left="240" w:hanging="232"/>
        <w:spacing w:after="0"/>
        <w:tabs>
          <w:tab w:leader="none" w:pos="240" w:val="left"/>
        </w:tabs>
        <w:numPr>
          <w:ilvl w:val="0"/>
          <w:numId w:val="78"/>
        </w:numPr>
        <w:rPr>
          <w:rFonts w:ascii="Arial" w:cs="Arial" w:eastAsia="Arial" w:hAnsi="Arial"/>
          <w:sz w:val="17"/>
          <w:szCs w:val="17"/>
          <w:color w:val="355A89"/>
        </w:rPr>
      </w:pPr>
      <w:r>
        <w:rPr>
          <w:rFonts w:ascii="Arial" w:cs="Arial" w:eastAsia="Arial" w:hAnsi="Arial"/>
          <w:sz w:val="18"/>
          <w:szCs w:val="18"/>
          <w:color w:val="auto"/>
        </w:rPr>
        <w:t>Time-Based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547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54755" cy="1714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355A89"/>
        </w:rPr>
        <w:t>Cash Compensation</w:t>
      </w:r>
    </w:p>
    <w:p>
      <w:pPr>
        <w:spacing w:after="0" w:line="72" w:lineRule="exact"/>
        <w:rPr>
          <w:sz w:val="20"/>
          <w:szCs w:val="20"/>
          <w:color w:val="auto"/>
        </w:rPr>
      </w:pPr>
    </w:p>
    <w:p>
      <w:pPr>
        <w:ind w:left="240" w:hanging="232"/>
        <w:spacing w:after="0"/>
        <w:tabs>
          <w:tab w:leader="none" w:pos="240" w:val="left"/>
        </w:tabs>
        <w:numPr>
          <w:ilvl w:val="0"/>
          <w:numId w:val="79"/>
        </w:numPr>
        <w:rPr>
          <w:rFonts w:ascii="Arial" w:cs="Arial" w:eastAsia="Arial" w:hAnsi="Arial"/>
          <w:sz w:val="17"/>
          <w:szCs w:val="17"/>
          <w:color w:val="355A89"/>
        </w:rPr>
      </w:pPr>
      <w:r>
        <w:rPr>
          <w:rFonts w:ascii="Arial" w:cs="Arial" w:eastAsia="Arial" w:hAnsi="Arial"/>
          <w:sz w:val="18"/>
          <w:szCs w:val="18"/>
          <w:color w:val="auto"/>
        </w:rPr>
        <w:t>Base Salary</w:t>
      </w:r>
    </w:p>
    <w:p>
      <w:pPr>
        <w:spacing w:after="0" w:line="63" w:lineRule="exact"/>
        <w:rPr>
          <w:rFonts w:ascii="Arial" w:cs="Arial" w:eastAsia="Arial" w:hAnsi="Arial"/>
          <w:sz w:val="17"/>
          <w:szCs w:val="17"/>
          <w:color w:val="355A89"/>
        </w:rPr>
      </w:pPr>
    </w:p>
    <w:p>
      <w:pPr>
        <w:ind w:left="240" w:hanging="232"/>
        <w:spacing w:after="0"/>
        <w:tabs>
          <w:tab w:leader="none" w:pos="240" w:val="left"/>
        </w:tabs>
        <w:numPr>
          <w:ilvl w:val="0"/>
          <w:numId w:val="79"/>
        </w:numPr>
        <w:rPr>
          <w:rFonts w:ascii="Arial" w:cs="Arial" w:eastAsia="Arial" w:hAnsi="Arial"/>
          <w:sz w:val="17"/>
          <w:szCs w:val="17"/>
          <w:color w:val="355A89"/>
        </w:rPr>
      </w:pPr>
      <w:r>
        <w:rPr>
          <w:rFonts w:ascii="Arial" w:cs="Arial" w:eastAsia="Arial" w:hAnsi="Arial"/>
          <w:sz w:val="18"/>
          <w:szCs w:val="18"/>
          <w:color w:val="auto"/>
        </w:rPr>
        <w:t>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547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7547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43"/>
          <w:szCs w:val="43"/>
          <w:b w:val="1"/>
          <w:bCs w:val="1"/>
          <w:color w:val="355A89"/>
        </w:rPr>
        <w:t>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53975</wp:posOffset>
            </wp:positionV>
            <wp:extent cx="133731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43"/>
          <w:szCs w:val="43"/>
          <w:b w:val="1"/>
          <w:bCs w:val="1"/>
          <w:color w:val="355A89"/>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53975</wp:posOffset>
            </wp:positionV>
            <wp:extent cx="13373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43"/>
          <w:szCs w:val="43"/>
          <w:b w:val="1"/>
          <w:bCs w:val="1"/>
          <w:color w:val="355A89"/>
        </w:rPr>
        <w:t>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53975</wp:posOffset>
            </wp:positionV>
            <wp:extent cx="17487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48790" cy="171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43"/>
          <w:szCs w:val="43"/>
          <w:b w:val="1"/>
          <w:bCs w:val="1"/>
          <w:color w:val="355A89"/>
        </w:rPr>
        <w:t>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53975</wp:posOffset>
            </wp:positionV>
            <wp:extent cx="17487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48790" cy="1714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3">
            <w:col w:w="5880" w:space="720"/>
            <w:col w:w="1940" w:space="720"/>
            <w:col w:w="1980"/>
          </w:cols>
          <w:pgMar w:left="320" w:top="121"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Components of Compensation for CEO and President</w:t>
      </w:r>
    </w:p>
    <w:p>
      <w:pPr>
        <w:spacing w:after="0" w:line="23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Beginning in January 2019 – when our Chief Executive Officer’s and our President’s new employment agreements became effective – their compensation was simplified with enhanced transparency and improved long-term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6" w:lineRule="exact"/>
        <w:rPr>
          <w:sz w:val="20"/>
          <w:szCs w:val="20"/>
          <w:color w:val="auto"/>
        </w:rPr>
      </w:pPr>
    </w:p>
    <w:p>
      <w:pPr>
        <w:ind w:left="1160"/>
        <w:spacing w:after="0"/>
        <w:tabs>
          <w:tab w:leader="none" w:pos="3240" w:val="left"/>
        </w:tabs>
        <w:rPr>
          <w:sz w:val="20"/>
          <w:szCs w:val="20"/>
          <w:color w:val="auto"/>
        </w:rPr>
      </w:pPr>
      <w:r>
        <w:rPr>
          <w:rFonts w:ascii="Arial" w:cs="Arial" w:eastAsia="Arial" w:hAnsi="Arial"/>
          <w:sz w:val="13"/>
          <w:szCs w:val="13"/>
          <w:b w:val="1"/>
          <w:bCs w:val="1"/>
          <w:color w:val="FFFFFF"/>
        </w:rPr>
        <w:t>Pay Element</w:t>
      </w:r>
      <w:r>
        <w:rPr>
          <w:sz w:val="20"/>
          <w:szCs w:val="20"/>
          <w:color w:val="auto"/>
        </w:rPr>
        <w:tab/>
      </w:r>
      <w:r>
        <w:rPr>
          <w:rFonts w:ascii="Arial" w:cs="Arial" w:eastAsia="Arial" w:hAnsi="Arial"/>
          <w:sz w:val="13"/>
          <w:szCs w:val="13"/>
          <w:b w:val="1"/>
          <w:bCs w:val="1"/>
          <w:color w:val="FFFFFF"/>
        </w:rPr>
        <w:t>Key Changes / Characteristics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00" w:type="dxa"/>
            <w:vAlign w:val="bottom"/>
            <w:vMerge w:val="restart"/>
            <w:shd w:val="clear" w:color="auto" w:fill="8089AD"/>
          </w:tcPr>
          <w:p>
            <w:pPr>
              <w:jc w:val="center"/>
              <w:spacing w:after="0"/>
              <w:rPr>
                <w:sz w:val="20"/>
                <w:szCs w:val="20"/>
                <w:color w:val="auto"/>
              </w:rPr>
            </w:pPr>
            <w:r>
              <w:rPr>
                <w:rFonts w:ascii="Arial" w:cs="Arial" w:eastAsia="Arial" w:hAnsi="Arial"/>
                <w:sz w:val="18"/>
                <w:szCs w:val="18"/>
                <w:b w:val="1"/>
                <w:bCs w:val="1"/>
                <w:color w:val="FFFFFF"/>
                <w:w w:val="97"/>
              </w:rPr>
              <w:t>Fixed</w:t>
            </w:r>
          </w:p>
        </w:tc>
        <w:tc>
          <w:tcPr>
            <w:tcW w:w="1920" w:type="dxa"/>
            <w:vAlign w:val="bottom"/>
            <w:vMerge w:val="restart"/>
            <w:shd w:val="clear" w:color="auto" w:fill="C2C5D9"/>
          </w:tcPr>
          <w:p>
            <w:pPr>
              <w:ind w:left="160"/>
              <w:spacing w:after="0"/>
              <w:rPr>
                <w:sz w:val="20"/>
                <w:szCs w:val="20"/>
                <w:color w:val="auto"/>
              </w:rPr>
            </w:pPr>
            <w:r>
              <w:rPr>
                <w:rFonts w:ascii="Arial" w:cs="Arial" w:eastAsia="Arial" w:hAnsi="Arial"/>
                <w:sz w:val="18"/>
                <w:szCs w:val="18"/>
                <w:color w:val="auto"/>
              </w:rPr>
              <w:t>Base Salary</w:t>
            </w:r>
          </w:p>
        </w:tc>
        <w:tc>
          <w:tcPr>
            <w:tcW w:w="300" w:type="dxa"/>
            <w:vAlign w:val="bottom"/>
          </w:tcPr>
          <w:p>
            <w:pPr>
              <w:ind w:left="140"/>
              <w:spacing w:after="0"/>
              <w:rPr>
                <w:sz w:val="20"/>
                <w:szCs w:val="20"/>
                <w:color w:val="auto"/>
              </w:rPr>
            </w:pPr>
            <w:r>
              <w:rPr>
                <w:rFonts w:ascii="Arial" w:cs="Arial" w:eastAsia="Arial" w:hAnsi="Arial"/>
                <w:sz w:val="17"/>
                <w:szCs w:val="17"/>
                <w:color w:val="355A89"/>
              </w:rPr>
              <w:t>●</w:t>
            </w:r>
          </w:p>
        </w:tc>
        <w:tc>
          <w:tcPr>
            <w:tcW w:w="7820" w:type="dxa"/>
            <w:vAlign w:val="bottom"/>
          </w:tcPr>
          <w:p>
            <w:pPr>
              <w:ind w:left="80"/>
              <w:spacing w:after="0"/>
              <w:rPr>
                <w:sz w:val="20"/>
                <w:szCs w:val="20"/>
                <w:color w:val="auto"/>
              </w:rPr>
            </w:pPr>
            <w:r>
              <w:rPr>
                <w:rFonts w:ascii="Arial" w:cs="Arial" w:eastAsia="Arial" w:hAnsi="Arial"/>
                <w:sz w:val="18"/>
                <w:szCs w:val="18"/>
                <w:color w:val="auto"/>
              </w:rPr>
              <w:t>Only fixed component of compensation awarded to our CEO and President, which reflects the</w:t>
            </w:r>
          </w:p>
        </w:tc>
        <w:tc>
          <w:tcPr>
            <w:tcW w:w="0" w:type="dxa"/>
            <w:vAlign w:val="bottom"/>
          </w:tcPr>
          <w:p>
            <w:pPr>
              <w:spacing w:after="0"/>
              <w:rPr>
                <w:sz w:val="1"/>
                <w:szCs w:val="1"/>
                <w:color w:val="auto"/>
              </w:rPr>
            </w:pPr>
          </w:p>
        </w:tc>
      </w:tr>
      <w:tr>
        <w:trPr>
          <w:trHeight w:val="206"/>
        </w:trPr>
        <w:tc>
          <w:tcPr>
            <w:tcW w:w="1200" w:type="dxa"/>
            <w:vAlign w:val="bottom"/>
            <w:vMerge w:val="continue"/>
            <w:shd w:val="clear" w:color="auto" w:fill="8089AD"/>
          </w:tcPr>
          <w:p>
            <w:pPr>
              <w:spacing w:after="0"/>
              <w:rPr>
                <w:sz w:val="17"/>
                <w:szCs w:val="17"/>
                <w:color w:val="auto"/>
              </w:rPr>
            </w:pPr>
          </w:p>
        </w:tc>
        <w:tc>
          <w:tcPr>
            <w:tcW w:w="1920" w:type="dxa"/>
            <w:vAlign w:val="bottom"/>
            <w:vMerge w:val="continue"/>
            <w:shd w:val="clear" w:color="auto" w:fill="C2C5D9"/>
          </w:tcPr>
          <w:p>
            <w:pPr>
              <w:spacing w:after="0"/>
              <w:rPr>
                <w:sz w:val="17"/>
                <w:szCs w:val="17"/>
                <w:color w:val="auto"/>
              </w:rPr>
            </w:pPr>
          </w:p>
        </w:tc>
        <w:tc>
          <w:tcPr>
            <w:tcW w:w="300" w:type="dxa"/>
            <w:vAlign w:val="bottom"/>
          </w:tcPr>
          <w:p>
            <w:pPr>
              <w:spacing w:after="0"/>
              <w:rPr>
                <w:sz w:val="17"/>
                <w:szCs w:val="17"/>
                <w:color w:val="auto"/>
              </w:rPr>
            </w:pPr>
          </w:p>
        </w:tc>
        <w:tc>
          <w:tcPr>
            <w:tcW w:w="7820" w:type="dxa"/>
            <w:vAlign w:val="bottom"/>
          </w:tcPr>
          <w:p>
            <w:pPr>
              <w:ind w:left="80"/>
              <w:spacing w:after="0"/>
              <w:rPr>
                <w:sz w:val="20"/>
                <w:szCs w:val="20"/>
                <w:color w:val="auto"/>
              </w:rPr>
            </w:pPr>
            <w:r>
              <w:rPr>
                <w:rFonts w:ascii="Arial" w:cs="Arial" w:eastAsia="Arial" w:hAnsi="Arial"/>
                <w:sz w:val="18"/>
                <w:szCs w:val="18"/>
                <w:color w:val="auto"/>
              </w:rPr>
              <w:t>scope of each executive officer’s duties and responsibilities taking into account the competitive</w:t>
            </w:r>
          </w:p>
        </w:tc>
        <w:tc>
          <w:tcPr>
            <w:tcW w:w="0" w:type="dxa"/>
            <w:vAlign w:val="bottom"/>
          </w:tcPr>
          <w:p>
            <w:pPr>
              <w:spacing w:after="0"/>
              <w:rPr>
                <w:sz w:val="1"/>
                <w:szCs w:val="1"/>
                <w:color w:val="auto"/>
              </w:rPr>
            </w:pPr>
          </w:p>
        </w:tc>
      </w:tr>
      <w:tr>
        <w:trPr>
          <w:trHeight w:val="220"/>
        </w:trPr>
        <w:tc>
          <w:tcPr>
            <w:tcW w:w="1200" w:type="dxa"/>
            <w:vAlign w:val="bottom"/>
            <w:tcBorders>
              <w:bottom w:val="single" w:sz="8" w:color="8089AD"/>
            </w:tcBorders>
            <w:shd w:val="clear" w:color="auto" w:fill="8089AD"/>
          </w:tcPr>
          <w:p>
            <w:pPr>
              <w:spacing w:after="0"/>
              <w:rPr>
                <w:sz w:val="19"/>
                <w:szCs w:val="19"/>
                <w:color w:val="auto"/>
              </w:rPr>
            </w:pPr>
          </w:p>
        </w:tc>
        <w:tc>
          <w:tcPr>
            <w:tcW w:w="1920" w:type="dxa"/>
            <w:vAlign w:val="bottom"/>
            <w:tcBorders>
              <w:bottom w:val="single" w:sz="8" w:color="8089AD"/>
            </w:tcBorders>
            <w:shd w:val="clear" w:color="auto" w:fill="C2C5D9"/>
          </w:tcPr>
          <w:p>
            <w:pPr>
              <w:spacing w:after="0"/>
              <w:rPr>
                <w:sz w:val="19"/>
                <w:szCs w:val="19"/>
                <w:color w:val="auto"/>
              </w:rPr>
            </w:pPr>
          </w:p>
        </w:tc>
        <w:tc>
          <w:tcPr>
            <w:tcW w:w="300" w:type="dxa"/>
            <w:vAlign w:val="bottom"/>
            <w:tcBorders>
              <w:bottom w:val="single" w:sz="8" w:color="8089AD"/>
            </w:tcBorders>
          </w:tcPr>
          <w:p>
            <w:pPr>
              <w:spacing w:after="0"/>
              <w:rPr>
                <w:sz w:val="19"/>
                <w:szCs w:val="19"/>
                <w:color w:val="auto"/>
              </w:rPr>
            </w:pPr>
          </w:p>
        </w:tc>
        <w:tc>
          <w:tcPr>
            <w:tcW w:w="7820" w:type="dxa"/>
            <w:vAlign w:val="bottom"/>
            <w:tcBorders>
              <w:bottom w:val="single" w:sz="8" w:color="8089AD"/>
            </w:tcBorders>
          </w:tcPr>
          <w:p>
            <w:pPr>
              <w:ind w:left="80"/>
              <w:spacing w:after="0"/>
              <w:rPr>
                <w:sz w:val="20"/>
                <w:szCs w:val="20"/>
                <w:color w:val="auto"/>
              </w:rPr>
            </w:pPr>
            <w:r>
              <w:rPr>
                <w:rFonts w:ascii="Arial" w:cs="Arial" w:eastAsia="Arial" w:hAnsi="Arial"/>
                <w:sz w:val="18"/>
                <w:szCs w:val="18"/>
                <w:color w:val="auto"/>
              </w:rPr>
              <w:t>market compensation paid by other companies for similar positions</w:t>
            </w:r>
          </w:p>
        </w:tc>
        <w:tc>
          <w:tcPr>
            <w:tcW w:w="0" w:type="dxa"/>
            <w:vAlign w:val="bottom"/>
          </w:tcPr>
          <w:p>
            <w:pPr>
              <w:spacing w:after="0"/>
              <w:rPr>
                <w:sz w:val="1"/>
                <w:szCs w:val="1"/>
                <w:color w:val="auto"/>
              </w:rPr>
            </w:pPr>
          </w:p>
        </w:tc>
      </w:tr>
      <w:tr>
        <w:trPr>
          <w:trHeight w:val="211"/>
        </w:trPr>
        <w:tc>
          <w:tcPr>
            <w:tcW w:w="1200" w:type="dxa"/>
            <w:vAlign w:val="bottom"/>
            <w:shd w:val="clear" w:color="auto" w:fill="959595"/>
          </w:tcPr>
          <w:p>
            <w:pPr>
              <w:jc w:val="center"/>
              <w:spacing w:after="0"/>
              <w:rPr>
                <w:sz w:val="20"/>
                <w:szCs w:val="20"/>
                <w:color w:val="auto"/>
              </w:rPr>
            </w:pPr>
            <w:r>
              <w:rPr>
                <w:rFonts w:ascii="Arial" w:cs="Arial" w:eastAsia="Arial" w:hAnsi="Arial"/>
                <w:sz w:val="18"/>
                <w:szCs w:val="18"/>
                <w:b w:val="1"/>
                <w:bCs w:val="1"/>
                <w:color w:val="FFFFFF"/>
                <w:w w:val="94"/>
              </w:rPr>
              <w:t>Annual</w:t>
            </w:r>
          </w:p>
        </w:tc>
        <w:tc>
          <w:tcPr>
            <w:tcW w:w="1920" w:type="dxa"/>
            <w:vAlign w:val="bottom"/>
            <w:vMerge w:val="restart"/>
            <w:shd w:val="clear" w:color="auto" w:fill="D6D6D6"/>
          </w:tcPr>
          <w:p>
            <w:pPr>
              <w:ind w:left="160"/>
              <w:spacing w:after="0"/>
              <w:rPr>
                <w:sz w:val="20"/>
                <w:szCs w:val="20"/>
                <w:color w:val="auto"/>
              </w:rPr>
            </w:pPr>
            <w:r>
              <w:rPr>
                <w:rFonts w:ascii="Arial" w:cs="Arial" w:eastAsia="Arial" w:hAnsi="Arial"/>
                <w:sz w:val="18"/>
                <w:szCs w:val="18"/>
                <w:color w:val="auto"/>
              </w:rPr>
              <w:t>Annual Cash Bonus</w:t>
            </w:r>
          </w:p>
        </w:tc>
        <w:tc>
          <w:tcPr>
            <w:tcW w:w="300" w:type="dxa"/>
            <w:vAlign w:val="bottom"/>
          </w:tcPr>
          <w:p>
            <w:pPr>
              <w:ind w:left="140"/>
              <w:spacing w:after="0"/>
              <w:rPr>
                <w:sz w:val="20"/>
                <w:szCs w:val="20"/>
                <w:color w:val="auto"/>
              </w:rPr>
            </w:pPr>
            <w:r>
              <w:rPr>
                <w:rFonts w:ascii="Arial" w:cs="Arial" w:eastAsia="Arial" w:hAnsi="Arial"/>
                <w:sz w:val="17"/>
                <w:szCs w:val="17"/>
                <w:color w:val="355A89"/>
              </w:rPr>
              <w:t>●</w:t>
            </w:r>
          </w:p>
        </w:tc>
        <w:tc>
          <w:tcPr>
            <w:tcW w:w="7820" w:type="dxa"/>
            <w:vAlign w:val="bottom"/>
          </w:tcPr>
          <w:p>
            <w:pPr>
              <w:ind w:left="80"/>
              <w:spacing w:after="0"/>
              <w:rPr>
                <w:sz w:val="20"/>
                <w:szCs w:val="20"/>
                <w:color w:val="auto"/>
              </w:rPr>
            </w:pPr>
            <w:r>
              <w:rPr>
                <w:rFonts w:ascii="Arial" w:cs="Arial" w:eastAsia="Arial" w:hAnsi="Arial"/>
                <w:sz w:val="18"/>
                <w:szCs w:val="18"/>
                <w:color w:val="auto"/>
              </w:rPr>
              <w:t>100% formulaic based on specific performance criteria and weightings that link to our strategy</w:t>
            </w:r>
          </w:p>
        </w:tc>
        <w:tc>
          <w:tcPr>
            <w:tcW w:w="0" w:type="dxa"/>
            <w:vAlign w:val="bottom"/>
          </w:tcPr>
          <w:p>
            <w:pPr>
              <w:spacing w:after="0"/>
              <w:rPr>
                <w:sz w:val="1"/>
                <w:szCs w:val="1"/>
                <w:color w:val="auto"/>
              </w:rPr>
            </w:pPr>
          </w:p>
        </w:tc>
      </w:tr>
      <w:tr>
        <w:trPr>
          <w:trHeight w:val="125"/>
        </w:trPr>
        <w:tc>
          <w:tcPr>
            <w:tcW w:w="1200" w:type="dxa"/>
            <w:vAlign w:val="bottom"/>
            <w:vMerge w:val="restart"/>
            <w:shd w:val="clear" w:color="auto" w:fill="959595"/>
          </w:tcPr>
          <w:p>
            <w:pPr>
              <w:jc w:val="center"/>
              <w:spacing w:after="0"/>
              <w:rPr>
                <w:sz w:val="20"/>
                <w:szCs w:val="20"/>
                <w:color w:val="auto"/>
              </w:rPr>
            </w:pPr>
            <w:r>
              <w:rPr>
                <w:rFonts w:ascii="Arial" w:cs="Arial" w:eastAsia="Arial" w:hAnsi="Arial"/>
                <w:sz w:val="18"/>
                <w:szCs w:val="18"/>
                <w:b w:val="1"/>
                <w:bCs w:val="1"/>
                <w:color w:val="FFFFFF"/>
                <w:w w:val="97"/>
              </w:rPr>
              <w:t>Incentives</w:t>
            </w:r>
          </w:p>
        </w:tc>
        <w:tc>
          <w:tcPr>
            <w:tcW w:w="1920" w:type="dxa"/>
            <w:vAlign w:val="bottom"/>
            <w:vMerge w:val="continue"/>
            <w:shd w:val="clear" w:color="auto" w:fill="D6D6D6"/>
          </w:tcPr>
          <w:p>
            <w:pPr>
              <w:spacing w:after="0"/>
              <w:rPr>
                <w:sz w:val="10"/>
                <w:szCs w:val="10"/>
                <w:color w:val="auto"/>
              </w:rPr>
            </w:pPr>
          </w:p>
        </w:tc>
        <w:tc>
          <w:tcPr>
            <w:tcW w:w="30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0" w:type="dxa"/>
            <w:vAlign w:val="bottom"/>
            <w:tcBorders>
              <w:bottom w:val="single" w:sz="8" w:color="8089AD"/>
            </w:tcBorders>
            <w:vMerge w:val="continue"/>
            <w:shd w:val="clear" w:color="auto" w:fill="959595"/>
          </w:tcPr>
          <w:p>
            <w:pPr>
              <w:spacing w:after="0"/>
              <w:rPr>
                <w:sz w:val="10"/>
                <w:szCs w:val="10"/>
                <w:color w:val="auto"/>
              </w:rPr>
            </w:pPr>
          </w:p>
        </w:tc>
        <w:tc>
          <w:tcPr>
            <w:tcW w:w="1920" w:type="dxa"/>
            <w:vAlign w:val="bottom"/>
            <w:tcBorders>
              <w:bottom w:val="single" w:sz="8" w:color="8089AD"/>
            </w:tcBorders>
            <w:shd w:val="clear" w:color="auto" w:fill="D6D6D6"/>
          </w:tcPr>
          <w:p>
            <w:pPr>
              <w:spacing w:after="0"/>
              <w:rPr>
                <w:sz w:val="10"/>
                <w:szCs w:val="10"/>
                <w:color w:val="auto"/>
              </w:rPr>
            </w:pPr>
          </w:p>
        </w:tc>
        <w:tc>
          <w:tcPr>
            <w:tcW w:w="300" w:type="dxa"/>
            <w:vAlign w:val="bottom"/>
            <w:tcBorders>
              <w:bottom w:val="single" w:sz="8" w:color="8089AD"/>
            </w:tcBorders>
          </w:tcPr>
          <w:p>
            <w:pPr>
              <w:spacing w:after="0"/>
              <w:rPr>
                <w:sz w:val="10"/>
                <w:szCs w:val="10"/>
                <w:color w:val="auto"/>
              </w:rPr>
            </w:pPr>
          </w:p>
        </w:tc>
        <w:tc>
          <w:tcPr>
            <w:tcW w:w="7820" w:type="dxa"/>
            <w:vAlign w:val="bottom"/>
            <w:tcBorders>
              <w:bottom w:val="single" w:sz="8" w:color="8089AD"/>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200" w:type="dxa"/>
            <w:vAlign w:val="bottom"/>
            <w:shd w:val="clear" w:color="auto" w:fill="8089AD"/>
          </w:tcPr>
          <w:p>
            <w:pPr>
              <w:spacing w:after="0"/>
              <w:rPr>
                <w:sz w:val="20"/>
                <w:szCs w:val="20"/>
                <w:color w:val="auto"/>
              </w:rPr>
            </w:pPr>
          </w:p>
        </w:tc>
        <w:tc>
          <w:tcPr>
            <w:tcW w:w="1920" w:type="dxa"/>
            <w:vAlign w:val="bottom"/>
            <w:shd w:val="clear" w:color="auto" w:fill="C2C5D9"/>
          </w:tcPr>
          <w:p>
            <w:pPr>
              <w:spacing w:after="0"/>
              <w:rPr>
                <w:sz w:val="20"/>
                <w:szCs w:val="20"/>
                <w:color w:val="auto"/>
              </w:rPr>
            </w:pPr>
          </w:p>
        </w:tc>
        <w:tc>
          <w:tcPr>
            <w:tcW w:w="8120" w:type="dxa"/>
            <w:vAlign w:val="bottom"/>
            <w:gridSpan w:val="2"/>
          </w:tcPr>
          <w:p>
            <w:pPr>
              <w:ind w:left="14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50% based on performance against annual operating goals (Manhattan same store office</w:t>
            </w:r>
          </w:p>
        </w:tc>
        <w:tc>
          <w:tcPr>
            <w:tcW w:w="0" w:type="dxa"/>
            <w:vAlign w:val="bottom"/>
          </w:tcPr>
          <w:p>
            <w:pPr>
              <w:spacing w:after="0"/>
              <w:rPr>
                <w:sz w:val="1"/>
                <w:szCs w:val="1"/>
                <w:color w:val="auto"/>
              </w:rPr>
            </w:pPr>
          </w:p>
        </w:tc>
      </w:tr>
      <w:tr>
        <w:trPr>
          <w:trHeight w:val="208"/>
        </w:trPr>
        <w:tc>
          <w:tcPr>
            <w:tcW w:w="1200" w:type="dxa"/>
            <w:vAlign w:val="bottom"/>
            <w:shd w:val="clear" w:color="auto" w:fill="8089AD"/>
          </w:tcPr>
          <w:p>
            <w:pPr>
              <w:spacing w:after="0"/>
              <w:rPr>
                <w:sz w:val="18"/>
                <w:szCs w:val="18"/>
                <w:color w:val="auto"/>
              </w:rPr>
            </w:pPr>
          </w:p>
        </w:tc>
        <w:tc>
          <w:tcPr>
            <w:tcW w:w="1920" w:type="dxa"/>
            <w:vAlign w:val="bottom"/>
            <w:vMerge w:val="restart"/>
            <w:shd w:val="clear" w:color="auto" w:fill="C2C5D9"/>
          </w:tcPr>
          <w:p>
            <w:pPr>
              <w:ind w:left="160"/>
              <w:spacing w:after="0"/>
              <w:rPr>
                <w:sz w:val="20"/>
                <w:szCs w:val="20"/>
                <w:color w:val="auto"/>
              </w:rPr>
            </w:pPr>
            <w:r>
              <w:rPr>
                <w:rFonts w:ascii="Arial" w:cs="Arial" w:eastAsia="Arial" w:hAnsi="Arial"/>
                <w:sz w:val="18"/>
                <w:szCs w:val="18"/>
                <w:color w:val="auto"/>
              </w:rPr>
              <w:t>Performance-Based</w:t>
            </w:r>
          </w:p>
        </w:tc>
        <w:tc>
          <w:tcPr>
            <w:tcW w:w="300" w:type="dxa"/>
            <w:vAlign w:val="bottom"/>
          </w:tcPr>
          <w:p>
            <w:pPr>
              <w:spacing w:after="0"/>
              <w:rPr>
                <w:sz w:val="18"/>
                <w:szCs w:val="18"/>
                <w:color w:val="auto"/>
              </w:rPr>
            </w:pPr>
          </w:p>
        </w:tc>
        <w:tc>
          <w:tcPr>
            <w:tcW w:w="7820" w:type="dxa"/>
            <w:vAlign w:val="bottom"/>
          </w:tcPr>
          <w:p>
            <w:pPr>
              <w:ind w:left="80"/>
              <w:spacing w:after="0"/>
              <w:rPr>
                <w:sz w:val="20"/>
                <w:szCs w:val="20"/>
                <w:color w:val="auto"/>
              </w:rPr>
            </w:pPr>
            <w:r>
              <w:rPr>
                <w:rFonts w:ascii="Arial" w:cs="Arial" w:eastAsia="Arial" w:hAnsi="Arial"/>
                <w:sz w:val="18"/>
                <w:szCs w:val="18"/>
                <w:color w:val="auto"/>
              </w:rPr>
              <w:t>occupancy, Manhattan office leasing volume, debt/EBITDA and funds available for distribution</w:t>
            </w:r>
          </w:p>
        </w:tc>
        <w:tc>
          <w:tcPr>
            <w:tcW w:w="0" w:type="dxa"/>
            <w:vAlign w:val="bottom"/>
          </w:tcPr>
          <w:p>
            <w:pPr>
              <w:spacing w:after="0"/>
              <w:rPr>
                <w:sz w:val="1"/>
                <w:szCs w:val="1"/>
                <w:color w:val="auto"/>
              </w:rPr>
            </w:pPr>
          </w:p>
        </w:tc>
      </w:tr>
      <w:tr>
        <w:trPr>
          <w:trHeight w:val="94"/>
        </w:trPr>
        <w:tc>
          <w:tcPr>
            <w:tcW w:w="1200" w:type="dxa"/>
            <w:vAlign w:val="bottom"/>
            <w:shd w:val="clear" w:color="auto" w:fill="8089AD"/>
          </w:tcPr>
          <w:p>
            <w:pPr>
              <w:spacing w:after="0"/>
              <w:rPr>
                <w:sz w:val="8"/>
                <w:szCs w:val="8"/>
                <w:color w:val="auto"/>
              </w:rPr>
            </w:pPr>
          </w:p>
        </w:tc>
        <w:tc>
          <w:tcPr>
            <w:tcW w:w="1920" w:type="dxa"/>
            <w:vAlign w:val="bottom"/>
            <w:vMerge w:val="continue"/>
            <w:shd w:val="clear" w:color="auto" w:fill="C2C5D9"/>
          </w:tcPr>
          <w:p>
            <w:pPr>
              <w:spacing w:after="0"/>
              <w:rPr>
                <w:sz w:val="8"/>
                <w:szCs w:val="8"/>
                <w:color w:val="auto"/>
              </w:rPr>
            </w:pPr>
          </w:p>
        </w:tc>
        <w:tc>
          <w:tcPr>
            <w:tcW w:w="300" w:type="dxa"/>
            <w:vAlign w:val="bottom"/>
          </w:tcPr>
          <w:p>
            <w:pPr>
              <w:spacing w:after="0"/>
              <w:rPr>
                <w:sz w:val="8"/>
                <w:szCs w:val="8"/>
                <w:color w:val="auto"/>
              </w:rPr>
            </w:pPr>
          </w:p>
        </w:tc>
        <w:tc>
          <w:tcPr>
            <w:tcW w:w="7820" w:type="dxa"/>
            <w:vAlign w:val="bottom"/>
            <w:vMerge w:val="restart"/>
          </w:tcPr>
          <w:p>
            <w:pPr>
              <w:ind w:left="80"/>
              <w:spacing w:after="0" w:line="202" w:lineRule="exact"/>
              <w:rPr>
                <w:sz w:val="20"/>
                <w:szCs w:val="20"/>
                <w:color w:val="auto"/>
              </w:rPr>
            </w:pPr>
            <w:r>
              <w:rPr>
                <w:rFonts w:ascii="Arial" w:cs="Arial" w:eastAsia="Arial" w:hAnsi="Arial"/>
                <w:sz w:val="18"/>
                <w:szCs w:val="18"/>
                <w:color w:val="auto"/>
                <w:w w:val="99"/>
              </w:rPr>
              <w:t>(“FAD”)) determined by the Committee subject to modifier measured on absolute TSR over three-</w:t>
            </w:r>
          </w:p>
        </w:tc>
        <w:tc>
          <w:tcPr>
            <w:tcW w:w="0" w:type="dxa"/>
            <w:vAlign w:val="bottom"/>
          </w:tcPr>
          <w:p>
            <w:pPr>
              <w:spacing w:after="0"/>
              <w:rPr>
                <w:sz w:val="1"/>
                <w:szCs w:val="1"/>
                <w:color w:val="auto"/>
              </w:rPr>
            </w:pPr>
          </w:p>
        </w:tc>
      </w:tr>
      <w:tr>
        <w:trPr>
          <w:trHeight w:val="108"/>
        </w:trPr>
        <w:tc>
          <w:tcPr>
            <w:tcW w:w="1200" w:type="dxa"/>
            <w:vAlign w:val="bottom"/>
            <w:shd w:val="clear" w:color="auto" w:fill="8089AD"/>
          </w:tcPr>
          <w:p>
            <w:pPr>
              <w:spacing w:after="0"/>
              <w:rPr>
                <w:sz w:val="9"/>
                <w:szCs w:val="9"/>
                <w:color w:val="auto"/>
              </w:rPr>
            </w:pPr>
          </w:p>
        </w:tc>
        <w:tc>
          <w:tcPr>
            <w:tcW w:w="1920" w:type="dxa"/>
            <w:vAlign w:val="bottom"/>
            <w:vMerge w:val="restart"/>
            <w:shd w:val="clear" w:color="auto" w:fill="C2C5D9"/>
          </w:tcPr>
          <w:p>
            <w:pPr>
              <w:ind w:left="160"/>
              <w:spacing w:after="0"/>
              <w:rPr>
                <w:sz w:val="20"/>
                <w:szCs w:val="20"/>
                <w:color w:val="auto"/>
              </w:rPr>
            </w:pPr>
            <w:r>
              <w:rPr>
                <w:rFonts w:ascii="Arial" w:cs="Arial" w:eastAsia="Arial" w:hAnsi="Arial"/>
                <w:sz w:val="18"/>
                <w:szCs w:val="18"/>
                <w:color w:val="auto"/>
              </w:rPr>
              <w:t>LTIP Units</w:t>
            </w:r>
          </w:p>
        </w:tc>
        <w:tc>
          <w:tcPr>
            <w:tcW w:w="300" w:type="dxa"/>
            <w:vAlign w:val="bottom"/>
          </w:tcPr>
          <w:p>
            <w:pPr>
              <w:spacing w:after="0"/>
              <w:rPr>
                <w:sz w:val="9"/>
                <w:szCs w:val="9"/>
                <w:color w:val="auto"/>
              </w:rPr>
            </w:pPr>
          </w:p>
        </w:tc>
        <w:tc>
          <w:tcPr>
            <w:tcW w:w="7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200" w:type="dxa"/>
            <w:vAlign w:val="bottom"/>
            <w:shd w:val="clear" w:color="auto" w:fill="8089AD"/>
          </w:tcPr>
          <w:p>
            <w:pPr>
              <w:spacing w:after="0"/>
              <w:rPr>
                <w:sz w:val="8"/>
                <w:szCs w:val="8"/>
                <w:color w:val="auto"/>
              </w:rPr>
            </w:pPr>
          </w:p>
        </w:tc>
        <w:tc>
          <w:tcPr>
            <w:tcW w:w="1920" w:type="dxa"/>
            <w:vAlign w:val="bottom"/>
            <w:vMerge w:val="continue"/>
            <w:shd w:val="clear" w:color="auto" w:fill="C2C5D9"/>
          </w:tcPr>
          <w:p>
            <w:pPr>
              <w:spacing w:after="0"/>
              <w:rPr>
                <w:sz w:val="8"/>
                <w:szCs w:val="8"/>
                <w:color w:val="auto"/>
              </w:rPr>
            </w:pPr>
          </w:p>
        </w:tc>
        <w:tc>
          <w:tcPr>
            <w:tcW w:w="300" w:type="dxa"/>
            <w:vAlign w:val="bottom"/>
          </w:tcPr>
          <w:p>
            <w:pPr>
              <w:spacing w:after="0"/>
              <w:rPr>
                <w:sz w:val="8"/>
                <w:szCs w:val="8"/>
                <w:color w:val="auto"/>
              </w:rPr>
            </w:pPr>
          </w:p>
        </w:tc>
        <w:tc>
          <w:tcPr>
            <w:tcW w:w="7820" w:type="dxa"/>
            <w:vAlign w:val="bottom"/>
            <w:vMerge w:val="restart"/>
          </w:tcPr>
          <w:p>
            <w:pPr>
              <w:ind w:left="80"/>
              <w:spacing w:after="0" w:line="202" w:lineRule="exact"/>
              <w:rPr>
                <w:sz w:val="20"/>
                <w:szCs w:val="20"/>
                <w:color w:val="auto"/>
              </w:rPr>
            </w:pPr>
            <w:r>
              <w:rPr>
                <w:rFonts w:ascii="Arial" w:cs="Arial" w:eastAsia="Arial" w:hAnsi="Arial"/>
                <w:sz w:val="18"/>
                <w:szCs w:val="18"/>
                <w:color w:val="auto"/>
              </w:rPr>
              <w:t>year performance period</w:t>
            </w:r>
          </w:p>
        </w:tc>
        <w:tc>
          <w:tcPr>
            <w:tcW w:w="0" w:type="dxa"/>
            <w:vAlign w:val="bottom"/>
          </w:tcPr>
          <w:p>
            <w:pPr>
              <w:spacing w:after="0"/>
              <w:rPr>
                <w:sz w:val="1"/>
                <w:szCs w:val="1"/>
                <w:color w:val="auto"/>
              </w:rPr>
            </w:pPr>
          </w:p>
        </w:tc>
      </w:tr>
      <w:tr>
        <w:trPr>
          <w:trHeight w:val="100"/>
        </w:trPr>
        <w:tc>
          <w:tcPr>
            <w:tcW w:w="1200" w:type="dxa"/>
            <w:vAlign w:val="bottom"/>
            <w:vMerge w:val="restart"/>
            <w:shd w:val="clear" w:color="auto" w:fill="8089AD"/>
          </w:tcPr>
          <w:p>
            <w:pPr>
              <w:jc w:val="center"/>
              <w:spacing w:after="0"/>
              <w:rPr>
                <w:sz w:val="20"/>
                <w:szCs w:val="20"/>
                <w:color w:val="auto"/>
              </w:rPr>
            </w:pPr>
            <w:r>
              <w:rPr>
                <w:rFonts w:ascii="Arial" w:cs="Arial" w:eastAsia="Arial" w:hAnsi="Arial"/>
                <w:sz w:val="18"/>
                <w:szCs w:val="18"/>
                <w:b w:val="1"/>
                <w:bCs w:val="1"/>
                <w:color w:val="FFFFFF"/>
                <w:w w:val="95"/>
              </w:rPr>
              <w:t>Long-Term</w:t>
            </w:r>
          </w:p>
        </w:tc>
        <w:tc>
          <w:tcPr>
            <w:tcW w:w="1920" w:type="dxa"/>
            <w:vAlign w:val="bottom"/>
            <w:shd w:val="clear" w:color="auto" w:fill="C2C5D9"/>
          </w:tcPr>
          <w:p>
            <w:pPr>
              <w:spacing w:after="0"/>
              <w:rPr>
                <w:sz w:val="8"/>
                <w:szCs w:val="8"/>
                <w:color w:val="auto"/>
              </w:rPr>
            </w:pPr>
          </w:p>
        </w:tc>
        <w:tc>
          <w:tcPr>
            <w:tcW w:w="300" w:type="dxa"/>
            <w:vAlign w:val="bottom"/>
            <w:vMerge w:val="restart"/>
          </w:tcPr>
          <w:p>
            <w:pPr>
              <w:ind w:left="140"/>
              <w:spacing w:after="0"/>
              <w:rPr>
                <w:sz w:val="20"/>
                <w:szCs w:val="20"/>
                <w:color w:val="auto"/>
              </w:rPr>
            </w:pPr>
            <w:r>
              <w:rPr>
                <w:rFonts w:ascii="Arial" w:cs="Arial" w:eastAsia="Arial" w:hAnsi="Arial"/>
                <w:sz w:val="17"/>
                <w:szCs w:val="17"/>
                <w:color w:val="355A89"/>
              </w:rPr>
              <w:t>●</w:t>
            </w: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200" w:type="dxa"/>
            <w:vAlign w:val="bottom"/>
            <w:vMerge w:val="continue"/>
            <w:shd w:val="clear" w:color="auto" w:fill="8089AD"/>
          </w:tcPr>
          <w:p>
            <w:pPr>
              <w:spacing w:after="0"/>
              <w:rPr>
                <w:sz w:val="13"/>
                <w:szCs w:val="13"/>
                <w:color w:val="auto"/>
              </w:rPr>
            </w:pPr>
          </w:p>
        </w:tc>
        <w:tc>
          <w:tcPr>
            <w:tcW w:w="1920" w:type="dxa"/>
            <w:vAlign w:val="bottom"/>
            <w:shd w:val="clear" w:color="auto" w:fill="C2C5D9"/>
          </w:tcPr>
          <w:p>
            <w:pPr>
              <w:spacing w:after="0"/>
              <w:rPr>
                <w:sz w:val="13"/>
                <w:szCs w:val="13"/>
                <w:color w:val="auto"/>
              </w:rPr>
            </w:pPr>
          </w:p>
        </w:tc>
        <w:tc>
          <w:tcPr>
            <w:tcW w:w="300" w:type="dxa"/>
            <w:vAlign w:val="bottom"/>
            <w:vMerge w:val="continue"/>
          </w:tcPr>
          <w:p>
            <w:pPr>
              <w:spacing w:after="0"/>
              <w:rPr>
                <w:sz w:val="13"/>
                <w:szCs w:val="13"/>
                <w:color w:val="auto"/>
              </w:rPr>
            </w:pPr>
          </w:p>
        </w:tc>
        <w:tc>
          <w:tcPr>
            <w:tcW w:w="7820" w:type="dxa"/>
            <w:vAlign w:val="bottom"/>
          </w:tcPr>
          <w:p>
            <w:pPr>
              <w:ind w:left="80"/>
              <w:spacing w:after="0" w:line="159" w:lineRule="exact"/>
              <w:rPr>
                <w:sz w:val="20"/>
                <w:szCs w:val="20"/>
                <w:color w:val="auto"/>
              </w:rPr>
            </w:pPr>
            <w:r>
              <w:rPr>
                <w:rFonts w:ascii="Arial" w:cs="Arial" w:eastAsia="Arial" w:hAnsi="Arial"/>
                <w:sz w:val="18"/>
                <w:szCs w:val="18"/>
                <w:color w:val="auto"/>
              </w:rPr>
              <w:t>50% based on relative TSR over three-year performance period</w:t>
            </w:r>
          </w:p>
        </w:tc>
        <w:tc>
          <w:tcPr>
            <w:tcW w:w="0" w:type="dxa"/>
            <w:vAlign w:val="bottom"/>
          </w:tcPr>
          <w:p>
            <w:pPr>
              <w:spacing w:after="0"/>
              <w:rPr>
                <w:sz w:val="1"/>
                <w:szCs w:val="1"/>
                <w:color w:val="auto"/>
              </w:rPr>
            </w:pPr>
          </w:p>
        </w:tc>
      </w:tr>
      <w:tr>
        <w:trPr>
          <w:trHeight w:val="81"/>
        </w:trPr>
        <w:tc>
          <w:tcPr>
            <w:tcW w:w="1200" w:type="dxa"/>
            <w:vAlign w:val="bottom"/>
            <w:tcBorders>
              <w:bottom w:val="single" w:sz="8" w:color="8089AD"/>
            </w:tcBorders>
            <w:vMerge w:val="restart"/>
            <w:shd w:val="clear" w:color="auto" w:fill="8089AD"/>
          </w:tcPr>
          <w:p>
            <w:pPr>
              <w:jc w:val="center"/>
              <w:spacing w:after="0"/>
              <w:rPr>
                <w:sz w:val="20"/>
                <w:szCs w:val="20"/>
                <w:color w:val="auto"/>
              </w:rPr>
            </w:pPr>
            <w:r>
              <w:rPr>
                <w:rFonts w:ascii="Arial" w:cs="Arial" w:eastAsia="Arial" w:hAnsi="Arial"/>
                <w:sz w:val="18"/>
                <w:szCs w:val="18"/>
                <w:b w:val="1"/>
                <w:bCs w:val="1"/>
                <w:color w:val="FFFFFF"/>
                <w:w w:val="97"/>
              </w:rPr>
              <w:t>Incentives</w:t>
            </w:r>
          </w:p>
        </w:tc>
        <w:tc>
          <w:tcPr>
            <w:tcW w:w="1920" w:type="dxa"/>
            <w:vAlign w:val="bottom"/>
            <w:tcBorders>
              <w:bottom w:val="single" w:sz="8" w:color="8089AD"/>
            </w:tcBorders>
            <w:shd w:val="clear" w:color="auto" w:fill="C2C5D9"/>
          </w:tcPr>
          <w:p>
            <w:pPr>
              <w:spacing w:after="0"/>
              <w:rPr>
                <w:sz w:val="7"/>
                <w:szCs w:val="7"/>
                <w:color w:val="auto"/>
              </w:rPr>
            </w:pPr>
          </w:p>
        </w:tc>
        <w:tc>
          <w:tcPr>
            <w:tcW w:w="300" w:type="dxa"/>
            <w:vAlign w:val="bottom"/>
            <w:tcBorders>
              <w:bottom w:val="single" w:sz="8" w:color="8089AD"/>
            </w:tcBorders>
          </w:tcPr>
          <w:p>
            <w:pPr>
              <w:spacing w:after="0"/>
              <w:rPr>
                <w:sz w:val="7"/>
                <w:szCs w:val="7"/>
                <w:color w:val="auto"/>
              </w:rPr>
            </w:pPr>
          </w:p>
        </w:tc>
        <w:tc>
          <w:tcPr>
            <w:tcW w:w="7820" w:type="dxa"/>
            <w:vAlign w:val="bottom"/>
            <w:tcBorders>
              <w:bottom w:val="single" w:sz="8" w:color="8089AD"/>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200" w:type="dxa"/>
            <w:vAlign w:val="bottom"/>
            <w:vMerge w:val="continue"/>
            <w:shd w:val="clear" w:color="auto" w:fill="8089AD"/>
          </w:tcPr>
          <w:p>
            <w:pPr>
              <w:spacing w:after="0"/>
              <w:rPr>
                <w:sz w:val="11"/>
                <w:szCs w:val="11"/>
                <w:color w:val="auto"/>
              </w:rPr>
            </w:pPr>
          </w:p>
        </w:tc>
        <w:tc>
          <w:tcPr>
            <w:tcW w:w="1920" w:type="dxa"/>
            <w:vAlign w:val="bottom"/>
            <w:shd w:val="clear" w:color="auto" w:fill="C2C5D9"/>
          </w:tcPr>
          <w:p>
            <w:pPr>
              <w:spacing w:after="0"/>
              <w:rPr>
                <w:sz w:val="11"/>
                <w:szCs w:val="11"/>
                <w:color w:val="auto"/>
              </w:rPr>
            </w:pPr>
          </w:p>
        </w:tc>
        <w:tc>
          <w:tcPr>
            <w:tcW w:w="300" w:type="dxa"/>
            <w:vAlign w:val="bottom"/>
            <w:vMerge w:val="restart"/>
          </w:tcPr>
          <w:p>
            <w:pPr>
              <w:ind w:left="140"/>
              <w:spacing w:after="0"/>
              <w:rPr>
                <w:sz w:val="20"/>
                <w:szCs w:val="20"/>
                <w:color w:val="auto"/>
              </w:rPr>
            </w:pPr>
            <w:r>
              <w:rPr>
                <w:rFonts w:ascii="Arial" w:cs="Arial" w:eastAsia="Arial" w:hAnsi="Arial"/>
                <w:sz w:val="17"/>
                <w:szCs w:val="17"/>
                <w:color w:val="355A89"/>
              </w:rPr>
              <w:t>●</w:t>
            </w:r>
          </w:p>
        </w:tc>
        <w:tc>
          <w:tcPr>
            <w:tcW w:w="7820" w:type="dxa"/>
            <w:vAlign w:val="bottom"/>
            <w:vMerge w:val="restart"/>
          </w:tcPr>
          <w:p>
            <w:pPr>
              <w:ind w:left="80"/>
              <w:spacing w:after="0"/>
              <w:rPr>
                <w:sz w:val="20"/>
                <w:szCs w:val="20"/>
                <w:color w:val="auto"/>
              </w:rPr>
            </w:pPr>
            <w:r>
              <w:rPr>
                <w:rFonts w:ascii="Arial" w:cs="Arial" w:eastAsia="Arial" w:hAnsi="Arial"/>
                <w:sz w:val="18"/>
                <w:szCs w:val="18"/>
                <w:color w:val="auto"/>
              </w:rPr>
              <w:t>Annual target amount disclosed in connection with new contracts</w:t>
            </w:r>
          </w:p>
        </w:tc>
        <w:tc>
          <w:tcPr>
            <w:tcW w:w="0" w:type="dxa"/>
            <w:vAlign w:val="bottom"/>
          </w:tcPr>
          <w:p>
            <w:pPr>
              <w:spacing w:after="0"/>
              <w:rPr>
                <w:sz w:val="1"/>
                <w:szCs w:val="1"/>
                <w:color w:val="auto"/>
              </w:rPr>
            </w:pPr>
          </w:p>
        </w:tc>
      </w:tr>
      <w:tr>
        <w:trPr>
          <w:trHeight w:val="100"/>
        </w:trPr>
        <w:tc>
          <w:tcPr>
            <w:tcW w:w="1200" w:type="dxa"/>
            <w:vAlign w:val="bottom"/>
            <w:shd w:val="clear" w:color="auto" w:fill="8089AD"/>
          </w:tcPr>
          <w:p>
            <w:pPr>
              <w:spacing w:after="0"/>
              <w:rPr>
                <w:sz w:val="8"/>
                <w:szCs w:val="8"/>
                <w:color w:val="auto"/>
              </w:rPr>
            </w:pPr>
          </w:p>
        </w:tc>
        <w:tc>
          <w:tcPr>
            <w:tcW w:w="1920" w:type="dxa"/>
            <w:vAlign w:val="bottom"/>
            <w:shd w:val="clear" w:color="auto" w:fill="C2C5D9"/>
          </w:tcPr>
          <w:p>
            <w:pPr>
              <w:spacing w:after="0"/>
              <w:rPr>
                <w:sz w:val="8"/>
                <w:szCs w:val="8"/>
                <w:color w:val="auto"/>
              </w:rPr>
            </w:pPr>
          </w:p>
        </w:tc>
        <w:tc>
          <w:tcPr>
            <w:tcW w:w="300" w:type="dxa"/>
            <w:vAlign w:val="bottom"/>
            <w:vMerge w:val="continue"/>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200" w:type="dxa"/>
            <w:vAlign w:val="bottom"/>
            <w:shd w:val="clear" w:color="auto" w:fill="8089AD"/>
          </w:tcPr>
          <w:p>
            <w:pPr>
              <w:spacing w:after="0"/>
              <w:rPr>
                <w:sz w:val="18"/>
                <w:szCs w:val="18"/>
                <w:color w:val="auto"/>
              </w:rPr>
            </w:pPr>
          </w:p>
        </w:tc>
        <w:tc>
          <w:tcPr>
            <w:tcW w:w="1920" w:type="dxa"/>
            <w:vAlign w:val="bottom"/>
            <w:shd w:val="clear" w:color="auto" w:fill="C2C5D9"/>
          </w:tcPr>
          <w:p>
            <w:pPr>
              <w:ind w:left="160"/>
              <w:spacing w:after="0"/>
              <w:rPr>
                <w:sz w:val="20"/>
                <w:szCs w:val="20"/>
                <w:color w:val="auto"/>
              </w:rPr>
            </w:pPr>
            <w:r>
              <w:rPr>
                <w:rFonts w:ascii="Arial" w:cs="Arial" w:eastAsia="Arial" w:hAnsi="Arial"/>
                <w:sz w:val="18"/>
                <w:szCs w:val="18"/>
                <w:color w:val="auto"/>
              </w:rPr>
              <w:t>Time-Based Equity</w:t>
            </w:r>
          </w:p>
        </w:tc>
        <w:tc>
          <w:tcPr>
            <w:tcW w:w="300" w:type="dxa"/>
            <w:vAlign w:val="bottom"/>
          </w:tcPr>
          <w:p>
            <w:pPr>
              <w:ind w:left="140"/>
              <w:spacing w:after="0"/>
              <w:rPr>
                <w:sz w:val="20"/>
                <w:szCs w:val="20"/>
                <w:color w:val="auto"/>
              </w:rPr>
            </w:pPr>
            <w:r>
              <w:rPr>
                <w:rFonts w:ascii="Arial" w:cs="Arial" w:eastAsia="Arial" w:hAnsi="Arial"/>
                <w:sz w:val="17"/>
                <w:szCs w:val="17"/>
                <w:color w:val="355A89"/>
              </w:rPr>
              <w:t>●</w:t>
            </w:r>
          </w:p>
        </w:tc>
        <w:tc>
          <w:tcPr>
            <w:tcW w:w="7820" w:type="dxa"/>
            <w:vAlign w:val="bottom"/>
          </w:tcPr>
          <w:p>
            <w:pPr>
              <w:ind w:left="80"/>
              <w:spacing w:after="0"/>
              <w:rPr>
                <w:sz w:val="20"/>
                <w:szCs w:val="20"/>
                <w:color w:val="auto"/>
              </w:rPr>
            </w:pPr>
            <w:r>
              <w:rPr>
                <w:rFonts w:ascii="Arial" w:cs="Arial" w:eastAsia="Arial" w:hAnsi="Arial"/>
                <w:sz w:val="18"/>
                <w:szCs w:val="18"/>
                <w:color w:val="auto"/>
              </w:rPr>
              <w:t>Adjustments to target amount to be determined by the Committee, based on the short-term and</w:t>
            </w:r>
          </w:p>
        </w:tc>
        <w:tc>
          <w:tcPr>
            <w:tcW w:w="0" w:type="dxa"/>
            <w:vAlign w:val="bottom"/>
          </w:tcPr>
          <w:p>
            <w:pPr>
              <w:spacing w:after="0"/>
              <w:rPr>
                <w:sz w:val="1"/>
                <w:szCs w:val="1"/>
                <w:color w:val="auto"/>
              </w:rPr>
            </w:pPr>
          </w:p>
        </w:tc>
      </w:tr>
      <w:tr>
        <w:trPr>
          <w:trHeight w:val="216"/>
        </w:trPr>
        <w:tc>
          <w:tcPr>
            <w:tcW w:w="1200" w:type="dxa"/>
            <w:vAlign w:val="bottom"/>
            <w:shd w:val="clear" w:color="auto" w:fill="8089AD"/>
          </w:tcPr>
          <w:p>
            <w:pPr>
              <w:spacing w:after="0"/>
              <w:rPr>
                <w:sz w:val="18"/>
                <w:szCs w:val="18"/>
                <w:color w:val="auto"/>
              </w:rPr>
            </w:pPr>
          </w:p>
        </w:tc>
        <w:tc>
          <w:tcPr>
            <w:tcW w:w="1920" w:type="dxa"/>
            <w:vAlign w:val="bottom"/>
            <w:shd w:val="clear" w:color="auto" w:fill="C2C5D9"/>
          </w:tcPr>
          <w:p>
            <w:pPr>
              <w:ind w:left="160"/>
              <w:spacing w:after="0"/>
              <w:rPr>
                <w:sz w:val="20"/>
                <w:szCs w:val="20"/>
                <w:color w:val="auto"/>
              </w:rPr>
            </w:pPr>
            <w:r>
              <w:rPr>
                <w:rFonts w:ascii="Arial" w:cs="Arial" w:eastAsia="Arial" w:hAnsi="Arial"/>
                <w:sz w:val="18"/>
                <w:szCs w:val="18"/>
                <w:color w:val="auto"/>
              </w:rPr>
              <w:t>Award</w:t>
            </w:r>
          </w:p>
        </w:tc>
        <w:tc>
          <w:tcPr>
            <w:tcW w:w="300" w:type="dxa"/>
            <w:vAlign w:val="bottom"/>
          </w:tcPr>
          <w:p>
            <w:pPr>
              <w:spacing w:after="0"/>
              <w:rPr>
                <w:sz w:val="18"/>
                <w:szCs w:val="18"/>
                <w:color w:val="auto"/>
              </w:rPr>
            </w:pPr>
          </w:p>
        </w:tc>
        <w:tc>
          <w:tcPr>
            <w:tcW w:w="7820" w:type="dxa"/>
            <w:vAlign w:val="bottom"/>
          </w:tcPr>
          <w:p>
            <w:pPr>
              <w:ind w:left="80"/>
              <w:spacing w:after="0"/>
              <w:rPr>
                <w:sz w:val="20"/>
                <w:szCs w:val="20"/>
                <w:color w:val="auto"/>
              </w:rPr>
            </w:pPr>
            <w:r>
              <w:rPr>
                <w:rFonts w:ascii="Arial" w:cs="Arial" w:eastAsia="Arial" w:hAnsi="Arial"/>
                <w:sz w:val="18"/>
                <w:szCs w:val="18"/>
                <w:color w:val="auto"/>
              </w:rPr>
              <w:t>long-term performance of our Company and the executive; subject to three-year ratable vesting</w:t>
            </w:r>
          </w:p>
        </w:tc>
        <w:tc>
          <w:tcPr>
            <w:tcW w:w="0" w:type="dxa"/>
            <w:vAlign w:val="bottom"/>
          </w:tcPr>
          <w:p>
            <w:pPr>
              <w:spacing w:after="0"/>
              <w:rPr>
                <w:sz w:val="1"/>
                <w:szCs w:val="1"/>
                <w:color w:val="auto"/>
              </w:rPr>
            </w:pPr>
          </w:p>
        </w:tc>
      </w:tr>
      <w:tr>
        <w:trPr>
          <w:trHeight w:val="220"/>
        </w:trPr>
        <w:tc>
          <w:tcPr>
            <w:tcW w:w="1200" w:type="dxa"/>
            <w:vAlign w:val="bottom"/>
            <w:tcBorders>
              <w:bottom w:val="single" w:sz="8" w:color="8089AD"/>
            </w:tcBorders>
            <w:shd w:val="clear" w:color="auto" w:fill="8089AD"/>
          </w:tcPr>
          <w:p>
            <w:pPr>
              <w:spacing w:after="0"/>
              <w:rPr>
                <w:sz w:val="19"/>
                <w:szCs w:val="19"/>
                <w:color w:val="auto"/>
              </w:rPr>
            </w:pPr>
          </w:p>
        </w:tc>
        <w:tc>
          <w:tcPr>
            <w:tcW w:w="1920" w:type="dxa"/>
            <w:vAlign w:val="bottom"/>
            <w:tcBorders>
              <w:bottom w:val="single" w:sz="8" w:color="8089AD"/>
            </w:tcBorders>
            <w:shd w:val="clear" w:color="auto" w:fill="C2C5D9"/>
          </w:tcPr>
          <w:p>
            <w:pPr>
              <w:spacing w:after="0"/>
              <w:rPr>
                <w:sz w:val="19"/>
                <w:szCs w:val="19"/>
                <w:color w:val="auto"/>
              </w:rPr>
            </w:pPr>
          </w:p>
        </w:tc>
        <w:tc>
          <w:tcPr>
            <w:tcW w:w="300" w:type="dxa"/>
            <w:vAlign w:val="bottom"/>
            <w:tcBorders>
              <w:bottom w:val="single" w:sz="8" w:color="8089AD"/>
            </w:tcBorders>
          </w:tcPr>
          <w:p>
            <w:pPr>
              <w:spacing w:after="0"/>
              <w:rPr>
                <w:sz w:val="19"/>
                <w:szCs w:val="19"/>
                <w:color w:val="auto"/>
              </w:rPr>
            </w:pPr>
          </w:p>
        </w:tc>
        <w:tc>
          <w:tcPr>
            <w:tcW w:w="7820" w:type="dxa"/>
            <w:vAlign w:val="bottom"/>
            <w:tcBorders>
              <w:bottom w:val="single" w:sz="8" w:color="8089AD"/>
            </w:tcBorders>
          </w:tcPr>
          <w:p>
            <w:pPr>
              <w:ind w:left="80"/>
              <w:spacing w:after="0"/>
              <w:rPr>
                <w:sz w:val="20"/>
                <w:szCs w:val="20"/>
                <w:color w:val="auto"/>
              </w:rPr>
            </w:pPr>
            <w:r>
              <w:rPr>
                <w:rFonts w:ascii="Arial" w:cs="Arial" w:eastAsia="Arial" w:hAnsi="Arial"/>
                <w:sz w:val="18"/>
                <w:szCs w:val="18"/>
                <w:color w:val="auto"/>
              </w:rPr>
              <w:t>and a no-sell restriction for three years after grant date</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2020, the Committee generally retained this overall structure for our CEO and President, except that the Committee determined to supplement the formulaic bonus earned by our CEO and President with a discretionary bonus in light of the extraordinary impacts of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Stockholder Engagement and Responsiveness</w:t>
      </w:r>
    </w:p>
    <w:p>
      <w:pPr>
        <w:spacing w:after="0" w:line="23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Committee has continued its robust stockholder engagement program to solicit stockholder perspectives on our executive compensation programs. As part of this engagement program, since the 2020 annual meeting of stockholders, we contacted stockholders accounting for approximately 65% of our shares outstanding, as well as proxy advisory services ISS and Glass Lewis. Discussions held by the Company with stockholders were all led by the Chair of the Compensation Committee.</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feedback we received in these meetings was shared with the Committee and the entire Board. Stockholders were supportive of the Committee’s approach to retain 2020 preset goals for annual incentives and utilize discretion to adjust final payouts. We also received favorable feedback on the Committee’s decision to make no changes to the performance-based vesting conditions of our long-term equity awards, the Committee’s use of equity to better reflect executive and Company performance in light of the pandemic, and the continued transparency into the compensation program.</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2020 Represents Completion of the Transition From Legacy Compensation</w:t>
      </w:r>
    </w:p>
    <w:p>
      <w:pPr>
        <w:spacing w:after="0" w:line="23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2020 advisory vote on executive compensation was approved with approximately 89.1% of the votes cast in favor. This substantial increase from 2018 and 2019 was viewed by the Committee as an indication of our stockholders’ support for the significant changes made to our executive compensation programs beginning in 2019.</w:t>
      </w:r>
    </w:p>
    <w:p>
      <w:pPr>
        <w:spacing w:after="0" w:line="20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prior proxy statements detailed stockholders’ feedback and the actions the Committee took to address investors’ perspectives on our executive compensation program. With these changes, the Committee has significantly simplified the structure of our compensation program by reducing the overall number of components of compensation from seven to four and enhancing the transparency of our compensation program so that stockholders can better recognize how pay is linked with performance.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65A8B"/>
        </w:rPr>
        <w:t>EXECUTIVE COMPENSATION</w:t>
      </w:r>
    </w:p>
    <w:p>
      <w:pPr>
        <w:spacing w:after="0" w:line="212" w:lineRule="exact"/>
        <w:rPr>
          <w:sz w:val="20"/>
          <w:szCs w:val="20"/>
          <w:color w:val="auto"/>
        </w:rPr>
      </w:pPr>
    </w:p>
    <w:p>
      <w:pPr>
        <w:jc w:val="both"/>
        <w:ind w:right="820"/>
        <w:spacing w:after="0" w:line="238" w:lineRule="auto"/>
        <w:rPr>
          <w:sz w:val="20"/>
          <w:szCs w:val="20"/>
          <w:color w:val="auto"/>
        </w:rPr>
      </w:pPr>
      <w:r>
        <w:rPr>
          <w:rFonts w:ascii="Arial" w:cs="Arial" w:eastAsia="Arial" w:hAnsi="Arial"/>
          <w:sz w:val="18"/>
          <w:szCs w:val="18"/>
          <w:color w:val="auto"/>
        </w:rPr>
        <w:t>The Committee remains committed to ensuring that executive compensation is performance-based and creates a strong alignment of management and stockholder interests, while attracting and retaining top talent in a market that is highly competitive for New York City commercial real estate management.</w:t>
      </w:r>
    </w:p>
    <w:p>
      <w:pPr>
        <w:spacing w:after="0" w:line="20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To that end, the Committee continues to be dedicated to the redesigned compensation structure outlined in our 2018 proxy statement that provides for just four pay elements: Base Salary, Performance-Based Annual Cash Bonus, Performance-Based LTIP Units, and Time-Based LTIP Units.</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Most importantly, from 2020 onwards, executive compensation will only include the following four pay elements – base salary, annual incentive, performance equity and time-based equity (except for Mr. DiLiberto, whose employment agreement that was in effect during 2020 was put in place prior to the redesigned program). The table below details how the compensation program and elements for our CEO have evolved over recent years, and culminating with the simplified and performance-focused pay elements in 2020.</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Transition Away from Legacy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134620</wp:posOffset>
            </wp:positionV>
            <wp:extent cx="1336675" cy="3702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36675" cy="370268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1820" w:type="dxa"/>
            <w:vAlign w:val="bottom"/>
          </w:tcPr>
          <w:p>
            <w:pPr>
              <w:jc w:val="right"/>
              <w:ind w:right="713"/>
              <w:spacing w:after="0"/>
              <w:rPr>
                <w:sz w:val="20"/>
                <w:szCs w:val="20"/>
                <w:color w:val="auto"/>
              </w:rPr>
            </w:pPr>
            <w:r>
              <w:rPr>
                <w:rFonts w:ascii="Arial" w:cs="Arial" w:eastAsia="Arial" w:hAnsi="Arial"/>
                <w:sz w:val="13"/>
                <w:szCs w:val="13"/>
                <w:b w:val="1"/>
                <w:bCs w:val="1"/>
                <w:color w:val="auto"/>
              </w:rPr>
              <w:t>2016</w:t>
            </w:r>
          </w:p>
        </w:tc>
        <w:tc>
          <w:tcPr>
            <w:tcW w:w="1840" w:type="dxa"/>
            <w:vAlign w:val="bottom"/>
          </w:tcPr>
          <w:p>
            <w:pPr>
              <w:jc w:val="right"/>
              <w:ind w:right="713"/>
              <w:spacing w:after="0"/>
              <w:rPr>
                <w:sz w:val="20"/>
                <w:szCs w:val="20"/>
                <w:color w:val="auto"/>
              </w:rPr>
            </w:pPr>
            <w:r>
              <w:rPr>
                <w:rFonts w:ascii="Arial" w:cs="Arial" w:eastAsia="Arial" w:hAnsi="Arial"/>
                <w:sz w:val="13"/>
                <w:szCs w:val="13"/>
                <w:b w:val="1"/>
                <w:bCs w:val="1"/>
                <w:color w:val="auto"/>
              </w:rPr>
              <w:t>2017</w:t>
            </w:r>
          </w:p>
        </w:tc>
        <w:tc>
          <w:tcPr>
            <w:tcW w:w="1860" w:type="dxa"/>
            <w:vAlign w:val="bottom"/>
          </w:tcPr>
          <w:p>
            <w:pPr>
              <w:jc w:val="right"/>
              <w:ind w:right="713"/>
              <w:spacing w:after="0"/>
              <w:rPr>
                <w:sz w:val="20"/>
                <w:szCs w:val="20"/>
                <w:color w:val="auto"/>
              </w:rPr>
            </w:pPr>
            <w:r>
              <w:rPr>
                <w:rFonts w:ascii="Arial" w:cs="Arial" w:eastAsia="Arial" w:hAnsi="Arial"/>
                <w:sz w:val="13"/>
                <w:szCs w:val="13"/>
                <w:b w:val="1"/>
                <w:bCs w:val="1"/>
                <w:color w:val="auto"/>
              </w:rPr>
              <w:t>2018</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rPr>
              <w:t>2019</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640" w:type="dxa"/>
            <w:vAlign w:val="bottom"/>
            <w:tcBorders>
              <w:bottom w:val="single" w:sz="8" w:color="355A89"/>
            </w:tcBorders>
          </w:tcPr>
          <w:p>
            <w:pPr>
              <w:spacing w:after="0"/>
              <w:rPr>
                <w:sz w:val="5"/>
                <w:szCs w:val="5"/>
                <w:color w:val="auto"/>
              </w:rPr>
            </w:pPr>
          </w:p>
        </w:tc>
        <w:tc>
          <w:tcPr>
            <w:tcW w:w="1820" w:type="dxa"/>
            <w:vAlign w:val="bottom"/>
            <w:tcBorders>
              <w:bottom w:val="single" w:sz="8" w:color="355A89"/>
            </w:tcBorders>
          </w:tcPr>
          <w:p>
            <w:pPr>
              <w:spacing w:after="0"/>
              <w:rPr>
                <w:sz w:val="5"/>
                <w:szCs w:val="5"/>
                <w:color w:val="auto"/>
              </w:rPr>
            </w:pPr>
          </w:p>
        </w:tc>
        <w:tc>
          <w:tcPr>
            <w:tcW w:w="1840" w:type="dxa"/>
            <w:vAlign w:val="bottom"/>
            <w:tcBorders>
              <w:bottom w:val="single" w:sz="8" w:color="355A89"/>
            </w:tcBorders>
          </w:tcPr>
          <w:p>
            <w:pPr>
              <w:spacing w:after="0"/>
              <w:rPr>
                <w:sz w:val="5"/>
                <w:szCs w:val="5"/>
                <w:color w:val="auto"/>
              </w:rPr>
            </w:pPr>
          </w:p>
        </w:tc>
        <w:tc>
          <w:tcPr>
            <w:tcW w:w="1860" w:type="dxa"/>
            <w:vAlign w:val="bottom"/>
            <w:tcBorders>
              <w:bottom w:val="single" w:sz="8" w:color="355A89"/>
            </w:tcBorders>
          </w:tcPr>
          <w:p>
            <w:pPr>
              <w:spacing w:after="0"/>
              <w:rPr>
                <w:sz w:val="5"/>
                <w:szCs w:val="5"/>
                <w:color w:val="auto"/>
              </w:rPr>
            </w:pPr>
          </w:p>
        </w:tc>
        <w:tc>
          <w:tcPr>
            <w:tcW w:w="2020" w:type="dxa"/>
            <w:vAlign w:val="bottom"/>
            <w:tcBorders>
              <w:bottom w:val="single" w:sz="8" w:color="355A89"/>
            </w:tcBorders>
          </w:tcPr>
          <w:p>
            <w:pPr>
              <w:spacing w:after="0"/>
              <w:rPr>
                <w:sz w:val="5"/>
                <w:szCs w:val="5"/>
                <w:color w:val="auto"/>
              </w:rPr>
            </w:pPr>
          </w:p>
        </w:tc>
        <w:tc>
          <w:tcPr>
            <w:tcW w:w="20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5520" w:type="dxa"/>
            <w:vAlign w:val="bottom"/>
            <w:gridSpan w:val="3"/>
          </w:tcPr>
          <w:p>
            <w:pPr>
              <w:jc w:val="center"/>
              <w:spacing w:after="0"/>
              <w:rPr>
                <w:sz w:val="20"/>
                <w:szCs w:val="20"/>
                <w:color w:val="auto"/>
              </w:rPr>
            </w:pPr>
            <w:r>
              <w:rPr>
                <w:rFonts w:ascii="Arial" w:cs="Arial" w:eastAsia="Arial" w:hAnsi="Arial"/>
                <w:sz w:val="13"/>
                <w:szCs w:val="13"/>
                <w:color w:val="auto"/>
              </w:rPr>
              <w:t>Marc Holliday Employment Agreement</w:t>
            </w:r>
          </w:p>
        </w:tc>
        <w:tc>
          <w:tcPr>
            <w:tcW w:w="4100" w:type="dxa"/>
            <w:vAlign w:val="bottom"/>
            <w:gridSpan w:val="3"/>
          </w:tcPr>
          <w:p>
            <w:pPr>
              <w:jc w:val="center"/>
              <w:ind w:right="60"/>
              <w:spacing w:after="0"/>
              <w:rPr>
                <w:sz w:val="20"/>
                <w:szCs w:val="20"/>
                <w:color w:val="auto"/>
              </w:rPr>
            </w:pPr>
            <w:r>
              <w:rPr>
                <w:rFonts w:ascii="Arial" w:cs="Arial" w:eastAsia="Arial" w:hAnsi="Arial"/>
                <w:sz w:val="13"/>
                <w:szCs w:val="13"/>
                <w:color w:val="auto"/>
              </w:rPr>
              <w:t>Marc Holliday Employment Agreement</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(Term 1/18/16 to 1/17/19)</w:t>
            </w:r>
          </w:p>
        </w:tc>
        <w:tc>
          <w:tcPr>
            <w:tcW w:w="1860" w:type="dxa"/>
            <w:vAlign w:val="bottom"/>
          </w:tcPr>
          <w:p>
            <w:pPr>
              <w:spacing w:after="0"/>
              <w:rPr>
                <w:sz w:val="14"/>
                <w:szCs w:val="14"/>
                <w:color w:val="auto"/>
              </w:rPr>
            </w:pPr>
          </w:p>
        </w:tc>
        <w:tc>
          <w:tcPr>
            <w:tcW w:w="4100" w:type="dxa"/>
            <w:vAlign w:val="bottom"/>
            <w:gridSpan w:val="3"/>
          </w:tcPr>
          <w:p>
            <w:pPr>
              <w:jc w:val="center"/>
              <w:ind w:right="60"/>
              <w:spacing w:after="0"/>
              <w:rPr>
                <w:sz w:val="20"/>
                <w:szCs w:val="20"/>
                <w:color w:val="auto"/>
              </w:rPr>
            </w:pPr>
            <w:r>
              <w:rPr>
                <w:rFonts w:ascii="Arial" w:cs="Arial" w:eastAsia="Arial" w:hAnsi="Arial"/>
                <w:sz w:val="13"/>
                <w:szCs w:val="13"/>
                <w:color w:val="auto"/>
              </w:rPr>
              <w:t>(Term 1/18/19 to 1/17/22)</w:t>
            </w:r>
          </w:p>
        </w:tc>
        <w:tc>
          <w:tcPr>
            <w:tcW w:w="0" w:type="dxa"/>
            <w:vAlign w:val="bottom"/>
          </w:tcPr>
          <w:p>
            <w:pPr>
              <w:spacing w:after="0"/>
              <w:rPr>
                <w:sz w:val="1"/>
                <w:szCs w:val="1"/>
                <w:color w:val="auto"/>
              </w:rPr>
            </w:pPr>
          </w:p>
        </w:tc>
      </w:tr>
      <w:tr>
        <w:trPr>
          <w:trHeight w:val="28"/>
        </w:trPr>
        <w:tc>
          <w:tcPr>
            <w:tcW w:w="1640" w:type="dxa"/>
            <w:vAlign w:val="bottom"/>
            <w:tcBorders>
              <w:bottom w:val="single" w:sz="8" w:color="8089AD"/>
            </w:tcBorders>
          </w:tcPr>
          <w:p>
            <w:pPr>
              <w:spacing w:after="0"/>
              <w:rPr>
                <w:sz w:val="2"/>
                <w:szCs w:val="2"/>
                <w:color w:val="auto"/>
              </w:rPr>
            </w:pPr>
          </w:p>
        </w:tc>
        <w:tc>
          <w:tcPr>
            <w:tcW w:w="1820" w:type="dxa"/>
            <w:vAlign w:val="bottom"/>
            <w:tcBorders>
              <w:bottom w:val="single" w:sz="8" w:color="8089AD"/>
            </w:tcBorders>
          </w:tcPr>
          <w:p>
            <w:pPr>
              <w:spacing w:after="0"/>
              <w:rPr>
                <w:sz w:val="2"/>
                <w:szCs w:val="2"/>
                <w:color w:val="auto"/>
              </w:rPr>
            </w:pPr>
          </w:p>
        </w:tc>
        <w:tc>
          <w:tcPr>
            <w:tcW w:w="1840" w:type="dxa"/>
            <w:vAlign w:val="bottom"/>
            <w:tcBorders>
              <w:bottom w:val="single" w:sz="8" w:color="8089AD"/>
            </w:tcBorders>
          </w:tcPr>
          <w:p>
            <w:pPr>
              <w:spacing w:after="0"/>
              <w:rPr>
                <w:sz w:val="2"/>
                <w:szCs w:val="2"/>
                <w:color w:val="auto"/>
              </w:rPr>
            </w:pPr>
          </w:p>
        </w:tc>
        <w:tc>
          <w:tcPr>
            <w:tcW w:w="1860" w:type="dxa"/>
            <w:vAlign w:val="bottom"/>
            <w:tcBorders>
              <w:bottom w:val="single" w:sz="8" w:color="8089AD"/>
            </w:tcBorders>
          </w:tcPr>
          <w:p>
            <w:pPr>
              <w:spacing w:after="0"/>
              <w:rPr>
                <w:sz w:val="2"/>
                <w:szCs w:val="2"/>
                <w:color w:val="auto"/>
              </w:rPr>
            </w:pPr>
          </w:p>
        </w:tc>
        <w:tc>
          <w:tcPr>
            <w:tcW w:w="2020" w:type="dxa"/>
            <w:vAlign w:val="bottom"/>
            <w:tcBorders>
              <w:bottom w:val="single" w:sz="8" w:color="8089AD"/>
            </w:tcBorders>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Base Salary</w:t>
            </w: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rPr>
              <w:t>Reduced to $1.25 million,</w:t>
            </w: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40" w:type="dxa"/>
            <w:vAlign w:val="bottom"/>
            <w:vMerge w:val="continue"/>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rPr>
              <w:t>$1.35 million</w:t>
            </w:r>
          </w:p>
        </w:tc>
        <w:tc>
          <w:tcPr>
            <w:tcW w:w="1840" w:type="dxa"/>
            <w:vAlign w:val="bottom"/>
          </w:tcPr>
          <w:p>
            <w:pPr>
              <w:jc w:val="center"/>
              <w:spacing w:after="0"/>
              <w:rPr>
                <w:sz w:val="20"/>
                <w:szCs w:val="20"/>
                <w:color w:val="auto"/>
              </w:rPr>
            </w:pPr>
            <w:r>
              <w:rPr>
                <w:rFonts w:ascii="Arial" w:cs="Arial" w:eastAsia="Arial" w:hAnsi="Arial"/>
                <w:sz w:val="13"/>
                <w:szCs w:val="13"/>
                <w:color w:val="auto"/>
              </w:rPr>
              <w:t>$1.35 million</w:t>
            </w:r>
          </w:p>
        </w:tc>
        <w:tc>
          <w:tcPr>
            <w:tcW w:w="1860" w:type="dxa"/>
            <w:vAlign w:val="bottom"/>
          </w:tcPr>
          <w:p>
            <w:pPr>
              <w:jc w:val="center"/>
              <w:spacing w:after="0"/>
              <w:rPr>
                <w:sz w:val="20"/>
                <w:szCs w:val="20"/>
                <w:color w:val="auto"/>
              </w:rPr>
            </w:pPr>
            <w:r>
              <w:rPr>
                <w:rFonts w:ascii="Arial" w:cs="Arial" w:eastAsia="Arial" w:hAnsi="Arial"/>
                <w:sz w:val="13"/>
                <w:szCs w:val="13"/>
                <w:color w:val="auto"/>
              </w:rPr>
              <w:t>pursuant to 2019</w:t>
            </w:r>
          </w:p>
        </w:tc>
        <w:tc>
          <w:tcPr>
            <w:tcW w:w="2020" w:type="dxa"/>
            <w:vAlign w:val="bottom"/>
          </w:tcPr>
          <w:p>
            <w:pPr>
              <w:jc w:val="center"/>
              <w:spacing w:after="0"/>
              <w:rPr>
                <w:sz w:val="20"/>
                <w:szCs w:val="20"/>
                <w:color w:val="auto"/>
              </w:rPr>
            </w:pPr>
            <w:r>
              <w:rPr>
                <w:rFonts w:ascii="Arial" w:cs="Arial" w:eastAsia="Arial" w:hAnsi="Arial"/>
                <w:sz w:val="13"/>
                <w:szCs w:val="13"/>
                <w:color w:val="auto"/>
              </w:rPr>
              <w:t>$1.25 million</w:t>
            </w:r>
          </w:p>
        </w:tc>
        <w:tc>
          <w:tcPr>
            <w:tcW w:w="2080" w:type="dxa"/>
            <w:vAlign w:val="bottom"/>
            <w:gridSpan w:val="2"/>
          </w:tcPr>
          <w:p>
            <w:pPr>
              <w:jc w:val="center"/>
              <w:ind w:right="40"/>
              <w:spacing w:after="0"/>
              <w:rPr>
                <w:sz w:val="20"/>
                <w:szCs w:val="20"/>
                <w:color w:val="auto"/>
              </w:rPr>
            </w:pPr>
            <w:r>
              <w:rPr>
                <w:rFonts w:ascii="Arial" w:cs="Arial" w:eastAsia="Arial" w:hAnsi="Arial"/>
                <w:sz w:val="13"/>
                <w:szCs w:val="13"/>
                <w:color w:val="auto"/>
              </w:rPr>
              <w:t>$1.25 million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rPr>
              <w:t>employment agreement</w:t>
            </w: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8089AD"/>
            </w:tcBorders>
          </w:tcPr>
          <w:p>
            <w:pPr>
              <w:spacing w:after="0"/>
              <w:rPr>
                <w:sz w:val="5"/>
                <w:szCs w:val="5"/>
                <w:color w:val="auto"/>
              </w:rPr>
            </w:pPr>
          </w:p>
        </w:tc>
        <w:tc>
          <w:tcPr>
            <w:tcW w:w="1820" w:type="dxa"/>
            <w:vAlign w:val="bottom"/>
            <w:tcBorders>
              <w:bottom w:val="single" w:sz="8" w:color="8089AD"/>
            </w:tcBorders>
          </w:tcPr>
          <w:p>
            <w:pPr>
              <w:spacing w:after="0"/>
              <w:rPr>
                <w:sz w:val="5"/>
                <w:szCs w:val="5"/>
                <w:color w:val="auto"/>
              </w:rPr>
            </w:pPr>
          </w:p>
        </w:tc>
        <w:tc>
          <w:tcPr>
            <w:tcW w:w="1840" w:type="dxa"/>
            <w:vAlign w:val="bottom"/>
            <w:tcBorders>
              <w:bottom w:val="single" w:sz="8" w:color="8089AD"/>
            </w:tcBorders>
          </w:tcPr>
          <w:p>
            <w:pPr>
              <w:spacing w:after="0"/>
              <w:rPr>
                <w:sz w:val="5"/>
                <w:szCs w:val="5"/>
                <w:color w:val="auto"/>
              </w:rPr>
            </w:pPr>
          </w:p>
        </w:tc>
        <w:tc>
          <w:tcPr>
            <w:tcW w:w="1860" w:type="dxa"/>
            <w:vAlign w:val="bottom"/>
            <w:tcBorders>
              <w:bottom w:val="single" w:sz="8" w:color="8089AD"/>
            </w:tcBorders>
          </w:tcPr>
          <w:p>
            <w:pPr>
              <w:spacing w:after="0"/>
              <w:rPr>
                <w:sz w:val="5"/>
                <w:szCs w:val="5"/>
                <w:color w:val="auto"/>
              </w:rPr>
            </w:pPr>
          </w:p>
        </w:tc>
        <w:tc>
          <w:tcPr>
            <w:tcW w:w="2020" w:type="dxa"/>
            <w:vAlign w:val="bottom"/>
            <w:tcBorders>
              <w:bottom w:val="single" w:sz="8" w:color="8089AD"/>
            </w:tcBorders>
          </w:tcPr>
          <w:p>
            <w:pPr>
              <w:spacing w:after="0"/>
              <w:rPr>
                <w:sz w:val="5"/>
                <w:szCs w:val="5"/>
                <w:color w:val="auto"/>
              </w:rPr>
            </w:pPr>
          </w:p>
        </w:tc>
        <w:tc>
          <w:tcPr>
            <w:tcW w:w="20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Annual Cash</w:t>
            </w:r>
          </w:p>
        </w:tc>
        <w:tc>
          <w:tcPr>
            <w:tcW w:w="1820" w:type="dxa"/>
            <w:vAlign w:val="bottom"/>
          </w:tcPr>
          <w:p>
            <w:pPr>
              <w:ind w:left="80"/>
              <w:spacing w:after="0"/>
              <w:rPr>
                <w:sz w:val="20"/>
                <w:szCs w:val="20"/>
                <w:color w:val="auto"/>
              </w:rPr>
            </w:pPr>
            <w:r>
              <w:rPr>
                <w:rFonts w:ascii="Arial" w:cs="Arial" w:eastAsia="Arial" w:hAnsi="Arial"/>
                <w:sz w:val="13"/>
                <w:szCs w:val="13"/>
                <w:color w:val="auto"/>
              </w:rPr>
              <w:t>Target: 2 times base salary</w:t>
            </w:r>
          </w:p>
        </w:tc>
        <w:tc>
          <w:tcPr>
            <w:tcW w:w="1840" w:type="dxa"/>
            <w:vAlign w:val="bottom"/>
          </w:tcPr>
          <w:p>
            <w:pPr>
              <w:jc w:val="center"/>
              <w:spacing w:after="0"/>
              <w:rPr>
                <w:sz w:val="20"/>
                <w:szCs w:val="20"/>
                <w:color w:val="auto"/>
              </w:rPr>
            </w:pPr>
            <w:r>
              <w:rPr>
                <w:rFonts w:ascii="Arial" w:cs="Arial" w:eastAsia="Arial" w:hAnsi="Arial"/>
                <w:sz w:val="13"/>
                <w:szCs w:val="13"/>
                <w:color w:val="auto"/>
              </w:rPr>
              <w:t>Target: 2 times base salary</w:t>
            </w:r>
          </w:p>
        </w:tc>
        <w:tc>
          <w:tcPr>
            <w:tcW w:w="1860" w:type="dxa"/>
            <w:vAlign w:val="bottom"/>
          </w:tcPr>
          <w:p>
            <w:pPr>
              <w:jc w:val="center"/>
              <w:spacing w:after="0"/>
              <w:rPr>
                <w:sz w:val="20"/>
                <w:szCs w:val="20"/>
                <w:color w:val="auto"/>
              </w:rPr>
            </w:pPr>
            <w:r>
              <w:rPr>
                <w:rFonts w:ascii="Arial" w:cs="Arial" w:eastAsia="Arial" w:hAnsi="Arial"/>
                <w:sz w:val="13"/>
                <w:szCs w:val="13"/>
                <w:color w:val="auto"/>
              </w:rPr>
              <w:t>Target: 2 times base salary</w:t>
            </w:r>
          </w:p>
        </w:tc>
        <w:tc>
          <w:tcPr>
            <w:tcW w:w="2020" w:type="dxa"/>
            <w:vAlign w:val="bottom"/>
          </w:tcPr>
          <w:p>
            <w:pPr>
              <w:jc w:val="center"/>
              <w:spacing w:after="0"/>
              <w:rPr>
                <w:sz w:val="20"/>
                <w:szCs w:val="20"/>
                <w:color w:val="auto"/>
              </w:rPr>
            </w:pPr>
            <w:r>
              <w:rPr>
                <w:rFonts w:ascii="Arial" w:cs="Arial" w:eastAsia="Arial" w:hAnsi="Arial"/>
                <w:sz w:val="13"/>
                <w:szCs w:val="13"/>
                <w:color w:val="auto"/>
              </w:rPr>
              <w:t>Target: 2 times base salary</w:t>
            </w:r>
          </w:p>
        </w:tc>
        <w:tc>
          <w:tcPr>
            <w:tcW w:w="2080" w:type="dxa"/>
            <w:vAlign w:val="bottom"/>
            <w:gridSpan w:val="2"/>
          </w:tcPr>
          <w:p>
            <w:pPr>
              <w:jc w:val="center"/>
              <w:ind w:right="20"/>
              <w:spacing w:after="0"/>
              <w:rPr>
                <w:sz w:val="20"/>
                <w:szCs w:val="20"/>
                <w:color w:val="auto"/>
              </w:rPr>
            </w:pPr>
            <w:r>
              <w:rPr>
                <w:rFonts w:ascii="Arial" w:cs="Arial" w:eastAsia="Arial" w:hAnsi="Arial"/>
                <w:sz w:val="13"/>
                <w:szCs w:val="13"/>
                <w:color w:val="auto"/>
              </w:rPr>
              <w:t>Target: 2 times base salary</w:t>
            </w:r>
          </w:p>
        </w:tc>
        <w:tc>
          <w:tcPr>
            <w:tcW w:w="0" w:type="dxa"/>
            <w:vAlign w:val="bottom"/>
          </w:tcPr>
          <w:p>
            <w:pPr>
              <w:spacing w:after="0"/>
              <w:rPr>
                <w:sz w:val="1"/>
                <w:szCs w:val="1"/>
                <w:color w:val="auto"/>
              </w:rPr>
            </w:pPr>
          </w:p>
        </w:tc>
      </w:tr>
      <w:tr>
        <w:trPr>
          <w:trHeight w:val="178"/>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Bonus</w:t>
            </w:r>
          </w:p>
        </w:tc>
        <w:tc>
          <w:tcPr>
            <w:tcW w:w="1820" w:type="dxa"/>
            <w:vAlign w:val="bottom"/>
          </w:tcPr>
          <w:p>
            <w:pPr>
              <w:jc w:val="center"/>
              <w:spacing w:after="0"/>
              <w:rPr>
                <w:sz w:val="20"/>
                <w:szCs w:val="20"/>
                <w:color w:val="auto"/>
              </w:rPr>
            </w:pPr>
            <w:r>
              <w:rPr>
                <w:rFonts w:ascii="Arial" w:cs="Arial" w:eastAsia="Arial" w:hAnsi="Arial"/>
                <w:sz w:val="13"/>
                <w:szCs w:val="13"/>
                <w:color w:val="auto"/>
              </w:rPr>
              <w:t>($2.5 million)</w:t>
            </w:r>
          </w:p>
        </w:tc>
        <w:tc>
          <w:tcPr>
            <w:tcW w:w="1840" w:type="dxa"/>
            <w:vAlign w:val="bottom"/>
          </w:tcPr>
          <w:p>
            <w:pPr>
              <w:jc w:val="center"/>
              <w:spacing w:after="0"/>
              <w:rPr>
                <w:sz w:val="20"/>
                <w:szCs w:val="20"/>
                <w:color w:val="auto"/>
              </w:rPr>
            </w:pPr>
            <w:r>
              <w:rPr>
                <w:rFonts w:ascii="Arial" w:cs="Arial" w:eastAsia="Arial" w:hAnsi="Arial"/>
                <w:sz w:val="13"/>
                <w:szCs w:val="13"/>
                <w:color w:val="auto"/>
              </w:rPr>
              <w:t>($2.7 million)</w:t>
            </w:r>
          </w:p>
        </w:tc>
        <w:tc>
          <w:tcPr>
            <w:tcW w:w="1860" w:type="dxa"/>
            <w:vAlign w:val="bottom"/>
          </w:tcPr>
          <w:p>
            <w:pPr>
              <w:jc w:val="center"/>
              <w:spacing w:after="0"/>
              <w:rPr>
                <w:sz w:val="20"/>
                <w:szCs w:val="20"/>
                <w:color w:val="auto"/>
              </w:rPr>
            </w:pPr>
            <w:r>
              <w:rPr>
                <w:rFonts w:ascii="Arial" w:cs="Arial" w:eastAsia="Arial" w:hAnsi="Arial"/>
                <w:sz w:val="13"/>
                <w:szCs w:val="13"/>
                <w:color w:val="auto"/>
              </w:rPr>
              <w:t>($2.5 million)</w:t>
            </w:r>
          </w:p>
        </w:tc>
        <w:tc>
          <w:tcPr>
            <w:tcW w:w="2020" w:type="dxa"/>
            <w:vAlign w:val="bottom"/>
          </w:tcPr>
          <w:p>
            <w:pPr>
              <w:jc w:val="center"/>
              <w:spacing w:after="0"/>
              <w:rPr>
                <w:sz w:val="20"/>
                <w:szCs w:val="20"/>
                <w:color w:val="auto"/>
              </w:rPr>
            </w:pPr>
            <w:r>
              <w:rPr>
                <w:rFonts w:ascii="Arial" w:cs="Arial" w:eastAsia="Arial" w:hAnsi="Arial"/>
                <w:sz w:val="13"/>
                <w:szCs w:val="13"/>
                <w:color w:val="auto"/>
              </w:rPr>
              <w:t>($2.5 million)</w:t>
            </w:r>
          </w:p>
        </w:tc>
        <w:tc>
          <w:tcPr>
            <w:tcW w:w="2080" w:type="dxa"/>
            <w:vAlign w:val="bottom"/>
            <w:gridSpan w:val="2"/>
          </w:tcPr>
          <w:p>
            <w:pPr>
              <w:jc w:val="center"/>
              <w:ind w:right="20"/>
              <w:spacing w:after="0"/>
              <w:rPr>
                <w:sz w:val="20"/>
                <w:szCs w:val="20"/>
                <w:color w:val="auto"/>
              </w:rPr>
            </w:pPr>
            <w:r>
              <w:rPr>
                <w:rFonts w:ascii="Arial" w:cs="Arial" w:eastAsia="Arial" w:hAnsi="Arial"/>
                <w:sz w:val="13"/>
                <w:szCs w:val="13"/>
                <w:color w:val="auto"/>
              </w:rPr>
              <w:t>($2.5 million)</w:t>
            </w:r>
          </w:p>
        </w:tc>
        <w:tc>
          <w:tcPr>
            <w:tcW w:w="0" w:type="dxa"/>
            <w:vAlign w:val="bottom"/>
          </w:tcPr>
          <w:p>
            <w:pPr>
              <w:spacing w:after="0"/>
              <w:rPr>
                <w:sz w:val="1"/>
                <w:szCs w:val="1"/>
                <w:color w:val="auto"/>
              </w:rPr>
            </w:pPr>
          </w:p>
        </w:tc>
      </w:tr>
      <w:tr>
        <w:trPr>
          <w:trHeight w:val="54"/>
        </w:trPr>
        <w:tc>
          <w:tcPr>
            <w:tcW w:w="1640" w:type="dxa"/>
            <w:vAlign w:val="bottom"/>
            <w:tcBorders>
              <w:bottom w:val="single" w:sz="8" w:color="8089AD"/>
            </w:tcBorders>
          </w:tcPr>
          <w:p>
            <w:pPr>
              <w:spacing w:after="0"/>
              <w:rPr>
                <w:sz w:val="4"/>
                <w:szCs w:val="4"/>
                <w:color w:val="auto"/>
              </w:rPr>
            </w:pPr>
          </w:p>
        </w:tc>
        <w:tc>
          <w:tcPr>
            <w:tcW w:w="1820" w:type="dxa"/>
            <w:vAlign w:val="bottom"/>
            <w:tcBorders>
              <w:bottom w:val="single" w:sz="8" w:color="8089AD"/>
            </w:tcBorders>
          </w:tcPr>
          <w:p>
            <w:pPr>
              <w:spacing w:after="0"/>
              <w:rPr>
                <w:sz w:val="4"/>
                <w:szCs w:val="4"/>
                <w:color w:val="auto"/>
              </w:rPr>
            </w:pPr>
          </w:p>
        </w:tc>
        <w:tc>
          <w:tcPr>
            <w:tcW w:w="1840" w:type="dxa"/>
            <w:vAlign w:val="bottom"/>
            <w:tcBorders>
              <w:bottom w:val="single" w:sz="8" w:color="8089AD"/>
            </w:tcBorders>
          </w:tcPr>
          <w:p>
            <w:pPr>
              <w:spacing w:after="0"/>
              <w:rPr>
                <w:sz w:val="4"/>
                <w:szCs w:val="4"/>
                <w:color w:val="auto"/>
              </w:rPr>
            </w:pPr>
          </w:p>
        </w:tc>
        <w:tc>
          <w:tcPr>
            <w:tcW w:w="1860" w:type="dxa"/>
            <w:vAlign w:val="bottom"/>
            <w:tcBorders>
              <w:bottom w:val="single" w:sz="8" w:color="8089AD"/>
            </w:tcBorders>
          </w:tcPr>
          <w:p>
            <w:pPr>
              <w:spacing w:after="0"/>
              <w:rPr>
                <w:sz w:val="4"/>
                <w:szCs w:val="4"/>
                <w:color w:val="auto"/>
              </w:rPr>
            </w:pPr>
          </w:p>
        </w:tc>
        <w:tc>
          <w:tcPr>
            <w:tcW w:w="2020" w:type="dxa"/>
            <w:vAlign w:val="bottom"/>
            <w:tcBorders>
              <w:bottom w:val="single" w:sz="8" w:color="8089AD"/>
            </w:tcBorders>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640" w:type="dxa"/>
            <w:vAlign w:val="bottom"/>
            <w:tcBorders>
              <w:right w:val="single" w:sz="8" w:color="8089AD"/>
            </w:tcBorders>
          </w:tcPr>
          <w:p>
            <w:pPr>
              <w:spacing w:after="0"/>
              <w:rPr>
                <w:sz w:val="14"/>
                <w:szCs w:val="14"/>
                <w:color w:val="auto"/>
              </w:rPr>
            </w:pPr>
          </w:p>
        </w:tc>
        <w:tc>
          <w:tcPr>
            <w:tcW w:w="3660" w:type="dxa"/>
            <w:vAlign w:val="bottom"/>
            <w:tcBorders>
              <w:right w:val="single" w:sz="8" w:color="8089AD"/>
            </w:tcBorders>
            <w:gridSpan w:val="2"/>
            <w:shd w:val="clear" w:color="auto" w:fill="EBEDF3"/>
          </w:tcPr>
          <w:p>
            <w:pPr>
              <w:jc w:val="center"/>
              <w:spacing w:after="0"/>
              <w:rPr>
                <w:sz w:val="20"/>
                <w:szCs w:val="20"/>
                <w:color w:val="auto"/>
              </w:rPr>
            </w:pPr>
            <w:r>
              <w:rPr>
                <w:rFonts w:ascii="Arial" w:cs="Arial" w:eastAsia="Arial" w:hAnsi="Arial"/>
                <w:sz w:val="13"/>
                <w:szCs w:val="13"/>
                <w:color w:val="auto"/>
              </w:rPr>
              <w:t>Units valued at $3.4 million; Granted in 2017 fully vested</w:t>
            </w:r>
          </w:p>
        </w:tc>
        <w:tc>
          <w:tcPr>
            <w:tcW w:w="1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640" w:type="dxa"/>
            <w:vAlign w:val="bottom"/>
            <w:tcBorders>
              <w:right w:val="single" w:sz="8" w:color="8089AD"/>
            </w:tcBorders>
          </w:tcPr>
          <w:p>
            <w:pPr>
              <w:spacing w:after="0"/>
              <w:rPr>
                <w:sz w:val="18"/>
                <w:szCs w:val="18"/>
                <w:color w:val="auto"/>
              </w:rPr>
            </w:pPr>
          </w:p>
        </w:tc>
        <w:tc>
          <w:tcPr>
            <w:tcW w:w="3660" w:type="dxa"/>
            <w:vAlign w:val="bottom"/>
            <w:tcBorders>
              <w:bottom w:val="single" w:sz="8" w:color="EBEDF3"/>
              <w:right w:val="single" w:sz="8" w:color="8089AD"/>
            </w:tcBorders>
            <w:gridSpan w:val="2"/>
            <w:shd w:val="clear" w:color="auto" w:fill="EBEDF3"/>
          </w:tcPr>
          <w:p>
            <w:pPr>
              <w:jc w:val="center"/>
              <w:spacing w:after="0"/>
              <w:rPr>
                <w:sz w:val="20"/>
                <w:szCs w:val="20"/>
                <w:color w:val="auto"/>
              </w:rPr>
            </w:pPr>
            <w:r>
              <w:rPr>
                <w:rFonts w:ascii="Arial" w:cs="Arial" w:eastAsia="Arial" w:hAnsi="Arial"/>
                <w:sz w:val="13"/>
                <w:szCs w:val="13"/>
                <w:color w:val="auto"/>
              </w:rPr>
              <w:t>based on 2016 Performance</w:t>
            </w:r>
          </w:p>
        </w:tc>
        <w:tc>
          <w:tcPr>
            <w:tcW w:w="1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820" w:type="dxa"/>
            <w:vAlign w:val="bottom"/>
            <w:tcBorders>
              <w:top w:val="single" w:sz="8" w:color="8089AD"/>
              <w:right w:val="single" w:sz="8" w:color="8089AD"/>
            </w:tcBorders>
          </w:tcPr>
          <w:p>
            <w:pPr>
              <w:spacing w:after="0"/>
              <w:rPr>
                <w:sz w:val="14"/>
                <w:szCs w:val="14"/>
                <w:color w:val="auto"/>
              </w:rPr>
            </w:pPr>
          </w:p>
        </w:tc>
        <w:tc>
          <w:tcPr>
            <w:tcW w:w="3700" w:type="dxa"/>
            <w:vAlign w:val="bottom"/>
            <w:tcBorders>
              <w:top w:val="single" w:sz="8" w:color="8089AD"/>
              <w:right w:val="single" w:sz="8" w:color="8089AD"/>
            </w:tcBorders>
            <w:gridSpan w:val="2"/>
            <w:shd w:val="clear" w:color="auto" w:fill="EBEDF3"/>
          </w:tcPr>
          <w:p>
            <w:pPr>
              <w:jc w:val="center"/>
              <w:spacing w:after="0"/>
              <w:rPr>
                <w:sz w:val="20"/>
                <w:szCs w:val="20"/>
                <w:color w:val="auto"/>
              </w:rPr>
            </w:pPr>
            <w:r>
              <w:rPr>
                <w:rFonts w:ascii="Arial" w:cs="Arial" w:eastAsia="Arial" w:hAnsi="Arial"/>
                <w:sz w:val="13"/>
                <w:szCs w:val="13"/>
                <w:color w:val="auto"/>
              </w:rPr>
              <w:t>Units valued at $4.5 million; Granted in 2018 fully vested</w:t>
            </w: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Annual Equity</w:t>
            </w:r>
          </w:p>
        </w:tc>
        <w:tc>
          <w:tcPr>
            <w:tcW w:w="1820" w:type="dxa"/>
            <w:vAlign w:val="bottom"/>
            <w:tcBorders>
              <w:right w:val="single" w:sz="8" w:color="8089AD"/>
            </w:tcBorders>
          </w:tcPr>
          <w:p>
            <w:pPr>
              <w:spacing w:after="0"/>
              <w:rPr>
                <w:sz w:val="22"/>
                <w:szCs w:val="22"/>
                <w:color w:val="auto"/>
              </w:rPr>
            </w:pPr>
          </w:p>
        </w:tc>
        <w:tc>
          <w:tcPr>
            <w:tcW w:w="3700" w:type="dxa"/>
            <w:vAlign w:val="bottom"/>
            <w:tcBorders>
              <w:bottom w:val="single" w:sz="8" w:color="EBEDF3"/>
              <w:right w:val="single" w:sz="8" w:color="8089AD"/>
            </w:tcBorders>
            <w:gridSpan w:val="2"/>
            <w:shd w:val="clear" w:color="auto" w:fill="EBEDF3"/>
          </w:tcPr>
          <w:p>
            <w:pPr>
              <w:jc w:val="center"/>
              <w:spacing w:after="0"/>
              <w:rPr>
                <w:sz w:val="20"/>
                <w:szCs w:val="20"/>
                <w:color w:val="auto"/>
              </w:rPr>
            </w:pPr>
            <w:r>
              <w:rPr>
                <w:rFonts w:ascii="Arial" w:cs="Arial" w:eastAsia="Arial" w:hAnsi="Arial"/>
                <w:sz w:val="13"/>
                <w:szCs w:val="13"/>
                <w:color w:val="auto"/>
              </w:rPr>
              <w:t>based on 2017 Performance</w:t>
            </w:r>
          </w:p>
        </w:tc>
        <w:tc>
          <w:tcPr>
            <w:tcW w:w="2020" w:type="dxa"/>
            <w:vAlign w:val="bottom"/>
          </w:tcPr>
          <w:p>
            <w:pPr>
              <w:spacing w:after="0"/>
              <w:rPr>
                <w:sz w:val="22"/>
                <w:szCs w:val="22"/>
                <w:color w:val="auto"/>
              </w:rPr>
            </w:pPr>
          </w:p>
        </w:tc>
        <w:tc>
          <w:tcPr>
            <w:tcW w:w="2080" w:type="dxa"/>
            <w:vAlign w:val="bottom"/>
            <w:gridSpan w:val="2"/>
          </w:tcPr>
          <w:p>
            <w:pPr>
              <w:jc w:val="center"/>
              <w:ind w:right="20"/>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81"/>
        </w:trPr>
        <w:tc>
          <w:tcPr>
            <w:tcW w:w="1640" w:type="dxa"/>
            <w:vAlign w:val="bottom"/>
          </w:tcPr>
          <w:p>
            <w:pPr>
              <w:ind w:left="180"/>
              <w:spacing w:after="0" w:line="81" w:lineRule="exact"/>
              <w:rPr>
                <w:sz w:val="20"/>
                <w:szCs w:val="20"/>
                <w:color w:val="auto"/>
              </w:rPr>
            </w:pPr>
            <w:r>
              <w:rPr>
                <w:rFonts w:ascii="Arial" w:cs="Arial" w:eastAsia="Arial" w:hAnsi="Arial"/>
                <w:sz w:val="9"/>
                <w:szCs w:val="9"/>
                <w:b w:val="1"/>
                <w:bCs w:val="1"/>
                <w:color w:val="auto"/>
              </w:rPr>
              <w:t>Bonus</w:t>
            </w:r>
          </w:p>
        </w:tc>
        <w:tc>
          <w:tcPr>
            <w:tcW w:w="1820" w:type="dxa"/>
            <w:vAlign w:val="bottom"/>
          </w:tcPr>
          <w:p>
            <w:pPr>
              <w:spacing w:after="0"/>
              <w:rPr>
                <w:sz w:val="7"/>
                <w:szCs w:val="7"/>
                <w:color w:val="auto"/>
              </w:rPr>
            </w:pPr>
          </w:p>
        </w:tc>
        <w:tc>
          <w:tcPr>
            <w:tcW w:w="1840" w:type="dxa"/>
            <w:vAlign w:val="bottom"/>
            <w:tcBorders>
              <w:top w:val="single" w:sz="8" w:color="8089AD"/>
            </w:tcBorders>
          </w:tcPr>
          <w:p>
            <w:pPr>
              <w:spacing w:after="0"/>
              <w:rPr>
                <w:sz w:val="7"/>
                <w:szCs w:val="7"/>
                <w:color w:val="auto"/>
              </w:rPr>
            </w:pPr>
          </w:p>
        </w:tc>
        <w:tc>
          <w:tcPr>
            <w:tcW w:w="3880" w:type="dxa"/>
            <w:vAlign w:val="bottom"/>
            <w:tcBorders>
              <w:top w:val="single" w:sz="8" w:color="8089AD"/>
              <w:left w:val="single" w:sz="8" w:color="8089AD"/>
            </w:tcBorders>
            <w:gridSpan w:val="2"/>
            <w:vMerge w:val="restart"/>
            <w:shd w:val="clear" w:color="auto" w:fill="EBEDF3"/>
          </w:tcPr>
          <w:p>
            <w:pPr>
              <w:jc w:val="center"/>
              <w:spacing w:after="0" w:line="121" w:lineRule="exact"/>
              <w:rPr>
                <w:sz w:val="20"/>
                <w:szCs w:val="20"/>
                <w:color w:val="auto"/>
              </w:rPr>
            </w:pPr>
            <w:r>
              <w:rPr>
                <w:rFonts w:ascii="Arial" w:cs="Arial" w:eastAsia="Arial" w:hAnsi="Arial"/>
                <w:sz w:val="13"/>
                <w:szCs w:val="13"/>
                <w:color w:val="auto"/>
              </w:rPr>
              <w:t>Units valued at $3.5 million; Granted in 2019 fully vested</w:t>
            </w:r>
          </w:p>
        </w:tc>
        <w:tc>
          <w:tcPr>
            <w:tcW w:w="20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80" w:type="dxa"/>
            <w:vAlign w:val="bottom"/>
            <w:tcBorders>
              <w:left w:val="single" w:sz="8" w:color="8089AD"/>
            </w:tcBorders>
            <w:gridSpan w:val="2"/>
            <w:vMerge w:val="continue"/>
            <w:shd w:val="clear" w:color="auto" w:fill="EBEDF3"/>
          </w:tcPr>
          <w:p>
            <w:pPr>
              <w:spacing w:after="0"/>
              <w:rPr>
                <w:sz w:val="3"/>
                <w:szCs w:val="3"/>
                <w:color w:val="auto"/>
              </w:rPr>
            </w:pPr>
          </w:p>
        </w:tc>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80" w:type="dxa"/>
            <w:vAlign w:val="bottom"/>
            <w:tcBorders>
              <w:left w:val="single" w:sz="8" w:color="8089AD"/>
              <w:bottom w:val="single" w:sz="8" w:color="EBEDF3"/>
            </w:tcBorders>
            <w:gridSpan w:val="2"/>
            <w:shd w:val="clear" w:color="auto" w:fill="EBEDF3"/>
          </w:tcPr>
          <w:p>
            <w:pPr>
              <w:jc w:val="center"/>
              <w:spacing w:after="0"/>
              <w:rPr>
                <w:sz w:val="20"/>
                <w:szCs w:val="20"/>
                <w:color w:val="auto"/>
              </w:rPr>
            </w:pPr>
            <w:r>
              <w:rPr>
                <w:rFonts w:ascii="Arial" w:cs="Arial" w:eastAsia="Arial" w:hAnsi="Arial"/>
                <w:sz w:val="13"/>
                <w:szCs w:val="13"/>
                <w:color w:val="auto"/>
              </w:rPr>
              <w:t>based on 2018 Performance</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Borders>
              <w:top w:val="single" w:sz="8" w:color="8089AD"/>
            </w:tcBorders>
          </w:tcPr>
          <w:p>
            <w:pPr>
              <w:spacing w:after="0"/>
              <w:rPr>
                <w:sz w:val="14"/>
                <w:szCs w:val="14"/>
                <w:color w:val="auto"/>
              </w:rPr>
            </w:pPr>
          </w:p>
        </w:tc>
        <w:tc>
          <w:tcPr>
            <w:tcW w:w="2020" w:type="dxa"/>
            <w:vAlign w:val="bottom"/>
            <w:tcBorders>
              <w:top w:val="single" w:sz="8" w:color="8089AD"/>
            </w:tcBorders>
          </w:tcPr>
          <w:p>
            <w:pPr>
              <w:jc w:val="center"/>
              <w:spacing w:after="0"/>
              <w:rPr>
                <w:sz w:val="20"/>
                <w:szCs w:val="20"/>
                <w:color w:val="auto"/>
              </w:rPr>
            </w:pPr>
            <w:r>
              <w:rPr>
                <w:rFonts w:ascii="Arial" w:cs="Arial" w:eastAsia="Arial" w:hAnsi="Arial"/>
                <w:sz w:val="13"/>
                <w:szCs w:val="13"/>
                <w:color w:val="auto"/>
              </w:rPr>
              <w:t>Eliminated for 2019</w:t>
            </w: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rPr>
              <w:t>onward</w:t>
            </w: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1640" w:type="dxa"/>
            <w:vAlign w:val="bottom"/>
            <w:tcBorders>
              <w:bottom w:val="single" w:sz="8" w:color="8089AD"/>
            </w:tcBorders>
          </w:tcPr>
          <w:p>
            <w:pPr>
              <w:spacing w:after="0"/>
              <w:rPr>
                <w:sz w:val="4"/>
                <w:szCs w:val="4"/>
                <w:color w:val="auto"/>
              </w:rPr>
            </w:pPr>
          </w:p>
        </w:tc>
        <w:tc>
          <w:tcPr>
            <w:tcW w:w="1820" w:type="dxa"/>
            <w:vAlign w:val="bottom"/>
            <w:tcBorders>
              <w:bottom w:val="single" w:sz="8" w:color="8089AD"/>
            </w:tcBorders>
          </w:tcPr>
          <w:p>
            <w:pPr>
              <w:spacing w:after="0"/>
              <w:rPr>
                <w:sz w:val="4"/>
                <w:szCs w:val="4"/>
                <w:color w:val="auto"/>
              </w:rPr>
            </w:pPr>
          </w:p>
        </w:tc>
        <w:tc>
          <w:tcPr>
            <w:tcW w:w="1840" w:type="dxa"/>
            <w:vAlign w:val="bottom"/>
            <w:tcBorders>
              <w:bottom w:val="single" w:sz="8" w:color="8089AD"/>
            </w:tcBorders>
          </w:tcPr>
          <w:p>
            <w:pPr>
              <w:spacing w:after="0"/>
              <w:rPr>
                <w:sz w:val="4"/>
                <w:szCs w:val="4"/>
                <w:color w:val="auto"/>
              </w:rPr>
            </w:pPr>
          </w:p>
        </w:tc>
        <w:tc>
          <w:tcPr>
            <w:tcW w:w="1860" w:type="dxa"/>
            <w:vAlign w:val="bottom"/>
            <w:tcBorders>
              <w:bottom w:val="single" w:sz="8" w:color="8089AD"/>
            </w:tcBorders>
          </w:tcPr>
          <w:p>
            <w:pPr>
              <w:spacing w:after="0"/>
              <w:rPr>
                <w:sz w:val="4"/>
                <w:szCs w:val="4"/>
                <w:color w:val="auto"/>
              </w:rPr>
            </w:pPr>
          </w:p>
        </w:tc>
        <w:tc>
          <w:tcPr>
            <w:tcW w:w="2020" w:type="dxa"/>
            <w:vAlign w:val="bottom"/>
            <w:tcBorders>
              <w:bottom w:val="single" w:sz="8" w:color="8089AD"/>
            </w:tcBorders>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Deferred</w:t>
            </w:r>
          </w:p>
        </w:tc>
        <w:tc>
          <w:tcPr>
            <w:tcW w:w="1820" w:type="dxa"/>
            <w:vAlign w:val="bottom"/>
            <w:vMerge w:val="restart"/>
          </w:tcPr>
          <w:p>
            <w:pPr>
              <w:jc w:val="right"/>
              <w:ind w:right="573"/>
              <w:spacing w:after="0"/>
              <w:rPr>
                <w:sz w:val="20"/>
                <w:szCs w:val="20"/>
                <w:color w:val="auto"/>
              </w:rPr>
            </w:pPr>
            <w:r>
              <w:rPr>
                <w:rFonts w:ascii="Arial" w:cs="Arial" w:eastAsia="Arial" w:hAnsi="Arial"/>
                <w:sz w:val="13"/>
                <w:szCs w:val="13"/>
                <w:color w:val="auto"/>
              </w:rPr>
              <w:t>$750,000</w:t>
            </w:r>
          </w:p>
        </w:tc>
        <w:tc>
          <w:tcPr>
            <w:tcW w:w="1840" w:type="dxa"/>
            <w:vAlign w:val="bottom"/>
            <w:vMerge w:val="restart"/>
          </w:tcPr>
          <w:p>
            <w:pPr>
              <w:jc w:val="right"/>
              <w:ind w:right="593"/>
              <w:spacing w:after="0"/>
              <w:rPr>
                <w:sz w:val="20"/>
                <w:szCs w:val="20"/>
                <w:color w:val="auto"/>
              </w:rPr>
            </w:pPr>
            <w:r>
              <w:rPr>
                <w:rFonts w:ascii="Arial" w:cs="Arial" w:eastAsia="Arial" w:hAnsi="Arial"/>
                <w:sz w:val="13"/>
                <w:szCs w:val="13"/>
                <w:color w:val="auto"/>
              </w:rPr>
              <w:t>$750,000</w:t>
            </w:r>
          </w:p>
        </w:tc>
        <w:tc>
          <w:tcPr>
            <w:tcW w:w="1860" w:type="dxa"/>
            <w:vAlign w:val="bottom"/>
            <w:vMerge w:val="restart"/>
          </w:tcPr>
          <w:p>
            <w:pPr>
              <w:jc w:val="right"/>
              <w:ind w:right="593"/>
              <w:spacing w:after="0"/>
              <w:rPr>
                <w:sz w:val="20"/>
                <w:szCs w:val="20"/>
                <w:color w:val="auto"/>
              </w:rPr>
            </w:pPr>
            <w:r>
              <w:rPr>
                <w:rFonts w:ascii="Arial" w:cs="Arial" w:eastAsia="Arial" w:hAnsi="Arial"/>
                <w:sz w:val="13"/>
                <w:szCs w:val="13"/>
                <w:color w:val="auto"/>
              </w:rPr>
              <w:t>$750,000</w:t>
            </w: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rPr>
              <w:t>Eliminated</w:t>
            </w:r>
          </w:p>
        </w:tc>
        <w:tc>
          <w:tcPr>
            <w:tcW w:w="208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97"/>
        </w:trPr>
        <w:tc>
          <w:tcPr>
            <w:tcW w:w="16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Compensation</w:t>
            </w:r>
          </w:p>
        </w:tc>
        <w:tc>
          <w:tcPr>
            <w:tcW w:w="182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640" w:type="dxa"/>
            <w:vAlign w:val="bottom"/>
            <w:tcBorders>
              <w:bottom w:val="single" w:sz="8" w:color="8089AD"/>
            </w:tcBorders>
          </w:tcPr>
          <w:p>
            <w:pPr>
              <w:spacing w:after="0"/>
              <w:rPr>
                <w:sz w:val="4"/>
                <w:szCs w:val="4"/>
                <w:color w:val="auto"/>
              </w:rPr>
            </w:pPr>
          </w:p>
        </w:tc>
        <w:tc>
          <w:tcPr>
            <w:tcW w:w="3660" w:type="dxa"/>
            <w:vAlign w:val="bottom"/>
            <w:tcBorders>
              <w:bottom w:val="single" w:sz="8" w:color="8089AD"/>
            </w:tcBorders>
            <w:gridSpan w:val="2"/>
          </w:tcPr>
          <w:p>
            <w:pPr>
              <w:spacing w:after="0"/>
              <w:rPr>
                <w:sz w:val="4"/>
                <w:szCs w:val="4"/>
                <w:color w:val="auto"/>
              </w:rPr>
            </w:pPr>
          </w:p>
        </w:tc>
        <w:tc>
          <w:tcPr>
            <w:tcW w:w="1860" w:type="dxa"/>
            <w:vAlign w:val="bottom"/>
            <w:tcBorders>
              <w:bottom w:val="single" w:sz="8" w:color="8089AD"/>
            </w:tcBorders>
          </w:tcPr>
          <w:p>
            <w:pPr>
              <w:spacing w:after="0"/>
              <w:rPr>
                <w:sz w:val="4"/>
                <w:szCs w:val="4"/>
                <w:color w:val="auto"/>
              </w:rPr>
            </w:pPr>
          </w:p>
        </w:tc>
        <w:tc>
          <w:tcPr>
            <w:tcW w:w="2020" w:type="dxa"/>
            <w:vAlign w:val="bottom"/>
            <w:tcBorders>
              <w:bottom w:val="single" w:sz="8" w:color="8089AD"/>
            </w:tcBorders>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Outperformance</w:t>
            </w:r>
          </w:p>
        </w:tc>
        <w:tc>
          <w:tcPr>
            <w:tcW w:w="3660" w:type="dxa"/>
            <w:vAlign w:val="bottom"/>
            <w:gridSpan w:val="2"/>
          </w:tcPr>
          <w:p>
            <w:pPr>
              <w:jc w:val="center"/>
              <w:spacing w:after="0"/>
              <w:rPr>
                <w:sz w:val="20"/>
                <w:szCs w:val="20"/>
                <w:color w:val="auto"/>
              </w:rPr>
            </w:pPr>
            <w:r>
              <w:rPr>
                <w:rFonts w:ascii="Arial" w:cs="Arial" w:eastAsia="Arial" w:hAnsi="Arial"/>
                <w:sz w:val="13"/>
                <w:szCs w:val="13"/>
                <w:color w:val="auto"/>
              </w:rPr>
              <w:t>Awards for three-year performance period ending August</w:t>
            </w:r>
          </w:p>
        </w:tc>
        <w:tc>
          <w:tcPr>
            <w:tcW w:w="18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rPr>
              <w:t>Eliminated</w:t>
            </w:r>
          </w:p>
        </w:tc>
        <w:tc>
          <w:tcPr>
            <w:tcW w:w="208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97"/>
        </w:trPr>
        <w:tc>
          <w:tcPr>
            <w:tcW w:w="16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Plan</w:t>
            </w:r>
          </w:p>
        </w:tc>
        <w:tc>
          <w:tcPr>
            <w:tcW w:w="3660" w:type="dxa"/>
            <w:vAlign w:val="bottom"/>
            <w:gridSpan w:val="2"/>
            <w:vMerge w:val="restart"/>
          </w:tcPr>
          <w:p>
            <w:pPr>
              <w:jc w:val="center"/>
              <w:spacing w:after="0"/>
              <w:rPr>
                <w:sz w:val="20"/>
                <w:szCs w:val="20"/>
                <w:color w:val="auto"/>
              </w:rPr>
            </w:pPr>
            <w:r>
              <w:rPr>
                <w:rFonts w:ascii="Arial" w:cs="Arial" w:eastAsia="Arial" w:hAnsi="Arial"/>
                <w:sz w:val="13"/>
                <w:szCs w:val="13"/>
                <w:color w:val="auto"/>
              </w:rPr>
              <w:t>31, 2017 expired unearned</w:t>
            </w:r>
          </w:p>
        </w:tc>
        <w:tc>
          <w:tcPr>
            <w:tcW w:w="186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640" w:type="dxa"/>
            <w:vAlign w:val="bottom"/>
            <w:tcBorders>
              <w:bottom w:val="single" w:sz="8" w:color="8089AD"/>
            </w:tcBorders>
          </w:tcPr>
          <w:p>
            <w:pPr>
              <w:spacing w:after="0"/>
              <w:rPr>
                <w:sz w:val="4"/>
                <w:szCs w:val="4"/>
                <w:color w:val="auto"/>
              </w:rPr>
            </w:pPr>
          </w:p>
        </w:tc>
        <w:tc>
          <w:tcPr>
            <w:tcW w:w="1820" w:type="dxa"/>
            <w:vAlign w:val="bottom"/>
            <w:tcBorders>
              <w:bottom w:val="single" w:sz="8" w:color="8089AD"/>
            </w:tcBorders>
          </w:tcPr>
          <w:p>
            <w:pPr>
              <w:spacing w:after="0"/>
              <w:rPr>
                <w:sz w:val="4"/>
                <w:szCs w:val="4"/>
                <w:color w:val="auto"/>
              </w:rPr>
            </w:pPr>
          </w:p>
        </w:tc>
        <w:tc>
          <w:tcPr>
            <w:tcW w:w="1840" w:type="dxa"/>
            <w:vAlign w:val="bottom"/>
            <w:tcBorders>
              <w:bottom w:val="single" w:sz="8" w:color="8089AD"/>
            </w:tcBorders>
          </w:tcPr>
          <w:p>
            <w:pPr>
              <w:spacing w:after="0"/>
              <w:rPr>
                <w:sz w:val="4"/>
                <w:szCs w:val="4"/>
                <w:color w:val="auto"/>
              </w:rPr>
            </w:pPr>
          </w:p>
        </w:tc>
        <w:tc>
          <w:tcPr>
            <w:tcW w:w="1860" w:type="dxa"/>
            <w:vAlign w:val="bottom"/>
            <w:tcBorders>
              <w:bottom w:val="single" w:sz="8" w:color="8089AD"/>
            </w:tcBorders>
          </w:tcPr>
          <w:p>
            <w:pPr>
              <w:spacing w:after="0"/>
              <w:rPr>
                <w:sz w:val="4"/>
                <w:szCs w:val="4"/>
                <w:color w:val="auto"/>
              </w:rPr>
            </w:pPr>
          </w:p>
        </w:tc>
        <w:tc>
          <w:tcPr>
            <w:tcW w:w="2020" w:type="dxa"/>
            <w:vAlign w:val="bottom"/>
            <w:tcBorders>
              <w:bottom w:val="single" w:sz="8" w:color="8089AD"/>
            </w:tcBorders>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Class O LTIP units</w:t>
            </w:r>
          </w:p>
        </w:tc>
        <w:tc>
          <w:tcPr>
            <w:tcW w:w="1820" w:type="dxa"/>
            <w:vAlign w:val="bottom"/>
          </w:tcPr>
          <w:p>
            <w:pPr>
              <w:jc w:val="center"/>
              <w:spacing w:after="0"/>
              <w:rPr>
                <w:sz w:val="20"/>
                <w:szCs w:val="20"/>
                <w:color w:val="auto"/>
              </w:rPr>
            </w:pPr>
            <w:r>
              <w:rPr>
                <w:rFonts w:ascii="Arial" w:cs="Arial" w:eastAsia="Arial" w:hAnsi="Arial"/>
                <w:sz w:val="13"/>
                <w:szCs w:val="13"/>
                <w:color w:val="auto"/>
              </w:rPr>
              <w:t>105,000 units</w:t>
            </w:r>
          </w:p>
        </w:tc>
        <w:tc>
          <w:tcPr>
            <w:tcW w:w="1840" w:type="dxa"/>
            <w:vAlign w:val="bottom"/>
          </w:tcPr>
          <w:p>
            <w:pPr>
              <w:jc w:val="center"/>
              <w:spacing w:after="0"/>
              <w:rPr>
                <w:sz w:val="20"/>
                <w:szCs w:val="20"/>
                <w:color w:val="auto"/>
              </w:rPr>
            </w:pPr>
            <w:r>
              <w:rPr>
                <w:rFonts w:ascii="Arial" w:cs="Arial" w:eastAsia="Arial" w:hAnsi="Arial"/>
                <w:sz w:val="13"/>
                <w:szCs w:val="13"/>
                <w:color w:val="auto"/>
              </w:rPr>
              <w:t>105,000 units</w:t>
            </w:r>
          </w:p>
        </w:tc>
        <w:tc>
          <w:tcPr>
            <w:tcW w:w="1860" w:type="dxa"/>
            <w:vAlign w:val="bottom"/>
          </w:tcPr>
          <w:p>
            <w:pPr>
              <w:jc w:val="center"/>
              <w:spacing w:after="0"/>
              <w:rPr>
                <w:sz w:val="20"/>
                <w:szCs w:val="20"/>
                <w:color w:val="auto"/>
              </w:rPr>
            </w:pPr>
            <w:r>
              <w:rPr>
                <w:rFonts w:ascii="Arial" w:cs="Arial" w:eastAsia="Arial" w:hAnsi="Arial"/>
                <w:sz w:val="13"/>
                <w:szCs w:val="13"/>
                <w:color w:val="auto"/>
              </w:rPr>
              <w:t>Eliminated</w:t>
            </w:r>
          </w:p>
        </w:tc>
        <w:tc>
          <w:tcPr>
            <w:tcW w:w="2020" w:type="dxa"/>
            <w:vAlign w:val="bottom"/>
          </w:tcPr>
          <w:p>
            <w:pPr>
              <w:jc w:val="center"/>
              <w:spacing w:after="0"/>
              <w:rPr>
                <w:sz w:val="20"/>
                <w:szCs w:val="20"/>
                <w:color w:val="auto"/>
              </w:rPr>
            </w:pPr>
            <w:r>
              <w:rPr>
                <w:rFonts w:ascii="Arial" w:cs="Arial" w:eastAsia="Arial" w:hAnsi="Arial"/>
                <w:sz w:val="13"/>
                <w:szCs w:val="13"/>
                <w:color w:val="auto"/>
              </w:rPr>
              <w:t>Eliminated</w:t>
            </w:r>
          </w:p>
        </w:tc>
        <w:tc>
          <w:tcPr>
            <w:tcW w:w="2080" w:type="dxa"/>
            <w:vAlign w:val="bottom"/>
            <w:gridSpan w:val="2"/>
          </w:tcPr>
          <w:p>
            <w:pPr>
              <w:jc w:val="center"/>
              <w:ind w:right="20"/>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55"/>
        </w:trPr>
        <w:tc>
          <w:tcPr>
            <w:tcW w:w="1640" w:type="dxa"/>
            <w:vAlign w:val="bottom"/>
            <w:tcBorders>
              <w:bottom w:val="single" w:sz="8" w:color="8089AD"/>
            </w:tcBorders>
          </w:tcPr>
          <w:p>
            <w:pPr>
              <w:spacing w:after="0"/>
              <w:rPr>
                <w:sz w:val="4"/>
                <w:szCs w:val="4"/>
                <w:color w:val="auto"/>
              </w:rPr>
            </w:pPr>
          </w:p>
        </w:tc>
        <w:tc>
          <w:tcPr>
            <w:tcW w:w="1820" w:type="dxa"/>
            <w:vAlign w:val="bottom"/>
            <w:tcBorders>
              <w:bottom w:val="single" w:sz="8" w:color="8089AD"/>
            </w:tcBorders>
          </w:tcPr>
          <w:p>
            <w:pPr>
              <w:spacing w:after="0"/>
              <w:rPr>
                <w:sz w:val="4"/>
                <w:szCs w:val="4"/>
                <w:color w:val="auto"/>
              </w:rPr>
            </w:pPr>
          </w:p>
        </w:tc>
        <w:tc>
          <w:tcPr>
            <w:tcW w:w="1840" w:type="dxa"/>
            <w:vAlign w:val="bottom"/>
            <w:tcBorders>
              <w:bottom w:val="single" w:sz="8" w:color="8089AD"/>
            </w:tcBorders>
          </w:tcPr>
          <w:p>
            <w:pPr>
              <w:spacing w:after="0"/>
              <w:rPr>
                <w:sz w:val="4"/>
                <w:szCs w:val="4"/>
                <w:color w:val="auto"/>
              </w:rPr>
            </w:pPr>
          </w:p>
        </w:tc>
        <w:tc>
          <w:tcPr>
            <w:tcW w:w="1860" w:type="dxa"/>
            <w:vAlign w:val="bottom"/>
            <w:tcBorders>
              <w:bottom w:val="single" w:sz="8" w:color="8089AD"/>
            </w:tcBorders>
          </w:tcPr>
          <w:p>
            <w:pPr>
              <w:spacing w:after="0"/>
              <w:rPr>
                <w:sz w:val="4"/>
                <w:szCs w:val="4"/>
                <w:color w:val="auto"/>
              </w:rPr>
            </w:pPr>
          </w:p>
        </w:tc>
        <w:tc>
          <w:tcPr>
            <w:tcW w:w="2020" w:type="dxa"/>
            <w:vAlign w:val="bottom"/>
            <w:tcBorders>
              <w:bottom w:val="single" w:sz="8" w:color="8089AD"/>
            </w:tcBorders>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820" w:type="dxa"/>
            <w:vAlign w:val="bottom"/>
            <w:tcBorders>
              <w:right w:val="single" w:sz="8" w:color="8089AD"/>
            </w:tcBorders>
          </w:tcPr>
          <w:p>
            <w:pPr>
              <w:spacing w:after="0"/>
              <w:rPr>
                <w:sz w:val="14"/>
                <w:szCs w:val="14"/>
                <w:color w:val="auto"/>
              </w:rPr>
            </w:pPr>
          </w:p>
        </w:tc>
        <w:tc>
          <w:tcPr>
            <w:tcW w:w="1840" w:type="dxa"/>
            <w:vAlign w:val="bottom"/>
            <w:tcBorders>
              <w:right w:val="single" w:sz="8" w:color="8089AD"/>
            </w:tcBorders>
            <w:shd w:val="clear" w:color="auto" w:fill="EBEDF3"/>
          </w:tcPr>
          <w:p>
            <w:pPr>
              <w:jc w:val="center"/>
              <w:spacing w:after="0"/>
              <w:rPr>
                <w:sz w:val="20"/>
                <w:szCs w:val="20"/>
                <w:color w:val="auto"/>
              </w:rPr>
            </w:pPr>
            <w:r>
              <w:rPr>
                <w:rFonts w:ascii="Arial" w:cs="Arial" w:eastAsia="Arial" w:hAnsi="Arial"/>
                <w:sz w:val="13"/>
                <w:szCs w:val="13"/>
                <w:color w:val="auto"/>
              </w:rPr>
              <w:t>76,980 units valued at $6.9</w:t>
            </w:r>
          </w:p>
        </w:tc>
        <w:tc>
          <w:tcPr>
            <w:tcW w:w="1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20" w:type="dxa"/>
            <w:vAlign w:val="bottom"/>
            <w:tcBorders>
              <w:right w:val="single" w:sz="8" w:color="8089AD"/>
            </w:tcBorders>
          </w:tcPr>
          <w:p>
            <w:pPr>
              <w:spacing w:after="0"/>
              <w:rPr>
                <w:sz w:val="14"/>
                <w:szCs w:val="14"/>
                <w:color w:val="auto"/>
              </w:rPr>
            </w:pPr>
          </w:p>
        </w:tc>
        <w:tc>
          <w:tcPr>
            <w:tcW w:w="1840" w:type="dxa"/>
            <w:vAlign w:val="bottom"/>
            <w:tcBorders>
              <w:right w:val="single" w:sz="8" w:color="8089AD"/>
            </w:tcBorders>
            <w:shd w:val="clear" w:color="auto" w:fill="EBEDF3"/>
          </w:tcPr>
          <w:p>
            <w:pPr>
              <w:jc w:val="center"/>
              <w:spacing w:after="0"/>
              <w:rPr>
                <w:sz w:val="20"/>
                <w:szCs w:val="20"/>
                <w:color w:val="auto"/>
              </w:rPr>
            </w:pPr>
            <w:r>
              <w:rPr>
                <w:rFonts w:ascii="Arial" w:cs="Arial" w:eastAsia="Arial" w:hAnsi="Arial"/>
                <w:sz w:val="13"/>
                <w:szCs w:val="13"/>
                <w:color w:val="auto"/>
              </w:rPr>
              <w:t>million</w:t>
            </w:r>
          </w:p>
        </w:tc>
        <w:tc>
          <w:tcPr>
            <w:tcW w:w="1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40" w:type="dxa"/>
            <w:vAlign w:val="bottom"/>
          </w:tcPr>
          <w:p>
            <w:pPr>
              <w:spacing w:after="0"/>
              <w:rPr>
                <w:sz w:val="3"/>
                <w:szCs w:val="3"/>
                <w:color w:val="auto"/>
              </w:rPr>
            </w:pPr>
          </w:p>
        </w:tc>
        <w:tc>
          <w:tcPr>
            <w:tcW w:w="1820" w:type="dxa"/>
            <w:vAlign w:val="bottom"/>
            <w:tcBorders>
              <w:bottom w:val="single" w:sz="8" w:color="8089AD"/>
              <w:right w:val="single" w:sz="8" w:color="8089AD"/>
            </w:tcBorders>
          </w:tcPr>
          <w:p>
            <w:pPr>
              <w:spacing w:after="0"/>
              <w:rPr>
                <w:sz w:val="3"/>
                <w:szCs w:val="3"/>
                <w:color w:val="auto"/>
              </w:rPr>
            </w:pPr>
          </w:p>
        </w:tc>
        <w:tc>
          <w:tcPr>
            <w:tcW w:w="1840" w:type="dxa"/>
            <w:vAlign w:val="bottom"/>
            <w:tcBorders>
              <w:bottom w:val="single" w:sz="8" w:color="EBEDF3"/>
              <w:right w:val="single" w:sz="8" w:color="8089AD"/>
            </w:tcBorders>
            <w:shd w:val="clear" w:color="auto" w:fill="EBEDF3"/>
          </w:tcPr>
          <w:p>
            <w:pPr>
              <w:spacing w:after="0"/>
              <w:rPr>
                <w:sz w:val="3"/>
                <w:szCs w:val="3"/>
                <w:color w:val="auto"/>
              </w:rPr>
            </w:pPr>
          </w:p>
        </w:tc>
        <w:tc>
          <w:tcPr>
            <w:tcW w:w="1860" w:type="dxa"/>
            <w:vAlign w:val="bottom"/>
            <w:tcBorders>
              <w:bottom w:val="single" w:sz="8" w:color="8089AD"/>
            </w:tcBorders>
          </w:tcPr>
          <w:p>
            <w:pPr>
              <w:spacing w:after="0"/>
              <w:rPr>
                <w:sz w:val="3"/>
                <w:szCs w:val="3"/>
                <w:color w:val="auto"/>
              </w:rPr>
            </w:pPr>
          </w:p>
        </w:tc>
        <w:tc>
          <w:tcPr>
            <w:tcW w:w="2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640" w:type="dxa"/>
            <w:vAlign w:val="bottom"/>
            <w:tcBorders>
              <w:right w:val="single" w:sz="8" w:color="8089AD"/>
            </w:tcBorders>
            <w:vMerge w:val="restart"/>
          </w:tcPr>
          <w:p>
            <w:pPr>
              <w:ind w:left="180"/>
              <w:spacing w:after="0"/>
              <w:rPr>
                <w:sz w:val="20"/>
                <w:szCs w:val="20"/>
                <w:color w:val="auto"/>
              </w:rPr>
            </w:pPr>
            <w:r>
              <w:rPr>
                <w:rFonts w:ascii="Arial" w:cs="Arial" w:eastAsia="Arial" w:hAnsi="Arial"/>
                <w:sz w:val="13"/>
                <w:szCs w:val="13"/>
                <w:b w:val="1"/>
                <w:bCs w:val="1"/>
                <w:color w:val="auto"/>
              </w:rPr>
              <w:t>Contract</w:t>
            </w:r>
          </w:p>
        </w:tc>
        <w:tc>
          <w:tcPr>
            <w:tcW w:w="3660" w:type="dxa"/>
            <w:vAlign w:val="bottom"/>
            <w:tcBorders>
              <w:right w:val="single" w:sz="8" w:color="8089AD"/>
            </w:tcBorders>
            <w:gridSpan w:val="2"/>
            <w:shd w:val="clear" w:color="auto" w:fill="EBEDF3"/>
          </w:tcPr>
          <w:p>
            <w:pPr>
              <w:ind w:left="80"/>
              <w:spacing w:after="0"/>
              <w:rPr>
                <w:sz w:val="20"/>
                <w:szCs w:val="20"/>
                <w:color w:val="auto"/>
              </w:rPr>
            </w:pPr>
            <w:r>
              <w:rPr>
                <w:rFonts w:ascii="Arial" w:cs="Arial" w:eastAsia="Arial" w:hAnsi="Arial"/>
                <w:sz w:val="13"/>
                <w:szCs w:val="13"/>
                <w:color w:val="auto"/>
              </w:rPr>
              <w:t>Granted 2017 based on 2016 Company performance</w:t>
            </w:r>
          </w:p>
        </w:tc>
        <w:tc>
          <w:tcPr>
            <w:tcW w:w="1860" w:type="dxa"/>
            <w:vAlign w:val="bottom"/>
            <w:tcBorders>
              <w:left w:val="single" w:sz="8" w:color="EBEDF3"/>
              <w:right w:val="single" w:sz="8" w:color="8089AD"/>
            </w:tcBorders>
            <w:shd w:val="clear" w:color="auto" w:fill="EBEDF3"/>
          </w:tcPr>
          <w:p>
            <w:pPr>
              <w:jc w:val="center"/>
              <w:spacing w:after="0"/>
              <w:rPr>
                <w:sz w:val="20"/>
                <w:szCs w:val="20"/>
                <w:color w:val="auto"/>
              </w:rPr>
            </w:pPr>
            <w:r>
              <w:rPr>
                <w:rFonts w:ascii="Arial" w:cs="Arial" w:eastAsia="Arial" w:hAnsi="Arial"/>
                <w:sz w:val="13"/>
                <w:szCs w:val="13"/>
                <w:color w:val="auto"/>
              </w:rPr>
              <w:t>61,584 units valued at $4.9</w:t>
            </w: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rPr>
              <w:t>Eliminated for 2019 onward</w:t>
            </w: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40" w:type="dxa"/>
            <w:vAlign w:val="bottom"/>
            <w:tcBorders>
              <w:right w:val="single" w:sz="8" w:color="8089AD"/>
            </w:tcBorders>
            <w:vMerge w:val="continue"/>
          </w:tcPr>
          <w:p>
            <w:pPr>
              <w:spacing w:after="0"/>
              <w:rPr>
                <w:sz w:val="7"/>
                <w:szCs w:val="7"/>
                <w:color w:val="auto"/>
              </w:rPr>
            </w:pPr>
          </w:p>
        </w:tc>
        <w:tc>
          <w:tcPr>
            <w:tcW w:w="1820" w:type="dxa"/>
            <w:vAlign w:val="bottom"/>
            <w:tcBorders>
              <w:right w:val="single" w:sz="8" w:color="EBEDF3"/>
            </w:tcBorders>
            <w:vMerge w:val="restart"/>
            <w:shd w:val="clear" w:color="auto" w:fill="EBEDF3"/>
          </w:tcPr>
          <w:p>
            <w:pPr>
              <w:ind w:left="80"/>
              <w:spacing w:after="0" w:line="123" w:lineRule="exact"/>
              <w:rPr>
                <w:sz w:val="20"/>
                <w:szCs w:val="20"/>
                <w:color w:val="auto"/>
              </w:rPr>
            </w:pPr>
            <w:r>
              <w:rPr>
                <w:rFonts w:ascii="Arial" w:cs="Arial" w:eastAsia="Arial" w:hAnsi="Arial"/>
                <w:sz w:val="13"/>
                <w:szCs w:val="13"/>
                <w:color w:val="auto"/>
              </w:rPr>
              <w:t>under 2016 agreement</w:t>
            </w:r>
          </w:p>
        </w:tc>
        <w:tc>
          <w:tcPr>
            <w:tcW w:w="1840" w:type="dxa"/>
            <w:vAlign w:val="bottom"/>
            <w:tcBorders>
              <w:right w:val="single" w:sz="8" w:color="8089AD"/>
            </w:tcBorders>
            <w:shd w:val="clear" w:color="auto" w:fill="EBEDF3"/>
          </w:tcPr>
          <w:p>
            <w:pPr>
              <w:spacing w:after="0"/>
              <w:rPr>
                <w:sz w:val="7"/>
                <w:szCs w:val="7"/>
                <w:color w:val="auto"/>
              </w:rPr>
            </w:pPr>
          </w:p>
        </w:tc>
        <w:tc>
          <w:tcPr>
            <w:tcW w:w="1860" w:type="dxa"/>
            <w:vAlign w:val="bottom"/>
            <w:tcBorders>
              <w:left w:val="single" w:sz="8" w:color="EBEDF3"/>
              <w:right w:val="single" w:sz="8" w:color="8089AD"/>
            </w:tcBorders>
            <w:vMerge w:val="restart"/>
            <w:shd w:val="clear" w:color="auto" w:fill="EBEDF3"/>
          </w:tcPr>
          <w:p>
            <w:pPr>
              <w:jc w:val="center"/>
              <w:spacing w:after="0" w:line="123" w:lineRule="exact"/>
              <w:rPr>
                <w:sz w:val="20"/>
                <w:szCs w:val="20"/>
                <w:color w:val="auto"/>
              </w:rPr>
            </w:pPr>
            <w:r>
              <w:rPr>
                <w:rFonts w:ascii="Arial" w:cs="Arial" w:eastAsia="Arial" w:hAnsi="Arial"/>
                <w:sz w:val="13"/>
                <w:szCs w:val="13"/>
                <w:color w:val="auto"/>
              </w:rPr>
              <w:t>million</w:t>
            </w:r>
          </w:p>
        </w:tc>
        <w:tc>
          <w:tcPr>
            <w:tcW w:w="2020" w:type="dxa"/>
            <w:vAlign w:val="bottom"/>
            <w:vMerge w:val="continue"/>
          </w:tcPr>
          <w:p>
            <w:pPr>
              <w:spacing w:after="0"/>
              <w:rPr>
                <w:sz w:val="7"/>
                <w:szCs w:val="7"/>
                <w:color w:val="auto"/>
              </w:rPr>
            </w:pPr>
          </w:p>
        </w:tc>
        <w:tc>
          <w:tcPr>
            <w:tcW w:w="208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rPr>
              <w:t>Eliminated</w:t>
            </w:r>
          </w:p>
        </w:tc>
        <w:tc>
          <w:tcPr>
            <w:tcW w:w="0" w:type="dxa"/>
            <w:vAlign w:val="bottom"/>
          </w:tcPr>
          <w:p>
            <w:pPr>
              <w:spacing w:after="0"/>
              <w:rPr>
                <w:sz w:val="1"/>
                <w:szCs w:val="1"/>
                <w:color w:val="auto"/>
              </w:rPr>
            </w:pPr>
          </w:p>
        </w:tc>
      </w:tr>
      <w:tr>
        <w:trPr>
          <w:trHeight w:val="41"/>
        </w:trPr>
        <w:tc>
          <w:tcPr>
            <w:tcW w:w="1640" w:type="dxa"/>
            <w:vAlign w:val="bottom"/>
            <w:tcBorders>
              <w:right w:val="single" w:sz="8" w:color="8089AD"/>
            </w:tcBorders>
            <w:vMerge w:val="continue"/>
          </w:tcPr>
          <w:p>
            <w:pPr>
              <w:spacing w:after="0"/>
              <w:rPr>
                <w:sz w:val="3"/>
                <w:szCs w:val="3"/>
                <w:color w:val="auto"/>
              </w:rPr>
            </w:pPr>
          </w:p>
        </w:tc>
        <w:tc>
          <w:tcPr>
            <w:tcW w:w="1820" w:type="dxa"/>
            <w:vAlign w:val="bottom"/>
            <w:tcBorders>
              <w:right w:val="single" w:sz="8" w:color="EBEDF3"/>
            </w:tcBorders>
            <w:vMerge w:val="continue"/>
            <w:shd w:val="clear" w:color="auto" w:fill="EBEDF3"/>
          </w:tcPr>
          <w:p>
            <w:pPr>
              <w:spacing w:after="0"/>
              <w:rPr>
                <w:sz w:val="3"/>
                <w:szCs w:val="3"/>
                <w:color w:val="auto"/>
              </w:rPr>
            </w:pPr>
          </w:p>
        </w:tc>
        <w:tc>
          <w:tcPr>
            <w:tcW w:w="1840" w:type="dxa"/>
            <w:vAlign w:val="bottom"/>
            <w:tcBorders>
              <w:right w:val="single" w:sz="8" w:color="8089AD"/>
            </w:tcBorders>
            <w:shd w:val="clear" w:color="auto" w:fill="EBEDF3"/>
          </w:tcPr>
          <w:p>
            <w:pPr>
              <w:spacing w:after="0"/>
              <w:rPr>
                <w:sz w:val="3"/>
                <w:szCs w:val="3"/>
                <w:color w:val="auto"/>
              </w:rPr>
            </w:pPr>
          </w:p>
        </w:tc>
        <w:tc>
          <w:tcPr>
            <w:tcW w:w="1860" w:type="dxa"/>
            <w:vAlign w:val="bottom"/>
            <w:tcBorders>
              <w:left w:val="single" w:sz="8" w:color="EBEDF3"/>
              <w:right w:val="single" w:sz="8" w:color="8089AD"/>
            </w:tcBorders>
            <w:vMerge w:val="continue"/>
            <w:shd w:val="clear" w:color="auto" w:fill="EBEDF3"/>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640" w:type="dxa"/>
            <w:vAlign w:val="bottom"/>
            <w:tcBorders>
              <w:right w:val="single" w:sz="8" w:color="8089AD"/>
            </w:tcBorders>
            <w:vMerge w:val="restart"/>
          </w:tcPr>
          <w:p>
            <w:pPr>
              <w:ind w:left="180"/>
              <w:spacing w:after="0"/>
              <w:rPr>
                <w:sz w:val="20"/>
                <w:szCs w:val="20"/>
                <w:color w:val="auto"/>
              </w:rPr>
            </w:pPr>
            <w:r>
              <w:rPr>
                <w:rFonts w:ascii="Arial" w:cs="Arial" w:eastAsia="Arial" w:hAnsi="Arial"/>
                <w:sz w:val="13"/>
                <w:szCs w:val="13"/>
                <w:b w:val="1"/>
                <w:bCs w:val="1"/>
                <w:color w:val="auto"/>
              </w:rPr>
              <w:t>Equity Awards</w:t>
            </w:r>
          </w:p>
        </w:tc>
        <w:tc>
          <w:tcPr>
            <w:tcW w:w="1820" w:type="dxa"/>
            <w:vAlign w:val="bottom"/>
            <w:tcBorders>
              <w:bottom w:val="single" w:sz="8" w:color="8089AD"/>
              <w:right w:val="single" w:sz="8" w:color="EBEDF3"/>
            </w:tcBorders>
            <w:shd w:val="clear" w:color="auto" w:fill="EBEDF3"/>
          </w:tcPr>
          <w:p>
            <w:pPr>
              <w:spacing w:after="0"/>
              <w:rPr>
                <w:sz w:val="8"/>
                <w:szCs w:val="8"/>
                <w:color w:val="auto"/>
              </w:rPr>
            </w:pPr>
          </w:p>
        </w:tc>
        <w:tc>
          <w:tcPr>
            <w:tcW w:w="1840" w:type="dxa"/>
            <w:vAlign w:val="bottom"/>
            <w:tcBorders>
              <w:bottom w:val="single" w:sz="8" w:color="8089AD"/>
              <w:right w:val="single" w:sz="8" w:color="8089AD"/>
            </w:tcBorders>
            <w:shd w:val="clear" w:color="auto" w:fill="EBEDF3"/>
          </w:tcPr>
          <w:p>
            <w:pPr>
              <w:spacing w:after="0"/>
              <w:rPr>
                <w:sz w:val="8"/>
                <w:szCs w:val="8"/>
                <w:color w:val="auto"/>
              </w:rPr>
            </w:pPr>
          </w:p>
        </w:tc>
        <w:tc>
          <w:tcPr>
            <w:tcW w:w="1860" w:type="dxa"/>
            <w:vAlign w:val="bottom"/>
            <w:tcBorders>
              <w:left w:val="single" w:sz="8" w:color="EBEDF3"/>
              <w:bottom w:val="single" w:sz="8" w:color="EBEDF3"/>
              <w:right w:val="single" w:sz="8" w:color="8089AD"/>
            </w:tcBorders>
            <w:shd w:val="clear" w:color="auto" w:fill="EBEDF3"/>
          </w:tcPr>
          <w:p>
            <w:pPr>
              <w:spacing w:after="0"/>
              <w:rPr>
                <w:sz w:val="8"/>
                <w:szCs w:val="8"/>
                <w:color w:val="auto"/>
              </w:rPr>
            </w:pPr>
          </w:p>
        </w:tc>
        <w:tc>
          <w:tcPr>
            <w:tcW w:w="2020" w:type="dxa"/>
            <w:vAlign w:val="bottom"/>
            <w:tcBorders>
              <w:bottom w:val="single" w:sz="8" w:color="8089AD"/>
            </w:tcBorders>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640" w:type="dxa"/>
            <w:vAlign w:val="bottom"/>
            <w:tcBorders>
              <w:right w:val="single" w:sz="8" w:color="8089AD"/>
            </w:tcBorders>
            <w:vMerge w:val="continue"/>
          </w:tcPr>
          <w:p>
            <w:pPr>
              <w:spacing w:after="0"/>
              <w:rPr>
                <w:sz w:val="5"/>
                <w:szCs w:val="5"/>
                <w:color w:val="auto"/>
              </w:rPr>
            </w:pPr>
          </w:p>
        </w:tc>
        <w:tc>
          <w:tcPr>
            <w:tcW w:w="5520" w:type="dxa"/>
            <w:vAlign w:val="bottom"/>
            <w:tcBorders>
              <w:right w:val="single" w:sz="8" w:color="8089AD"/>
            </w:tcBorders>
            <w:gridSpan w:val="3"/>
            <w:vMerge w:val="restart"/>
            <w:shd w:val="clear" w:color="auto" w:fill="EBEDF3"/>
          </w:tcPr>
          <w:p>
            <w:pPr>
              <w:ind w:left="80"/>
              <w:spacing w:after="0"/>
              <w:rPr>
                <w:sz w:val="20"/>
                <w:szCs w:val="20"/>
                <w:color w:val="auto"/>
              </w:rPr>
            </w:pPr>
            <w:r>
              <w:rPr>
                <w:rFonts w:ascii="Arial" w:cs="Arial" w:eastAsia="Arial" w:hAnsi="Arial"/>
                <w:sz w:val="13"/>
                <w:szCs w:val="13"/>
                <w:color w:val="auto"/>
              </w:rPr>
              <w:t>Granted 2018 based on cumulative 2016 and 2017 Company performance under 2016</w:t>
            </w:r>
          </w:p>
        </w:tc>
        <w:tc>
          <w:tcPr>
            <w:tcW w:w="2020" w:type="dxa"/>
            <w:vAlign w:val="bottom"/>
            <w:vMerge w:val="restart"/>
            <w:shd w:val="clear" w:color="auto" w:fill="EBEDF3"/>
          </w:tcPr>
          <w:p>
            <w:pPr>
              <w:jc w:val="center"/>
              <w:spacing w:after="0"/>
              <w:rPr>
                <w:sz w:val="20"/>
                <w:szCs w:val="20"/>
                <w:color w:val="auto"/>
              </w:rPr>
            </w:pPr>
            <w:r>
              <w:rPr>
                <w:rFonts w:ascii="Arial" w:cs="Arial" w:eastAsia="Arial" w:hAnsi="Arial"/>
                <w:sz w:val="13"/>
                <w:szCs w:val="13"/>
                <w:color w:val="auto"/>
              </w:rPr>
              <w:t>61,584 units valued at $4.4</w:t>
            </w:r>
          </w:p>
        </w:tc>
        <w:tc>
          <w:tcPr>
            <w:tcW w:w="20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640" w:type="dxa"/>
            <w:vAlign w:val="bottom"/>
            <w:tcBorders>
              <w:right w:val="single" w:sz="8" w:color="8089AD"/>
            </w:tcBorders>
          </w:tcPr>
          <w:p>
            <w:pPr>
              <w:spacing w:after="0"/>
              <w:rPr>
                <w:sz w:val="9"/>
                <w:szCs w:val="9"/>
                <w:color w:val="auto"/>
              </w:rPr>
            </w:pPr>
          </w:p>
        </w:tc>
        <w:tc>
          <w:tcPr>
            <w:tcW w:w="5520" w:type="dxa"/>
            <w:vAlign w:val="bottom"/>
            <w:tcBorders>
              <w:right w:val="single" w:sz="8" w:color="8089AD"/>
            </w:tcBorders>
            <w:gridSpan w:val="3"/>
            <w:vMerge w:val="continue"/>
            <w:shd w:val="clear" w:color="auto" w:fill="EBEDF3"/>
          </w:tcPr>
          <w:p>
            <w:pPr>
              <w:spacing w:after="0"/>
              <w:rPr>
                <w:sz w:val="9"/>
                <w:szCs w:val="9"/>
                <w:color w:val="auto"/>
              </w:rPr>
            </w:pPr>
          </w:p>
        </w:tc>
        <w:tc>
          <w:tcPr>
            <w:tcW w:w="2020" w:type="dxa"/>
            <w:vAlign w:val="bottom"/>
            <w:vMerge w:val="continue"/>
            <w:shd w:val="clear" w:color="auto" w:fill="EBEDF3"/>
          </w:tcPr>
          <w:p>
            <w:pPr>
              <w:spacing w:after="0"/>
              <w:rPr>
                <w:sz w:val="9"/>
                <w:szCs w:val="9"/>
                <w:color w:val="auto"/>
              </w:rPr>
            </w:pPr>
          </w:p>
        </w:tc>
        <w:tc>
          <w:tcPr>
            <w:tcW w:w="20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640" w:type="dxa"/>
            <w:vAlign w:val="bottom"/>
            <w:tcBorders>
              <w:right w:val="single" w:sz="8" w:color="8089AD"/>
            </w:tcBorders>
          </w:tcPr>
          <w:p>
            <w:pPr>
              <w:spacing w:after="0"/>
              <w:rPr>
                <w:sz w:val="17"/>
                <w:szCs w:val="17"/>
                <w:color w:val="auto"/>
              </w:rPr>
            </w:pPr>
          </w:p>
        </w:tc>
        <w:tc>
          <w:tcPr>
            <w:tcW w:w="1820" w:type="dxa"/>
            <w:vAlign w:val="bottom"/>
            <w:tcBorders>
              <w:bottom w:val="single" w:sz="8" w:color="EBEDF3"/>
              <w:right w:val="single" w:sz="8" w:color="EBEDF3"/>
            </w:tcBorders>
            <w:shd w:val="clear" w:color="auto" w:fill="EBEDF3"/>
          </w:tcPr>
          <w:p>
            <w:pPr>
              <w:ind w:left="80"/>
              <w:spacing w:after="0"/>
              <w:rPr>
                <w:sz w:val="20"/>
                <w:szCs w:val="20"/>
                <w:color w:val="auto"/>
              </w:rPr>
            </w:pPr>
            <w:r>
              <w:rPr>
                <w:rFonts w:ascii="Arial" w:cs="Arial" w:eastAsia="Arial" w:hAnsi="Arial"/>
                <w:sz w:val="13"/>
                <w:szCs w:val="13"/>
                <w:color w:val="auto"/>
              </w:rPr>
              <w:t>agreement</w:t>
            </w:r>
          </w:p>
        </w:tc>
        <w:tc>
          <w:tcPr>
            <w:tcW w:w="1840" w:type="dxa"/>
            <w:vAlign w:val="bottom"/>
            <w:tcBorders>
              <w:bottom w:val="single" w:sz="8" w:color="EBEDF3"/>
              <w:right w:val="single" w:sz="8" w:color="EBEDF3"/>
            </w:tcBorders>
            <w:shd w:val="clear" w:color="auto" w:fill="EBEDF3"/>
          </w:tcPr>
          <w:p>
            <w:pPr>
              <w:spacing w:after="0"/>
              <w:rPr>
                <w:sz w:val="17"/>
                <w:szCs w:val="17"/>
                <w:color w:val="auto"/>
              </w:rPr>
            </w:pPr>
          </w:p>
        </w:tc>
        <w:tc>
          <w:tcPr>
            <w:tcW w:w="1860" w:type="dxa"/>
            <w:vAlign w:val="bottom"/>
            <w:tcBorders>
              <w:left w:val="single" w:sz="8" w:color="EBEDF3"/>
              <w:bottom w:val="single" w:sz="8" w:color="EBEDF3"/>
              <w:right w:val="single" w:sz="8" w:color="8089AD"/>
            </w:tcBorders>
            <w:shd w:val="clear" w:color="auto" w:fill="EBEDF3"/>
          </w:tcPr>
          <w:p>
            <w:pPr>
              <w:spacing w:after="0"/>
              <w:rPr>
                <w:sz w:val="17"/>
                <w:szCs w:val="17"/>
                <w:color w:val="auto"/>
              </w:rPr>
            </w:pPr>
          </w:p>
        </w:tc>
        <w:tc>
          <w:tcPr>
            <w:tcW w:w="2020" w:type="dxa"/>
            <w:vAlign w:val="bottom"/>
            <w:tcBorders>
              <w:bottom w:val="single" w:sz="8" w:color="EBEDF3"/>
            </w:tcBorders>
            <w:shd w:val="clear" w:color="auto" w:fill="EBEDF3"/>
          </w:tcPr>
          <w:p>
            <w:pPr>
              <w:jc w:val="center"/>
              <w:spacing w:after="0"/>
              <w:rPr>
                <w:sz w:val="20"/>
                <w:szCs w:val="20"/>
                <w:color w:val="auto"/>
              </w:rPr>
            </w:pPr>
            <w:r>
              <w:rPr>
                <w:rFonts w:ascii="Arial" w:cs="Arial" w:eastAsia="Arial" w:hAnsi="Arial"/>
                <w:sz w:val="13"/>
                <w:szCs w:val="13"/>
                <w:color w:val="auto"/>
              </w:rPr>
              <w:t>million</w:t>
            </w: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8089AD"/>
            </w:tcBorders>
          </w:tcPr>
          <w:p>
            <w:pPr>
              <w:spacing w:after="0" w:line="20" w:lineRule="exact"/>
              <w:rPr>
                <w:sz w:val="1"/>
                <w:szCs w:val="1"/>
                <w:color w:val="auto"/>
              </w:rPr>
            </w:pPr>
          </w:p>
        </w:tc>
        <w:tc>
          <w:tcPr>
            <w:tcW w:w="1820" w:type="dxa"/>
            <w:vAlign w:val="bottom"/>
            <w:tcBorders>
              <w:right w:val="single" w:sz="8" w:color="8089AD"/>
            </w:tcBorders>
            <w:shd w:val="clear" w:color="auto" w:fill="8089AD"/>
          </w:tcPr>
          <w:p>
            <w:pPr>
              <w:spacing w:after="0" w:line="20" w:lineRule="exact"/>
              <w:rPr>
                <w:sz w:val="1"/>
                <w:szCs w:val="1"/>
                <w:color w:val="auto"/>
              </w:rPr>
            </w:pPr>
          </w:p>
        </w:tc>
        <w:tc>
          <w:tcPr>
            <w:tcW w:w="1840" w:type="dxa"/>
            <w:vAlign w:val="bottom"/>
            <w:tcBorders>
              <w:right w:val="single" w:sz="8" w:color="8089AD"/>
            </w:tcBorders>
            <w:shd w:val="clear" w:color="auto" w:fill="8089AD"/>
          </w:tcPr>
          <w:p>
            <w:pPr>
              <w:spacing w:after="0" w:line="20" w:lineRule="exact"/>
              <w:rPr>
                <w:sz w:val="1"/>
                <w:szCs w:val="1"/>
                <w:color w:val="auto"/>
              </w:rPr>
            </w:pPr>
          </w:p>
        </w:tc>
        <w:tc>
          <w:tcPr>
            <w:tcW w:w="1860" w:type="dxa"/>
            <w:vAlign w:val="bottom"/>
            <w:tcBorders>
              <w:left w:val="single" w:sz="8" w:color="8089AD"/>
              <w:right w:val="single" w:sz="8" w:color="8089AD"/>
            </w:tcBorders>
            <w:shd w:val="clear" w:color="auto" w:fill="8089AD"/>
          </w:tcPr>
          <w:p>
            <w:pPr>
              <w:spacing w:after="0" w:line="20" w:lineRule="exact"/>
              <w:rPr>
                <w:sz w:val="1"/>
                <w:szCs w:val="1"/>
                <w:color w:val="auto"/>
              </w:rPr>
            </w:pPr>
          </w:p>
        </w:tc>
        <w:tc>
          <w:tcPr>
            <w:tcW w:w="2020" w:type="dxa"/>
            <w:vAlign w:val="bottom"/>
            <w:shd w:val="clear" w:color="auto" w:fill="EBEDF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40" w:type="dxa"/>
            <w:vAlign w:val="bottom"/>
            <w:tcBorders>
              <w:right w:val="single" w:sz="8" w:color="8089AD"/>
            </w:tcBorders>
          </w:tcPr>
          <w:p>
            <w:pPr>
              <w:spacing w:after="0"/>
              <w:rPr>
                <w:sz w:val="18"/>
                <w:szCs w:val="18"/>
                <w:color w:val="auto"/>
              </w:rPr>
            </w:pPr>
          </w:p>
        </w:tc>
        <w:tc>
          <w:tcPr>
            <w:tcW w:w="7540" w:type="dxa"/>
            <w:vAlign w:val="bottom"/>
            <w:tcBorders>
              <w:bottom w:val="single" w:sz="8" w:color="EBEDF3"/>
            </w:tcBorders>
            <w:gridSpan w:val="4"/>
            <w:shd w:val="clear" w:color="auto" w:fill="EBEDF3"/>
          </w:tcPr>
          <w:p>
            <w:pPr>
              <w:ind w:left="80"/>
              <w:spacing w:after="0"/>
              <w:rPr>
                <w:sz w:val="20"/>
                <w:szCs w:val="20"/>
                <w:color w:val="auto"/>
              </w:rPr>
            </w:pPr>
            <w:r>
              <w:rPr>
                <w:rFonts w:ascii="Arial" w:cs="Arial" w:eastAsia="Arial" w:hAnsi="Arial"/>
                <w:sz w:val="13"/>
                <w:szCs w:val="13"/>
                <w:color w:val="auto"/>
              </w:rPr>
              <w:t>Granted 2019 based on cumulative 2016, 2017, and 2018 Company performance under 2016 agreement</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8089AD"/>
            </w:tcBorders>
            <w:shd w:val="clear" w:color="auto" w:fill="8089AD"/>
          </w:tcPr>
          <w:p>
            <w:pPr>
              <w:spacing w:after="0" w:line="20" w:lineRule="exact"/>
              <w:rPr>
                <w:sz w:val="1"/>
                <w:szCs w:val="1"/>
                <w:color w:val="auto"/>
              </w:rPr>
            </w:pPr>
          </w:p>
        </w:tc>
        <w:tc>
          <w:tcPr>
            <w:tcW w:w="1820" w:type="dxa"/>
            <w:vAlign w:val="bottom"/>
            <w:tcBorders>
              <w:right w:val="single" w:sz="8" w:color="8089AD"/>
            </w:tcBorders>
            <w:shd w:val="clear" w:color="auto" w:fill="8089AD"/>
          </w:tcPr>
          <w:p>
            <w:pPr>
              <w:spacing w:after="0" w:line="20" w:lineRule="exact"/>
              <w:rPr>
                <w:sz w:val="1"/>
                <w:szCs w:val="1"/>
                <w:color w:val="auto"/>
              </w:rPr>
            </w:pPr>
          </w:p>
        </w:tc>
        <w:tc>
          <w:tcPr>
            <w:tcW w:w="1840" w:type="dxa"/>
            <w:vAlign w:val="bottom"/>
            <w:tcBorders>
              <w:right w:val="single" w:sz="8" w:color="8089AD"/>
            </w:tcBorders>
            <w:shd w:val="clear" w:color="auto" w:fill="8089AD"/>
          </w:tcPr>
          <w:p>
            <w:pPr>
              <w:spacing w:after="0" w:line="20" w:lineRule="exact"/>
              <w:rPr>
                <w:sz w:val="1"/>
                <w:szCs w:val="1"/>
                <w:color w:val="auto"/>
              </w:rPr>
            </w:pPr>
          </w:p>
        </w:tc>
        <w:tc>
          <w:tcPr>
            <w:tcW w:w="1860" w:type="dxa"/>
            <w:vAlign w:val="bottom"/>
            <w:tcBorders>
              <w:left w:val="single" w:sz="8" w:color="8089AD"/>
              <w:right w:val="single" w:sz="8" w:color="8089AD"/>
            </w:tcBorders>
            <w:shd w:val="clear" w:color="auto" w:fill="8089AD"/>
          </w:tcPr>
          <w:p>
            <w:pPr>
              <w:spacing w:after="0" w:line="20" w:lineRule="exact"/>
              <w:rPr>
                <w:sz w:val="1"/>
                <w:szCs w:val="1"/>
                <w:color w:val="auto"/>
              </w:rPr>
            </w:pPr>
          </w:p>
        </w:tc>
        <w:tc>
          <w:tcPr>
            <w:tcW w:w="2020" w:type="dxa"/>
            <w:vAlign w:val="bottom"/>
            <w:shd w:val="clear" w:color="auto" w:fill="8089AD"/>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60" w:type="dxa"/>
            <w:vAlign w:val="bottom"/>
            <w:tcBorders>
              <w:right w:val="single" w:sz="8" w:color="8089AD"/>
            </w:tcBorders>
          </w:tcPr>
          <w:p>
            <w:pPr>
              <w:spacing w:after="0"/>
              <w:rPr>
                <w:sz w:val="20"/>
                <w:szCs w:val="20"/>
                <w:color w:val="auto"/>
              </w:rPr>
            </w:pPr>
          </w:p>
        </w:tc>
        <w:tc>
          <w:tcPr>
            <w:tcW w:w="4100" w:type="dxa"/>
            <w:vAlign w:val="bottom"/>
            <w:tcBorders>
              <w:bottom w:val="single" w:sz="8" w:color="EBEDF3"/>
              <w:right w:val="single" w:sz="8" w:color="EBEDF3"/>
            </w:tcBorders>
            <w:gridSpan w:val="3"/>
            <w:shd w:val="clear" w:color="auto" w:fill="EBEDF3"/>
          </w:tcPr>
          <w:p>
            <w:pPr>
              <w:ind w:left="300"/>
              <w:spacing w:after="0"/>
              <w:rPr>
                <w:sz w:val="20"/>
                <w:szCs w:val="20"/>
                <w:color w:val="auto"/>
              </w:rPr>
            </w:pPr>
            <w:r>
              <w:rPr>
                <w:rFonts w:ascii="Arial" w:cs="Arial" w:eastAsia="Arial" w:hAnsi="Arial"/>
                <w:sz w:val="13"/>
                <w:szCs w:val="13"/>
                <w:color w:val="auto"/>
              </w:rPr>
              <w:t>Target: $7.5 million; 3-year performance period 2019-2021</w:t>
            </w:r>
          </w:p>
        </w:tc>
        <w:tc>
          <w:tcPr>
            <w:tcW w:w="0" w:type="dxa"/>
            <w:vAlign w:val="bottom"/>
          </w:tcPr>
          <w:p>
            <w:pPr>
              <w:spacing w:after="0"/>
              <w:rPr>
                <w:sz w:val="1"/>
                <w:szCs w:val="1"/>
                <w:color w:val="auto"/>
              </w:rPr>
            </w:pPr>
          </w:p>
        </w:tc>
      </w:tr>
      <w:tr>
        <w:trPr>
          <w:trHeight w:val="128"/>
        </w:trPr>
        <w:tc>
          <w:tcPr>
            <w:tcW w:w="3460" w:type="dxa"/>
            <w:vAlign w:val="bottom"/>
            <w:gridSpan w:val="2"/>
          </w:tcPr>
          <w:p>
            <w:pPr>
              <w:ind w:left="80"/>
              <w:spacing w:after="0" w:line="128" w:lineRule="exact"/>
              <w:rPr>
                <w:sz w:val="20"/>
                <w:szCs w:val="20"/>
                <w:color w:val="auto"/>
              </w:rPr>
            </w:pPr>
            <w:r>
              <w:rPr>
                <w:rFonts w:ascii="Arial" w:cs="Arial" w:eastAsia="Arial" w:hAnsi="Arial"/>
                <w:sz w:val="13"/>
                <w:szCs w:val="13"/>
                <w:b w:val="1"/>
                <w:bCs w:val="1"/>
                <w:color w:val="auto"/>
              </w:rPr>
              <w:t>Performance-Based LTIP Units</w:t>
            </w: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20" w:type="dxa"/>
            <w:vAlign w:val="bottom"/>
            <w:tcBorders>
              <w:top w:val="single" w:sz="8" w:color="8089AD"/>
            </w:tcBorders>
          </w:tcPr>
          <w:p>
            <w:pPr>
              <w:spacing w:after="0"/>
              <w:rPr>
                <w:sz w:val="11"/>
                <w:szCs w:val="11"/>
                <w:color w:val="auto"/>
              </w:rPr>
            </w:pPr>
          </w:p>
        </w:tc>
        <w:tc>
          <w:tcPr>
            <w:tcW w:w="2080" w:type="dxa"/>
            <w:vAlign w:val="bottom"/>
            <w:tcBorders>
              <w:top w:val="single" w:sz="8" w:color="8089AD"/>
            </w:tcBorders>
            <w:gridSpan w:val="2"/>
            <w:vMerge w:val="restart"/>
          </w:tcPr>
          <w:p>
            <w:pPr>
              <w:jc w:val="center"/>
              <w:ind w:right="20"/>
              <w:spacing w:after="0"/>
              <w:rPr>
                <w:sz w:val="20"/>
                <w:szCs w:val="20"/>
                <w:color w:val="auto"/>
              </w:rPr>
            </w:pPr>
            <w:r>
              <w:rPr>
                <w:rFonts w:ascii="Arial" w:cs="Arial" w:eastAsia="Arial" w:hAnsi="Arial"/>
                <w:sz w:val="13"/>
                <w:szCs w:val="13"/>
                <w:color w:val="auto"/>
              </w:rPr>
              <w:t>Target: $7.5 million; 3-year</w:t>
            </w:r>
          </w:p>
        </w:tc>
        <w:tc>
          <w:tcPr>
            <w:tcW w:w="0" w:type="dxa"/>
            <w:vAlign w:val="bottom"/>
          </w:tcPr>
          <w:p>
            <w:pPr>
              <w:spacing w:after="0"/>
              <w:rPr>
                <w:sz w:val="1"/>
                <w:szCs w:val="1"/>
                <w:color w:val="auto"/>
              </w:rPr>
            </w:pPr>
          </w:p>
        </w:tc>
      </w:tr>
      <w:tr>
        <w:trPr>
          <w:trHeight w:val="40"/>
        </w:trPr>
        <w:tc>
          <w:tcPr>
            <w:tcW w:w="1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80" w:type="dxa"/>
            <w:vAlign w:val="bottom"/>
            <w:gridSpan w:val="2"/>
          </w:tcPr>
          <w:p>
            <w:pPr>
              <w:jc w:val="center"/>
              <w:ind w:right="20"/>
              <w:spacing w:after="0"/>
              <w:rPr>
                <w:sz w:val="20"/>
                <w:szCs w:val="20"/>
                <w:color w:val="auto"/>
              </w:rPr>
            </w:pPr>
            <w:r>
              <w:rPr>
                <w:rFonts w:ascii="Arial" w:cs="Arial" w:eastAsia="Arial" w:hAnsi="Arial"/>
                <w:sz w:val="13"/>
                <w:szCs w:val="13"/>
                <w:color w:val="auto"/>
              </w:rPr>
              <w:t>performance period 2020-2022</w:t>
            </w:r>
          </w:p>
        </w:tc>
        <w:tc>
          <w:tcPr>
            <w:tcW w:w="0" w:type="dxa"/>
            <w:vAlign w:val="bottom"/>
          </w:tcPr>
          <w:p>
            <w:pPr>
              <w:spacing w:after="0"/>
              <w:rPr>
                <w:sz w:val="1"/>
                <w:szCs w:val="1"/>
                <w:color w:val="auto"/>
              </w:rPr>
            </w:pPr>
          </w:p>
        </w:tc>
      </w:tr>
      <w:tr>
        <w:trPr>
          <w:trHeight w:val="54"/>
        </w:trPr>
        <w:tc>
          <w:tcPr>
            <w:tcW w:w="1640" w:type="dxa"/>
            <w:vAlign w:val="bottom"/>
            <w:tcBorders>
              <w:bottom w:val="single" w:sz="8" w:color="8089AD"/>
            </w:tcBorders>
          </w:tcPr>
          <w:p>
            <w:pPr>
              <w:spacing w:after="0"/>
              <w:rPr>
                <w:sz w:val="4"/>
                <w:szCs w:val="4"/>
                <w:color w:val="auto"/>
              </w:rPr>
            </w:pPr>
          </w:p>
        </w:tc>
        <w:tc>
          <w:tcPr>
            <w:tcW w:w="1820" w:type="dxa"/>
            <w:vAlign w:val="bottom"/>
            <w:tcBorders>
              <w:bottom w:val="single" w:sz="8" w:color="8089AD"/>
            </w:tcBorders>
          </w:tcPr>
          <w:p>
            <w:pPr>
              <w:spacing w:after="0"/>
              <w:rPr>
                <w:sz w:val="4"/>
                <w:szCs w:val="4"/>
                <w:color w:val="auto"/>
              </w:rPr>
            </w:pPr>
          </w:p>
        </w:tc>
        <w:tc>
          <w:tcPr>
            <w:tcW w:w="1840" w:type="dxa"/>
            <w:vAlign w:val="bottom"/>
            <w:tcBorders>
              <w:bottom w:val="single" w:sz="8" w:color="8089AD"/>
            </w:tcBorders>
          </w:tcPr>
          <w:p>
            <w:pPr>
              <w:spacing w:after="0"/>
              <w:rPr>
                <w:sz w:val="4"/>
                <w:szCs w:val="4"/>
                <w:color w:val="auto"/>
              </w:rPr>
            </w:pPr>
          </w:p>
        </w:tc>
        <w:tc>
          <w:tcPr>
            <w:tcW w:w="1860" w:type="dxa"/>
            <w:vAlign w:val="bottom"/>
            <w:tcBorders>
              <w:bottom w:val="single" w:sz="8" w:color="8089AD"/>
            </w:tcBorders>
          </w:tcPr>
          <w:p>
            <w:pPr>
              <w:spacing w:after="0"/>
              <w:rPr>
                <w:sz w:val="4"/>
                <w:szCs w:val="4"/>
                <w:color w:val="auto"/>
              </w:rPr>
            </w:pPr>
          </w:p>
        </w:tc>
        <w:tc>
          <w:tcPr>
            <w:tcW w:w="2020" w:type="dxa"/>
            <w:vAlign w:val="bottom"/>
            <w:tcBorders>
              <w:bottom w:val="single" w:sz="8" w:color="8089AD"/>
            </w:tcBorders>
          </w:tcPr>
          <w:p>
            <w:pPr>
              <w:spacing w:after="0"/>
              <w:rPr>
                <w:sz w:val="4"/>
                <w:szCs w:val="4"/>
                <w:color w:val="auto"/>
              </w:rPr>
            </w:pPr>
          </w:p>
        </w:tc>
        <w:tc>
          <w:tcPr>
            <w:tcW w:w="20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180"/>
              <w:spacing w:after="0" w:line="142" w:lineRule="exact"/>
              <w:rPr>
                <w:sz w:val="20"/>
                <w:szCs w:val="20"/>
                <w:color w:val="auto"/>
              </w:rPr>
            </w:pPr>
            <w:r>
              <w:rPr>
                <w:rFonts w:ascii="Arial" w:cs="Arial" w:eastAsia="Arial" w:hAnsi="Arial"/>
                <w:sz w:val="13"/>
                <w:szCs w:val="13"/>
                <w:b w:val="1"/>
                <w:bCs w:val="1"/>
                <w:color w:val="auto"/>
              </w:rPr>
              <w:t>Time-Based</w:t>
            </w:r>
          </w:p>
        </w:tc>
        <w:tc>
          <w:tcPr>
            <w:tcW w:w="1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20" w:type="dxa"/>
            <w:vAlign w:val="bottom"/>
            <w:tcBorders>
              <w:bottom w:val="single" w:sz="8" w:color="8089AD"/>
            </w:tcBorders>
          </w:tcPr>
          <w:p>
            <w:pPr>
              <w:spacing w:after="0"/>
              <w:rPr>
                <w:sz w:val="13"/>
                <w:szCs w:val="13"/>
                <w:color w:val="auto"/>
              </w:rPr>
            </w:pPr>
          </w:p>
        </w:tc>
        <w:tc>
          <w:tcPr>
            <w:tcW w:w="2080" w:type="dxa"/>
            <w:vAlign w:val="bottom"/>
            <w:tcBorders>
              <w:bottom w:val="single" w:sz="8" w:color="EBEDF3"/>
              <w:right w:val="single" w:sz="8" w:color="EBEDF3"/>
            </w:tcBorders>
            <w:gridSpan w:val="2"/>
            <w:shd w:val="clear" w:color="auto" w:fill="EBEDF3"/>
          </w:tcPr>
          <w:p>
            <w:pPr>
              <w:jc w:val="center"/>
              <w:ind w:right="20"/>
              <w:spacing w:after="0" w:line="142" w:lineRule="exact"/>
              <w:rPr>
                <w:sz w:val="20"/>
                <w:szCs w:val="20"/>
                <w:color w:val="auto"/>
              </w:rPr>
            </w:pPr>
            <w:r>
              <w:rPr>
                <w:rFonts w:ascii="Arial" w:cs="Arial" w:eastAsia="Arial" w:hAnsi="Arial"/>
                <w:sz w:val="13"/>
                <w:szCs w:val="13"/>
                <w:color w:val="auto"/>
              </w:rPr>
              <w:t>Granted 2020 for</w:t>
            </w:r>
          </w:p>
        </w:tc>
        <w:tc>
          <w:tcPr>
            <w:tcW w:w="0" w:type="dxa"/>
            <w:vAlign w:val="bottom"/>
          </w:tcPr>
          <w:p>
            <w:pPr>
              <w:spacing w:after="0"/>
              <w:rPr>
                <w:sz w:val="1"/>
                <w:szCs w:val="1"/>
                <w:color w:val="auto"/>
              </w:rPr>
            </w:pPr>
          </w:p>
        </w:tc>
      </w:tr>
      <w:tr>
        <w:trPr>
          <w:trHeight w:val="74"/>
        </w:trPr>
        <w:tc>
          <w:tcPr>
            <w:tcW w:w="16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LTIP Units</w:t>
            </w:r>
          </w:p>
        </w:tc>
        <w:tc>
          <w:tcPr>
            <w:tcW w:w="18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tcBorders>
              <w:right w:val="single" w:sz="8" w:color="8089AD"/>
            </w:tcBorders>
          </w:tcPr>
          <w:p>
            <w:pPr>
              <w:spacing w:after="0"/>
              <w:rPr>
                <w:sz w:val="6"/>
                <w:szCs w:val="6"/>
                <w:color w:val="auto"/>
              </w:rPr>
            </w:pPr>
          </w:p>
        </w:tc>
        <w:tc>
          <w:tcPr>
            <w:tcW w:w="4060" w:type="dxa"/>
            <w:vAlign w:val="bottom"/>
            <w:gridSpan w:val="2"/>
            <w:vMerge w:val="restart"/>
            <w:shd w:val="clear" w:color="auto" w:fill="EBEDF3"/>
          </w:tcPr>
          <w:p>
            <w:pPr>
              <w:ind w:left="80"/>
              <w:spacing w:after="0"/>
              <w:rPr>
                <w:sz w:val="20"/>
                <w:szCs w:val="20"/>
                <w:color w:val="auto"/>
              </w:rPr>
            </w:pPr>
            <w:r>
              <w:rPr>
                <w:rFonts w:ascii="Arial" w:cs="Arial" w:eastAsia="Arial" w:hAnsi="Arial"/>
                <w:sz w:val="13"/>
                <w:szCs w:val="13"/>
                <w:color w:val="auto"/>
              </w:rPr>
              <w:t>2019 performance, subject to 3-year vesting</w:t>
            </w:r>
          </w:p>
        </w:tc>
        <w:tc>
          <w:tcPr>
            <w:tcW w:w="40" w:type="dxa"/>
            <w:vAlign w:val="bottom"/>
            <w:tcBorders>
              <w:right w:val="single" w:sz="8" w:color="EBEDF3"/>
            </w:tcBorders>
            <w:shd w:val="clear" w:color="auto" w:fill="365A8B"/>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860" w:type="dxa"/>
            <w:vAlign w:val="bottom"/>
            <w:tcBorders>
              <w:right w:val="single" w:sz="8" w:color="8089AD"/>
            </w:tcBorders>
          </w:tcPr>
          <w:p>
            <w:pPr>
              <w:spacing w:after="0"/>
              <w:rPr>
                <w:sz w:val="7"/>
                <w:szCs w:val="7"/>
                <w:color w:val="auto"/>
              </w:rPr>
            </w:pPr>
          </w:p>
        </w:tc>
        <w:tc>
          <w:tcPr>
            <w:tcW w:w="4060" w:type="dxa"/>
            <w:vAlign w:val="bottom"/>
            <w:gridSpan w:val="2"/>
            <w:vMerge w:val="continue"/>
            <w:shd w:val="clear" w:color="auto" w:fill="EBEDF3"/>
          </w:tcPr>
          <w:p>
            <w:pPr>
              <w:spacing w:after="0"/>
              <w:rPr>
                <w:sz w:val="7"/>
                <w:szCs w:val="7"/>
                <w:color w:val="auto"/>
              </w:rPr>
            </w:pPr>
          </w:p>
        </w:tc>
        <w:tc>
          <w:tcPr>
            <w:tcW w:w="40" w:type="dxa"/>
            <w:vAlign w:val="bottom"/>
            <w:tcBorders>
              <w:right w:val="single" w:sz="8" w:color="EBEDF3"/>
            </w:tcBorders>
            <w:shd w:val="clear" w:color="auto" w:fill="EBEDF3"/>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40" w:type="dxa"/>
            <w:vAlign w:val="bottom"/>
            <w:tcBorders>
              <w:bottom w:val="single" w:sz="8" w:color="8089AD"/>
            </w:tcBorders>
          </w:tcPr>
          <w:p>
            <w:pPr>
              <w:spacing w:after="0"/>
              <w:rPr>
                <w:sz w:val="7"/>
                <w:szCs w:val="7"/>
                <w:color w:val="auto"/>
              </w:rPr>
            </w:pPr>
          </w:p>
        </w:tc>
        <w:tc>
          <w:tcPr>
            <w:tcW w:w="1820" w:type="dxa"/>
            <w:vAlign w:val="bottom"/>
            <w:tcBorders>
              <w:bottom w:val="single" w:sz="8" w:color="8089AD"/>
            </w:tcBorders>
          </w:tcPr>
          <w:p>
            <w:pPr>
              <w:spacing w:after="0"/>
              <w:rPr>
                <w:sz w:val="7"/>
                <w:szCs w:val="7"/>
                <w:color w:val="auto"/>
              </w:rPr>
            </w:pPr>
          </w:p>
        </w:tc>
        <w:tc>
          <w:tcPr>
            <w:tcW w:w="1840" w:type="dxa"/>
            <w:vAlign w:val="bottom"/>
            <w:tcBorders>
              <w:bottom w:val="single" w:sz="8" w:color="8089AD"/>
            </w:tcBorders>
          </w:tcPr>
          <w:p>
            <w:pPr>
              <w:spacing w:after="0"/>
              <w:rPr>
                <w:sz w:val="7"/>
                <w:szCs w:val="7"/>
                <w:color w:val="auto"/>
              </w:rPr>
            </w:pPr>
          </w:p>
        </w:tc>
        <w:tc>
          <w:tcPr>
            <w:tcW w:w="1860" w:type="dxa"/>
            <w:vAlign w:val="bottom"/>
            <w:tcBorders>
              <w:bottom w:val="single" w:sz="8" w:color="8089AD"/>
              <w:right w:val="single" w:sz="8" w:color="8089AD"/>
            </w:tcBorders>
          </w:tcPr>
          <w:p>
            <w:pPr>
              <w:spacing w:after="0"/>
              <w:rPr>
                <w:sz w:val="7"/>
                <w:szCs w:val="7"/>
                <w:color w:val="auto"/>
              </w:rPr>
            </w:pPr>
          </w:p>
        </w:tc>
        <w:tc>
          <w:tcPr>
            <w:tcW w:w="2020" w:type="dxa"/>
            <w:vAlign w:val="bottom"/>
            <w:tcBorders>
              <w:bottom w:val="single" w:sz="8" w:color="8089AD"/>
            </w:tcBorders>
            <w:shd w:val="clear" w:color="auto" w:fill="EBEDF3"/>
          </w:tcPr>
          <w:p>
            <w:pPr>
              <w:spacing w:after="0"/>
              <w:rPr>
                <w:sz w:val="7"/>
                <w:szCs w:val="7"/>
                <w:color w:val="auto"/>
              </w:rPr>
            </w:pPr>
          </w:p>
        </w:tc>
        <w:tc>
          <w:tcPr>
            <w:tcW w:w="2040" w:type="dxa"/>
            <w:vAlign w:val="bottom"/>
            <w:shd w:val="clear" w:color="auto" w:fill="EBEDF3"/>
          </w:tcPr>
          <w:p>
            <w:pPr>
              <w:spacing w:after="0"/>
              <w:rPr>
                <w:sz w:val="7"/>
                <w:szCs w:val="7"/>
                <w:color w:val="auto"/>
              </w:rPr>
            </w:pPr>
          </w:p>
        </w:tc>
        <w:tc>
          <w:tcPr>
            <w:tcW w:w="40" w:type="dxa"/>
            <w:vAlign w:val="bottom"/>
            <w:tcBorders>
              <w:right w:val="single" w:sz="8" w:color="EBEDF3"/>
            </w:tcBorders>
            <w:shd w:val="clear" w:color="auto" w:fill="365A8B"/>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4518660</wp:posOffset>
            </wp:positionH>
            <wp:positionV relativeFrom="paragraph">
              <wp:posOffset>-2566670</wp:posOffset>
            </wp:positionV>
            <wp:extent cx="33655" cy="282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28257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-531495</wp:posOffset>
            </wp:positionV>
            <wp:extent cx="1336675" cy="3695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36675" cy="36957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131127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11275"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-4182745</wp:posOffset>
            </wp:positionV>
            <wp:extent cx="120015" cy="2228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22288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-4182745</wp:posOffset>
            </wp:positionV>
            <wp:extent cx="120015" cy="2317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23177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-4182745</wp:posOffset>
            </wp:positionV>
            <wp:extent cx="120015" cy="222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222885"/>
                    </a:xfrm>
                    <a:prstGeom prst="rect">
                      <a:avLst/>
                    </a:prstGeom>
                    <a:noFill/>
                  </pic:spPr>
                </pic:pic>
              </a:graphicData>
            </a:graphic>
          </wp:anchor>
        </w:drawing>
      </w:r>
    </w:p>
    <w:p>
      <w:pPr>
        <w:spacing w:after="0" w:line="240" w:lineRule="exact"/>
        <w:rPr>
          <w:sz w:val="20"/>
          <w:szCs w:val="20"/>
          <w:color w:val="auto"/>
        </w:rPr>
      </w:pPr>
    </w:p>
    <w:p>
      <w:pPr>
        <w:ind w:left="300" w:hanging="292"/>
        <w:spacing w:after="0"/>
        <w:tabs>
          <w:tab w:leader="none" w:pos="300" w:val="left"/>
        </w:tabs>
        <w:numPr>
          <w:ilvl w:val="0"/>
          <w:numId w:val="80"/>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65A8B"/>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2020 CEO Compensation</w:t>
      </w:r>
    </w:p>
    <w:p>
      <w:pPr>
        <w:spacing w:after="0" w:line="23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following table compares the 2020 CEO compensation amounts required by SEC rules to be shown in the Summary Compensation Table, or SCT, to the target amounts awarded by the Committee for 2020, the actual value of that compensation as of December 31, 2020, and the actual value of compensation awarded for 2019 as of December 31, 2019. Because SEC rules require that the SCT include equity awards granted in 2020 based on 2019 performance and exclude equity awards granted in 2021 for 2020 performance, we believe this presentation provides investors with a clearer understanding of the compensation decisions made by the Committee for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97"/>
              <w:spacing w:after="0"/>
              <w:rPr>
                <w:sz w:val="20"/>
                <w:szCs w:val="20"/>
                <w:color w:val="auto"/>
              </w:rPr>
            </w:pPr>
            <w:r>
              <w:rPr>
                <w:rFonts w:ascii="Arial" w:cs="Arial" w:eastAsia="Arial" w:hAnsi="Arial"/>
                <w:sz w:val="13"/>
                <w:szCs w:val="13"/>
                <w:b w:val="1"/>
                <w:bCs w:val="1"/>
                <w:color w:val="355A89"/>
              </w:rPr>
              <w:t>2019 CEO</w:t>
            </w:r>
          </w:p>
        </w:tc>
      </w:tr>
      <w:tr>
        <w:trPr>
          <w:trHeight w:val="199"/>
        </w:trPr>
        <w:tc>
          <w:tcPr>
            <w:tcW w:w="4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Borders>
              <w:bottom w:val="single" w:sz="8" w:color="365A8B"/>
            </w:tcBorders>
          </w:tcPr>
          <w:p>
            <w:pPr>
              <w:spacing w:after="0"/>
              <w:rPr>
                <w:sz w:val="17"/>
                <w:szCs w:val="17"/>
                <w:color w:val="auto"/>
              </w:rPr>
            </w:pPr>
          </w:p>
        </w:tc>
        <w:tc>
          <w:tcPr>
            <w:tcW w:w="2460" w:type="dxa"/>
            <w:vAlign w:val="bottom"/>
            <w:tcBorders>
              <w:bottom w:val="single" w:sz="8" w:color="365A8B"/>
            </w:tcBorders>
            <w:gridSpan w:val="3"/>
          </w:tcPr>
          <w:p>
            <w:pPr>
              <w:jc w:val="right"/>
              <w:spacing w:after="0"/>
              <w:rPr>
                <w:sz w:val="20"/>
                <w:szCs w:val="20"/>
                <w:color w:val="auto"/>
              </w:rPr>
            </w:pPr>
            <w:r>
              <w:rPr>
                <w:rFonts w:ascii="Arial" w:cs="Arial" w:eastAsia="Arial" w:hAnsi="Arial"/>
                <w:sz w:val="13"/>
                <w:szCs w:val="13"/>
                <w:b w:val="1"/>
                <w:bCs w:val="1"/>
                <w:color w:val="355A89"/>
              </w:rPr>
              <w:t>2020 CEO Compensation</w:t>
            </w:r>
          </w:p>
        </w:tc>
        <w:tc>
          <w:tcPr>
            <w:tcW w:w="160" w:type="dxa"/>
            <w:vAlign w:val="bottom"/>
            <w:tcBorders>
              <w:bottom w:val="single" w:sz="8" w:color="365A8B"/>
            </w:tcBorders>
          </w:tcPr>
          <w:p>
            <w:pPr>
              <w:spacing w:after="0"/>
              <w:rPr>
                <w:sz w:val="17"/>
                <w:szCs w:val="17"/>
                <w:color w:val="auto"/>
              </w:rPr>
            </w:pPr>
          </w:p>
        </w:tc>
        <w:tc>
          <w:tcPr>
            <w:tcW w:w="1040" w:type="dxa"/>
            <w:vAlign w:val="bottom"/>
            <w:tcBorders>
              <w:bottom w:val="single" w:sz="8" w:color="365A8B"/>
            </w:tcBorders>
          </w:tcPr>
          <w:p>
            <w:pPr>
              <w:spacing w:after="0"/>
              <w:rPr>
                <w:sz w:val="17"/>
                <w:szCs w:val="17"/>
                <w:color w:val="auto"/>
              </w:rPr>
            </w:pPr>
          </w:p>
        </w:tc>
        <w:tc>
          <w:tcPr>
            <w:tcW w:w="1120" w:type="dxa"/>
            <w:vAlign w:val="bottom"/>
            <w:tcBorders>
              <w:bottom w:val="single" w:sz="8" w:color="365A8B"/>
            </w:tcBorders>
            <w:gridSpan w:val="2"/>
          </w:tcPr>
          <w:p>
            <w:pPr>
              <w:ind w:left="160"/>
              <w:spacing w:after="0"/>
              <w:rPr>
                <w:sz w:val="20"/>
                <w:szCs w:val="20"/>
                <w:color w:val="auto"/>
              </w:rPr>
            </w:pPr>
            <w:r>
              <w:rPr>
                <w:rFonts w:ascii="Arial" w:cs="Arial" w:eastAsia="Arial" w:hAnsi="Arial"/>
                <w:sz w:val="13"/>
                <w:szCs w:val="13"/>
                <w:b w:val="1"/>
                <w:bCs w:val="1"/>
                <w:color w:val="355A89"/>
              </w:rPr>
              <w:t>Compensation</w:t>
            </w:r>
          </w:p>
        </w:tc>
      </w:tr>
      <w:tr>
        <w:trPr>
          <w:trHeight w:val="159"/>
        </w:trPr>
        <w:tc>
          <w:tcPr>
            <w:tcW w:w="4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55"/>
              <w:spacing w:after="0"/>
              <w:rPr>
                <w:sz w:val="20"/>
                <w:szCs w:val="20"/>
                <w:color w:val="auto"/>
              </w:rPr>
            </w:pPr>
            <w:r>
              <w:rPr>
                <w:rFonts w:ascii="Arial" w:cs="Arial" w:eastAsia="Arial" w:hAnsi="Arial"/>
                <w:sz w:val="13"/>
                <w:szCs w:val="13"/>
                <w:b w:val="1"/>
                <w:bCs w:val="1"/>
                <w:color w:val="355A89"/>
              </w:rPr>
              <w:t>Actual</w:t>
            </w:r>
          </w:p>
        </w:tc>
        <w:tc>
          <w:tcPr>
            <w:tcW w:w="240" w:type="dxa"/>
            <w:vAlign w:val="bottom"/>
          </w:tcPr>
          <w:p>
            <w:pPr>
              <w:spacing w:after="0"/>
              <w:rPr>
                <w:sz w:val="13"/>
                <w:szCs w:val="13"/>
                <w:color w:val="auto"/>
              </w:rPr>
            </w:pPr>
          </w:p>
        </w:tc>
        <w:tc>
          <w:tcPr>
            <w:tcW w:w="880" w:type="dxa"/>
            <w:vAlign w:val="bottom"/>
          </w:tcPr>
          <w:p>
            <w:pPr>
              <w:jc w:val="right"/>
              <w:ind w:right="217"/>
              <w:spacing w:after="0"/>
              <w:rPr>
                <w:sz w:val="20"/>
                <w:szCs w:val="20"/>
                <w:color w:val="auto"/>
              </w:rPr>
            </w:pPr>
            <w:r>
              <w:rPr>
                <w:rFonts w:ascii="Arial" w:cs="Arial" w:eastAsia="Arial" w:hAnsi="Arial"/>
                <w:sz w:val="13"/>
                <w:szCs w:val="13"/>
                <w:b w:val="1"/>
                <w:bCs w:val="1"/>
                <w:color w:val="355A89"/>
              </w:rPr>
              <w:t>Actual</w:t>
            </w:r>
          </w:p>
        </w:tc>
      </w:tr>
      <w:tr>
        <w:trPr>
          <w:trHeight w:val="148"/>
        </w:trPr>
        <w:tc>
          <w:tcPr>
            <w:tcW w:w="4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17"/>
              <w:spacing w:after="0"/>
              <w:rPr>
                <w:sz w:val="20"/>
                <w:szCs w:val="20"/>
                <w:color w:val="auto"/>
              </w:rPr>
            </w:pPr>
            <w:r>
              <w:rPr>
                <w:rFonts w:ascii="Arial" w:cs="Arial" w:eastAsia="Arial" w:hAnsi="Arial"/>
                <w:sz w:val="13"/>
                <w:szCs w:val="13"/>
                <w:b w:val="1"/>
                <w:bCs w:val="1"/>
                <w:color w:val="355A89"/>
              </w:rPr>
              <w:t>Summary</w:t>
            </w:r>
          </w:p>
        </w:tc>
        <w:tc>
          <w:tcPr>
            <w:tcW w:w="240" w:type="dxa"/>
            <w:vAlign w:val="bottom"/>
          </w:tcPr>
          <w:p>
            <w:pPr>
              <w:spacing w:after="0"/>
              <w:rPr>
                <w:sz w:val="12"/>
                <w:szCs w:val="12"/>
                <w:color w:val="auto"/>
              </w:rPr>
            </w:pPr>
          </w:p>
        </w:tc>
        <w:tc>
          <w:tcPr>
            <w:tcW w:w="1100" w:type="dxa"/>
            <w:vAlign w:val="bottom"/>
          </w:tcPr>
          <w:p>
            <w:pPr>
              <w:jc w:val="right"/>
              <w:ind w:right="435"/>
              <w:spacing w:after="0"/>
              <w:rPr>
                <w:sz w:val="20"/>
                <w:szCs w:val="20"/>
                <w:color w:val="auto"/>
              </w:rPr>
            </w:pPr>
            <w:r>
              <w:rPr>
                <w:rFonts w:ascii="Arial" w:cs="Arial" w:eastAsia="Arial" w:hAnsi="Arial"/>
                <w:sz w:val="13"/>
                <w:szCs w:val="13"/>
                <w:b w:val="1"/>
                <w:bCs w:val="1"/>
                <w:color w:val="355A89"/>
              </w:rPr>
              <w:t>Target</w:t>
            </w: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355A89"/>
              </w:rPr>
              <w:t>Compensation</w:t>
            </w: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355A89"/>
              </w:rPr>
              <w:t>Compensation</w:t>
            </w:r>
          </w:p>
        </w:tc>
      </w:tr>
      <w:tr>
        <w:trPr>
          <w:trHeight w:val="199"/>
        </w:trPr>
        <w:tc>
          <w:tcPr>
            <w:tcW w:w="4500" w:type="dxa"/>
            <w:vAlign w:val="bottom"/>
            <w:tcBorders>
              <w:bottom w:val="single" w:sz="8" w:color="365A8B"/>
            </w:tcBorders>
          </w:tcPr>
          <w:p>
            <w:pPr>
              <w:spacing w:after="0"/>
              <w:rPr>
                <w:sz w:val="20"/>
                <w:szCs w:val="20"/>
                <w:color w:val="auto"/>
              </w:rPr>
            </w:pPr>
            <w:r>
              <w:rPr>
                <w:rFonts w:ascii="Arial" w:cs="Arial" w:eastAsia="Arial" w:hAnsi="Arial"/>
                <w:sz w:val="13"/>
                <w:szCs w:val="13"/>
                <w:b w:val="1"/>
                <w:bCs w:val="1"/>
                <w:color w:val="auto"/>
              </w:rPr>
              <w:t>Element of Compensation</w:t>
            </w:r>
          </w:p>
        </w:tc>
        <w:tc>
          <w:tcPr>
            <w:tcW w:w="3080" w:type="dxa"/>
            <w:vAlign w:val="bottom"/>
            <w:tcBorders>
              <w:bottom w:val="single" w:sz="8" w:color="365A8B"/>
            </w:tcBorders>
            <w:gridSpan w:val="3"/>
          </w:tcPr>
          <w:p>
            <w:pPr>
              <w:jc w:val="right"/>
              <w:ind w:right="57"/>
              <w:spacing w:after="0"/>
              <w:rPr>
                <w:sz w:val="20"/>
                <w:szCs w:val="20"/>
                <w:color w:val="auto"/>
              </w:rPr>
            </w:pPr>
            <w:r>
              <w:rPr>
                <w:rFonts w:ascii="Arial" w:cs="Arial" w:eastAsia="Arial" w:hAnsi="Arial"/>
                <w:sz w:val="13"/>
                <w:szCs w:val="13"/>
                <w:b w:val="1"/>
                <w:bCs w:val="1"/>
                <w:color w:val="355A89"/>
              </w:rPr>
              <w:t>Compensation Table</w:t>
            </w:r>
          </w:p>
        </w:tc>
        <w:tc>
          <w:tcPr>
            <w:tcW w:w="1340" w:type="dxa"/>
            <w:vAlign w:val="bottom"/>
            <w:tcBorders>
              <w:bottom w:val="single" w:sz="8" w:color="365A8B"/>
            </w:tcBorders>
            <w:gridSpan w:val="2"/>
          </w:tcPr>
          <w:p>
            <w:pPr>
              <w:ind w:left="160"/>
              <w:spacing w:after="0"/>
              <w:rPr>
                <w:sz w:val="20"/>
                <w:szCs w:val="20"/>
                <w:color w:val="auto"/>
              </w:rPr>
            </w:pPr>
            <w:r>
              <w:rPr>
                <w:rFonts w:ascii="Arial" w:cs="Arial" w:eastAsia="Arial" w:hAnsi="Arial"/>
                <w:sz w:val="13"/>
                <w:szCs w:val="13"/>
                <w:b w:val="1"/>
                <w:bCs w:val="1"/>
                <w:color w:val="355A89"/>
              </w:rPr>
              <w:t>Compensation</w:t>
            </w:r>
          </w:p>
        </w:tc>
        <w:tc>
          <w:tcPr>
            <w:tcW w:w="1200" w:type="dxa"/>
            <w:vAlign w:val="bottom"/>
            <w:tcBorders>
              <w:bottom w:val="single" w:sz="8" w:color="365A8B"/>
            </w:tcBorders>
            <w:gridSpan w:val="2"/>
          </w:tcPr>
          <w:p>
            <w:pPr>
              <w:ind w:left="100"/>
              <w:spacing w:after="0"/>
              <w:rPr>
                <w:sz w:val="20"/>
                <w:szCs w:val="20"/>
                <w:color w:val="auto"/>
              </w:rPr>
            </w:pPr>
            <w:r>
              <w:rPr>
                <w:rFonts w:ascii="Arial" w:cs="Arial" w:eastAsia="Arial" w:hAnsi="Arial"/>
                <w:sz w:val="13"/>
                <w:szCs w:val="13"/>
                <w:b w:val="1"/>
                <w:bCs w:val="1"/>
                <w:color w:val="355A89"/>
              </w:rPr>
              <w:t>(at 12/31/2020)</w:t>
            </w:r>
          </w:p>
        </w:tc>
        <w:tc>
          <w:tcPr>
            <w:tcW w:w="1120" w:type="dxa"/>
            <w:vAlign w:val="bottom"/>
            <w:tcBorders>
              <w:bottom w:val="single" w:sz="8" w:color="365A8B"/>
            </w:tcBorders>
            <w:gridSpan w:val="2"/>
          </w:tcPr>
          <w:p>
            <w:pPr>
              <w:ind w:left="160"/>
              <w:spacing w:after="0"/>
              <w:rPr>
                <w:sz w:val="20"/>
                <w:szCs w:val="20"/>
                <w:color w:val="auto"/>
              </w:rPr>
            </w:pPr>
            <w:r>
              <w:rPr>
                <w:rFonts w:ascii="Arial" w:cs="Arial" w:eastAsia="Arial" w:hAnsi="Arial"/>
                <w:sz w:val="13"/>
                <w:szCs w:val="13"/>
                <w:b w:val="1"/>
                <w:bCs w:val="1"/>
                <w:color w:val="355A89"/>
              </w:rPr>
              <w:t>(at 12/31/2019)</w:t>
            </w:r>
          </w:p>
        </w:tc>
      </w:tr>
      <w:tr>
        <w:trPr>
          <w:trHeight w:val="237"/>
        </w:trPr>
        <w:tc>
          <w:tcPr>
            <w:tcW w:w="450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Base Salary</w:t>
            </w:r>
          </w:p>
        </w:tc>
        <w:tc>
          <w:tcPr>
            <w:tcW w:w="1960" w:type="dxa"/>
            <w:vAlign w:val="bottom"/>
            <w:tcBorders>
              <w:bottom w:val="single" w:sz="8" w:color="8089AD"/>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8089AD"/>
            </w:tcBorders>
          </w:tcPr>
          <w:p>
            <w:pPr>
              <w:jc w:val="right"/>
              <w:ind w:right="57"/>
              <w:spacing w:after="0"/>
              <w:rPr>
                <w:sz w:val="20"/>
                <w:szCs w:val="20"/>
                <w:color w:val="auto"/>
              </w:rPr>
            </w:pPr>
            <w:r>
              <w:rPr>
                <w:rFonts w:ascii="Arial" w:cs="Arial" w:eastAsia="Arial" w:hAnsi="Arial"/>
                <w:sz w:val="18"/>
                <w:szCs w:val="18"/>
                <w:color w:val="auto"/>
              </w:rPr>
              <w:t>1,250,000</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8089AD"/>
            </w:tcBorders>
          </w:tcPr>
          <w:p>
            <w:pPr>
              <w:jc w:val="right"/>
              <w:ind w:right="135"/>
              <w:spacing w:after="0"/>
              <w:rPr>
                <w:sz w:val="20"/>
                <w:szCs w:val="20"/>
                <w:color w:val="auto"/>
              </w:rPr>
            </w:pPr>
            <w:r>
              <w:rPr>
                <w:rFonts w:ascii="Arial" w:cs="Arial" w:eastAsia="Arial" w:hAnsi="Arial"/>
                <w:sz w:val="18"/>
                <w:szCs w:val="18"/>
                <w:color w:val="auto"/>
              </w:rPr>
              <w:t>1,250,000</w:t>
            </w:r>
          </w:p>
        </w:tc>
        <w:tc>
          <w:tcPr>
            <w:tcW w:w="160" w:type="dxa"/>
            <w:vAlign w:val="bottom"/>
            <w:tcBorders>
              <w:bottom w:val="single" w:sz="8" w:color="8089AD"/>
            </w:tcBorders>
          </w:tcPr>
          <w:p>
            <w:pPr>
              <w:ind w:left="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089AD"/>
            </w:tcBorders>
          </w:tcPr>
          <w:p>
            <w:pPr>
              <w:jc w:val="right"/>
              <w:ind w:right="55"/>
              <w:spacing w:after="0"/>
              <w:rPr>
                <w:sz w:val="20"/>
                <w:szCs w:val="20"/>
                <w:color w:val="auto"/>
              </w:rPr>
            </w:pPr>
            <w:r>
              <w:rPr>
                <w:rFonts w:ascii="Arial" w:cs="Arial" w:eastAsia="Arial" w:hAnsi="Arial"/>
                <w:sz w:val="18"/>
                <w:szCs w:val="18"/>
                <w:color w:val="auto"/>
              </w:rPr>
              <w:t>1,250,000</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089AD"/>
            </w:tcBorders>
          </w:tcPr>
          <w:p>
            <w:pPr>
              <w:jc w:val="right"/>
              <w:spacing w:after="0"/>
              <w:rPr>
                <w:sz w:val="20"/>
                <w:szCs w:val="20"/>
                <w:color w:val="auto"/>
              </w:rPr>
            </w:pPr>
            <w:r>
              <w:rPr>
                <w:rFonts w:ascii="Arial" w:cs="Arial" w:eastAsia="Arial" w:hAnsi="Arial"/>
                <w:sz w:val="18"/>
                <w:szCs w:val="18"/>
                <w:color w:val="auto"/>
              </w:rPr>
              <w:t>1,250,000</w:t>
            </w:r>
          </w:p>
        </w:tc>
      </w:tr>
      <w:tr>
        <w:trPr>
          <w:trHeight w:val="310"/>
        </w:trPr>
        <w:tc>
          <w:tcPr>
            <w:tcW w:w="4500" w:type="dxa"/>
            <w:vAlign w:val="bottom"/>
            <w:tcBorders>
              <w:bottom w:val="single" w:sz="8" w:color="8089AD"/>
            </w:tcBorders>
          </w:tcPr>
          <w:p>
            <w:pPr>
              <w:spacing w:after="0" w:line="310" w:lineRule="exact"/>
              <w:rPr>
                <w:sz w:val="20"/>
                <w:szCs w:val="20"/>
                <w:color w:val="auto"/>
              </w:rPr>
            </w:pPr>
            <w:r>
              <w:rPr>
                <w:rFonts w:ascii="Arial" w:cs="Arial" w:eastAsia="Arial" w:hAnsi="Arial"/>
                <w:sz w:val="18"/>
                <w:szCs w:val="18"/>
                <w:color w:val="auto"/>
              </w:rPr>
              <w:t>Annual Cash Bonus</w:t>
            </w:r>
            <w:r>
              <w:rPr>
                <w:rFonts w:ascii="Arial" w:cs="Arial" w:eastAsia="Arial" w:hAnsi="Arial"/>
                <w:sz w:val="29"/>
                <w:szCs w:val="29"/>
                <w:color w:val="auto"/>
                <w:vertAlign w:val="superscript"/>
              </w:rPr>
              <w:t>(1)</w:t>
            </w:r>
          </w:p>
        </w:tc>
        <w:tc>
          <w:tcPr>
            <w:tcW w:w="1960" w:type="dxa"/>
            <w:vAlign w:val="bottom"/>
            <w:tcBorders>
              <w:bottom w:val="single" w:sz="8" w:color="8089AD"/>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8089AD"/>
            </w:tcBorders>
          </w:tcPr>
          <w:p>
            <w:pPr>
              <w:jc w:val="right"/>
              <w:ind w:right="57"/>
              <w:spacing w:after="0"/>
              <w:rPr>
                <w:sz w:val="20"/>
                <w:szCs w:val="20"/>
                <w:color w:val="auto"/>
              </w:rPr>
            </w:pPr>
            <w:r>
              <w:rPr>
                <w:rFonts w:ascii="Arial" w:cs="Arial" w:eastAsia="Arial" w:hAnsi="Arial"/>
                <w:sz w:val="18"/>
                <w:szCs w:val="18"/>
                <w:color w:val="auto"/>
              </w:rPr>
              <w:t>1,250,001</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8089AD"/>
            </w:tcBorders>
          </w:tcPr>
          <w:p>
            <w:pPr>
              <w:jc w:val="right"/>
              <w:ind w:right="135"/>
              <w:spacing w:after="0"/>
              <w:rPr>
                <w:sz w:val="20"/>
                <w:szCs w:val="20"/>
                <w:color w:val="auto"/>
              </w:rPr>
            </w:pPr>
            <w:r>
              <w:rPr>
                <w:rFonts w:ascii="Arial" w:cs="Arial" w:eastAsia="Arial" w:hAnsi="Arial"/>
                <w:sz w:val="18"/>
                <w:szCs w:val="18"/>
                <w:color w:val="auto"/>
              </w:rPr>
              <w:t>2,500,000</w:t>
            </w:r>
          </w:p>
        </w:tc>
        <w:tc>
          <w:tcPr>
            <w:tcW w:w="160" w:type="dxa"/>
            <w:vAlign w:val="bottom"/>
            <w:tcBorders>
              <w:bottom w:val="single" w:sz="8" w:color="8089AD"/>
            </w:tcBorders>
          </w:tcPr>
          <w:p>
            <w:pPr>
              <w:ind w:left="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089AD"/>
            </w:tcBorders>
          </w:tcPr>
          <w:p>
            <w:pPr>
              <w:jc w:val="right"/>
              <w:ind w:right="55"/>
              <w:spacing w:after="0"/>
              <w:rPr>
                <w:sz w:val="20"/>
                <w:szCs w:val="20"/>
                <w:color w:val="auto"/>
              </w:rPr>
            </w:pPr>
            <w:r>
              <w:rPr>
                <w:rFonts w:ascii="Arial" w:cs="Arial" w:eastAsia="Arial" w:hAnsi="Arial"/>
                <w:sz w:val="18"/>
                <w:szCs w:val="18"/>
                <w:color w:val="auto"/>
              </w:rPr>
              <w:t>2,500,000</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089AD"/>
            </w:tcBorders>
          </w:tcPr>
          <w:p>
            <w:pPr>
              <w:jc w:val="right"/>
              <w:spacing w:after="0"/>
              <w:rPr>
                <w:sz w:val="20"/>
                <w:szCs w:val="20"/>
                <w:color w:val="auto"/>
              </w:rPr>
            </w:pPr>
            <w:r>
              <w:rPr>
                <w:rFonts w:ascii="Arial" w:cs="Arial" w:eastAsia="Arial" w:hAnsi="Arial"/>
                <w:sz w:val="18"/>
                <w:szCs w:val="18"/>
                <w:color w:val="auto"/>
              </w:rPr>
              <w:t>3,215,000</w:t>
            </w:r>
          </w:p>
        </w:tc>
      </w:tr>
      <w:tr>
        <w:trPr>
          <w:trHeight w:val="304"/>
        </w:trPr>
        <w:tc>
          <w:tcPr>
            <w:tcW w:w="4500" w:type="dxa"/>
            <w:vAlign w:val="bottom"/>
            <w:tcBorders>
              <w:bottom w:val="single" w:sz="8" w:color="8089AD"/>
            </w:tcBorders>
          </w:tcPr>
          <w:p>
            <w:pPr>
              <w:spacing w:after="0" w:line="303" w:lineRule="exact"/>
              <w:rPr>
                <w:sz w:val="20"/>
                <w:szCs w:val="20"/>
                <w:color w:val="auto"/>
              </w:rPr>
            </w:pPr>
            <w:r>
              <w:rPr>
                <w:rFonts w:ascii="Arial" w:cs="Arial" w:eastAsia="Arial" w:hAnsi="Arial"/>
                <w:sz w:val="18"/>
                <w:szCs w:val="18"/>
                <w:color w:val="auto"/>
              </w:rPr>
              <w:t>Annual Equity Bonus</w:t>
            </w:r>
            <w:r>
              <w:rPr>
                <w:rFonts w:ascii="Arial" w:cs="Arial" w:eastAsia="Arial" w:hAnsi="Arial"/>
                <w:sz w:val="29"/>
                <w:szCs w:val="29"/>
                <w:color w:val="auto"/>
                <w:vertAlign w:val="superscript"/>
              </w:rPr>
              <w:t>(2)</w:t>
            </w:r>
          </w:p>
        </w:tc>
        <w:tc>
          <w:tcPr>
            <w:tcW w:w="1960" w:type="dxa"/>
            <w:vAlign w:val="bottom"/>
            <w:tcBorders>
              <w:bottom w:val="single" w:sz="8" w:color="8089AD"/>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8089AD"/>
            </w:tcBorders>
          </w:tcPr>
          <w:p>
            <w:pPr>
              <w:jc w:val="right"/>
              <w:ind w:right="57"/>
              <w:spacing w:after="0"/>
              <w:rPr>
                <w:sz w:val="20"/>
                <w:szCs w:val="20"/>
                <w:color w:val="auto"/>
              </w:rPr>
            </w:pPr>
            <w:r>
              <w:rPr>
                <w:rFonts w:ascii="Arial" w:cs="Arial" w:eastAsia="Arial" w:hAnsi="Arial"/>
                <w:sz w:val="18"/>
                <w:szCs w:val="18"/>
                <w:color w:val="auto"/>
              </w:rPr>
              <w:t>982,595</w:t>
            </w:r>
          </w:p>
        </w:tc>
        <w:tc>
          <w:tcPr>
            <w:tcW w:w="240" w:type="dxa"/>
            <w:vAlign w:val="bottom"/>
            <w:tcBorders>
              <w:bottom w:val="single" w:sz="8" w:color="8089AD"/>
            </w:tcBorders>
          </w:tcPr>
          <w:p>
            <w:pPr>
              <w:spacing w:after="0"/>
              <w:rPr>
                <w:sz w:val="24"/>
                <w:szCs w:val="24"/>
                <w:color w:val="auto"/>
              </w:rPr>
            </w:pPr>
          </w:p>
        </w:tc>
        <w:tc>
          <w:tcPr>
            <w:tcW w:w="1100" w:type="dxa"/>
            <w:vAlign w:val="bottom"/>
            <w:tcBorders>
              <w:bottom w:val="single" w:sz="8" w:color="8089AD"/>
            </w:tcBorders>
          </w:tcPr>
          <w:p>
            <w:pPr>
              <w:jc w:val="right"/>
              <w:ind w:right="13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8089AD"/>
            </w:tcBorders>
          </w:tcPr>
          <w:p>
            <w:pPr>
              <w:spacing w:after="0"/>
              <w:rPr>
                <w:sz w:val="24"/>
                <w:szCs w:val="24"/>
                <w:color w:val="auto"/>
              </w:rPr>
            </w:pPr>
          </w:p>
        </w:tc>
        <w:tc>
          <w:tcPr>
            <w:tcW w:w="1040" w:type="dxa"/>
            <w:vAlign w:val="bottom"/>
            <w:tcBorders>
              <w:bottom w:val="single" w:sz="8" w:color="8089AD"/>
            </w:tcBorders>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8089AD"/>
            </w:tcBorders>
          </w:tcPr>
          <w:p>
            <w:pPr>
              <w:spacing w:after="0"/>
              <w:rPr>
                <w:sz w:val="24"/>
                <w:szCs w:val="24"/>
                <w:color w:val="auto"/>
              </w:rPr>
            </w:pPr>
          </w:p>
        </w:tc>
        <w:tc>
          <w:tcPr>
            <w:tcW w:w="880" w:type="dxa"/>
            <w:vAlign w:val="bottom"/>
            <w:tcBorders>
              <w:bottom w:val="single" w:sz="8" w:color="8089AD"/>
            </w:tcBorders>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4500" w:type="dxa"/>
            <w:vAlign w:val="bottom"/>
            <w:tcBorders>
              <w:bottom w:val="single" w:sz="8" w:color="8089AD"/>
            </w:tcBorders>
          </w:tcPr>
          <w:p>
            <w:pPr>
              <w:spacing w:after="0" w:line="303" w:lineRule="exact"/>
              <w:rPr>
                <w:sz w:val="20"/>
                <w:szCs w:val="20"/>
                <w:color w:val="auto"/>
              </w:rPr>
            </w:pPr>
            <w:r>
              <w:rPr>
                <w:rFonts w:ascii="Arial" w:cs="Arial" w:eastAsia="Arial" w:hAnsi="Arial"/>
                <w:sz w:val="18"/>
                <w:szCs w:val="18"/>
                <w:color w:val="auto"/>
              </w:rPr>
              <w:t>Annual Time-Based Award</w:t>
            </w:r>
            <w:r>
              <w:rPr>
                <w:rFonts w:ascii="Arial" w:cs="Arial" w:eastAsia="Arial" w:hAnsi="Arial"/>
                <w:sz w:val="29"/>
                <w:szCs w:val="29"/>
                <w:color w:val="auto"/>
                <w:vertAlign w:val="superscript"/>
              </w:rPr>
              <w:t>(3)</w:t>
            </w:r>
          </w:p>
        </w:tc>
        <w:tc>
          <w:tcPr>
            <w:tcW w:w="1960" w:type="dxa"/>
            <w:vAlign w:val="bottom"/>
            <w:tcBorders>
              <w:bottom w:val="single" w:sz="8" w:color="8089AD"/>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8089AD"/>
            </w:tcBorders>
          </w:tcPr>
          <w:p>
            <w:pPr>
              <w:jc w:val="right"/>
              <w:ind w:right="57"/>
              <w:spacing w:after="0"/>
              <w:rPr>
                <w:sz w:val="20"/>
                <w:szCs w:val="20"/>
                <w:color w:val="auto"/>
              </w:rPr>
            </w:pPr>
            <w:r>
              <w:rPr>
                <w:rFonts w:ascii="Arial" w:cs="Arial" w:eastAsia="Arial" w:hAnsi="Arial"/>
                <w:sz w:val="18"/>
                <w:szCs w:val="18"/>
                <w:color w:val="auto"/>
              </w:rPr>
              <w:t>4,074,642</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8089AD"/>
            </w:tcBorders>
          </w:tcPr>
          <w:p>
            <w:pPr>
              <w:jc w:val="right"/>
              <w:ind w:right="135"/>
              <w:spacing w:after="0"/>
              <w:rPr>
                <w:sz w:val="20"/>
                <w:szCs w:val="20"/>
                <w:color w:val="auto"/>
              </w:rPr>
            </w:pPr>
            <w:r>
              <w:rPr>
                <w:rFonts w:ascii="Arial" w:cs="Arial" w:eastAsia="Arial" w:hAnsi="Arial"/>
                <w:sz w:val="18"/>
                <w:szCs w:val="18"/>
                <w:color w:val="auto"/>
              </w:rPr>
              <w:t>4,500,000</w:t>
            </w:r>
          </w:p>
        </w:tc>
        <w:tc>
          <w:tcPr>
            <w:tcW w:w="160" w:type="dxa"/>
            <w:vAlign w:val="bottom"/>
            <w:tcBorders>
              <w:bottom w:val="single" w:sz="8" w:color="8089AD"/>
            </w:tcBorders>
          </w:tcPr>
          <w:p>
            <w:pPr>
              <w:ind w:left="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089AD"/>
            </w:tcBorders>
          </w:tcPr>
          <w:p>
            <w:pPr>
              <w:jc w:val="right"/>
              <w:ind w:right="55"/>
              <w:spacing w:after="0"/>
              <w:rPr>
                <w:sz w:val="20"/>
                <w:szCs w:val="20"/>
                <w:color w:val="auto"/>
              </w:rPr>
            </w:pPr>
            <w:r>
              <w:rPr>
                <w:rFonts w:ascii="Arial" w:cs="Arial" w:eastAsia="Arial" w:hAnsi="Arial"/>
                <w:sz w:val="18"/>
                <w:szCs w:val="18"/>
                <w:color w:val="auto"/>
              </w:rPr>
              <w:t>8,432,750</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089AD"/>
            </w:tcBorders>
          </w:tcPr>
          <w:p>
            <w:pPr>
              <w:jc w:val="right"/>
              <w:spacing w:after="0"/>
              <w:rPr>
                <w:sz w:val="20"/>
                <w:szCs w:val="20"/>
                <w:color w:val="auto"/>
              </w:rPr>
            </w:pPr>
            <w:r>
              <w:rPr>
                <w:rFonts w:ascii="Arial" w:cs="Arial" w:eastAsia="Arial" w:hAnsi="Arial"/>
                <w:sz w:val="18"/>
                <w:szCs w:val="18"/>
                <w:color w:val="auto"/>
              </w:rPr>
              <w:t>4,500,000</w:t>
            </w:r>
          </w:p>
        </w:tc>
      </w:tr>
      <w:tr>
        <w:trPr>
          <w:trHeight w:val="304"/>
        </w:trPr>
        <w:tc>
          <w:tcPr>
            <w:tcW w:w="4500" w:type="dxa"/>
            <w:vAlign w:val="bottom"/>
            <w:tcBorders>
              <w:bottom w:val="single" w:sz="8" w:color="8089AD"/>
            </w:tcBorders>
          </w:tcPr>
          <w:p>
            <w:pPr>
              <w:spacing w:after="0" w:line="303" w:lineRule="exact"/>
              <w:rPr>
                <w:sz w:val="20"/>
                <w:szCs w:val="20"/>
                <w:color w:val="auto"/>
              </w:rPr>
            </w:pPr>
            <w:r>
              <w:rPr>
                <w:rFonts w:ascii="Arial" w:cs="Arial" w:eastAsia="Arial" w:hAnsi="Arial"/>
                <w:sz w:val="18"/>
                <w:szCs w:val="18"/>
                <w:color w:val="auto"/>
              </w:rPr>
              <w:t>Annual Performance-Based Award</w:t>
            </w:r>
            <w:r>
              <w:rPr>
                <w:rFonts w:ascii="Arial" w:cs="Arial" w:eastAsia="Arial" w:hAnsi="Arial"/>
                <w:sz w:val="29"/>
                <w:szCs w:val="29"/>
                <w:color w:val="auto"/>
                <w:vertAlign w:val="superscript"/>
              </w:rPr>
              <w:t>(4)</w:t>
            </w:r>
          </w:p>
        </w:tc>
        <w:tc>
          <w:tcPr>
            <w:tcW w:w="1960" w:type="dxa"/>
            <w:vAlign w:val="bottom"/>
            <w:tcBorders>
              <w:bottom w:val="single" w:sz="8" w:color="8089AD"/>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8089AD"/>
            </w:tcBorders>
          </w:tcPr>
          <w:p>
            <w:pPr>
              <w:jc w:val="right"/>
              <w:ind w:right="57"/>
              <w:spacing w:after="0"/>
              <w:rPr>
                <w:sz w:val="20"/>
                <w:szCs w:val="20"/>
                <w:color w:val="auto"/>
              </w:rPr>
            </w:pPr>
            <w:r>
              <w:rPr>
                <w:rFonts w:ascii="Arial" w:cs="Arial" w:eastAsia="Arial" w:hAnsi="Arial"/>
                <w:sz w:val="18"/>
                <w:szCs w:val="18"/>
                <w:color w:val="auto"/>
              </w:rPr>
              <w:t>7,586,073</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8089AD"/>
            </w:tcBorders>
          </w:tcPr>
          <w:p>
            <w:pPr>
              <w:jc w:val="right"/>
              <w:ind w:right="135"/>
              <w:spacing w:after="0"/>
              <w:rPr>
                <w:sz w:val="20"/>
                <w:szCs w:val="20"/>
                <w:color w:val="auto"/>
              </w:rPr>
            </w:pPr>
            <w:r>
              <w:rPr>
                <w:rFonts w:ascii="Arial" w:cs="Arial" w:eastAsia="Arial" w:hAnsi="Arial"/>
                <w:sz w:val="18"/>
                <w:szCs w:val="18"/>
                <w:color w:val="auto"/>
              </w:rPr>
              <w:t>7,500,000</w:t>
            </w:r>
          </w:p>
        </w:tc>
        <w:tc>
          <w:tcPr>
            <w:tcW w:w="160" w:type="dxa"/>
            <w:vAlign w:val="bottom"/>
            <w:tcBorders>
              <w:bottom w:val="single" w:sz="8" w:color="8089AD"/>
            </w:tcBorders>
          </w:tcPr>
          <w:p>
            <w:pPr>
              <w:ind w:left="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089AD"/>
            </w:tcBorders>
          </w:tcPr>
          <w:p>
            <w:pPr>
              <w:jc w:val="right"/>
              <w:ind w:right="55"/>
              <w:spacing w:after="0"/>
              <w:rPr>
                <w:sz w:val="20"/>
                <w:szCs w:val="20"/>
                <w:color w:val="auto"/>
              </w:rPr>
            </w:pPr>
            <w:r>
              <w:rPr>
                <w:rFonts w:ascii="Arial" w:cs="Arial" w:eastAsia="Arial" w:hAnsi="Arial"/>
                <w:sz w:val="18"/>
                <w:szCs w:val="18"/>
                <w:color w:val="auto"/>
              </w:rPr>
              <w:t>2,544,412</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089AD"/>
            </w:tcBorders>
          </w:tcPr>
          <w:p>
            <w:pPr>
              <w:jc w:val="right"/>
              <w:spacing w:after="0"/>
              <w:rPr>
                <w:sz w:val="20"/>
                <w:szCs w:val="20"/>
                <w:color w:val="auto"/>
              </w:rPr>
            </w:pPr>
            <w:r>
              <w:rPr>
                <w:rFonts w:ascii="Arial" w:cs="Arial" w:eastAsia="Arial" w:hAnsi="Arial"/>
                <w:sz w:val="18"/>
                <w:szCs w:val="18"/>
                <w:color w:val="auto"/>
              </w:rPr>
              <w:t>7,150,469</w:t>
            </w:r>
          </w:p>
        </w:tc>
      </w:tr>
      <w:tr>
        <w:trPr>
          <w:trHeight w:val="230"/>
        </w:trPr>
        <w:tc>
          <w:tcPr>
            <w:tcW w:w="4500" w:type="dxa"/>
            <w:vAlign w:val="bottom"/>
            <w:tcBorders>
              <w:bottom w:val="single" w:sz="8" w:color="8089AD"/>
            </w:tcBorders>
          </w:tcPr>
          <w:p>
            <w:pPr>
              <w:spacing w:after="0"/>
              <w:rPr>
                <w:sz w:val="20"/>
                <w:szCs w:val="20"/>
                <w:color w:val="auto"/>
              </w:rPr>
            </w:pPr>
            <w:r>
              <w:rPr>
                <w:rFonts w:ascii="Arial" w:cs="Arial" w:eastAsia="Arial" w:hAnsi="Arial"/>
                <w:sz w:val="18"/>
                <w:szCs w:val="18"/>
                <w:color w:val="auto"/>
              </w:rPr>
              <w:t>Other Compensation</w:t>
            </w:r>
          </w:p>
        </w:tc>
        <w:tc>
          <w:tcPr>
            <w:tcW w:w="1960" w:type="dxa"/>
            <w:vAlign w:val="bottom"/>
            <w:tcBorders>
              <w:bottom w:val="single" w:sz="8" w:color="8089AD"/>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8089AD"/>
            </w:tcBorders>
          </w:tcPr>
          <w:p>
            <w:pPr>
              <w:jc w:val="right"/>
              <w:ind w:right="57"/>
              <w:spacing w:after="0"/>
              <w:rPr>
                <w:sz w:val="20"/>
                <w:szCs w:val="20"/>
                <w:color w:val="auto"/>
              </w:rPr>
            </w:pPr>
            <w:r>
              <w:rPr>
                <w:rFonts w:ascii="Arial" w:cs="Arial" w:eastAsia="Arial" w:hAnsi="Arial"/>
                <w:sz w:val="18"/>
                <w:szCs w:val="18"/>
                <w:color w:val="auto"/>
              </w:rPr>
              <w:t>51,415</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8089AD"/>
            </w:tcBorders>
          </w:tcPr>
          <w:p>
            <w:pPr>
              <w:jc w:val="right"/>
              <w:ind w:right="135"/>
              <w:spacing w:after="0"/>
              <w:rPr>
                <w:sz w:val="20"/>
                <w:szCs w:val="20"/>
                <w:color w:val="auto"/>
              </w:rPr>
            </w:pPr>
            <w:r>
              <w:rPr>
                <w:rFonts w:ascii="Arial" w:cs="Arial" w:eastAsia="Arial" w:hAnsi="Arial"/>
                <w:sz w:val="18"/>
                <w:szCs w:val="18"/>
                <w:color w:val="auto"/>
              </w:rPr>
              <w:t>51,415</w:t>
            </w:r>
          </w:p>
        </w:tc>
        <w:tc>
          <w:tcPr>
            <w:tcW w:w="160" w:type="dxa"/>
            <w:vAlign w:val="bottom"/>
            <w:tcBorders>
              <w:bottom w:val="single" w:sz="8" w:color="8089AD"/>
            </w:tcBorders>
          </w:tcPr>
          <w:p>
            <w:pPr>
              <w:ind w:left="6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8089AD"/>
            </w:tcBorders>
          </w:tcPr>
          <w:p>
            <w:pPr>
              <w:jc w:val="right"/>
              <w:ind w:right="55"/>
              <w:spacing w:after="0"/>
              <w:rPr>
                <w:sz w:val="20"/>
                <w:szCs w:val="20"/>
                <w:color w:val="auto"/>
              </w:rPr>
            </w:pPr>
            <w:r>
              <w:rPr>
                <w:rFonts w:ascii="Arial" w:cs="Arial" w:eastAsia="Arial" w:hAnsi="Arial"/>
                <w:sz w:val="18"/>
                <w:szCs w:val="18"/>
                <w:color w:val="auto"/>
              </w:rPr>
              <w:t>51,415</w:t>
            </w:r>
          </w:p>
        </w:tc>
        <w:tc>
          <w:tcPr>
            <w:tcW w:w="240" w:type="dxa"/>
            <w:vAlign w:val="bottom"/>
            <w:tcBorders>
              <w:bottom w:val="single" w:sz="8" w:color="8089AD"/>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8089AD"/>
            </w:tcBorders>
          </w:tcPr>
          <w:p>
            <w:pPr>
              <w:jc w:val="right"/>
              <w:spacing w:after="0"/>
              <w:rPr>
                <w:sz w:val="20"/>
                <w:szCs w:val="20"/>
                <w:color w:val="auto"/>
              </w:rPr>
            </w:pPr>
            <w:r>
              <w:rPr>
                <w:rFonts w:ascii="Arial" w:cs="Arial" w:eastAsia="Arial" w:hAnsi="Arial"/>
                <w:sz w:val="18"/>
                <w:szCs w:val="18"/>
                <w:color w:val="auto"/>
              </w:rPr>
              <w:t>49,815</w:t>
            </w:r>
          </w:p>
        </w:tc>
      </w:tr>
      <w:tr>
        <w:trPr>
          <w:trHeight w:val="250"/>
        </w:trPr>
        <w:tc>
          <w:tcPr>
            <w:tcW w:w="4500" w:type="dxa"/>
            <w:vAlign w:val="bottom"/>
            <w:tcBorders>
              <w:bottom w:val="single" w:sz="8" w:color="365A8B"/>
            </w:tcBorders>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365A8B"/>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365A8B"/>
            </w:tcBorders>
          </w:tcPr>
          <w:p>
            <w:pPr>
              <w:jc w:val="right"/>
              <w:ind w:right="57"/>
              <w:spacing w:after="0"/>
              <w:rPr>
                <w:sz w:val="20"/>
                <w:szCs w:val="20"/>
                <w:color w:val="auto"/>
              </w:rPr>
            </w:pPr>
            <w:r>
              <w:rPr>
                <w:rFonts w:ascii="Arial" w:cs="Arial" w:eastAsia="Arial" w:hAnsi="Arial"/>
                <w:sz w:val="18"/>
                <w:szCs w:val="18"/>
                <w:b w:val="1"/>
                <w:bCs w:val="1"/>
                <w:color w:val="auto"/>
              </w:rPr>
              <w:t>15,194,726</w:t>
            </w:r>
          </w:p>
        </w:tc>
        <w:tc>
          <w:tcPr>
            <w:tcW w:w="240" w:type="dxa"/>
            <w:vAlign w:val="bottom"/>
            <w:tcBorders>
              <w:bottom w:val="single" w:sz="8" w:color="365A8B"/>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365A8B"/>
            </w:tcBorders>
          </w:tcPr>
          <w:p>
            <w:pPr>
              <w:jc w:val="right"/>
              <w:ind w:right="135"/>
              <w:spacing w:after="0"/>
              <w:rPr>
                <w:sz w:val="20"/>
                <w:szCs w:val="20"/>
                <w:color w:val="auto"/>
              </w:rPr>
            </w:pPr>
            <w:r>
              <w:rPr>
                <w:rFonts w:ascii="Arial" w:cs="Arial" w:eastAsia="Arial" w:hAnsi="Arial"/>
                <w:sz w:val="18"/>
                <w:szCs w:val="18"/>
                <w:b w:val="1"/>
                <w:bCs w:val="1"/>
                <w:color w:val="auto"/>
                <w:w w:val="95"/>
              </w:rPr>
              <w:t>15,801,415</w:t>
            </w:r>
          </w:p>
        </w:tc>
        <w:tc>
          <w:tcPr>
            <w:tcW w:w="160" w:type="dxa"/>
            <w:vAlign w:val="bottom"/>
            <w:tcBorders>
              <w:bottom w:val="single" w:sz="8" w:color="365A8B"/>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365A8B"/>
            </w:tcBorders>
          </w:tcPr>
          <w:p>
            <w:pPr>
              <w:jc w:val="right"/>
              <w:ind w:right="55"/>
              <w:spacing w:after="0"/>
              <w:rPr>
                <w:sz w:val="20"/>
                <w:szCs w:val="20"/>
                <w:color w:val="auto"/>
              </w:rPr>
            </w:pPr>
            <w:r>
              <w:rPr>
                <w:rFonts w:ascii="Arial" w:cs="Arial" w:eastAsia="Arial" w:hAnsi="Arial"/>
                <w:sz w:val="18"/>
                <w:szCs w:val="18"/>
                <w:b w:val="1"/>
                <w:bCs w:val="1"/>
                <w:color w:val="auto"/>
                <w:w w:val="97"/>
              </w:rPr>
              <w:t>14,778,577</w:t>
            </w:r>
          </w:p>
        </w:tc>
        <w:tc>
          <w:tcPr>
            <w:tcW w:w="240" w:type="dxa"/>
            <w:vAlign w:val="bottom"/>
            <w:tcBorders>
              <w:bottom w:val="single" w:sz="8" w:color="365A8B"/>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365A8B"/>
            </w:tcBorders>
          </w:tcPr>
          <w:p>
            <w:pPr>
              <w:jc w:val="right"/>
              <w:spacing w:after="0"/>
              <w:rPr>
                <w:sz w:val="20"/>
                <w:szCs w:val="20"/>
                <w:color w:val="auto"/>
              </w:rPr>
            </w:pPr>
            <w:r>
              <w:rPr>
                <w:rFonts w:ascii="Arial" w:cs="Arial" w:eastAsia="Arial" w:hAnsi="Arial"/>
                <w:sz w:val="18"/>
                <w:szCs w:val="18"/>
                <w:b w:val="1"/>
                <w:bCs w:val="1"/>
                <w:color w:val="auto"/>
                <w:w w:val="95"/>
              </w:rPr>
              <w:t>16,165,284</w:t>
            </w:r>
          </w:p>
        </w:tc>
      </w:tr>
    </w:tbl>
    <w:p>
      <w:pPr>
        <w:spacing w:after="0" w:line="242"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SCT amount reflects the amount paid in cash based on our CEO’s election to receive 50% of his annual cash bonus in equity and 50% in cash.</w:t>
      </w:r>
    </w:p>
    <w:p>
      <w:pPr>
        <w:spacing w:after="0" w:line="66" w:lineRule="exact"/>
        <w:rPr>
          <w:rFonts w:ascii="Arial" w:cs="Arial" w:eastAsia="Arial" w:hAnsi="Arial"/>
          <w:sz w:val="13"/>
          <w:szCs w:val="13"/>
          <w:color w:val="auto"/>
        </w:rPr>
      </w:pPr>
    </w:p>
    <w:p>
      <w:pPr>
        <w:ind w:left="320" w:right="220" w:hanging="312"/>
        <w:spacing w:after="0" w:line="258" w:lineRule="auto"/>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SCT amount reflects the grant date fair value of equity awards granted to our CEO for 2020 annual cash bonus based on our CEO’s election to receive 50% of his annual cash bonus in equity and 50% in cash.</w:t>
      </w:r>
    </w:p>
    <w:p>
      <w:pPr>
        <w:spacing w:after="0" w:line="43" w:lineRule="exact"/>
        <w:rPr>
          <w:rFonts w:ascii="Arial" w:cs="Arial" w:eastAsia="Arial" w:hAnsi="Arial"/>
          <w:sz w:val="13"/>
          <w:szCs w:val="13"/>
          <w:color w:val="auto"/>
        </w:rPr>
      </w:pPr>
    </w:p>
    <w:p>
      <w:pPr>
        <w:ind w:left="320" w:right="420" w:hanging="312"/>
        <w:spacing w:after="0" w:line="258" w:lineRule="auto"/>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SCT amount reflects the grant date fair value of equity awards granted for 2019 performance in 2020 as opposed to the target value of awards granted for 2020 or 2019, as applicable. In each case, the awards were subject to time-based vesting over three years.</w:t>
      </w:r>
    </w:p>
    <w:p>
      <w:pPr>
        <w:spacing w:after="0" w:line="43" w:lineRule="exact"/>
        <w:rPr>
          <w:rFonts w:ascii="Arial" w:cs="Arial" w:eastAsia="Arial" w:hAnsi="Arial"/>
          <w:sz w:val="13"/>
          <w:szCs w:val="13"/>
          <w:color w:val="auto"/>
        </w:rPr>
      </w:pPr>
    </w:p>
    <w:p>
      <w:pPr>
        <w:ind w:left="320" w:right="160" w:hanging="312"/>
        <w:spacing w:after="0" w:line="243" w:lineRule="auto"/>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For Actual Compensation (at 12/31/2020) and Actual Compensation (at 12/31/2019), Annual Performance-Based Awards are shown based on the value, as of December 31st of the applicable year for which such awards were granted, of the number of units that were earned based on operational performance through such date, including the impact of the absolute TSR modifier that will apply at the conclusion of the full performance period assuming absolute TSR continued at the same rate as had occurred from the beginning of the performance period through such date. Actual Compensation does not include any amounts for the portion of the Annual Performance-Based Awards that may be earned based on relative TSR performance over the full performance period. The SCT amount represents the grant date accounting value.</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described more fully above in “Compensation Committee Deliberations and Decisions in Response to COVID-19” and below in “2020 Pay Outcomes,” our named executive officers responded admirably to the unprecedented challenges brought about by the COVID-19 pandemic. Led by our CEO, we successfully executed a number of strategic initiatives and advanced our overall business objectives, including the effective deployment of our business resiliency plans, keeping our properties open and operating, and performing well against our strategic goals for 2020. At the same time, the Company’s overall financial performance was below original expectations due to the impact of COVID-19, and our stock price declined significantly. Given management's success notwithstanding the pandemic, the Committee exercised its discretion to increase our CEO’s aggregate cash bonus to equal his target annual cash bonus and to grant our CEO’s annual time-based equity award at a level above the target amount.</w:t>
      </w:r>
    </w:p>
    <w:p>
      <w:pPr>
        <w:spacing w:after="0" w:line="20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aggregate effect of these decisions was to provide our CEO with actual compensation for 2020 that was approximately 10% below the projected economic value of our CEO’s 2019 total compensation as of December 31, 2019, as reflected in the table above. The extent of this reduction appropriately recognized our CEO’s strong leadership during a period of unprecedented challenges arising from the COVID-19 pandemic while not compromising the fundamental pay-for-performance values that are at the core of our compensation philosophy.</w:t>
      </w:r>
    </w:p>
    <w:p>
      <w:pPr>
        <w:spacing w:after="0" w:line="183"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65A8B"/>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Our Executive Compensation Philosophy</w:t>
      </w:r>
    </w:p>
    <w:p>
      <w:pPr>
        <w:spacing w:after="0" w:line="233"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adopted an executive compensation philosophy that rewards the achievement of annual and long-term goals of both the Company and individual executives, while achieving the following objectives:</w:t>
      </w:r>
    </w:p>
    <w:p>
      <w:pPr>
        <w:spacing w:after="0" w:line="209" w:lineRule="exact"/>
        <w:rPr>
          <w:sz w:val="20"/>
          <w:szCs w:val="20"/>
          <w:color w:val="auto"/>
        </w:rPr>
      </w:pPr>
    </w:p>
    <w:p>
      <w:pPr>
        <w:ind w:left="540" w:hanging="262"/>
        <w:spacing w:after="0"/>
        <w:tabs>
          <w:tab w:leader="none" w:pos="540" w:val="left"/>
        </w:tabs>
        <w:numPr>
          <w:ilvl w:val="0"/>
          <w:numId w:val="82"/>
        </w:numPr>
        <w:rPr>
          <w:rFonts w:ascii="Arial" w:cs="Arial" w:eastAsia="Arial" w:hAnsi="Arial"/>
          <w:sz w:val="17"/>
          <w:szCs w:val="17"/>
          <w:color w:val="355A89"/>
        </w:rPr>
      </w:pPr>
      <w:r>
        <w:rPr>
          <w:rFonts w:ascii="Arial" w:cs="Arial" w:eastAsia="Arial" w:hAnsi="Arial"/>
          <w:sz w:val="18"/>
          <w:szCs w:val="18"/>
          <w:color w:val="auto"/>
        </w:rPr>
        <w:t>providing performance-based incentives that create a strong alignment of management and stockholder interests</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82"/>
        </w:numPr>
        <w:rPr>
          <w:rFonts w:ascii="Arial" w:cs="Arial" w:eastAsia="Arial" w:hAnsi="Arial"/>
          <w:sz w:val="17"/>
          <w:szCs w:val="17"/>
          <w:color w:val="355A89"/>
        </w:rPr>
      </w:pPr>
      <w:r>
        <w:rPr>
          <w:rFonts w:ascii="Arial" w:cs="Arial" w:eastAsia="Arial" w:hAnsi="Arial"/>
          <w:sz w:val="18"/>
          <w:szCs w:val="18"/>
          <w:color w:val="auto"/>
        </w:rPr>
        <w:t>attracting and retaining top talent in a market that is highly competitive for New York City commercial real estate management</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82"/>
        </w:numPr>
        <w:rPr>
          <w:rFonts w:ascii="Arial" w:cs="Arial" w:eastAsia="Arial" w:hAnsi="Arial"/>
          <w:sz w:val="17"/>
          <w:szCs w:val="17"/>
          <w:color w:val="355A89"/>
        </w:rPr>
      </w:pPr>
      <w:r>
        <w:rPr>
          <w:rFonts w:ascii="Arial" w:cs="Arial" w:eastAsia="Arial" w:hAnsi="Arial"/>
          <w:sz w:val="18"/>
          <w:szCs w:val="18"/>
          <w:color w:val="auto"/>
        </w:rPr>
        <w:t>motivating our executives to achieve, and reward them for achieving, superior performance</w:t>
      </w:r>
    </w:p>
    <w:p>
      <w:pPr>
        <w:spacing w:after="0" w:line="63" w:lineRule="exact"/>
        <w:rPr>
          <w:rFonts w:ascii="Arial" w:cs="Arial" w:eastAsia="Arial" w:hAnsi="Arial"/>
          <w:sz w:val="17"/>
          <w:szCs w:val="17"/>
          <w:color w:val="355A89"/>
        </w:rPr>
      </w:pPr>
    </w:p>
    <w:p>
      <w:pPr>
        <w:ind w:left="540" w:hanging="262"/>
        <w:spacing w:after="0" w:line="239" w:lineRule="auto"/>
        <w:tabs>
          <w:tab w:leader="none" w:pos="540" w:val="left"/>
        </w:tabs>
        <w:numPr>
          <w:ilvl w:val="0"/>
          <w:numId w:val="82"/>
        </w:numPr>
        <w:rPr>
          <w:rFonts w:ascii="Arial" w:cs="Arial" w:eastAsia="Arial" w:hAnsi="Arial"/>
          <w:sz w:val="17"/>
          <w:szCs w:val="17"/>
          <w:color w:val="355A89"/>
        </w:rPr>
      </w:pPr>
      <w:r>
        <w:rPr>
          <w:rFonts w:ascii="Arial" w:cs="Arial" w:eastAsia="Arial" w:hAnsi="Arial"/>
          <w:sz w:val="18"/>
          <w:szCs w:val="18"/>
          <w:color w:val="auto"/>
        </w:rPr>
        <w:t>achieving an appropriate balance between risk and reward in our compensation programs that does not create incentives for unnecessary or excessive risk taking</w:t>
      </w:r>
    </w:p>
    <w:p>
      <w:pPr>
        <w:spacing w:after="0" w:line="60" w:lineRule="exact"/>
        <w:rPr>
          <w:rFonts w:ascii="Arial" w:cs="Arial" w:eastAsia="Arial" w:hAnsi="Arial"/>
          <w:sz w:val="17"/>
          <w:szCs w:val="17"/>
          <w:color w:val="355A89"/>
        </w:rPr>
      </w:pPr>
    </w:p>
    <w:p>
      <w:pPr>
        <w:ind w:left="540" w:hanging="262"/>
        <w:spacing w:after="0"/>
        <w:tabs>
          <w:tab w:leader="none" w:pos="540" w:val="left"/>
        </w:tabs>
        <w:numPr>
          <w:ilvl w:val="0"/>
          <w:numId w:val="82"/>
        </w:numPr>
        <w:rPr>
          <w:rFonts w:ascii="Arial" w:cs="Arial" w:eastAsia="Arial" w:hAnsi="Arial"/>
          <w:sz w:val="16"/>
          <w:szCs w:val="16"/>
          <w:color w:val="355A89"/>
        </w:rPr>
      </w:pPr>
      <w:r>
        <w:rPr>
          <w:rFonts w:ascii="Arial" w:cs="Arial" w:eastAsia="Arial" w:hAnsi="Arial"/>
          <w:sz w:val="16"/>
          <w:szCs w:val="16"/>
          <w:color w:val="auto"/>
        </w:rPr>
        <w:t>fostering the dedication required to succeed against our competitors, while maintaining low overall general and administrative expense</w:t>
      </w:r>
    </w:p>
    <w:p>
      <w:pPr>
        <w:spacing w:after="0" w:line="23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order to reach these goals, the Committee, in consultation with our Chief Executive Officer and the Committee’s independent compensation consultant, adopted executive compensation practices that promote a pay-for-performance philosophy. Our primary business objective of maximizing TSR through growth in FFO while seeking appreciation in the value of our investment properties demands a long-term focus. Therefore, on both a current and historical basis, our executive compensation programs are based heavily on the achievement of both annual and multi-year performance measures.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Competitive Market for Talent</w:t>
      </w:r>
    </w:p>
    <w:p>
      <w:pPr>
        <w:spacing w:after="0" w:line="235"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the market for talent and compensation, SLG is most comparable to real estate companies and other complex financial services-related industries. We evaluate our compensation in the same way: as a “fee, expense or load.” To that end, we evaluate our compensation relative to our total assets and revenue – fundamental performance metrics that industry analysts use to measure efficiency and the effectiveness of management teams.</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REIT focused specifically on real estate in New York City – a high cost and very complex market – we compete with companies, both public and private, for a small number of talented executives. Among the top 15 New York City real estate companies – in terms of Manhattan office-space ownership – only a handful of those companies, including SL Green, are public. Many of our competitors are private companies and are not required to publicly disclose their compensation arrangements.</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Given the unique nature of our company – manifested by three primary characteristics: Active and Engaged Business Strategy, Operations on Multiple Platforms, and NYC-Focused Business Model – the Committee is continuously evaluating our executive compensation program to ensure that it aligns with our current business priorities and external market factors.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Compensation Practices</w:t>
      </w:r>
    </w:p>
    <w:p>
      <w:pPr>
        <w:spacing w:after="0" w:line="23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reflecting changes we have adopted following our extensive 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25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83" w:lineRule="exact"/>
        <w:rPr>
          <w:sz w:val="20"/>
          <w:szCs w:val="20"/>
          <w:color w:val="auto"/>
        </w:rPr>
      </w:pPr>
    </w:p>
    <w:p>
      <w:pPr>
        <w:ind w:left="2320"/>
        <w:spacing w:after="0"/>
        <w:rPr>
          <w:sz w:val="20"/>
          <w:szCs w:val="20"/>
          <w:color w:val="auto"/>
        </w:rPr>
      </w:pPr>
      <w:r>
        <w:rPr>
          <w:rFonts w:ascii="Arial" w:cs="Arial" w:eastAsia="Arial" w:hAnsi="Arial"/>
          <w:sz w:val="13"/>
          <w:szCs w:val="13"/>
          <w:b w:val="1"/>
          <w:bCs w:val="1"/>
          <w:color w:val="355A89"/>
        </w:rPr>
        <w:t>WHAT WE DO</w:t>
      </w:r>
    </w:p>
    <w:p>
      <w:pPr>
        <w:spacing w:after="0" w:line="181" w:lineRule="exact"/>
        <w:rPr>
          <w:sz w:val="20"/>
          <w:szCs w:val="20"/>
          <w:color w:val="auto"/>
        </w:rPr>
      </w:pPr>
    </w:p>
    <w:p>
      <w:pPr>
        <w:ind w:left="460" w:hanging="290"/>
        <w:spacing w:after="0"/>
        <w:tabs>
          <w:tab w:leader="none" w:pos="460" w:val="left"/>
        </w:tabs>
        <w:numPr>
          <w:ilvl w:val="0"/>
          <w:numId w:val="83"/>
        </w:numPr>
        <w:rPr>
          <w:rFonts w:ascii="MS PGothic" w:cs="MS PGothic" w:eastAsia="MS PGothic" w:hAnsi="MS PGothic"/>
          <w:sz w:val="17"/>
          <w:szCs w:val="17"/>
          <w:color w:val="355A89"/>
        </w:rPr>
      </w:pPr>
      <w:r>
        <w:rPr>
          <w:rFonts w:ascii="Arial" w:cs="Arial" w:eastAsia="Arial" w:hAnsi="Arial"/>
          <w:sz w:val="18"/>
          <w:szCs w:val="18"/>
          <w:color w:val="auto"/>
        </w:rPr>
        <w:t>Pay for performance and create alignment with stockholders</w:t>
      </w:r>
    </w:p>
    <w:p>
      <w:pPr>
        <w:spacing w:after="0" w:line="9" w:lineRule="exact"/>
        <w:rPr>
          <w:rFonts w:ascii="MS PGothic" w:cs="MS PGothic" w:eastAsia="MS PGothic" w:hAnsi="MS PGothic"/>
          <w:sz w:val="17"/>
          <w:szCs w:val="17"/>
          <w:color w:val="355A89"/>
        </w:rPr>
      </w:pPr>
    </w:p>
    <w:p>
      <w:pPr>
        <w:ind w:left="460" w:hanging="290"/>
        <w:spacing w:after="0"/>
        <w:tabs>
          <w:tab w:leader="none" w:pos="460" w:val="left"/>
        </w:tabs>
        <w:numPr>
          <w:ilvl w:val="0"/>
          <w:numId w:val="83"/>
        </w:numPr>
        <w:rPr>
          <w:rFonts w:ascii="MS PGothic" w:cs="MS PGothic" w:eastAsia="MS PGothic" w:hAnsi="MS PGothic"/>
          <w:sz w:val="17"/>
          <w:szCs w:val="17"/>
          <w:color w:val="355A89"/>
        </w:rPr>
      </w:pPr>
      <w:r>
        <w:rPr>
          <w:rFonts w:ascii="Arial" w:cs="Arial" w:eastAsia="Arial" w:hAnsi="Arial"/>
          <w:sz w:val="18"/>
          <w:szCs w:val="18"/>
          <w:color w:val="auto"/>
        </w:rPr>
        <w:t>Include robust hurdles in our incentive plans</w:t>
      </w:r>
    </w:p>
    <w:p>
      <w:pPr>
        <w:spacing w:after="0" w:line="9" w:lineRule="exact"/>
        <w:rPr>
          <w:rFonts w:ascii="MS PGothic" w:cs="MS PGothic" w:eastAsia="MS PGothic" w:hAnsi="MS PGothic"/>
          <w:sz w:val="17"/>
          <w:szCs w:val="17"/>
          <w:color w:val="355A89"/>
        </w:rPr>
      </w:pPr>
    </w:p>
    <w:p>
      <w:pPr>
        <w:ind w:left="440" w:right="120" w:hanging="270"/>
        <w:spacing w:after="0" w:line="242" w:lineRule="auto"/>
        <w:tabs>
          <w:tab w:leader="none" w:pos="453" w:val="left"/>
        </w:tabs>
        <w:numPr>
          <w:ilvl w:val="0"/>
          <w:numId w:val="83"/>
        </w:numPr>
        <w:rPr>
          <w:rFonts w:ascii="MS PGothic" w:cs="MS PGothic" w:eastAsia="MS PGothic" w:hAnsi="MS PGothic"/>
          <w:sz w:val="17"/>
          <w:szCs w:val="17"/>
          <w:color w:val="355A89"/>
        </w:rPr>
      </w:pPr>
      <w:r>
        <w:rPr>
          <w:rFonts w:ascii="Arial" w:cs="Arial" w:eastAsia="Arial" w:hAnsi="Arial"/>
          <w:sz w:val="18"/>
          <w:szCs w:val="18"/>
          <w:color w:val="auto"/>
        </w:rPr>
        <w:t>Pay a majority of total compensation for our CEO and named executive officers in equity</w:t>
      </w:r>
    </w:p>
    <w:p>
      <w:pPr>
        <w:spacing w:after="0" w:line="1" w:lineRule="exact"/>
        <w:rPr>
          <w:rFonts w:ascii="MS PGothic" w:cs="MS PGothic" w:eastAsia="MS PGothic" w:hAnsi="MS PGothic"/>
          <w:sz w:val="17"/>
          <w:szCs w:val="17"/>
          <w:color w:val="355A89"/>
        </w:rPr>
      </w:pPr>
    </w:p>
    <w:p>
      <w:pPr>
        <w:ind w:left="440" w:hanging="270"/>
        <w:spacing w:after="0" w:line="242" w:lineRule="auto"/>
        <w:tabs>
          <w:tab w:leader="none" w:pos="453" w:val="left"/>
        </w:tabs>
        <w:numPr>
          <w:ilvl w:val="0"/>
          <w:numId w:val="83"/>
        </w:numPr>
        <w:rPr>
          <w:rFonts w:ascii="MS PGothic" w:cs="MS PGothic" w:eastAsia="MS PGothic" w:hAnsi="MS PGothic"/>
          <w:sz w:val="17"/>
          <w:szCs w:val="17"/>
          <w:color w:val="355A89"/>
        </w:rPr>
      </w:pPr>
      <w:r>
        <w:rPr>
          <w:rFonts w:ascii="Arial" w:cs="Arial" w:eastAsia="Arial" w:hAnsi="Arial"/>
          <w:sz w:val="18"/>
          <w:szCs w:val="18"/>
          <w:color w:val="auto"/>
        </w:rPr>
        <w:t>Follow robust equity ownership guidelines for our directors and named executive officers</w:t>
      </w:r>
    </w:p>
    <w:p>
      <w:pPr>
        <w:spacing w:after="0" w:line="1" w:lineRule="exact"/>
        <w:rPr>
          <w:rFonts w:ascii="MS PGothic" w:cs="MS PGothic" w:eastAsia="MS PGothic" w:hAnsi="MS PGothic"/>
          <w:sz w:val="17"/>
          <w:szCs w:val="17"/>
          <w:color w:val="355A89"/>
        </w:rPr>
      </w:pPr>
    </w:p>
    <w:p>
      <w:pPr>
        <w:ind w:left="460" w:hanging="290"/>
        <w:spacing w:after="0"/>
        <w:tabs>
          <w:tab w:leader="none" w:pos="460" w:val="left"/>
        </w:tabs>
        <w:numPr>
          <w:ilvl w:val="0"/>
          <w:numId w:val="83"/>
        </w:numPr>
        <w:rPr>
          <w:rFonts w:ascii="MS PGothic" w:cs="MS PGothic" w:eastAsia="MS PGothic" w:hAnsi="MS PGothic"/>
          <w:sz w:val="17"/>
          <w:szCs w:val="17"/>
          <w:color w:val="355A89"/>
        </w:rPr>
      </w:pPr>
      <w:r>
        <w:rPr>
          <w:rFonts w:ascii="Arial" w:cs="Arial" w:eastAsia="Arial" w:hAnsi="Arial"/>
          <w:sz w:val="18"/>
          <w:szCs w:val="18"/>
          <w:color w:val="auto"/>
        </w:rPr>
        <w:t>Impose a clawback policy with respect to incentive payments</w:t>
      </w:r>
    </w:p>
    <w:p>
      <w:pPr>
        <w:spacing w:after="0" w:line="9" w:lineRule="exact"/>
        <w:rPr>
          <w:rFonts w:ascii="MS PGothic" w:cs="MS PGothic" w:eastAsia="MS PGothic" w:hAnsi="MS PGothic"/>
          <w:sz w:val="17"/>
          <w:szCs w:val="17"/>
          <w:color w:val="355A89"/>
        </w:rPr>
      </w:pPr>
    </w:p>
    <w:p>
      <w:pPr>
        <w:ind w:left="440" w:right="160" w:hanging="270"/>
        <w:spacing w:after="0" w:line="254" w:lineRule="auto"/>
        <w:tabs>
          <w:tab w:leader="none" w:pos="453" w:val="left"/>
        </w:tabs>
        <w:numPr>
          <w:ilvl w:val="0"/>
          <w:numId w:val="83"/>
        </w:numPr>
        <w:rPr>
          <w:rFonts w:ascii="MS PGothic" w:cs="MS PGothic" w:eastAsia="MS PGothic" w:hAnsi="MS PGothic"/>
          <w:sz w:val="17"/>
          <w:szCs w:val="17"/>
          <w:color w:val="355A89"/>
        </w:rPr>
      </w:pPr>
      <w:r>
        <w:rPr>
          <w:rFonts w:ascii="Arial" w:cs="Arial" w:eastAsia="Arial" w:hAnsi="Arial"/>
          <w:sz w:val="18"/>
          <w:szCs w:val="18"/>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959595"/>
        </w:rPr>
        <w:t>WHAT WE DON’T DO</w:t>
      </w:r>
    </w:p>
    <w:p>
      <w:pPr>
        <w:spacing w:after="0" w:line="181" w:lineRule="exact"/>
        <w:rPr>
          <w:sz w:val="20"/>
          <w:szCs w:val="20"/>
          <w:color w:val="auto"/>
        </w:rPr>
      </w:pPr>
    </w:p>
    <w:p>
      <w:pPr>
        <w:ind w:left="280" w:right="300" w:hanging="280"/>
        <w:spacing w:after="0" w:line="242" w:lineRule="auto"/>
        <w:tabs>
          <w:tab w:leader="none" w:pos="295" w:val="left"/>
        </w:tabs>
        <w:numPr>
          <w:ilvl w:val="0"/>
          <w:numId w:val="84"/>
        </w:numPr>
        <w:rPr>
          <w:rFonts w:ascii="MS PGothic" w:cs="MS PGothic" w:eastAsia="MS PGothic" w:hAnsi="MS PGothic"/>
          <w:sz w:val="17"/>
          <w:szCs w:val="17"/>
          <w:color w:val="959595"/>
        </w:rPr>
      </w:pPr>
      <w:r>
        <w:rPr>
          <w:rFonts w:ascii="Arial" w:cs="Arial" w:eastAsia="Arial" w:hAnsi="Arial"/>
          <w:sz w:val="18"/>
          <w:szCs w:val="18"/>
          <w:color w:val="auto"/>
        </w:rPr>
        <w:t>No dividends or distributions paid on unearned equity awards subject to performance-based vesting</w:t>
      </w:r>
    </w:p>
    <w:p>
      <w:pPr>
        <w:spacing w:after="0" w:line="1" w:lineRule="exact"/>
        <w:rPr>
          <w:rFonts w:ascii="MS PGothic" w:cs="MS PGothic" w:eastAsia="MS PGothic" w:hAnsi="MS PGothic"/>
          <w:sz w:val="17"/>
          <w:szCs w:val="17"/>
          <w:color w:val="959595"/>
        </w:rPr>
      </w:pPr>
    </w:p>
    <w:p>
      <w:pPr>
        <w:ind w:left="280" w:hanging="280"/>
        <w:spacing w:after="0"/>
        <w:tabs>
          <w:tab w:leader="none" w:pos="280" w:val="left"/>
        </w:tabs>
        <w:numPr>
          <w:ilvl w:val="0"/>
          <w:numId w:val="84"/>
        </w:numPr>
        <w:rPr>
          <w:rFonts w:ascii="MS PGothic" w:cs="MS PGothic" w:eastAsia="MS PGothic" w:hAnsi="MS PGothic"/>
          <w:sz w:val="17"/>
          <w:szCs w:val="17"/>
          <w:color w:val="959595"/>
        </w:rPr>
      </w:pPr>
      <w:r>
        <w:rPr>
          <w:rFonts w:ascii="Arial" w:cs="Arial" w:eastAsia="Arial" w:hAnsi="Arial"/>
          <w:sz w:val="18"/>
          <w:szCs w:val="18"/>
          <w:color w:val="auto"/>
        </w:rPr>
        <w:t>No excise tax gross-up provisions</w:t>
      </w:r>
    </w:p>
    <w:p>
      <w:pPr>
        <w:spacing w:after="0" w:line="9" w:lineRule="exact"/>
        <w:rPr>
          <w:rFonts w:ascii="MS PGothic" w:cs="MS PGothic" w:eastAsia="MS PGothic" w:hAnsi="MS PGothic"/>
          <w:sz w:val="17"/>
          <w:szCs w:val="17"/>
          <w:color w:val="959595"/>
        </w:rPr>
      </w:pPr>
    </w:p>
    <w:p>
      <w:pPr>
        <w:ind w:left="280" w:hanging="280"/>
        <w:spacing w:after="0"/>
        <w:tabs>
          <w:tab w:leader="none" w:pos="280" w:val="left"/>
        </w:tabs>
        <w:numPr>
          <w:ilvl w:val="0"/>
          <w:numId w:val="84"/>
        </w:numPr>
        <w:rPr>
          <w:rFonts w:ascii="MS PGothic" w:cs="MS PGothic" w:eastAsia="MS PGothic" w:hAnsi="MS PGothic"/>
          <w:sz w:val="17"/>
          <w:szCs w:val="17"/>
          <w:color w:val="959595"/>
        </w:rPr>
      </w:pPr>
      <w:r>
        <w:rPr>
          <w:rFonts w:ascii="Arial" w:cs="Arial" w:eastAsia="Arial" w:hAnsi="Arial"/>
          <w:sz w:val="18"/>
          <w:szCs w:val="18"/>
          <w:color w:val="auto"/>
        </w:rPr>
        <w:t>No repricing of stock options</w:t>
      </w:r>
    </w:p>
    <w:p>
      <w:pPr>
        <w:spacing w:after="0" w:line="9" w:lineRule="exact"/>
        <w:rPr>
          <w:rFonts w:ascii="MS PGothic" w:cs="MS PGothic" w:eastAsia="MS PGothic" w:hAnsi="MS PGothic"/>
          <w:sz w:val="17"/>
          <w:szCs w:val="17"/>
          <w:color w:val="959595"/>
        </w:rPr>
      </w:pPr>
    </w:p>
    <w:p>
      <w:pPr>
        <w:ind w:left="280" w:right="540" w:hanging="280"/>
        <w:spacing w:after="0" w:line="242" w:lineRule="auto"/>
        <w:tabs>
          <w:tab w:leader="none" w:pos="295" w:val="left"/>
        </w:tabs>
        <w:numPr>
          <w:ilvl w:val="0"/>
          <w:numId w:val="84"/>
        </w:numPr>
        <w:rPr>
          <w:rFonts w:ascii="MS PGothic" w:cs="MS PGothic" w:eastAsia="MS PGothic" w:hAnsi="MS PGothic"/>
          <w:sz w:val="17"/>
          <w:szCs w:val="17"/>
          <w:color w:val="959595"/>
        </w:rPr>
      </w:pPr>
      <w:r>
        <w:rPr>
          <w:rFonts w:ascii="Arial" w:cs="Arial" w:eastAsia="Arial" w:hAnsi="Arial"/>
          <w:sz w:val="18"/>
          <w:szCs w:val="18"/>
          <w:color w:val="auto"/>
        </w:rPr>
        <w:t>No single trigger cash severance or accelerated vesting in connection with a change in control</w:t>
      </w:r>
    </w:p>
    <w:p>
      <w:pPr>
        <w:spacing w:after="0" w:line="1" w:lineRule="exact"/>
        <w:rPr>
          <w:rFonts w:ascii="MS PGothic" w:cs="MS PGothic" w:eastAsia="MS PGothic" w:hAnsi="MS PGothic"/>
          <w:sz w:val="17"/>
          <w:szCs w:val="17"/>
          <w:color w:val="959595"/>
        </w:rPr>
      </w:pPr>
    </w:p>
    <w:p>
      <w:pPr>
        <w:ind w:left="280" w:hanging="280"/>
        <w:spacing w:after="0"/>
        <w:tabs>
          <w:tab w:leader="none" w:pos="280" w:val="left"/>
        </w:tabs>
        <w:numPr>
          <w:ilvl w:val="0"/>
          <w:numId w:val="84"/>
        </w:numPr>
        <w:rPr>
          <w:rFonts w:ascii="MS PGothic" w:cs="MS PGothic" w:eastAsia="MS PGothic" w:hAnsi="MS PGothic"/>
          <w:sz w:val="17"/>
          <w:szCs w:val="17"/>
          <w:color w:val="959595"/>
        </w:rPr>
      </w:pPr>
      <w:r>
        <w:rPr>
          <w:rFonts w:ascii="Arial" w:cs="Arial" w:eastAsia="Arial" w:hAnsi="Arial"/>
          <w:sz w:val="18"/>
          <w:szCs w:val="18"/>
          <w:color w:val="auto"/>
        </w:rPr>
        <w:t>Don’t allow directors or officers to hedge our securities</w:t>
      </w:r>
    </w:p>
    <w:p>
      <w:pPr>
        <w:spacing w:after="0" w:line="647" w:lineRule="exact"/>
        <w:rPr>
          <w:sz w:val="20"/>
          <w:szCs w:val="20"/>
          <w:color w:val="auto"/>
        </w:rPr>
      </w:pPr>
    </w:p>
    <w:p>
      <w:pPr>
        <w:sectPr>
          <w:pgSz w:w="11900" w:h="16838" w:orient="portrait"/>
          <w:cols w:equalWidth="0" w:num="2">
            <w:col w:w="5320" w:space="560"/>
            <w:col w:w="5340"/>
          </w:cols>
          <w:pgMar w:left="320" w:top="121" w:right="359" w:bottom="1440" w:gutter="0" w:footer="0" w:header="0"/>
          <w:type w:val="continuous"/>
        </w:sectPr>
      </w:pPr>
    </w:p>
    <w:p>
      <w:pPr>
        <w:spacing w:after="0" w:line="91" w:lineRule="exact"/>
        <w:rPr>
          <w:sz w:val="20"/>
          <w:szCs w:val="20"/>
          <w:color w:val="auto"/>
        </w:rPr>
      </w:pPr>
    </w:p>
    <w:p>
      <w:pPr>
        <w:ind w:left="300" w:hanging="292"/>
        <w:spacing w:after="0"/>
        <w:tabs>
          <w:tab w:leader="none" w:pos="300" w:val="left"/>
        </w:tabs>
        <w:numPr>
          <w:ilvl w:val="0"/>
          <w:numId w:val="85"/>
        </w:numPr>
        <w:rPr>
          <w:rFonts w:ascii="Arial" w:cs="Arial" w:eastAsia="Arial" w:hAnsi="Arial"/>
          <w:sz w:val="16"/>
          <w:szCs w:val="16"/>
          <w:color w:val="355A89"/>
        </w:rPr>
      </w:pPr>
      <w:r>
        <w:rPr>
          <w:rFonts w:ascii="Arial" w:cs="Arial" w:eastAsia="Arial" w:hAnsi="Arial"/>
          <w:sz w:val="16"/>
          <w:szCs w:val="16"/>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65A8B"/>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Our 2020 Executive Compensation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For 2020, our named executive officers’ compensation had four components:</w:t>
      </w:r>
    </w:p>
    <w:p>
      <w:pPr>
        <w:spacing w:after="0" w:line="212" w:lineRule="exact"/>
        <w:rPr>
          <w:sz w:val="20"/>
          <w:szCs w:val="20"/>
          <w:color w:val="auto"/>
        </w:rPr>
      </w:pPr>
    </w:p>
    <w:p>
      <w:pPr>
        <w:ind w:left="540" w:hanging="262"/>
        <w:spacing w:after="0"/>
        <w:tabs>
          <w:tab w:leader="none" w:pos="540" w:val="left"/>
        </w:tabs>
        <w:numPr>
          <w:ilvl w:val="0"/>
          <w:numId w:val="86"/>
        </w:numPr>
        <w:rPr>
          <w:rFonts w:ascii="Arial" w:cs="Arial" w:eastAsia="Arial" w:hAnsi="Arial"/>
          <w:sz w:val="17"/>
          <w:szCs w:val="17"/>
          <w:color w:val="355A89"/>
        </w:rPr>
      </w:pPr>
      <w:r>
        <w:rPr>
          <w:rFonts w:ascii="Arial" w:cs="Arial" w:eastAsia="Arial" w:hAnsi="Arial"/>
          <w:sz w:val="18"/>
          <w:szCs w:val="18"/>
          <w:color w:val="auto"/>
        </w:rPr>
        <w:t>annual base salary;</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86"/>
        </w:numPr>
        <w:rPr>
          <w:rFonts w:ascii="Arial" w:cs="Arial" w:eastAsia="Arial" w:hAnsi="Arial"/>
          <w:sz w:val="17"/>
          <w:szCs w:val="17"/>
          <w:color w:val="355A89"/>
        </w:rPr>
      </w:pPr>
      <w:r>
        <w:rPr>
          <w:rFonts w:ascii="Arial" w:cs="Arial" w:eastAsia="Arial" w:hAnsi="Arial"/>
          <w:sz w:val="18"/>
          <w:szCs w:val="18"/>
          <w:color w:val="auto"/>
        </w:rPr>
        <w:t>annual cash bonus;</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86"/>
        </w:numPr>
        <w:rPr>
          <w:rFonts w:ascii="Arial" w:cs="Arial" w:eastAsia="Arial" w:hAnsi="Arial"/>
          <w:sz w:val="17"/>
          <w:szCs w:val="17"/>
          <w:color w:val="355A89"/>
        </w:rPr>
      </w:pPr>
      <w:r>
        <w:rPr>
          <w:rFonts w:ascii="Arial" w:cs="Arial" w:eastAsia="Arial" w:hAnsi="Arial"/>
          <w:sz w:val="18"/>
          <w:szCs w:val="18"/>
          <w:color w:val="auto"/>
        </w:rPr>
        <w:t>performance-based long-term equity incentive awards; and</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86"/>
        </w:numPr>
        <w:rPr>
          <w:rFonts w:ascii="Arial" w:cs="Arial" w:eastAsia="Arial" w:hAnsi="Arial"/>
          <w:sz w:val="17"/>
          <w:szCs w:val="17"/>
          <w:color w:val="355A89"/>
        </w:rPr>
      </w:pPr>
      <w:r>
        <w:rPr>
          <w:rFonts w:ascii="Arial" w:cs="Arial" w:eastAsia="Arial" w:hAnsi="Arial"/>
          <w:sz w:val="18"/>
          <w:szCs w:val="18"/>
          <w:color w:val="auto"/>
        </w:rPr>
        <w:t>time-based long-term equity incentive awards.</w:t>
      </w:r>
    </w:p>
    <w:p>
      <w:pPr>
        <w:spacing w:after="0" w:line="212" w:lineRule="exact"/>
        <w:rPr>
          <w:sz w:val="20"/>
          <w:szCs w:val="20"/>
          <w:color w:val="auto"/>
        </w:rPr>
      </w:pPr>
    </w:p>
    <w:p>
      <w:pPr>
        <w:jc w:val="both"/>
        <w:ind w:right="560"/>
        <w:spacing w:after="0" w:line="238" w:lineRule="auto"/>
        <w:rPr>
          <w:sz w:val="20"/>
          <w:szCs w:val="20"/>
          <w:color w:val="auto"/>
        </w:rPr>
      </w:pPr>
      <w:r>
        <w:rPr>
          <w:rFonts w:ascii="Arial" w:cs="Arial" w:eastAsia="Arial" w:hAnsi="Arial"/>
          <w:sz w:val="18"/>
          <w:szCs w:val="18"/>
          <w:color w:val="auto"/>
        </w:rPr>
        <w:t>Although the unprecedented impact of the COVID-19 pandemic required the Committee to adapt its compensation program for 2020, the Committee stayed true to the fundamental principles embodied in its 2019 compensation program, which garnered significant shareholder support.</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compensation structure is the culmination of our extensive, multi-year shareholder outreach program. For several years, we listened to shareholder concerns about the complexity and lack of transparency in our prior compensation programs and the Committee took thoughtful and decisive action to respond to each of the issues raised by our shareholders. As a result, we transformed our compensation programs to align with shareholder feedback, while maintaining an overall incentive structure that is flexible and attractive enough to retain our strong senior management team in the competitive New York City market.</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Through the outreach process, we reduced the number of compensation elements used for our executive officers from seven to four, increased transparency through the use of incentives driven by company performance and enhanced the connection between pay and performance by eliminating retesting features, focusing on multi-year performance periods and eliminating guaranteed equity grants. As a result, we have seen increased shareholder support for our say-on-pay vote each year since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260" w:type="dxa"/>
            <w:vAlign w:val="bottom"/>
            <w:tcBorders>
              <w:bottom w:val="single" w:sz="8" w:color="8089AD"/>
            </w:tcBorders>
            <w:shd w:val="clear" w:color="auto" w:fill="959595"/>
          </w:tcPr>
          <w:p>
            <w:pPr>
              <w:ind w:left="280"/>
              <w:spacing w:after="0"/>
              <w:rPr>
                <w:sz w:val="20"/>
                <w:szCs w:val="20"/>
                <w:color w:val="auto"/>
              </w:rPr>
            </w:pPr>
            <w:r>
              <w:rPr>
                <w:rFonts w:ascii="Arial" w:cs="Arial" w:eastAsia="Arial" w:hAnsi="Arial"/>
                <w:sz w:val="18"/>
                <w:szCs w:val="18"/>
                <w:b w:val="1"/>
                <w:bCs w:val="1"/>
                <w:color w:val="FFFFFF"/>
              </w:rPr>
              <w:t>Compensation Year:</w:t>
            </w:r>
          </w:p>
        </w:tc>
        <w:tc>
          <w:tcPr>
            <w:tcW w:w="2260" w:type="dxa"/>
            <w:vAlign w:val="bottom"/>
            <w:tcBorders>
              <w:bottom w:val="single" w:sz="8" w:color="8089AD"/>
            </w:tcBorders>
            <w:shd w:val="clear" w:color="auto" w:fill="C0C4D7"/>
          </w:tcPr>
          <w:p>
            <w:pPr>
              <w:jc w:val="right"/>
              <w:ind w:right="913"/>
              <w:spacing w:after="0"/>
              <w:rPr>
                <w:sz w:val="20"/>
                <w:szCs w:val="20"/>
                <w:color w:val="auto"/>
              </w:rPr>
            </w:pPr>
            <w:r>
              <w:rPr>
                <w:rFonts w:ascii="Arial" w:cs="Arial" w:eastAsia="Arial" w:hAnsi="Arial"/>
                <w:sz w:val="13"/>
                <w:szCs w:val="13"/>
                <w:b w:val="1"/>
                <w:bCs w:val="1"/>
                <w:color w:val="auto"/>
              </w:rPr>
              <w:t>2016</w:t>
            </w:r>
          </w:p>
        </w:tc>
        <w:tc>
          <w:tcPr>
            <w:tcW w:w="2240" w:type="dxa"/>
            <w:vAlign w:val="bottom"/>
            <w:tcBorders>
              <w:bottom w:val="single" w:sz="8" w:color="8089AD"/>
            </w:tcBorders>
            <w:shd w:val="clear" w:color="auto" w:fill="C0C4D7"/>
          </w:tcPr>
          <w:p>
            <w:pPr>
              <w:jc w:val="right"/>
              <w:ind w:right="913"/>
              <w:spacing w:after="0"/>
              <w:rPr>
                <w:sz w:val="20"/>
                <w:szCs w:val="20"/>
                <w:color w:val="auto"/>
              </w:rPr>
            </w:pPr>
            <w:r>
              <w:rPr>
                <w:rFonts w:ascii="Arial" w:cs="Arial" w:eastAsia="Arial" w:hAnsi="Arial"/>
                <w:sz w:val="13"/>
                <w:szCs w:val="13"/>
                <w:b w:val="1"/>
                <w:bCs w:val="1"/>
                <w:color w:val="auto"/>
              </w:rPr>
              <w:t>2017</w:t>
            </w:r>
          </w:p>
        </w:tc>
        <w:tc>
          <w:tcPr>
            <w:tcW w:w="2240" w:type="dxa"/>
            <w:vAlign w:val="bottom"/>
            <w:tcBorders>
              <w:bottom w:val="single" w:sz="8" w:color="8089AD"/>
            </w:tcBorders>
            <w:shd w:val="clear" w:color="auto" w:fill="C0C4D7"/>
          </w:tcPr>
          <w:p>
            <w:pPr>
              <w:jc w:val="right"/>
              <w:ind w:right="913"/>
              <w:spacing w:after="0"/>
              <w:rPr>
                <w:sz w:val="20"/>
                <w:szCs w:val="20"/>
                <w:color w:val="auto"/>
              </w:rPr>
            </w:pPr>
            <w:r>
              <w:rPr>
                <w:rFonts w:ascii="Arial" w:cs="Arial" w:eastAsia="Arial" w:hAnsi="Arial"/>
                <w:sz w:val="13"/>
                <w:szCs w:val="13"/>
                <w:b w:val="1"/>
                <w:bCs w:val="1"/>
                <w:color w:val="auto"/>
              </w:rPr>
              <w:t>2018</w:t>
            </w:r>
          </w:p>
        </w:tc>
        <w:tc>
          <w:tcPr>
            <w:tcW w:w="2240" w:type="dxa"/>
            <w:vAlign w:val="bottom"/>
            <w:tcBorders>
              <w:bottom w:val="single" w:sz="8" w:color="8089AD"/>
            </w:tcBorders>
            <w:shd w:val="clear" w:color="auto" w:fill="C0C4D7"/>
          </w:tcPr>
          <w:p>
            <w:pPr>
              <w:jc w:val="right"/>
              <w:ind w:right="91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6"/>
        </w:trPr>
        <w:tc>
          <w:tcPr>
            <w:tcW w:w="2260" w:type="dxa"/>
            <w:vAlign w:val="bottom"/>
            <w:shd w:val="clear" w:color="auto" w:fill="959595"/>
          </w:tcPr>
          <w:p>
            <w:pPr>
              <w:ind w:left="260"/>
              <w:spacing w:after="0"/>
              <w:rPr>
                <w:sz w:val="20"/>
                <w:szCs w:val="20"/>
                <w:color w:val="auto"/>
              </w:rPr>
            </w:pPr>
            <w:r>
              <w:rPr>
                <w:rFonts w:ascii="Arial" w:cs="Arial" w:eastAsia="Arial" w:hAnsi="Arial"/>
                <w:sz w:val="18"/>
                <w:szCs w:val="18"/>
                <w:b w:val="1"/>
                <w:bCs w:val="1"/>
                <w:color w:val="FFFFFF"/>
              </w:rPr>
              <w:t>Shareholder Support</w:t>
            </w:r>
          </w:p>
        </w:tc>
        <w:tc>
          <w:tcPr>
            <w:tcW w:w="2260" w:type="dxa"/>
            <w:vAlign w:val="bottom"/>
            <w:vMerge w:val="restart"/>
            <w:shd w:val="clear" w:color="auto" w:fill="D6D6D6"/>
          </w:tcPr>
          <w:p>
            <w:pPr>
              <w:jc w:val="right"/>
              <w:ind w:right="873"/>
              <w:spacing w:after="0"/>
              <w:rPr>
                <w:sz w:val="20"/>
                <w:szCs w:val="20"/>
                <w:color w:val="auto"/>
              </w:rPr>
            </w:pPr>
            <w:r>
              <w:rPr>
                <w:rFonts w:ascii="Arial" w:cs="Arial" w:eastAsia="Arial" w:hAnsi="Arial"/>
                <w:sz w:val="13"/>
                <w:szCs w:val="13"/>
                <w:b w:val="1"/>
                <w:bCs w:val="1"/>
                <w:color w:val="auto"/>
              </w:rPr>
              <w:t>42.8%</w:t>
            </w:r>
          </w:p>
        </w:tc>
        <w:tc>
          <w:tcPr>
            <w:tcW w:w="2240" w:type="dxa"/>
            <w:vAlign w:val="bottom"/>
            <w:vMerge w:val="restart"/>
            <w:shd w:val="clear" w:color="auto" w:fill="D6D6D6"/>
          </w:tcPr>
          <w:p>
            <w:pPr>
              <w:jc w:val="right"/>
              <w:ind w:right="873"/>
              <w:spacing w:after="0"/>
              <w:rPr>
                <w:sz w:val="20"/>
                <w:szCs w:val="20"/>
                <w:color w:val="auto"/>
              </w:rPr>
            </w:pPr>
            <w:r>
              <w:rPr>
                <w:rFonts w:ascii="Arial" w:cs="Arial" w:eastAsia="Arial" w:hAnsi="Arial"/>
                <w:sz w:val="13"/>
                <w:szCs w:val="13"/>
                <w:b w:val="1"/>
                <w:bCs w:val="1"/>
                <w:color w:val="auto"/>
              </w:rPr>
              <w:t>60.7%</w:t>
            </w:r>
          </w:p>
        </w:tc>
        <w:tc>
          <w:tcPr>
            <w:tcW w:w="2240" w:type="dxa"/>
            <w:vAlign w:val="bottom"/>
            <w:vMerge w:val="restart"/>
            <w:shd w:val="clear" w:color="auto" w:fill="D6D6D6"/>
          </w:tcPr>
          <w:p>
            <w:pPr>
              <w:jc w:val="right"/>
              <w:ind w:right="873"/>
              <w:spacing w:after="0"/>
              <w:rPr>
                <w:sz w:val="20"/>
                <w:szCs w:val="20"/>
                <w:color w:val="auto"/>
              </w:rPr>
            </w:pPr>
            <w:r>
              <w:rPr>
                <w:rFonts w:ascii="Arial" w:cs="Arial" w:eastAsia="Arial" w:hAnsi="Arial"/>
                <w:sz w:val="13"/>
                <w:szCs w:val="13"/>
                <w:b w:val="1"/>
                <w:bCs w:val="1"/>
                <w:color w:val="auto"/>
              </w:rPr>
              <w:t>83.5%</w:t>
            </w:r>
          </w:p>
        </w:tc>
        <w:tc>
          <w:tcPr>
            <w:tcW w:w="2240" w:type="dxa"/>
            <w:vAlign w:val="bottom"/>
            <w:vMerge w:val="restart"/>
            <w:shd w:val="clear" w:color="auto" w:fill="D6D6D6"/>
          </w:tcPr>
          <w:p>
            <w:pPr>
              <w:jc w:val="right"/>
              <w:ind w:right="853"/>
              <w:spacing w:after="0"/>
              <w:rPr>
                <w:sz w:val="20"/>
                <w:szCs w:val="20"/>
                <w:color w:val="auto"/>
              </w:rPr>
            </w:pPr>
            <w:r>
              <w:rPr>
                <w:rFonts w:ascii="Arial" w:cs="Arial" w:eastAsia="Arial" w:hAnsi="Arial"/>
                <w:sz w:val="13"/>
                <w:szCs w:val="13"/>
                <w:b w:val="1"/>
                <w:bCs w:val="1"/>
                <w:color w:val="auto"/>
              </w:rPr>
              <w:t>89.1%</w:t>
            </w:r>
          </w:p>
        </w:tc>
        <w:tc>
          <w:tcPr>
            <w:tcW w:w="0" w:type="dxa"/>
            <w:vAlign w:val="bottom"/>
          </w:tcPr>
          <w:p>
            <w:pPr>
              <w:spacing w:after="0"/>
              <w:rPr>
                <w:sz w:val="1"/>
                <w:szCs w:val="1"/>
                <w:color w:val="auto"/>
              </w:rPr>
            </w:pPr>
          </w:p>
        </w:tc>
      </w:tr>
      <w:tr>
        <w:trPr>
          <w:trHeight w:val="99"/>
        </w:trPr>
        <w:tc>
          <w:tcPr>
            <w:tcW w:w="2260" w:type="dxa"/>
            <w:vAlign w:val="bottom"/>
            <w:vMerge w:val="restart"/>
            <w:shd w:val="clear" w:color="auto" w:fill="959595"/>
          </w:tcPr>
          <w:p>
            <w:pPr>
              <w:ind w:left="280"/>
              <w:spacing w:after="0"/>
              <w:rPr>
                <w:sz w:val="20"/>
                <w:szCs w:val="20"/>
                <w:color w:val="auto"/>
              </w:rPr>
            </w:pPr>
            <w:r>
              <w:rPr>
                <w:rFonts w:ascii="Arial" w:cs="Arial" w:eastAsia="Arial" w:hAnsi="Arial"/>
                <w:sz w:val="18"/>
                <w:szCs w:val="18"/>
                <w:b w:val="1"/>
                <w:bCs w:val="1"/>
                <w:color w:val="FFFFFF"/>
              </w:rPr>
              <w:t>for Say on Pay Vote:</w:t>
            </w:r>
          </w:p>
        </w:tc>
        <w:tc>
          <w:tcPr>
            <w:tcW w:w="2260" w:type="dxa"/>
            <w:vAlign w:val="bottom"/>
            <w:vMerge w:val="continue"/>
            <w:shd w:val="clear" w:color="auto" w:fill="D6D6D6"/>
          </w:tcPr>
          <w:p>
            <w:pPr>
              <w:spacing w:after="0"/>
              <w:rPr>
                <w:sz w:val="8"/>
                <w:szCs w:val="8"/>
                <w:color w:val="auto"/>
              </w:rPr>
            </w:pPr>
          </w:p>
        </w:tc>
        <w:tc>
          <w:tcPr>
            <w:tcW w:w="2240" w:type="dxa"/>
            <w:vAlign w:val="bottom"/>
            <w:vMerge w:val="continue"/>
            <w:shd w:val="clear" w:color="auto" w:fill="D6D6D6"/>
          </w:tcPr>
          <w:p>
            <w:pPr>
              <w:spacing w:after="0"/>
              <w:rPr>
                <w:sz w:val="8"/>
                <w:szCs w:val="8"/>
                <w:color w:val="auto"/>
              </w:rPr>
            </w:pPr>
          </w:p>
        </w:tc>
        <w:tc>
          <w:tcPr>
            <w:tcW w:w="2240" w:type="dxa"/>
            <w:vAlign w:val="bottom"/>
            <w:vMerge w:val="continue"/>
            <w:shd w:val="clear" w:color="auto" w:fill="D6D6D6"/>
          </w:tcPr>
          <w:p>
            <w:pPr>
              <w:spacing w:after="0"/>
              <w:rPr>
                <w:sz w:val="8"/>
                <w:szCs w:val="8"/>
                <w:color w:val="auto"/>
              </w:rPr>
            </w:pPr>
          </w:p>
        </w:tc>
        <w:tc>
          <w:tcPr>
            <w:tcW w:w="2240" w:type="dxa"/>
            <w:vAlign w:val="bottom"/>
            <w:vMerge w:val="continue"/>
            <w:shd w:val="clear" w:color="auto" w:fill="D6D6D6"/>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260" w:type="dxa"/>
            <w:vAlign w:val="bottom"/>
            <w:vMerge w:val="continue"/>
            <w:shd w:val="clear" w:color="auto" w:fill="959595"/>
          </w:tcPr>
          <w:p>
            <w:pPr>
              <w:spacing w:after="0"/>
              <w:rPr>
                <w:sz w:val="12"/>
                <w:szCs w:val="12"/>
                <w:color w:val="auto"/>
              </w:rPr>
            </w:pPr>
          </w:p>
        </w:tc>
        <w:tc>
          <w:tcPr>
            <w:tcW w:w="2260" w:type="dxa"/>
            <w:vAlign w:val="bottom"/>
            <w:tcBorders>
              <w:bottom w:val="single" w:sz="8" w:color="365A8B"/>
            </w:tcBorders>
            <w:shd w:val="clear" w:color="auto" w:fill="D6D6D6"/>
          </w:tcPr>
          <w:p>
            <w:pPr>
              <w:spacing w:after="0"/>
              <w:rPr>
                <w:sz w:val="12"/>
                <w:szCs w:val="12"/>
                <w:color w:val="auto"/>
              </w:rPr>
            </w:pPr>
          </w:p>
        </w:tc>
        <w:tc>
          <w:tcPr>
            <w:tcW w:w="2240" w:type="dxa"/>
            <w:vAlign w:val="bottom"/>
            <w:tcBorders>
              <w:bottom w:val="single" w:sz="8" w:color="365A8B"/>
            </w:tcBorders>
            <w:shd w:val="clear" w:color="auto" w:fill="D6D6D6"/>
          </w:tcPr>
          <w:p>
            <w:pPr>
              <w:spacing w:after="0"/>
              <w:rPr>
                <w:sz w:val="12"/>
                <w:szCs w:val="12"/>
                <w:color w:val="auto"/>
              </w:rPr>
            </w:pPr>
          </w:p>
        </w:tc>
        <w:tc>
          <w:tcPr>
            <w:tcW w:w="2240" w:type="dxa"/>
            <w:vAlign w:val="bottom"/>
            <w:tcBorders>
              <w:bottom w:val="single" w:sz="8" w:color="365A8B"/>
            </w:tcBorders>
            <w:shd w:val="clear" w:color="auto" w:fill="D6D6D6"/>
          </w:tcPr>
          <w:p>
            <w:pPr>
              <w:spacing w:after="0"/>
              <w:rPr>
                <w:sz w:val="12"/>
                <w:szCs w:val="12"/>
                <w:color w:val="auto"/>
              </w:rPr>
            </w:pPr>
          </w:p>
        </w:tc>
        <w:tc>
          <w:tcPr>
            <w:tcW w:w="2240" w:type="dxa"/>
            <w:vAlign w:val="bottom"/>
            <w:tcBorders>
              <w:bottom w:val="single" w:sz="8" w:color="365A8B"/>
            </w:tcBorders>
            <w:shd w:val="clear" w:color="auto" w:fill="D6D6D6"/>
          </w:tcPr>
          <w:p>
            <w:pPr>
              <w:spacing w:after="0"/>
              <w:rPr>
                <w:sz w:val="12"/>
                <w:szCs w:val="1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These elements of compensation are built into the employment agreements we entered into with our CEO, President and General Counsel in 2018. Our CFO’s employment agreement in effect during 2020 was entered into in early 2018 before we had completed the restructuring of our named executive officers’ compensation and, accordingly, the long-term equity incentive awards Mr. DiLiberto received upon entering into that agreement include certain features that we have removed from our other executives’ current employment agreements.</w:t>
      </w:r>
    </w:p>
    <w:p>
      <w:pPr>
        <w:spacing w:after="0" w:line="208"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Foremost, we continue to emphasize variable pay, which constitutes the vast majority of our executives’ compensation, and allows the Committee to reward superior performance, while the substantial long-term equity incentive portions of our compensation programs serve to align the interests of our named executive officers with those of our stockholders.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shd w:val="clear" w:color="auto" w:fill="365A8B"/>
          </w:tcPr>
          <w:p>
            <w:pPr>
              <w:spacing w:after="0"/>
              <w:rPr>
                <w:sz w:val="17"/>
                <w:szCs w:val="17"/>
                <w:color w:val="auto"/>
              </w:rPr>
            </w:pPr>
          </w:p>
        </w:tc>
        <w:tc>
          <w:tcPr>
            <w:tcW w:w="2520" w:type="dxa"/>
            <w:vAlign w:val="bottom"/>
            <w:shd w:val="clear" w:color="auto" w:fill="365A8B"/>
          </w:tcPr>
          <w:p>
            <w:pPr>
              <w:ind w:left="180"/>
              <w:spacing w:after="0"/>
              <w:rPr>
                <w:sz w:val="20"/>
                <w:szCs w:val="20"/>
                <w:color w:val="auto"/>
              </w:rPr>
            </w:pPr>
            <w:r>
              <w:rPr>
                <w:rFonts w:ascii="Arial" w:cs="Arial" w:eastAsia="Arial" w:hAnsi="Arial"/>
                <w:sz w:val="13"/>
                <w:szCs w:val="13"/>
                <w:b w:val="1"/>
                <w:bCs w:val="1"/>
                <w:color w:val="FFFFFF"/>
              </w:rPr>
              <w:t>Pay Element</w:t>
            </w:r>
          </w:p>
        </w:tc>
        <w:tc>
          <w:tcPr>
            <w:tcW w:w="7560" w:type="dxa"/>
            <w:vAlign w:val="bottom"/>
            <w:shd w:val="clear" w:color="auto" w:fill="365A8B"/>
          </w:tcPr>
          <w:p>
            <w:pPr>
              <w:ind w:left="180"/>
              <w:spacing w:after="0"/>
              <w:rPr>
                <w:sz w:val="20"/>
                <w:szCs w:val="20"/>
                <w:color w:val="auto"/>
              </w:rPr>
            </w:pPr>
            <w:r>
              <w:rPr>
                <w:rFonts w:ascii="Arial" w:cs="Arial" w:eastAsia="Arial" w:hAnsi="Arial"/>
                <w:sz w:val="13"/>
                <w:szCs w:val="13"/>
                <w:b w:val="1"/>
                <w:bCs w:val="1"/>
                <w:color w:val="FFFFFF"/>
              </w:rPr>
              <w:t>Key Characteristics</w:t>
            </w:r>
          </w:p>
        </w:tc>
        <w:tc>
          <w:tcPr>
            <w:tcW w:w="0" w:type="dxa"/>
            <w:vAlign w:val="bottom"/>
          </w:tcPr>
          <w:p>
            <w:pPr>
              <w:spacing w:after="0"/>
              <w:rPr>
                <w:sz w:val="1"/>
                <w:szCs w:val="1"/>
                <w:color w:val="auto"/>
              </w:rPr>
            </w:pPr>
          </w:p>
        </w:tc>
      </w:tr>
      <w:tr>
        <w:trPr>
          <w:trHeight w:val="241"/>
        </w:trPr>
        <w:tc>
          <w:tcPr>
            <w:tcW w:w="1160" w:type="dxa"/>
            <w:vAlign w:val="bottom"/>
            <w:vMerge w:val="restart"/>
            <w:shd w:val="clear" w:color="auto" w:fill="8797B7"/>
          </w:tcPr>
          <w:p>
            <w:pPr>
              <w:jc w:val="center"/>
              <w:spacing w:after="0"/>
              <w:rPr>
                <w:sz w:val="20"/>
                <w:szCs w:val="20"/>
                <w:color w:val="auto"/>
              </w:rPr>
            </w:pPr>
            <w:r>
              <w:rPr>
                <w:rFonts w:ascii="Arial" w:cs="Arial" w:eastAsia="Arial" w:hAnsi="Arial"/>
                <w:sz w:val="18"/>
                <w:szCs w:val="18"/>
                <w:b w:val="1"/>
                <w:bCs w:val="1"/>
                <w:color w:val="FFFFFF"/>
                <w:w w:val="97"/>
              </w:rPr>
              <w:t>Fixed</w:t>
            </w:r>
          </w:p>
        </w:tc>
        <w:tc>
          <w:tcPr>
            <w:tcW w:w="2520" w:type="dxa"/>
            <w:vAlign w:val="bottom"/>
            <w:vMerge w:val="restart"/>
            <w:shd w:val="clear" w:color="auto" w:fill="CCD3E1"/>
          </w:tcPr>
          <w:p>
            <w:pPr>
              <w:ind w:left="180"/>
              <w:spacing w:after="0"/>
              <w:rPr>
                <w:sz w:val="20"/>
                <w:szCs w:val="20"/>
                <w:color w:val="auto"/>
              </w:rPr>
            </w:pPr>
            <w:r>
              <w:rPr>
                <w:rFonts w:ascii="Arial" w:cs="Arial" w:eastAsia="Arial" w:hAnsi="Arial"/>
                <w:sz w:val="18"/>
                <w:szCs w:val="18"/>
                <w:color w:val="auto"/>
              </w:rPr>
              <w:t>Annual Base Salary</w:t>
            </w: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Reflects the scope of each executive officer’s duties and responsibilities taking into</w:t>
            </w:r>
          </w:p>
        </w:tc>
        <w:tc>
          <w:tcPr>
            <w:tcW w:w="0" w:type="dxa"/>
            <w:vAlign w:val="bottom"/>
          </w:tcPr>
          <w:p>
            <w:pPr>
              <w:spacing w:after="0"/>
              <w:rPr>
                <w:sz w:val="1"/>
                <w:szCs w:val="1"/>
                <w:color w:val="auto"/>
              </w:rPr>
            </w:pPr>
          </w:p>
        </w:tc>
      </w:tr>
      <w:tr>
        <w:trPr>
          <w:trHeight w:val="208"/>
        </w:trPr>
        <w:tc>
          <w:tcPr>
            <w:tcW w:w="1160" w:type="dxa"/>
            <w:vAlign w:val="bottom"/>
            <w:vMerge w:val="continue"/>
            <w:shd w:val="clear" w:color="auto" w:fill="8797B7"/>
          </w:tcPr>
          <w:p>
            <w:pPr>
              <w:spacing w:after="0"/>
              <w:rPr>
                <w:sz w:val="18"/>
                <w:szCs w:val="18"/>
                <w:color w:val="auto"/>
              </w:rPr>
            </w:pPr>
          </w:p>
        </w:tc>
        <w:tc>
          <w:tcPr>
            <w:tcW w:w="2520" w:type="dxa"/>
            <w:vAlign w:val="bottom"/>
            <w:vMerge w:val="continue"/>
            <w:shd w:val="clear" w:color="auto" w:fill="CCD3E1"/>
          </w:tcPr>
          <w:p>
            <w:pPr>
              <w:spacing w:after="0"/>
              <w:rPr>
                <w:sz w:val="18"/>
                <w:szCs w:val="18"/>
                <w:color w:val="auto"/>
              </w:rPr>
            </w:pPr>
          </w:p>
        </w:tc>
        <w:tc>
          <w:tcPr>
            <w:tcW w:w="7560" w:type="dxa"/>
            <w:vAlign w:val="bottom"/>
          </w:tcPr>
          <w:p>
            <w:pPr>
              <w:ind w:left="460"/>
              <w:spacing w:after="0"/>
              <w:rPr>
                <w:sz w:val="20"/>
                <w:szCs w:val="20"/>
                <w:color w:val="auto"/>
              </w:rPr>
            </w:pPr>
            <w:r>
              <w:rPr>
                <w:rFonts w:ascii="Arial" w:cs="Arial" w:eastAsia="Arial" w:hAnsi="Arial"/>
                <w:sz w:val="18"/>
                <w:szCs w:val="18"/>
                <w:color w:val="auto"/>
              </w:rPr>
              <w:t>account the competitive market compensation paid by other companies for similar</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8797B7"/>
            </w:tcBorders>
            <w:shd w:val="clear" w:color="auto" w:fill="8797B7"/>
          </w:tcPr>
          <w:p>
            <w:pPr>
              <w:spacing w:after="0"/>
              <w:rPr>
                <w:sz w:val="19"/>
                <w:szCs w:val="19"/>
                <w:color w:val="auto"/>
              </w:rPr>
            </w:pPr>
          </w:p>
        </w:tc>
        <w:tc>
          <w:tcPr>
            <w:tcW w:w="2520" w:type="dxa"/>
            <w:vAlign w:val="bottom"/>
            <w:tcBorders>
              <w:bottom w:val="single" w:sz="8" w:color="8089AD"/>
            </w:tcBorders>
            <w:shd w:val="clear" w:color="auto" w:fill="CCD3E1"/>
          </w:tcPr>
          <w:p>
            <w:pPr>
              <w:spacing w:after="0"/>
              <w:rPr>
                <w:sz w:val="19"/>
                <w:szCs w:val="19"/>
                <w:color w:val="auto"/>
              </w:rPr>
            </w:pPr>
          </w:p>
        </w:tc>
        <w:tc>
          <w:tcPr>
            <w:tcW w:w="7560" w:type="dxa"/>
            <w:vAlign w:val="bottom"/>
            <w:tcBorders>
              <w:bottom w:val="single" w:sz="8" w:color="8089AD"/>
            </w:tcBorders>
          </w:tcPr>
          <w:p>
            <w:pPr>
              <w:ind w:left="460"/>
              <w:spacing w:after="0"/>
              <w:rPr>
                <w:sz w:val="20"/>
                <w:szCs w:val="20"/>
                <w:color w:val="auto"/>
              </w:rPr>
            </w:pPr>
            <w:r>
              <w:rPr>
                <w:rFonts w:ascii="Arial" w:cs="Arial" w:eastAsia="Arial" w:hAnsi="Arial"/>
                <w:sz w:val="18"/>
                <w:szCs w:val="18"/>
                <w:color w:val="auto"/>
              </w:rPr>
              <w:t>positions</w:t>
            </w:r>
          </w:p>
        </w:tc>
        <w:tc>
          <w:tcPr>
            <w:tcW w:w="0" w:type="dxa"/>
            <w:vAlign w:val="bottom"/>
          </w:tcPr>
          <w:p>
            <w:pPr>
              <w:spacing w:after="0"/>
              <w:rPr>
                <w:sz w:val="1"/>
                <w:szCs w:val="1"/>
                <w:color w:val="auto"/>
              </w:rPr>
            </w:pPr>
          </w:p>
        </w:tc>
      </w:tr>
      <w:tr>
        <w:trPr>
          <w:trHeight w:val="241"/>
        </w:trPr>
        <w:tc>
          <w:tcPr>
            <w:tcW w:w="1160" w:type="dxa"/>
            <w:vAlign w:val="bottom"/>
            <w:shd w:val="clear" w:color="auto" w:fill="959595"/>
          </w:tcPr>
          <w:p>
            <w:pPr>
              <w:spacing w:after="0"/>
              <w:rPr>
                <w:sz w:val="20"/>
                <w:szCs w:val="20"/>
                <w:color w:val="auto"/>
              </w:rPr>
            </w:pPr>
          </w:p>
        </w:tc>
        <w:tc>
          <w:tcPr>
            <w:tcW w:w="2520" w:type="dxa"/>
            <w:vAlign w:val="bottom"/>
            <w:vMerge w:val="restart"/>
            <w:shd w:val="clear" w:color="auto" w:fill="D6D6D6"/>
          </w:tcPr>
          <w:p>
            <w:pPr>
              <w:ind w:left="180"/>
              <w:spacing w:after="0"/>
              <w:rPr>
                <w:sz w:val="20"/>
                <w:szCs w:val="20"/>
                <w:color w:val="auto"/>
              </w:rPr>
            </w:pPr>
            <w:r>
              <w:rPr>
                <w:rFonts w:ascii="Arial" w:cs="Arial" w:eastAsia="Arial" w:hAnsi="Arial"/>
                <w:sz w:val="18"/>
                <w:szCs w:val="18"/>
                <w:color w:val="auto"/>
              </w:rPr>
              <w:t>Annual Cash Bonus</w:t>
            </w: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Formulaic payout for our CEO and President, based on specific performance criteria</w:t>
            </w:r>
          </w:p>
        </w:tc>
        <w:tc>
          <w:tcPr>
            <w:tcW w:w="0" w:type="dxa"/>
            <w:vAlign w:val="bottom"/>
          </w:tcPr>
          <w:p>
            <w:pPr>
              <w:spacing w:after="0"/>
              <w:rPr>
                <w:sz w:val="1"/>
                <w:szCs w:val="1"/>
                <w:color w:val="auto"/>
              </w:rPr>
            </w:pPr>
          </w:p>
        </w:tc>
      </w:tr>
      <w:tr>
        <w:trPr>
          <w:trHeight w:val="208"/>
        </w:trPr>
        <w:tc>
          <w:tcPr>
            <w:tcW w:w="1160" w:type="dxa"/>
            <w:vAlign w:val="bottom"/>
            <w:shd w:val="clear" w:color="auto" w:fill="959595"/>
          </w:tcPr>
          <w:p>
            <w:pPr>
              <w:spacing w:after="0"/>
              <w:rPr>
                <w:sz w:val="18"/>
                <w:szCs w:val="18"/>
                <w:color w:val="auto"/>
              </w:rPr>
            </w:pPr>
          </w:p>
        </w:tc>
        <w:tc>
          <w:tcPr>
            <w:tcW w:w="2520" w:type="dxa"/>
            <w:vAlign w:val="bottom"/>
            <w:vMerge w:val="continue"/>
            <w:shd w:val="clear" w:color="auto" w:fill="D6D6D6"/>
          </w:tcPr>
          <w:p>
            <w:pPr>
              <w:spacing w:after="0"/>
              <w:rPr>
                <w:sz w:val="18"/>
                <w:szCs w:val="18"/>
                <w:color w:val="auto"/>
              </w:rPr>
            </w:pPr>
          </w:p>
        </w:tc>
        <w:tc>
          <w:tcPr>
            <w:tcW w:w="7560" w:type="dxa"/>
            <w:vAlign w:val="bottom"/>
          </w:tcPr>
          <w:p>
            <w:pPr>
              <w:ind w:left="460"/>
              <w:spacing w:after="0"/>
              <w:rPr>
                <w:sz w:val="20"/>
                <w:szCs w:val="20"/>
                <w:color w:val="auto"/>
              </w:rPr>
            </w:pPr>
            <w:r>
              <w:rPr>
                <w:rFonts w:ascii="Arial" w:cs="Arial" w:eastAsia="Arial" w:hAnsi="Arial"/>
                <w:sz w:val="18"/>
                <w:szCs w:val="18"/>
                <w:color w:val="auto"/>
              </w:rPr>
              <w:t>linked to our strategy, with discretionary payouts as appropriate in exceptional</w:t>
            </w:r>
          </w:p>
        </w:tc>
        <w:tc>
          <w:tcPr>
            <w:tcW w:w="0" w:type="dxa"/>
            <w:vAlign w:val="bottom"/>
          </w:tcPr>
          <w:p>
            <w:pPr>
              <w:spacing w:after="0"/>
              <w:rPr>
                <w:sz w:val="1"/>
                <w:szCs w:val="1"/>
                <w:color w:val="auto"/>
              </w:rPr>
            </w:pPr>
          </w:p>
        </w:tc>
      </w:tr>
      <w:tr>
        <w:trPr>
          <w:trHeight w:val="220"/>
        </w:trPr>
        <w:tc>
          <w:tcPr>
            <w:tcW w:w="1160" w:type="dxa"/>
            <w:vAlign w:val="bottom"/>
            <w:tcBorders>
              <w:bottom w:val="single" w:sz="8" w:color="959595"/>
            </w:tcBorders>
            <w:shd w:val="clear" w:color="auto" w:fill="959595"/>
          </w:tcPr>
          <w:p>
            <w:pPr>
              <w:spacing w:after="0"/>
              <w:rPr>
                <w:sz w:val="19"/>
                <w:szCs w:val="19"/>
                <w:color w:val="auto"/>
              </w:rPr>
            </w:pPr>
          </w:p>
        </w:tc>
        <w:tc>
          <w:tcPr>
            <w:tcW w:w="2520" w:type="dxa"/>
            <w:vAlign w:val="bottom"/>
            <w:tcBorders>
              <w:bottom w:val="single" w:sz="8" w:color="8089AD"/>
            </w:tcBorders>
            <w:shd w:val="clear" w:color="auto" w:fill="D6D6D6"/>
          </w:tcPr>
          <w:p>
            <w:pPr>
              <w:spacing w:after="0"/>
              <w:rPr>
                <w:sz w:val="19"/>
                <w:szCs w:val="19"/>
                <w:color w:val="auto"/>
              </w:rPr>
            </w:pPr>
          </w:p>
        </w:tc>
        <w:tc>
          <w:tcPr>
            <w:tcW w:w="7560" w:type="dxa"/>
            <w:vAlign w:val="bottom"/>
            <w:tcBorders>
              <w:bottom w:val="single" w:sz="8" w:color="8089AD"/>
            </w:tcBorders>
          </w:tcPr>
          <w:p>
            <w:pPr>
              <w:ind w:left="460"/>
              <w:spacing w:after="0"/>
              <w:rPr>
                <w:sz w:val="20"/>
                <w:szCs w:val="20"/>
                <w:color w:val="auto"/>
              </w:rPr>
            </w:pPr>
            <w:r>
              <w:rPr>
                <w:rFonts w:ascii="Arial" w:cs="Arial" w:eastAsia="Arial" w:hAnsi="Arial"/>
                <w:sz w:val="18"/>
                <w:szCs w:val="18"/>
                <w:color w:val="auto"/>
              </w:rPr>
              <w:t>circumstances; discretionary for our other named executive officers</w:t>
            </w:r>
          </w:p>
        </w:tc>
        <w:tc>
          <w:tcPr>
            <w:tcW w:w="0" w:type="dxa"/>
            <w:vAlign w:val="bottom"/>
          </w:tcPr>
          <w:p>
            <w:pPr>
              <w:spacing w:after="0"/>
              <w:rPr>
                <w:sz w:val="1"/>
                <w:szCs w:val="1"/>
                <w:color w:val="auto"/>
              </w:rPr>
            </w:pPr>
          </w:p>
        </w:tc>
      </w:tr>
      <w:tr>
        <w:trPr>
          <w:trHeight w:val="241"/>
        </w:trPr>
        <w:tc>
          <w:tcPr>
            <w:tcW w:w="1160" w:type="dxa"/>
            <w:vAlign w:val="bottom"/>
            <w:shd w:val="clear" w:color="auto" w:fill="959595"/>
          </w:tcPr>
          <w:p>
            <w:pPr>
              <w:spacing w:after="0"/>
              <w:rPr>
                <w:sz w:val="20"/>
                <w:szCs w:val="20"/>
                <w:color w:val="auto"/>
              </w:rPr>
            </w:pPr>
          </w:p>
        </w:tc>
        <w:tc>
          <w:tcPr>
            <w:tcW w:w="2520" w:type="dxa"/>
            <w:vAlign w:val="bottom"/>
            <w:vMerge w:val="restart"/>
            <w:shd w:val="clear" w:color="auto" w:fill="CCD3E1"/>
          </w:tcPr>
          <w:p>
            <w:pPr>
              <w:ind w:left="180"/>
              <w:spacing w:after="0"/>
              <w:rPr>
                <w:sz w:val="20"/>
                <w:szCs w:val="20"/>
                <w:color w:val="auto"/>
              </w:rPr>
            </w:pPr>
            <w:r>
              <w:rPr>
                <w:rFonts w:ascii="Arial" w:cs="Arial" w:eastAsia="Arial" w:hAnsi="Arial"/>
                <w:sz w:val="18"/>
                <w:szCs w:val="18"/>
                <w:color w:val="auto"/>
              </w:rPr>
              <w:t>Performance-Based</w:t>
            </w: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Performance-based equity award that can be earned based on (i) operational measures</w:t>
            </w:r>
          </w:p>
        </w:tc>
        <w:tc>
          <w:tcPr>
            <w:tcW w:w="0" w:type="dxa"/>
            <w:vAlign w:val="bottom"/>
          </w:tcPr>
          <w:p>
            <w:pPr>
              <w:spacing w:after="0"/>
              <w:rPr>
                <w:sz w:val="1"/>
                <w:szCs w:val="1"/>
                <w:color w:val="auto"/>
              </w:rPr>
            </w:pPr>
          </w:p>
        </w:tc>
      </w:tr>
      <w:tr>
        <w:trPr>
          <w:trHeight w:val="100"/>
        </w:trPr>
        <w:tc>
          <w:tcPr>
            <w:tcW w:w="1160" w:type="dxa"/>
            <w:vAlign w:val="bottom"/>
            <w:vMerge w:val="restart"/>
            <w:shd w:val="clear" w:color="auto" w:fill="959595"/>
          </w:tcPr>
          <w:p>
            <w:pPr>
              <w:jc w:val="center"/>
              <w:spacing w:after="0"/>
              <w:rPr>
                <w:sz w:val="20"/>
                <w:szCs w:val="20"/>
                <w:color w:val="auto"/>
              </w:rPr>
            </w:pPr>
            <w:r>
              <w:rPr>
                <w:rFonts w:ascii="Arial" w:cs="Arial" w:eastAsia="Arial" w:hAnsi="Arial"/>
                <w:sz w:val="18"/>
                <w:szCs w:val="18"/>
                <w:b w:val="1"/>
                <w:bCs w:val="1"/>
                <w:color w:val="FFFFFF"/>
                <w:w w:val="97"/>
              </w:rPr>
              <w:t>Variable</w:t>
            </w:r>
          </w:p>
        </w:tc>
        <w:tc>
          <w:tcPr>
            <w:tcW w:w="2520" w:type="dxa"/>
            <w:vAlign w:val="bottom"/>
            <w:vMerge w:val="continue"/>
            <w:shd w:val="clear" w:color="auto" w:fill="CCD3E1"/>
          </w:tcPr>
          <w:p>
            <w:pPr>
              <w:spacing w:after="0"/>
              <w:rPr>
                <w:sz w:val="8"/>
                <w:szCs w:val="8"/>
                <w:color w:val="auto"/>
              </w:rPr>
            </w:pPr>
          </w:p>
        </w:tc>
        <w:tc>
          <w:tcPr>
            <w:tcW w:w="7560" w:type="dxa"/>
            <w:vAlign w:val="bottom"/>
            <w:vMerge w:val="restart"/>
          </w:tcPr>
          <w:p>
            <w:pPr>
              <w:ind w:left="460"/>
              <w:spacing w:after="0"/>
              <w:rPr>
                <w:sz w:val="20"/>
                <w:szCs w:val="20"/>
                <w:color w:val="auto"/>
              </w:rPr>
            </w:pPr>
            <w:r>
              <w:rPr>
                <w:rFonts w:ascii="Arial" w:cs="Arial" w:eastAsia="Arial" w:hAnsi="Arial"/>
                <w:sz w:val="18"/>
                <w:szCs w:val="18"/>
                <w:color w:val="auto"/>
              </w:rPr>
              <w:t>with an absolute TSR modifier (50%) and (ii) relative TSR (50%) (with no “retesting”</w:t>
            </w:r>
          </w:p>
        </w:tc>
        <w:tc>
          <w:tcPr>
            <w:tcW w:w="0" w:type="dxa"/>
            <w:vAlign w:val="bottom"/>
          </w:tcPr>
          <w:p>
            <w:pPr>
              <w:spacing w:after="0"/>
              <w:rPr>
                <w:sz w:val="1"/>
                <w:szCs w:val="1"/>
                <w:color w:val="auto"/>
              </w:rPr>
            </w:pPr>
          </w:p>
        </w:tc>
      </w:tr>
      <w:tr>
        <w:trPr>
          <w:trHeight w:val="108"/>
        </w:trPr>
        <w:tc>
          <w:tcPr>
            <w:tcW w:w="1160" w:type="dxa"/>
            <w:vAlign w:val="bottom"/>
            <w:vMerge w:val="continue"/>
            <w:shd w:val="clear" w:color="auto" w:fill="959595"/>
          </w:tcPr>
          <w:p>
            <w:pPr>
              <w:spacing w:after="0"/>
              <w:rPr>
                <w:sz w:val="9"/>
                <w:szCs w:val="9"/>
                <w:color w:val="auto"/>
              </w:rPr>
            </w:pPr>
          </w:p>
        </w:tc>
        <w:tc>
          <w:tcPr>
            <w:tcW w:w="2520" w:type="dxa"/>
            <w:vAlign w:val="bottom"/>
            <w:vMerge w:val="restart"/>
            <w:shd w:val="clear" w:color="auto" w:fill="CCD3E1"/>
          </w:tcPr>
          <w:p>
            <w:pPr>
              <w:ind w:left="180"/>
              <w:spacing w:after="0"/>
              <w:rPr>
                <w:sz w:val="20"/>
                <w:szCs w:val="20"/>
                <w:color w:val="auto"/>
              </w:rPr>
            </w:pPr>
            <w:r>
              <w:rPr>
                <w:rFonts w:ascii="Arial" w:cs="Arial" w:eastAsia="Arial" w:hAnsi="Arial"/>
                <w:sz w:val="18"/>
                <w:szCs w:val="18"/>
                <w:color w:val="auto"/>
              </w:rPr>
              <w:t>Equity Awards</w:t>
            </w: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60" w:type="dxa"/>
            <w:vAlign w:val="bottom"/>
            <w:vMerge w:val="continue"/>
            <w:shd w:val="clear" w:color="auto" w:fill="959595"/>
          </w:tcPr>
          <w:p>
            <w:pPr>
              <w:spacing w:after="0"/>
              <w:rPr>
                <w:sz w:val="8"/>
                <w:szCs w:val="8"/>
                <w:color w:val="auto"/>
              </w:rPr>
            </w:pPr>
          </w:p>
        </w:tc>
        <w:tc>
          <w:tcPr>
            <w:tcW w:w="2520" w:type="dxa"/>
            <w:vAlign w:val="bottom"/>
            <w:vMerge w:val="continue"/>
            <w:shd w:val="clear" w:color="auto" w:fill="CCD3E1"/>
          </w:tcPr>
          <w:p>
            <w:pPr>
              <w:spacing w:after="0"/>
              <w:rPr>
                <w:sz w:val="8"/>
                <w:szCs w:val="8"/>
                <w:color w:val="auto"/>
              </w:rPr>
            </w:pPr>
          </w:p>
        </w:tc>
        <w:tc>
          <w:tcPr>
            <w:tcW w:w="7560" w:type="dxa"/>
            <w:vAlign w:val="bottom"/>
            <w:vMerge w:val="restart"/>
          </w:tcPr>
          <w:p>
            <w:pPr>
              <w:ind w:left="460"/>
              <w:spacing w:after="0"/>
              <w:rPr>
                <w:sz w:val="20"/>
                <w:szCs w:val="20"/>
                <w:color w:val="auto"/>
              </w:rPr>
            </w:pPr>
            <w:r>
              <w:rPr>
                <w:rFonts w:ascii="Arial" w:cs="Arial" w:eastAsia="Arial" w:hAnsi="Arial"/>
                <w:sz w:val="18"/>
                <w:szCs w:val="18"/>
                <w:color w:val="auto"/>
              </w:rPr>
              <w:t>feature)</w:t>
            </w:r>
          </w:p>
        </w:tc>
        <w:tc>
          <w:tcPr>
            <w:tcW w:w="0" w:type="dxa"/>
            <w:vAlign w:val="bottom"/>
          </w:tcPr>
          <w:p>
            <w:pPr>
              <w:spacing w:after="0"/>
              <w:rPr>
                <w:sz w:val="1"/>
                <w:szCs w:val="1"/>
                <w:color w:val="auto"/>
              </w:rPr>
            </w:pPr>
          </w:p>
        </w:tc>
      </w:tr>
      <w:tr>
        <w:trPr>
          <w:trHeight w:val="117"/>
        </w:trPr>
        <w:tc>
          <w:tcPr>
            <w:tcW w:w="1160" w:type="dxa"/>
            <w:vAlign w:val="bottom"/>
            <w:tcBorders>
              <w:bottom w:val="single" w:sz="8" w:color="959595"/>
            </w:tcBorders>
            <w:shd w:val="clear" w:color="auto" w:fill="959595"/>
          </w:tcPr>
          <w:p>
            <w:pPr>
              <w:spacing w:after="0"/>
              <w:rPr>
                <w:sz w:val="10"/>
                <w:szCs w:val="10"/>
                <w:color w:val="auto"/>
              </w:rPr>
            </w:pPr>
          </w:p>
        </w:tc>
        <w:tc>
          <w:tcPr>
            <w:tcW w:w="2520" w:type="dxa"/>
            <w:vAlign w:val="bottom"/>
            <w:tcBorders>
              <w:bottom w:val="single" w:sz="8" w:color="8089AD"/>
            </w:tcBorders>
            <w:shd w:val="clear" w:color="auto" w:fill="CCD3E1"/>
          </w:tcPr>
          <w:p>
            <w:pPr>
              <w:spacing w:after="0"/>
              <w:rPr>
                <w:sz w:val="10"/>
                <w:szCs w:val="10"/>
                <w:color w:val="auto"/>
              </w:rPr>
            </w:pPr>
          </w:p>
        </w:tc>
        <w:tc>
          <w:tcPr>
            <w:tcW w:w="7560" w:type="dxa"/>
            <w:vAlign w:val="bottom"/>
            <w:tcBorders>
              <w:bottom w:val="single" w:sz="8" w:color="8089A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160" w:type="dxa"/>
            <w:vAlign w:val="bottom"/>
            <w:shd w:val="clear" w:color="auto" w:fill="959595"/>
          </w:tcPr>
          <w:p>
            <w:pPr>
              <w:spacing w:after="0"/>
              <w:rPr>
                <w:sz w:val="20"/>
                <w:szCs w:val="20"/>
                <w:color w:val="auto"/>
              </w:rPr>
            </w:pPr>
          </w:p>
        </w:tc>
        <w:tc>
          <w:tcPr>
            <w:tcW w:w="2520" w:type="dxa"/>
            <w:vAlign w:val="bottom"/>
            <w:shd w:val="clear" w:color="auto" w:fill="D6D6D6"/>
          </w:tcPr>
          <w:p>
            <w:pPr>
              <w:spacing w:after="0"/>
              <w:rPr>
                <w:sz w:val="20"/>
                <w:szCs w:val="20"/>
                <w:color w:val="auto"/>
              </w:rPr>
            </w:pPr>
          </w:p>
        </w:tc>
        <w:tc>
          <w:tcPr>
            <w:tcW w:w="7560" w:type="dxa"/>
            <w:vAlign w:val="bottom"/>
          </w:tcPr>
          <w:p>
            <w:pPr>
              <w:ind w:left="18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Time-based equity award ensures the alignment of the interests of our executives with</w:t>
            </w:r>
          </w:p>
        </w:tc>
        <w:tc>
          <w:tcPr>
            <w:tcW w:w="0" w:type="dxa"/>
            <w:vAlign w:val="bottom"/>
          </w:tcPr>
          <w:p>
            <w:pPr>
              <w:spacing w:after="0"/>
              <w:rPr>
                <w:sz w:val="1"/>
                <w:szCs w:val="1"/>
                <w:color w:val="auto"/>
              </w:rPr>
            </w:pPr>
          </w:p>
        </w:tc>
      </w:tr>
      <w:tr>
        <w:trPr>
          <w:trHeight w:val="208"/>
        </w:trPr>
        <w:tc>
          <w:tcPr>
            <w:tcW w:w="1160" w:type="dxa"/>
            <w:vAlign w:val="bottom"/>
            <w:shd w:val="clear" w:color="auto" w:fill="959595"/>
          </w:tcPr>
          <w:p>
            <w:pPr>
              <w:spacing w:after="0"/>
              <w:rPr>
                <w:sz w:val="18"/>
                <w:szCs w:val="18"/>
                <w:color w:val="auto"/>
              </w:rPr>
            </w:pPr>
          </w:p>
        </w:tc>
        <w:tc>
          <w:tcPr>
            <w:tcW w:w="2520" w:type="dxa"/>
            <w:vAlign w:val="bottom"/>
            <w:vMerge w:val="restart"/>
            <w:shd w:val="clear" w:color="auto" w:fill="D6D6D6"/>
          </w:tcPr>
          <w:p>
            <w:pPr>
              <w:ind w:left="180"/>
              <w:spacing w:after="0"/>
              <w:rPr>
                <w:sz w:val="20"/>
                <w:szCs w:val="20"/>
                <w:color w:val="auto"/>
              </w:rPr>
            </w:pPr>
            <w:r>
              <w:rPr>
                <w:rFonts w:ascii="Arial" w:cs="Arial" w:eastAsia="Arial" w:hAnsi="Arial"/>
                <w:sz w:val="18"/>
                <w:szCs w:val="18"/>
                <w:color w:val="auto"/>
              </w:rPr>
              <w:t>Time-Based Equity Awards</w:t>
            </w:r>
          </w:p>
        </w:tc>
        <w:tc>
          <w:tcPr>
            <w:tcW w:w="7560" w:type="dxa"/>
            <w:vAlign w:val="bottom"/>
          </w:tcPr>
          <w:p>
            <w:pPr>
              <w:ind w:left="460"/>
              <w:spacing w:after="0"/>
              <w:rPr>
                <w:sz w:val="20"/>
                <w:szCs w:val="20"/>
                <w:color w:val="auto"/>
              </w:rPr>
            </w:pPr>
            <w:r>
              <w:rPr>
                <w:rFonts w:ascii="Arial" w:cs="Arial" w:eastAsia="Arial" w:hAnsi="Arial"/>
                <w:sz w:val="18"/>
                <w:szCs w:val="18"/>
                <w:color w:val="auto"/>
              </w:rPr>
              <w:t>those of long-term stockholders, with actual amounts granted based on a rigorous</w:t>
            </w:r>
          </w:p>
        </w:tc>
        <w:tc>
          <w:tcPr>
            <w:tcW w:w="0" w:type="dxa"/>
            <w:vAlign w:val="bottom"/>
          </w:tcPr>
          <w:p>
            <w:pPr>
              <w:spacing w:after="0"/>
              <w:rPr>
                <w:sz w:val="1"/>
                <w:szCs w:val="1"/>
                <w:color w:val="auto"/>
              </w:rPr>
            </w:pPr>
          </w:p>
        </w:tc>
      </w:tr>
      <w:tr>
        <w:trPr>
          <w:trHeight w:val="103"/>
        </w:trPr>
        <w:tc>
          <w:tcPr>
            <w:tcW w:w="1160" w:type="dxa"/>
            <w:vAlign w:val="bottom"/>
            <w:shd w:val="clear" w:color="auto" w:fill="959595"/>
          </w:tcPr>
          <w:p>
            <w:pPr>
              <w:spacing w:after="0"/>
              <w:rPr>
                <w:sz w:val="8"/>
                <w:szCs w:val="8"/>
                <w:color w:val="auto"/>
              </w:rPr>
            </w:pPr>
          </w:p>
        </w:tc>
        <w:tc>
          <w:tcPr>
            <w:tcW w:w="2520" w:type="dxa"/>
            <w:vAlign w:val="bottom"/>
            <w:vMerge w:val="continue"/>
            <w:shd w:val="clear" w:color="auto" w:fill="D6D6D6"/>
          </w:tcPr>
          <w:p>
            <w:pPr>
              <w:spacing w:after="0"/>
              <w:rPr>
                <w:sz w:val="8"/>
                <w:szCs w:val="8"/>
                <w:color w:val="auto"/>
              </w:rPr>
            </w:pPr>
          </w:p>
        </w:tc>
        <w:tc>
          <w:tcPr>
            <w:tcW w:w="7560" w:type="dxa"/>
            <w:vAlign w:val="bottom"/>
            <w:vMerge w:val="restart"/>
          </w:tcPr>
          <w:p>
            <w:pPr>
              <w:ind w:left="460"/>
              <w:spacing w:after="0" w:line="202" w:lineRule="exact"/>
              <w:rPr>
                <w:sz w:val="20"/>
                <w:szCs w:val="20"/>
                <w:color w:val="auto"/>
              </w:rPr>
            </w:pPr>
            <w:r>
              <w:rPr>
                <w:rFonts w:ascii="Arial" w:cs="Arial" w:eastAsia="Arial" w:hAnsi="Arial"/>
                <w:sz w:val="18"/>
                <w:szCs w:val="18"/>
                <w:color w:val="auto"/>
              </w:rPr>
              <w:t>assessment of each executive’s performance during the most recent fiscal year and</w:t>
            </w:r>
          </w:p>
        </w:tc>
        <w:tc>
          <w:tcPr>
            <w:tcW w:w="0" w:type="dxa"/>
            <w:vAlign w:val="bottom"/>
          </w:tcPr>
          <w:p>
            <w:pPr>
              <w:spacing w:after="0"/>
              <w:rPr>
                <w:sz w:val="1"/>
                <w:szCs w:val="1"/>
                <w:color w:val="auto"/>
              </w:rPr>
            </w:pPr>
          </w:p>
        </w:tc>
      </w:tr>
      <w:tr>
        <w:trPr>
          <w:trHeight w:val="100"/>
        </w:trPr>
        <w:tc>
          <w:tcPr>
            <w:tcW w:w="1160" w:type="dxa"/>
            <w:vAlign w:val="bottom"/>
            <w:shd w:val="clear" w:color="auto" w:fill="959595"/>
          </w:tcPr>
          <w:p>
            <w:pPr>
              <w:spacing w:after="0"/>
              <w:rPr>
                <w:sz w:val="8"/>
                <w:szCs w:val="8"/>
                <w:color w:val="auto"/>
              </w:rPr>
            </w:pPr>
          </w:p>
        </w:tc>
        <w:tc>
          <w:tcPr>
            <w:tcW w:w="2520" w:type="dxa"/>
            <w:vAlign w:val="bottom"/>
            <w:shd w:val="clear" w:color="auto" w:fill="D6D6D6"/>
          </w:tcPr>
          <w:p>
            <w:pPr>
              <w:spacing w:after="0"/>
              <w:rPr>
                <w:sz w:val="8"/>
                <w:szCs w:val="8"/>
                <w:color w:val="auto"/>
              </w:rPr>
            </w:pPr>
          </w:p>
        </w:tc>
        <w:tc>
          <w:tcPr>
            <w:tcW w:w="7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160" w:type="dxa"/>
            <w:vAlign w:val="bottom"/>
            <w:tcBorders>
              <w:bottom w:val="single" w:sz="8" w:color="959595"/>
            </w:tcBorders>
            <w:shd w:val="clear" w:color="auto" w:fill="959595"/>
          </w:tcPr>
          <w:p>
            <w:pPr>
              <w:spacing w:after="0"/>
              <w:rPr>
                <w:sz w:val="19"/>
                <w:szCs w:val="19"/>
                <w:color w:val="auto"/>
              </w:rPr>
            </w:pPr>
          </w:p>
        </w:tc>
        <w:tc>
          <w:tcPr>
            <w:tcW w:w="2520" w:type="dxa"/>
            <w:vAlign w:val="bottom"/>
            <w:tcBorders>
              <w:bottom w:val="single" w:sz="8" w:color="8089AD"/>
            </w:tcBorders>
            <w:shd w:val="clear" w:color="auto" w:fill="D6D6D6"/>
          </w:tcPr>
          <w:p>
            <w:pPr>
              <w:spacing w:after="0"/>
              <w:rPr>
                <w:sz w:val="19"/>
                <w:szCs w:val="19"/>
                <w:color w:val="auto"/>
              </w:rPr>
            </w:pPr>
          </w:p>
        </w:tc>
        <w:tc>
          <w:tcPr>
            <w:tcW w:w="7560" w:type="dxa"/>
            <w:vAlign w:val="bottom"/>
            <w:tcBorders>
              <w:bottom w:val="single" w:sz="8" w:color="8089AD"/>
            </w:tcBorders>
          </w:tcPr>
          <w:p>
            <w:pPr>
              <w:ind w:left="460"/>
              <w:spacing w:after="0"/>
              <w:rPr>
                <w:sz w:val="20"/>
                <w:szCs w:val="20"/>
                <w:color w:val="auto"/>
              </w:rPr>
            </w:pPr>
            <w:r>
              <w:rPr>
                <w:rFonts w:ascii="Arial" w:cs="Arial" w:eastAsia="Arial" w:hAnsi="Arial"/>
                <w:sz w:val="18"/>
                <w:szCs w:val="18"/>
                <w:color w:val="auto"/>
              </w:rPr>
              <w:t>other factors</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In designing the performance-based portions of our variable pay structure, we carefully select performance criteria across not just a range of financial and corporate goals but also a range of performance periods. Taken together, these criteria aim to account for the complexities of operating our business over both the short-term and the long-term. Our overall strategic vision is built upon sustainable, long-term growth.</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The Committee does not believe that there is a one-size fits all solution to either performance goals or performance periods. Striking the right balance requires that we establish performance goals that incentivize our executive officers to strive for excellence no matter the time horizon. We aim to accomplish this objective by rationally linking the sum of the component parts of our compensation structure not just to the way our executive officers think about our business but also to the way that our shareholders think about value.</w:t>
      </w:r>
    </w:p>
    <w:p>
      <w:pPr>
        <w:spacing w:after="0" w:line="20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As a result, we adopted a blended approach to both performance goals and performance periods. We believe this appropriately focuses our management team to deliver both short-term results and long-term returns.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00" w:type="dxa"/>
            <w:vAlign w:val="bottom"/>
            <w:shd w:val="clear" w:color="auto" w:fill="355889"/>
          </w:tcPr>
          <w:p>
            <w:pPr>
              <w:spacing w:after="0"/>
              <w:rPr>
                <w:sz w:val="13"/>
                <w:szCs w:val="13"/>
                <w:color w:val="auto"/>
              </w:rPr>
            </w:pPr>
          </w:p>
        </w:tc>
        <w:tc>
          <w:tcPr>
            <w:tcW w:w="360" w:type="dxa"/>
            <w:vAlign w:val="bottom"/>
            <w:shd w:val="clear" w:color="auto" w:fill="355889"/>
          </w:tcPr>
          <w:p>
            <w:pPr>
              <w:spacing w:after="0"/>
              <w:rPr>
                <w:sz w:val="13"/>
                <w:szCs w:val="13"/>
                <w:color w:val="auto"/>
              </w:rPr>
            </w:pPr>
          </w:p>
        </w:tc>
        <w:tc>
          <w:tcPr>
            <w:tcW w:w="3060" w:type="dxa"/>
            <w:vAlign w:val="bottom"/>
            <w:shd w:val="clear" w:color="auto" w:fill="355889"/>
          </w:tcPr>
          <w:p>
            <w:pPr>
              <w:spacing w:after="0"/>
              <w:rPr>
                <w:sz w:val="13"/>
                <w:szCs w:val="13"/>
                <w:color w:val="auto"/>
              </w:rPr>
            </w:pPr>
          </w:p>
        </w:tc>
        <w:tc>
          <w:tcPr>
            <w:tcW w:w="3340" w:type="dxa"/>
            <w:vAlign w:val="bottom"/>
            <w:shd w:val="clear" w:color="auto" w:fill="355889"/>
          </w:tcPr>
          <w:p>
            <w:pPr>
              <w:ind w:left="140"/>
              <w:spacing w:after="0"/>
              <w:rPr>
                <w:sz w:val="20"/>
                <w:szCs w:val="20"/>
                <w:color w:val="auto"/>
              </w:rPr>
            </w:pPr>
            <w:r>
              <w:rPr>
                <w:rFonts w:ascii="Arial" w:cs="Arial" w:eastAsia="Arial" w:hAnsi="Arial"/>
                <w:sz w:val="13"/>
                <w:szCs w:val="13"/>
                <w:b w:val="1"/>
                <w:bCs w:val="1"/>
                <w:color w:val="FFFFFF"/>
              </w:rPr>
              <w:t>Annual Equity Awards</w:t>
            </w:r>
          </w:p>
        </w:tc>
        <w:tc>
          <w:tcPr>
            <w:tcW w:w="3280" w:type="dxa"/>
            <w:vAlign w:val="bottom"/>
            <w:shd w:val="clear" w:color="auto" w:fill="355889"/>
          </w:tcPr>
          <w:p>
            <w:pPr>
              <w:ind w:left="180"/>
              <w:spacing w:after="0"/>
              <w:rPr>
                <w:sz w:val="20"/>
                <w:szCs w:val="20"/>
                <w:color w:val="auto"/>
              </w:rPr>
            </w:pPr>
            <w:r>
              <w:rPr>
                <w:rFonts w:ascii="Arial" w:cs="Arial" w:eastAsia="Arial" w:hAnsi="Arial"/>
                <w:sz w:val="13"/>
                <w:szCs w:val="13"/>
                <w:b w:val="1"/>
                <w:bCs w:val="1"/>
                <w:color w:val="FFFFFF"/>
              </w:rPr>
              <w:t>Annual Equity Award</w:t>
            </w:r>
          </w:p>
        </w:tc>
        <w:tc>
          <w:tcPr>
            <w:tcW w:w="0" w:type="dxa"/>
            <w:vAlign w:val="bottom"/>
          </w:tcPr>
          <w:p>
            <w:pPr>
              <w:spacing w:after="0"/>
              <w:rPr>
                <w:sz w:val="1"/>
                <w:szCs w:val="1"/>
                <w:color w:val="auto"/>
              </w:rPr>
            </w:pPr>
          </w:p>
        </w:tc>
      </w:tr>
      <w:tr>
        <w:trPr>
          <w:trHeight w:val="192"/>
        </w:trPr>
        <w:tc>
          <w:tcPr>
            <w:tcW w:w="1200" w:type="dxa"/>
            <w:vAlign w:val="bottom"/>
            <w:shd w:val="clear" w:color="auto" w:fill="355889"/>
          </w:tcPr>
          <w:p>
            <w:pPr>
              <w:spacing w:after="0"/>
              <w:rPr>
                <w:sz w:val="16"/>
                <w:szCs w:val="16"/>
                <w:color w:val="auto"/>
              </w:rPr>
            </w:pPr>
          </w:p>
        </w:tc>
        <w:tc>
          <w:tcPr>
            <w:tcW w:w="3420" w:type="dxa"/>
            <w:vAlign w:val="bottom"/>
            <w:gridSpan w:val="2"/>
            <w:shd w:val="clear" w:color="auto" w:fill="355889"/>
          </w:tcPr>
          <w:p>
            <w:pPr>
              <w:ind w:left="180"/>
              <w:spacing w:after="0"/>
              <w:rPr>
                <w:sz w:val="20"/>
                <w:szCs w:val="20"/>
                <w:color w:val="auto"/>
              </w:rPr>
            </w:pPr>
            <w:r>
              <w:rPr>
                <w:rFonts w:ascii="Arial" w:cs="Arial" w:eastAsia="Arial" w:hAnsi="Arial"/>
                <w:sz w:val="13"/>
                <w:szCs w:val="13"/>
                <w:b w:val="1"/>
                <w:bCs w:val="1"/>
                <w:color w:val="FFFFFF"/>
              </w:rPr>
              <w:t>Annual Cash Bonus</w:t>
            </w:r>
          </w:p>
        </w:tc>
        <w:tc>
          <w:tcPr>
            <w:tcW w:w="3340" w:type="dxa"/>
            <w:vAlign w:val="bottom"/>
            <w:shd w:val="clear" w:color="auto" w:fill="355889"/>
          </w:tcPr>
          <w:p>
            <w:pPr>
              <w:ind w:left="140"/>
              <w:spacing w:after="0"/>
              <w:rPr>
                <w:sz w:val="20"/>
                <w:szCs w:val="20"/>
                <w:color w:val="auto"/>
              </w:rPr>
            </w:pPr>
            <w:r>
              <w:rPr>
                <w:rFonts w:ascii="Arial" w:cs="Arial" w:eastAsia="Arial" w:hAnsi="Arial"/>
                <w:sz w:val="13"/>
                <w:szCs w:val="13"/>
                <w:b w:val="1"/>
                <w:bCs w:val="1"/>
                <w:color w:val="FFFFFF"/>
              </w:rPr>
              <w:t>(Operational Component)</w:t>
            </w:r>
          </w:p>
        </w:tc>
        <w:tc>
          <w:tcPr>
            <w:tcW w:w="3280" w:type="dxa"/>
            <w:vAlign w:val="bottom"/>
            <w:shd w:val="clear" w:color="auto" w:fill="355889"/>
          </w:tcPr>
          <w:p>
            <w:pPr>
              <w:ind w:left="180"/>
              <w:spacing w:after="0"/>
              <w:rPr>
                <w:sz w:val="20"/>
                <w:szCs w:val="20"/>
                <w:color w:val="auto"/>
              </w:rPr>
            </w:pPr>
            <w:r>
              <w:rPr>
                <w:rFonts w:ascii="Arial" w:cs="Arial" w:eastAsia="Arial" w:hAnsi="Arial"/>
                <w:sz w:val="13"/>
                <w:szCs w:val="13"/>
                <w:b w:val="1"/>
                <w:bCs w:val="1"/>
                <w:color w:val="FFFFFF"/>
              </w:rPr>
              <w:t>(Relative Component)</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8797B7"/>
            </w:tcBorders>
          </w:tcPr>
          <w:p>
            <w:pPr>
              <w:jc w:val="center"/>
              <w:spacing w:after="0"/>
              <w:rPr>
                <w:sz w:val="20"/>
                <w:szCs w:val="20"/>
                <w:color w:val="auto"/>
              </w:rPr>
            </w:pPr>
            <w:r>
              <w:rPr>
                <w:rFonts w:ascii="Arial" w:cs="Arial" w:eastAsia="Arial" w:hAnsi="Arial"/>
                <w:sz w:val="18"/>
                <w:szCs w:val="18"/>
                <w:b w:val="1"/>
                <w:bCs w:val="1"/>
                <w:color w:val="355889"/>
                <w:w w:val="99"/>
              </w:rPr>
              <w:t>Period</w:t>
            </w:r>
          </w:p>
        </w:tc>
        <w:tc>
          <w:tcPr>
            <w:tcW w:w="3420" w:type="dxa"/>
            <w:vAlign w:val="bottom"/>
            <w:tcBorders>
              <w:bottom w:val="single" w:sz="8" w:color="8797B7"/>
            </w:tcBorders>
            <w:gridSpan w:val="2"/>
          </w:tcPr>
          <w:p>
            <w:pPr>
              <w:ind w:left="180"/>
              <w:spacing w:after="0"/>
              <w:rPr>
                <w:sz w:val="20"/>
                <w:szCs w:val="20"/>
                <w:color w:val="auto"/>
              </w:rPr>
            </w:pPr>
            <w:r>
              <w:rPr>
                <w:rFonts w:ascii="Arial" w:cs="Arial" w:eastAsia="Arial" w:hAnsi="Arial"/>
                <w:sz w:val="18"/>
                <w:szCs w:val="18"/>
                <w:color w:val="auto"/>
              </w:rPr>
              <w:t>One year</w:t>
            </w:r>
          </w:p>
        </w:tc>
        <w:tc>
          <w:tcPr>
            <w:tcW w:w="3340" w:type="dxa"/>
            <w:vAlign w:val="bottom"/>
            <w:tcBorders>
              <w:bottom w:val="single" w:sz="8" w:color="8797B7"/>
            </w:tcBorders>
          </w:tcPr>
          <w:p>
            <w:pPr>
              <w:ind w:left="140"/>
              <w:spacing w:after="0"/>
              <w:rPr>
                <w:sz w:val="20"/>
                <w:szCs w:val="20"/>
                <w:color w:val="auto"/>
              </w:rPr>
            </w:pPr>
            <w:r>
              <w:rPr>
                <w:rFonts w:ascii="Arial" w:cs="Arial" w:eastAsia="Arial" w:hAnsi="Arial"/>
                <w:sz w:val="18"/>
                <w:szCs w:val="18"/>
                <w:color w:val="auto"/>
              </w:rPr>
              <w:t>One year with three-year modifier</w:t>
            </w:r>
          </w:p>
        </w:tc>
        <w:tc>
          <w:tcPr>
            <w:tcW w:w="3280" w:type="dxa"/>
            <w:vAlign w:val="bottom"/>
            <w:tcBorders>
              <w:bottom w:val="single" w:sz="8" w:color="8797B7"/>
            </w:tcBorders>
          </w:tcPr>
          <w:p>
            <w:pPr>
              <w:ind w:left="180"/>
              <w:spacing w:after="0"/>
              <w:rPr>
                <w:sz w:val="20"/>
                <w:szCs w:val="20"/>
                <w:color w:val="auto"/>
              </w:rPr>
            </w:pPr>
            <w:r>
              <w:rPr>
                <w:rFonts w:ascii="Arial" w:cs="Arial" w:eastAsia="Arial" w:hAnsi="Arial"/>
                <w:sz w:val="18"/>
                <w:szCs w:val="18"/>
                <w:color w:val="auto"/>
              </w:rPr>
              <w:t>Three years</w:t>
            </w:r>
          </w:p>
        </w:tc>
        <w:tc>
          <w:tcPr>
            <w:tcW w:w="0" w:type="dxa"/>
            <w:vAlign w:val="bottom"/>
          </w:tcPr>
          <w:p>
            <w:pPr>
              <w:spacing w:after="0"/>
              <w:rPr>
                <w:sz w:val="1"/>
                <w:szCs w:val="1"/>
                <w:color w:val="auto"/>
              </w:rPr>
            </w:pPr>
          </w:p>
        </w:tc>
      </w:tr>
      <w:tr>
        <w:trPr>
          <w:trHeight w:val="241"/>
        </w:trPr>
        <w:tc>
          <w:tcPr>
            <w:tcW w:w="120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Normalized FFO per share</w:t>
            </w:r>
          </w:p>
        </w:tc>
        <w:tc>
          <w:tcPr>
            <w:tcW w:w="3340" w:type="dxa"/>
            <w:vAlign w:val="bottom"/>
          </w:tcPr>
          <w:p>
            <w:pPr>
              <w:ind w:left="14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Funds available for distribution</w:t>
            </w:r>
          </w:p>
        </w:tc>
        <w:tc>
          <w:tcPr>
            <w:tcW w:w="3280" w:type="dxa"/>
            <w:vAlign w:val="bottom"/>
          </w:tcPr>
          <w:p>
            <w:pPr>
              <w:ind w:left="20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TSR Relative to SNL Office REIT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420" w:type="dxa"/>
            <w:vAlign w:val="bottom"/>
            <w:gridSpan w:val="2"/>
            <w:vMerge w:val="restart"/>
          </w:tcPr>
          <w:p>
            <w:pPr>
              <w:ind w:left="20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Annual same-store cash NOI growth</w:t>
            </w:r>
          </w:p>
        </w:tc>
        <w:tc>
          <w:tcPr>
            <w:tcW w:w="3340" w:type="dxa"/>
            <w:vAlign w:val="bottom"/>
            <w:vMerge w:val="restart"/>
          </w:tcPr>
          <w:p>
            <w:pPr>
              <w:ind w:left="14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Debt/EBITDA ratio</w:t>
            </w:r>
          </w:p>
        </w:tc>
        <w:tc>
          <w:tcPr>
            <w:tcW w:w="3280" w:type="dxa"/>
            <w:vAlign w:val="bottom"/>
          </w:tcPr>
          <w:p>
            <w:pPr>
              <w:ind w:left="460"/>
              <w:spacing w:after="0"/>
              <w:rPr>
                <w:sz w:val="20"/>
                <w:szCs w:val="20"/>
                <w:color w:val="auto"/>
              </w:rPr>
            </w:pPr>
            <w:r>
              <w:rPr>
                <w:rFonts w:ascii="Arial" w:cs="Arial" w:eastAsia="Arial" w:hAnsi="Arial"/>
                <w:sz w:val="18"/>
                <w:szCs w:val="18"/>
                <w:color w:val="auto"/>
              </w:rPr>
              <w:t>Index</w:t>
            </w: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3420" w:type="dxa"/>
            <w:vAlign w:val="bottom"/>
            <w:gridSpan w:val="2"/>
            <w:vMerge w:val="continue"/>
          </w:tcPr>
          <w:p>
            <w:pPr>
              <w:spacing w:after="0"/>
              <w:rPr>
                <w:sz w:val="5"/>
                <w:szCs w:val="5"/>
                <w:color w:val="auto"/>
              </w:rPr>
            </w:pPr>
          </w:p>
        </w:tc>
        <w:tc>
          <w:tcPr>
            <w:tcW w:w="3340" w:type="dxa"/>
            <w:vAlign w:val="bottom"/>
            <w:vMerge w:val="continue"/>
          </w:tcPr>
          <w:p>
            <w:pPr>
              <w:spacing w:after="0"/>
              <w:rPr>
                <w:sz w:val="5"/>
                <w:szCs w:val="5"/>
                <w:color w:val="auto"/>
              </w:rPr>
            </w:pPr>
          </w:p>
        </w:tc>
        <w:tc>
          <w:tcPr>
            <w:tcW w:w="3280" w:type="dxa"/>
            <w:vAlign w:val="bottom"/>
            <w:vMerge w:val="restart"/>
          </w:tcPr>
          <w:p>
            <w:pPr>
              <w:ind w:left="20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TSR Relative to a group of NYC</w:t>
            </w:r>
          </w:p>
        </w:tc>
        <w:tc>
          <w:tcPr>
            <w:tcW w:w="0" w:type="dxa"/>
            <w:vAlign w:val="bottom"/>
          </w:tcPr>
          <w:p>
            <w:pPr>
              <w:spacing w:after="0"/>
              <w:rPr>
                <w:sz w:val="1"/>
                <w:szCs w:val="1"/>
                <w:color w:val="auto"/>
              </w:rPr>
            </w:pPr>
          </w:p>
        </w:tc>
      </w:tr>
      <w:tr>
        <w:trPr>
          <w:trHeight w:val="204"/>
        </w:trPr>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355889"/>
                <w:w w:val="96"/>
              </w:rPr>
              <w:t>Objectives</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355889"/>
              </w:rPr>
              <w:t>●</w:t>
            </w:r>
          </w:p>
        </w:tc>
        <w:tc>
          <w:tcPr>
            <w:tcW w:w="3060" w:type="dxa"/>
            <w:vAlign w:val="bottom"/>
            <w:vMerge w:val="restart"/>
          </w:tcPr>
          <w:p>
            <w:pPr>
              <w:ind w:left="80"/>
              <w:spacing w:after="0"/>
              <w:rPr>
                <w:sz w:val="20"/>
                <w:szCs w:val="20"/>
                <w:color w:val="auto"/>
              </w:rPr>
            </w:pPr>
            <w:r>
              <w:rPr>
                <w:rFonts w:ascii="Arial" w:cs="Arial" w:eastAsia="Arial" w:hAnsi="Arial"/>
                <w:sz w:val="18"/>
                <w:szCs w:val="18"/>
                <w:color w:val="auto"/>
              </w:rPr>
              <w:t>Dividend growth</w:t>
            </w:r>
          </w:p>
        </w:tc>
        <w:tc>
          <w:tcPr>
            <w:tcW w:w="3340" w:type="dxa"/>
            <w:vAlign w:val="bottom"/>
            <w:vMerge w:val="restart"/>
          </w:tcPr>
          <w:p>
            <w:pPr>
              <w:ind w:left="140"/>
              <w:spacing w:after="0"/>
              <w:rPr>
                <w:sz w:val="20"/>
                <w:szCs w:val="20"/>
                <w:color w:val="auto"/>
              </w:rPr>
            </w:pPr>
            <w:r>
              <w:rPr>
                <w:rFonts w:ascii="Arial" w:cs="Arial" w:eastAsia="Arial" w:hAnsi="Arial"/>
                <w:sz w:val="17"/>
                <w:szCs w:val="17"/>
                <w:color w:val="355889"/>
              </w:rPr>
              <w:t xml:space="preserve">●  </w:t>
            </w:r>
            <w:r>
              <w:rPr>
                <w:rFonts w:ascii="Arial" w:cs="Arial" w:eastAsia="Arial" w:hAnsi="Arial"/>
                <w:sz w:val="17"/>
                <w:szCs w:val="17"/>
                <w:color w:val="000000"/>
              </w:rPr>
              <w:t>Manhattan office same store leased</w:t>
            </w:r>
          </w:p>
        </w:tc>
        <w:tc>
          <w:tcPr>
            <w:tcW w:w="3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12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3340" w:type="dxa"/>
            <w:vAlign w:val="bottom"/>
            <w:vMerge w:val="continue"/>
          </w:tcPr>
          <w:p>
            <w:pPr>
              <w:spacing w:after="0"/>
              <w:rPr>
                <w:sz w:val="8"/>
                <w:szCs w:val="8"/>
                <w:color w:val="auto"/>
              </w:rPr>
            </w:pPr>
          </w:p>
        </w:tc>
        <w:tc>
          <w:tcPr>
            <w:tcW w:w="3280" w:type="dxa"/>
            <w:vAlign w:val="bottom"/>
            <w:vMerge w:val="restart"/>
          </w:tcPr>
          <w:p>
            <w:pPr>
              <w:ind w:left="460"/>
              <w:spacing w:after="0"/>
              <w:rPr>
                <w:sz w:val="20"/>
                <w:szCs w:val="20"/>
                <w:color w:val="auto"/>
              </w:rPr>
            </w:pPr>
            <w:r>
              <w:rPr>
                <w:rFonts w:ascii="Arial" w:cs="Arial" w:eastAsia="Arial" w:hAnsi="Arial"/>
                <w:sz w:val="18"/>
                <w:szCs w:val="18"/>
                <w:color w:val="auto"/>
              </w:rPr>
              <w:t>peers</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Arial" w:cs="Arial" w:eastAsia="Arial" w:hAnsi="Arial"/>
                <w:sz w:val="17"/>
                <w:szCs w:val="17"/>
                <w:color w:val="355889"/>
              </w:rPr>
              <w:t>●</w:t>
            </w:r>
          </w:p>
        </w:tc>
        <w:tc>
          <w:tcPr>
            <w:tcW w:w="3060" w:type="dxa"/>
            <w:vAlign w:val="bottom"/>
            <w:vMerge w:val="restart"/>
          </w:tcPr>
          <w:p>
            <w:pPr>
              <w:ind w:left="80"/>
              <w:spacing w:after="0"/>
              <w:rPr>
                <w:sz w:val="20"/>
                <w:szCs w:val="20"/>
                <w:color w:val="auto"/>
              </w:rPr>
            </w:pPr>
            <w:r>
              <w:rPr>
                <w:rFonts w:ascii="Arial" w:cs="Arial" w:eastAsia="Arial" w:hAnsi="Arial"/>
                <w:sz w:val="18"/>
                <w:szCs w:val="18"/>
                <w:color w:val="auto"/>
              </w:rPr>
              <w:t>G&amp;A expense</w:t>
            </w: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occupancy</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334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2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3340" w:type="dxa"/>
            <w:vAlign w:val="bottom"/>
          </w:tcPr>
          <w:p>
            <w:pPr>
              <w:spacing w:after="0"/>
              <w:rPr>
                <w:sz w:val="5"/>
                <w:szCs w:val="5"/>
                <w:color w:val="auto"/>
              </w:rPr>
            </w:pPr>
          </w:p>
        </w:tc>
        <w:tc>
          <w:tcPr>
            <w:tcW w:w="3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702945" cy="1200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2945" cy="1200150"/>
                    </a:xfrm>
                    <a:prstGeom prst="rect">
                      <a:avLst/>
                    </a:prstGeom>
                    <a:noFill/>
                  </pic:spPr>
                </pic:pic>
              </a:graphicData>
            </a:graphic>
          </wp:anchor>
        </w:drawing>
      </w:r>
    </w:p>
    <w:p>
      <w:pPr>
        <w:ind w:left="4760"/>
        <w:spacing w:after="0"/>
        <w:tabs>
          <w:tab w:leader="none" w:pos="4980" w:val="left"/>
        </w:tabs>
        <w:rPr>
          <w:sz w:val="20"/>
          <w:szCs w:val="20"/>
          <w:color w:val="auto"/>
        </w:rPr>
      </w:pPr>
      <w:r>
        <w:rPr>
          <w:rFonts w:ascii="Arial" w:cs="Arial" w:eastAsia="Arial" w:hAnsi="Arial"/>
          <w:sz w:val="17"/>
          <w:szCs w:val="17"/>
          <w:color w:val="355889"/>
        </w:rPr>
        <w:t>●</w:t>
      </w:r>
      <w:r>
        <w:rPr>
          <w:sz w:val="20"/>
          <w:szCs w:val="20"/>
          <w:color w:val="auto"/>
        </w:rPr>
        <w:tab/>
      </w:r>
      <w:r>
        <w:rPr>
          <w:rFonts w:ascii="Arial" w:cs="Arial" w:eastAsia="Arial" w:hAnsi="Arial"/>
          <w:sz w:val="16"/>
          <w:szCs w:val="16"/>
          <w:color w:val="auto"/>
        </w:rPr>
        <w:t>Manhattan office leasing volume</w:t>
      </w:r>
    </w:p>
    <w:p>
      <w:pPr>
        <w:spacing w:after="0" w:line="81" w:lineRule="exact"/>
        <w:rPr>
          <w:sz w:val="20"/>
          <w:szCs w:val="20"/>
          <w:color w:val="auto"/>
        </w:rPr>
      </w:pPr>
    </w:p>
    <w:p>
      <w:pPr>
        <w:ind w:left="4760"/>
        <w:spacing w:after="0"/>
        <w:tabs>
          <w:tab w:leader="none" w:pos="4980" w:val="left"/>
        </w:tabs>
        <w:rPr>
          <w:sz w:val="20"/>
          <w:szCs w:val="20"/>
          <w:color w:val="auto"/>
        </w:rPr>
      </w:pPr>
      <w:r>
        <w:rPr>
          <w:rFonts w:ascii="Arial" w:cs="Arial" w:eastAsia="Arial" w:hAnsi="Arial"/>
          <w:sz w:val="17"/>
          <w:szCs w:val="17"/>
          <w:color w:val="355889"/>
        </w:rPr>
        <w:t>●</w:t>
      </w:r>
      <w:r>
        <w:rPr>
          <w:sz w:val="20"/>
          <w:szCs w:val="20"/>
          <w:color w:val="auto"/>
        </w:rPr>
        <w:tab/>
      </w:r>
      <w:r>
        <w:rPr>
          <w:rFonts w:ascii="Arial" w:cs="Arial" w:eastAsia="Arial" w:hAnsi="Arial"/>
          <w:sz w:val="16"/>
          <w:szCs w:val="16"/>
          <w:color w:val="auto"/>
        </w:rPr>
        <w:t>Absolute TSR (three-year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915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355889"/>
        </w:rPr>
        <w:t>Shorter Performance Period</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355889"/>
        </w:rPr>
        <w:t>(performance metrics within</w:t>
      </w:r>
    </w:p>
    <w:p>
      <w:pPr>
        <w:ind w:left="860"/>
        <w:spacing w:after="0"/>
        <w:rPr>
          <w:sz w:val="20"/>
          <w:szCs w:val="20"/>
          <w:color w:val="auto"/>
        </w:rPr>
      </w:pPr>
      <w:r>
        <w:rPr>
          <w:rFonts w:ascii="Arial" w:cs="Arial" w:eastAsia="Arial" w:hAnsi="Arial"/>
          <w:sz w:val="16"/>
          <w:szCs w:val="16"/>
          <w:b w:val="1"/>
          <w:bCs w:val="1"/>
          <w:color w:val="355889"/>
        </w:rPr>
        <w:t>management’s scope and visibility)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Longer Performance Period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355889"/>
        </w:rPr>
        <w:t>(performance metrics that align with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355889"/>
        </w:rPr>
        <w:t>the creation of stockholder value)</w:t>
      </w:r>
    </w:p>
    <w:p>
      <w:pPr>
        <w:spacing w:after="0" w:line="200" w:lineRule="exact"/>
        <w:rPr>
          <w:sz w:val="20"/>
          <w:szCs w:val="20"/>
          <w:color w:val="auto"/>
        </w:rPr>
      </w:pPr>
    </w:p>
    <w:p>
      <w:pPr>
        <w:sectPr>
          <w:pgSz w:w="11900" w:h="16838" w:orient="portrait"/>
          <w:cols w:equalWidth="0" w:num="2">
            <w:col w:w="6540" w:space="720"/>
            <w:col w:w="3980"/>
          </w:cols>
          <w:pgMar w:left="320" w:top="12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alignment of the payouts with outcomes for our stockholders is underscored by the fact that the Company’s three-year absolute TSR modifier would result in a downward adjustment of 12.5% for performance-based equity awards granted in 2019 and 2020 had the performance period ended on December 31, 2020.</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 similar way, the Committee also views annual time-based awards as another opportunity to incentivize performance, create meaningful alignment between executives and shareholders, and retain key employees. Each year, for named executive officers with employment agreements that provide for an annual time-based award, the Committee takes a holistic view of both the achievements of the Company and each individual executive during the prior fiscal year, considering objective and subjective performance as well as the successful advancement of a wide range of short- and long-term strategic goals, to determine the appropriate time-based grant for each executive relative to the target amount set forth in such executive’s employment agreement. For 2020, the Committee also considered the impact of the COVID-19 pandemic on the projected economic value of other elements of compensation to ensure that each executive would continue to be properly incentivized as they guide the Company forward.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2020 Pay Outcomes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Annual Base Salary</w:t>
      </w:r>
    </w:p>
    <w:p>
      <w:pPr>
        <w:spacing w:after="0" w:line="23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Base salaries are established at levels intended to reflect the scope of each executive’s duties and responsibilities and further take into account the competitive market compensation paid by comparable companies for similar positions. Since such salaries are not based on performance, they are intentionally structured to be a relatively low percentage of total compensation.</w:t>
      </w:r>
    </w:p>
    <w:p>
      <w:pPr>
        <w:spacing w:after="0" w:line="20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We made no changes to the base salaries of our named executive officers for 2020. The following table sets forth the annual base salaries for our named executive officers for 2019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2019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2020</w:t>
            </w:r>
          </w:p>
        </w:tc>
        <w:tc>
          <w:tcPr>
            <w:tcW w:w="660" w:type="dxa"/>
            <w:vAlign w:val="bottom"/>
          </w:tcPr>
          <w:p>
            <w:pPr>
              <w:spacing w:after="0"/>
              <w:rPr>
                <w:sz w:val="13"/>
                <w:szCs w:val="13"/>
                <w:color w:val="auto"/>
              </w:rPr>
            </w:pPr>
          </w:p>
        </w:tc>
      </w:tr>
      <w:tr>
        <w:trPr>
          <w:trHeight w:val="185"/>
        </w:trPr>
        <w:tc>
          <w:tcPr>
            <w:tcW w:w="782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Base Salary</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355A89"/>
              </w:rPr>
              <w:t>Base Salary</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355A89"/>
              </w:rPr>
              <w:t>% Change</w:t>
            </w:r>
          </w:p>
        </w:tc>
      </w:tr>
      <w:tr>
        <w:trPr>
          <w:trHeight w:val="34"/>
        </w:trPr>
        <w:tc>
          <w:tcPr>
            <w:tcW w:w="782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92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55A89"/>
          </w:tcPr>
          <w:p>
            <w:pPr>
              <w:spacing w:after="0"/>
              <w:rPr>
                <w:sz w:val="2"/>
                <w:szCs w:val="2"/>
                <w:color w:val="auto"/>
              </w:rPr>
            </w:pPr>
          </w:p>
        </w:tc>
      </w:tr>
      <w:tr>
        <w:trPr>
          <w:trHeight w:val="236"/>
        </w:trPr>
        <w:tc>
          <w:tcPr>
            <w:tcW w:w="782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1,250,000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820" w:type="dxa"/>
            <w:vAlign w:val="bottom"/>
            <w:tcBorders>
              <w:top w:val="single" w:sz="8" w:color="7F89AD"/>
              <w:bottom w:val="single" w:sz="8" w:color="7F89AD"/>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240" w:type="dxa"/>
            <w:vAlign w:val="bottom"/>
            <w:tcBorders>
              <w:top w:val="single" w:sz="8" w:color="7F89AD"/>
              <w:bottom w:val="single" w:sz="8" w:color="7F89AD"/>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950,000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7F89AD"/>
              <w:bottom w:val="single" w:sz="8" w:color="7F89AD"/>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950,000</w:t>
            </w:r>
          </w:p>
        </w:tc>
        <w:tc>
          <w:tcPr>
            <w:tcW w:w="160" w:type="dxa"/>
            <w:vAlign w:val="bottom"/>
          </w:tcPr>
          <w:p>
            <w:pPr>
              <w:spacing w:after="0"/>
              <w:rPr>
                <w:sz w:val="20"/>
                <w:szCs w:val="20"/>
                <w:color w:val="auto"/>
              </w:rPr>
            </w:pPr>
          </w:p>
        </w:tc>
        <w:tc>
          <w:tcPr>
            <w:tcW w:w="66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82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240" w:type="dxa"/>
            <w:vAlign w:val="bottom"/>
            <w:tcBorders>
              <w:bottom w:val="single" w:sz="8" w:color="7F89AD"/>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7F89AD"/>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550,000</w:t>
            </w:r>
          </w:p>
        </w:tc>
        <w:tc>
          <w:tcPr>
            <w:tcW w:w="160" w:type="dxa"/>
            <w:vAlign w:val="bottom"/>
          </w:tcPr>
          <w:p>
            <w:pPr>
              <w:spacing w:after="0"/>
              <w:rPr>
                <w:sz w:val="20"/>
                <w:szCs w:val="20"/>
                <w:color w:val="auto"/>
              </w:rPr>
            </w:pPr>
          </w:p>
        </w:tc>
        <w:tc>
          <w:tcPr>
            <w:tcW w:w="66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20" w:type="dxa"/>
            <w:vAlign w:val="bottom"/>
            <w:tcBorders>
              <w:bottom w:val="single" w:sz="8" w:color="355A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240" w:type="dxa"/>
            <w:vAlign w:val="bottom"/>
            <w:tcBorders>
              <w:bottom w:val="single" w:sz="8" w:color="355A89"/>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580,000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355A8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580,000</w:t>
            </w:r>
          </w:p>
        </w:tc>
        <w:tc>
          <w:tcPr>
            <w:tcW w:w="160" w:type="dxa"/>
            <w:vAlign w:val="bottom"/>
          </w:tcPr>
          <w:p>
            <w:pPr>
              <w:spacing w:after="0"/>
              <w:rPr>
                <w:sz w:val="21"/>
                <w:szCs w:val="21"/>
                <w:color w:val="auto"/>
              </w:rPr>
            </w:pPr>
          </w:p>
        </w:tc>
        <w:tc>
          <w:tcPr>
            <w:tcW w:w="66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w:t>
            </w:r>
          </w:p>
        </w:tc>
      </w:tr>
    </w:tbl>
    <w:p>
      <w:pPr>
        <w:spacing w:after="0" w:line="219" w:lineRule="exact"/>
        <w:rPr>
          <w:sz w:val="20"/>
          <w:szCs w:val="20"/>
          <w:color w:val="auto"/>
        </w:rPr>
      </w:pPr>
    </w:p>
    <w:p>
      <w:pPr>
        <w:ind w:left="300" w:hanging="292"/>
        <w:spacing w:after="0"/>
        <w:tabs>
          <w:tab w:leader="none" w:pos="300" w:val="left"/>
        </w:tabs>
        <w:numPr>
          <w:ilvl w:val="0"/>
          <w:numId w:val="87"/>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Annual Cash Bonus (Formulaic - CEO and President)</w:t>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pay annual incentive awards in the form of annual cash bonuses to reward our named executive officers for achieving key corporate financial and operational objectives and individual goals. A portion of the annual cash bonuses paid to our CEO and President for 2020 were determined pursuant to our formulaic annual cash bonus program. Under this program, the Committee established specific threshold, target and maximum cash bonus amounts that each executive officer could earn for 2020 and established specific performance criteria that were to be used in a formulaic manner to determine 100% of each of these executives’ cash bonuses.</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prior years, our annual cash bonus program for our CEO and President was 100% formulaic, but, as discussed below, the Committee awarded supplemental discretionary bonuses for 2020 in light of the impact of the COVID-19 pandemic that arose after the formulaic objectives were established in January 2020. Due to these extraordinary events, the original targets failed to align with the new priorities that emerged throughout the year as the pandemic unfolded and therefore the Committee felt it was necessary and appropriate to take into account a range of additional factors when determining final bonus amounts for 2020.</w:t>
      </w:r>
    </w:p>
    <w:p>
      <w:pPr>
        <w:spacing w:after="0" w:line="211" w:lineRule="exact"/>
        <w:rPr>
          <w:sz w:val="20"/>
          <w:szCs w:val="20"/>
          <w:color w:val="auto"/>
        </w:rPr>
      </w:pPr>
    </w:p>
    <w:p>
      <w:pPr>
        <w:ind w:right="860"/>
        <w:spacing w:after="0" w:line="299" w:lineRule="auto"/>
        <w:rPr>
          <w:sz w:val="20"/>
          <w:szCs w:val="20"/>
          <w:color w:val="auto"/>
        </w:rPr>
      </w:pPr>
      <w:r>
        <w:rPr>
          <w:rFonts w:ascii="Arial" w:cs="Arial" w:eastAsia="Arial" w:hAnsi="Arial"/>
          <w:sz w:val="16"/>
          <w:szCs w:val="16"/>
          <w:color w:val="auto"/>
        </w:rPr>
        <w:t>For 2020, each of Messrs. Holliday and Mathias were initially eligible to earn the following percentages of their base salary (with linear interpolation used to determine the percentage earned for performance that falls between threshold, target and/or maximum):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00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7"/>
                <w:szCs w:val="17"/>
                <w:color w:val="auto"/>
              </w:rPr>
            </w:pP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A89"/>
              </w:rPr>
              <w:t>Threshold</w:t>
            </w:r>
          </w:p>
        </w:tc>
        <w:tc>
          <w:tcPr>
            <w:tcW w:w="160" w:type="dxa"/>
            <w:vAlign w:val="bottom"/>
          </w:tcPr>
          <w:p>
            <w:pPr>
              <w:spacing w:after="0"/>
              <w:rPr>
                <w:sz w:val="17"/>
                <w:szCs w:val="17"/>
                <w:color w:val="auto"/>
              </w:rPr>
            </w:pPr>
          </w:p>
        </w:tc>
        <w:tc>
          <w:tcPr>
            <w:tcW w:w="46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355A89"/>
              </w:rPr>
              <w:t>Target</w:t>
            </w:r>
          </w:p>
        </w:tc>
        <w:tc>
          <w:tcPr>
            <w:tcW w:w="160" w:type="dxa"/>
            <w:vAlign w:val="bottom"/>
          </w:tcPr>
          <w:p>
            <w:pPr>
              <w:spacing w:after="0"/>
              <w:rPr>
                <w:sz w:val="17"/>
                <w:szCs w:val="17"/>
                <w:color w:val="auto"/>
              </w:rPr>
            </w:pPr>
          </w:p>
        </w:tc>
        <w:tc>
          <w:tcPr>
            <w:tcW w:w="64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A89"/>
              </w:rPr>
              <w:t>Maximum</w:t>
            </w: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200%</w:t>
            </w: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
        </w:trPr>
        <w:tc>
          <w:tcPr>
            <w:tcW w:w="900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8797B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8797B7"/>
          </w:tcPr>
          <w:p>
            <w:pPr>
              <w:spacing w:after="0" w:line="20" w:lineRule="exact"/>
              <w:rPr>
                <w:sz w:val="1"/>
                <w:szCs w:val="1"/>
                <w:color w:val="auto"/>
              </w:rPr>
            </w:pP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0"/>
                <w:szCs w:val="20"/>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175%</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35"/>
        </w:trPr>
        <w:tc>
          <w:tcPr>
            <w:tcW w:w="900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shd w:val="clear" w:color="auto" w:fill="355889"/>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shd w:val="clear" w:color="auto" w:fill="355889"/>
          </w:tcPr>
          <w:p>
            <w:pPr>
              <w:spacing w:after="0"/>
              <w:rPr>
                <w:sz w:val="3"/>
                <w:szCs w:val="3"/>
                <w:color w:val="auto"/>
              </w:rPr>
            </w:pPr>
          </w:p>
        </w:tc>
      </w:tr>
    </w:tbl>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 portion of each executive’s total annual cash bonus was determined in a formulaic manner based on the level of achievement of a number of performance criteria as compared to the level established in advance by the Committee. The following sets forth the specific performance criteria selected for 2020, the relative weighting of each, the threshold, target and maximum performance levels established by the Committee in advance for each, and our projected 2020 results for each, which were used to determine the payout amounts in December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A89"/>
              </w:rPr>
              <w:t>2020</w:t>
            </w:r>
          </w:p>
        </w:tc>
      </w:tr>
      <w:tr>
        <w:trPr>
          <w:trHeight w:val="149"/>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Weighting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A89"/>
              </w:rPr>
              <w:t>Projected</w:t>
            </w:r>
          </w:p>
        </w:tc>
      </w:tr>
      <w:tr>
        <w:trPr>
          <w:trHeight w:val="209"/>
        </w:trPr>
        <w:tc>
          <w:tcPr>
            <w:tcW w:w="5980" w:type="dxa"/>
            <w:vAlign w:val="bottom"/>
            <w:tcBorders>
              <w:bottom w:val="single" w:sz="8" w:color="355889"/>
            </w:tcBorders>
          </w:tcPr>
          <w:p>
            <w:pPr>
              <w:spacing w:after="0"/>
              <w:rPr>
                <w:sz w:val="20"/>
                <w:szCs w:val="20"/>
                <w:color w:val="auto"/>
              </w:rPr>
            </w:pPr>
            <w:r>
              <w:rPr>
                <w:rFonts w:ascii="Arial" w:cs="Arial" w:eastAsia="Arial" w:hAnsi="Arial"/>
                <w:sz w:val="13"/>
                <w:szCs w:val="13"/>
                <w:b w:val="1"/>
                <w:bCs w:val="1"/>
                <w:color w:val="auto"/>
              </w:rPr>
              <w:t>Performance Criteria</w:t>
            </w:r>
          </w:p>
        </w:tc>
        <w:tc>
          <w:tcPr>
            <w:tcW w:w="160" w:type="dxa"/>
            <w:vAlign w:val="bottom"/>
          </w:tcPr>
          <w:p>
            <w:pPr>
              <w:spacing w:after="0"/>
              <w:rPr>
                <w:sz w:val="18"/>
                <w:szCs w:val="18"/>
                <w:color w:val="auto"/>
              </w:rPr>
            </w:pP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A89"/>
              </w:rPr>
              <w:t>Levels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355889"/>
            </w:tcBorders>
          </w:tcPr>
          <w:p>
            <w:pPr>
              <w:spacing w:after="0"/>
              <w:rPr>
                <w:sz w:val="18"/>
                <w:szCs w:val="18"/>
                <w:color w:val="auto"/>
              </w:rPr>
            </w:pPr>
          </w:p>
        </w:tc>
        <w:tc>
          <w:tcPr>
            <w:tcW w:w="76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A89"/>
              </w:rPr>
              <w:t>Threshold</w:t>
            </w:r>
          </w:p>
        </w:tc>
        <w:tc>
          <w:tcPr>
            <w:tcW w:w="160" w:type="dxa"/>
            <w:vAlign w:val="bottom"/>
          </w:tcPr>
          <w:p>
            <w:pPr>
              <w:spacing w:after="0"/>
              <w:rPr>
                <w:sz w:val="18"/>
                <w:szCs w:val="18"/>
                <w:color w:val="auto"/>
              </w:rPr>
            </w:pPr>
          </w:p>
        </w:tc>
        <w:tc>
          <w:tcPr>
            <w:tcW w:w="160" w:type="dxa"/>
            <w:vAlign w:val="bottom"/>
            <w:tcBorders>
              <w:bottom w:val="single" w:sz="8" w:color="355889"/>
            </w:tcBorders>
          </w:tcPr>
          <w:p>
            <w:pPr>
              <w:spacing w:after="0"/>
              <w:rPr>
                <w:sz w:val="18"/>
                <w:szCs w:val="18"/>
                <w:color w:val="auto"/>
              </w:rPr>
            </w:pP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A89"/>
              </w:rPr>
              <w:t>Target</w:t>
            </w:r>
          </w:p>
        </w:tc>
        <w:tc>
          <w:tcPr>
            <w:tcW w:w="160" w:type="dxa"/>
            <w:vAlign w:val="bottom"/>
          </w:tcPr>
          <w:p>
            <w:pPr>
              <w:spacing w:after="0"/>
              <w:rPr>
                <w:sz w:val="18"/>
                <w:szCs w:val="18"/>
                <w:color w:val="auto"/>
              </w:rPr>
            </w:pPr>
          </w:p>
        </w:tc>
        <w:tc>
          <w:tcPr>
            <w:tcW w:w="200" w:type="dxa"/>
            <w:vAlign w:val="bottom"/>
            <w:tcBorders>
              <w:bottom w:val="single" w:sz="8" w:color="355889"/>
            </w:tcBorders>
          </w:tcPr>
          <w:p>
            <w:pPr>
              <w:spacing w:after="0"/>
              <w:rPr>
                <w:sz w:val="18"/>
                <w:szCs w:val="18"/>
                <w:color w:val="auto"/>
              </w:rPr>
            </w:pPr>
          </w:p>
        </w:tc>
        <w:tc>
          <w:tcPr>
            <w:tcW w:w="760" w:type="dxa"/>
            <w:vAlign w:val="bottom"/>
            <w:tcBorders>
              <w:bottom w:val="single" w:sz="8" w:color="355889"/>
            </w:tcBorders>
          </w:tcPr>
          <w:p>
            <w:pPr>
              <w:jc w:val="right"/>
              <w:spacing w:after="0"/>
              <w:rPr>
                <w:sz w:val="20"/>
                <w:szCs w:val="20"/>
                <w:color w:val="auto"/>
              </w:rPr>
            </w:pPr>
            <w:r>
              <w:rPr>
                <w:rFonts w:ascii="Arial" w:cs="Arial" w:eastAsia="Arial" w:hAnsi="Arial"/>
                <w:sz w:val="13"/>
                <w:szCs w:val="13"/>
                <w:b w:val="1"/>
                <w:bCs w:val="1"/>
                <w:color w:val="355A89"/>
              </w:rPr>
              <w:t>Maximum</w:t>
            </w:r>
          </w:p>
        </w:tc>
        <w:tc>
          <w:tcPr>
            <w:tcW w:w="160" w:type="dxa"/>
            <w:vAlign w:val="bottom"/>
          </w:tcPr>
          <w:p>
            <w:pPr>
              <w:spacing w:after="0"/>
              <w:rPr>
                <w:sz w:val="18"/>
                <w:szCs w:val="18"/>
                <w:color w:val="auto"/>
              </w:rPr>
            </w:pPr>
          </w:p>
        </w:tc>
        <w:tc>
          <w:tcPr>
            <w:tcW w:w="100" w:type="dxa"/>
            <w:vAlign w:val="bottom"/>
            <w:tcBorders>
              <w:bottom w:val="single" w:sz="8" w:color="355889"/>
            </w:tcBorders>
          </w:tcPr>
          <w:p>
            <w:pPr>
              <w:spacing w:after="0"/>
              <w:rPr>
                <w:sz w:val="18"/>
                <w:szCs w:val="18"/>
                <w:color w:val="auto"/>
              </w:rPr>
            </w:pPr>
          </w:p>
        </w:tc>
        <w:tc>
          <w:tcPr>
            <w:tcW w:w="960" w:type="dxa"/>
            <w:vAlign w:val="bottom"/>
            <w:tcBorders>
              <w:bottom w:val="single" w:sz="8" w:color="355889"/>
            </w:tcBorders>
          </w:tcPr>
          <w:p>
            <w:pPr>
              <w:jc w:val="right"/>
              <w:spacing w:after="0" w:line="203" w:lineRule="exact"/>
              <w:rPr>
                <w:sz w:val="20"/>
                <w:szCs w:val="20"/>
                <w:color w:val="auto"/>
              </w:rPr>
            </w:pPr>
            <w:r>
              <w:rPr>
                <w:rFonts w:ascii="Arial" w:cs="Arial" w:eastAsia="Arial" w:hAnsi="Arial"/>
                <w:sz w:val="13"/>
                <w:szCs w:val="13"/>
                <w:b w:val="1"/>
                <w:bCs w:val="1"/>
                <w:color w:val="355A89"/>
                <w:w w:val="96"/>
              </w:rPr>
              <w:t>Performance</w:t>
            </w:r>
            <w:r>
              <w:rPr>
                <w:rFonts w:ascii="Arial" w:cs="Arial" w:eastAsia="Arial" w:hAnsi="Arial"/>
                <w:sz w:val="22"/>
                <w:szCs w:val="22"/>
                <w:b w:val="1"/>
                <w:bCs w:val="1"/>
                <w:color w:val="355A89"/>
                <w:w w:val="96"/>
                <w:vertAlign w:val="superscript"/>
              </w:rPr>
              <w:t>(1)</w:t>
            </w:r>
          </w:p>
        </w:tc>
      </w:tr>
      <w:tr>
        <w:trPr>
          <w:trHeight w:val="237"/>
        </w:trPr>
        <w:tc>
          <w:tcPr>
            <w:tcW w:w="598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Normalized FFO per share</w:t>
            </w:r>
          </w:p>
        </w:tc>
        <w:tc>
          <w:tcPr>
            <w:tcW w:w="160" w:type="dxa"/>
            <w:vAlign w:val="bottom"/>
          </w:tcPr>
          <w:p>
            <w:pPr>
              <w:spacing w:after="0"/>
              <w:rPr>
                <w:sz w:val="20"/>
                <w:szCs w:val="20"/>
                <w:color w:val="auto"/>
              </w:rPr>
            </w:pP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8797B7"/>
            </w:tcBorders>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20"/>
                <w:szCs w:val="20"/>
                <w:color w:val="auto"/>
              </w:rPr>
            </w:pPr>
          </w:p>
        </w:tc>
        <w:tc>
          <w:tcPr>
            <w:tcW w:w="1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20"/>
                <w:szCs w:val="20"/>
                <w:color w:val="auto"/>
              </w:rPr>
            </w:pPr>
          </w:p>
        </w:tc>
        <w:tc>
          <w:tcPr>
            <w:tcW w:w="200" w:type="dxa"/>
            <w:vAlign w:val="bottom"/>
            <w:tcBorders>
              <w:bottom w:val="single" w:sz="8" w:color="8797B7"/>
            </w:tcBorders>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20"/>
                <w:szCs w:val="20"/>
                <w:color w:val="auto"/>
              </w:rPr>
            </w:pPr>
          </w:p>
        </w:tc>
        <w:tc>
          <w:tcPr>
            <w:tcW w:w="1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6.85</w:t>
            </w:r>
          </w:p>
        </w:tc>
      </w:tr>
      <w:tr>
        <w:trPr>
          <w:trHeight w:val="310"/>
        </w:trPr>
        <w:tc>
          <w:tcPr>
            <w:tcW w:w="5980" w:type="dxa"/>
            <w:vAlign w:val="bottom"/>
            <w:tcBorders>
              <w:bottom w:val="single" w:sz="8" w:color="8797B7"/>
            </w:tcBorders>
          </w:tcPr>
          <w:p>
            <w:pPr>
              <w:spacing w:after="0" w:line="310" w:lineRule="exact"/>
              <w:rPr>
                <w:sz w:val="20"/>
                <w:szCs w:val="20"/>
                <w:color w:val="auto"/>
              </w:rPr>
            </w:pPr>
            <w:r>
              <w:rPr>
                <w:rFonts w:ascii="Arial" w:cs="Arial" w:eastAsia="Arial" w:hAnsi="Arial"/>
                <w:sz w:val="18"/>
                <w:szCs w:val="18"/>
                <w:color w:val="auto"/>
              </w:rPr>
              <w:t>Annual same-store cash NOI growth</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8797B7"/>
            </w:tcBorders>
          </w:tcPr>
          <w:p>
            <w:pPr>
              <w:spacing w:after="0"/>
              <w:rPr>
                <w:sz w:val="24"/>
                <w:szCs w:val="24"/>
                <w:color w:val="auto"/>
              </w:rPr>
            </w:pPr>
          </w:p>
        </w:tc>
        <w:tc>
          <w:tcPr>
            <w:tcW w:w="7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0.875%</w:t>
            </w:r>
          </w:p>
        </w:tc>
        <w:tc>
          <w:tcPr>
            <w:tcW w:w="160" w:type="dxa"/>
            <w:vAlign w:val="bottom"/>
          </w:tcPr>
          <w:p>
            <w:pPr>
              <w:spacing w:after="0"/>
              <w:rPr>
                <w:sz w:val="24"/>
                <w:szCs w:val="24"/>
                <w:color w:val="auto"/>
              </w:rPr>
            </w:pPr>
          </w:p>
        </w:tc>
        <w:tc>
          <w:tcPr>
            <w:tcW w:w="160" w:type="dxa"/>
            <w:vAlign w:val="bottom"/>
            <w:tcBorders>
              <w:bottom w:val="single" w:sz="8" w:color="8797B7"/>
            </w:tcBorders>
          </w:tcPr>
          <w:p>
            <w:pPr>
              <w:spacing w:after="0"/>
              <w:rPr>
                <w:sz w:val="24"/>
                <w:szCs w:val="24"/>
                <w:color w:val="auto"/>
              </w:rPr>
            </w:pP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4"/>
                <w:szCs w:val="24"/>
                <w:color w:val="auto"/>
              </w:rPr>
            </w:pPr>
          </w:p>
        </w:tc>
        <w:tc>
          <w:tcPr>
            <w:tcW w:w="200" w:type="dxa"/>
            <w:vAlign w:val="bottom"/>
            <w:tcBorders>
              <w:bottom w:val="single" w:sz="8" w:color="8797B7"/>
            </w:tcBorders>
          </w:tcPr>
          <w:p>
            <w:pPr>
              <w:spacing w:after="0"/>
              <w:rPr>
                <w:sz w:val="24"/>
                <w:szCs w:val="24"/>
                <w:color w:val="auto"/>
              </w:rPr>
            </w:pPr>
          </w:p>
        </w:tc>
        <w:tc>
          <w:tcPr>
            <w:tcW w:w="7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2.750%</w:t>
            </w:r>
          </w:p>
        </w:tc>
        <w:tc>
          <w:tcPr>
            <w:tcW w:w="160" w:type="dxa"/>
            <w:vAlign w:val="bottom"/>
          </w:tcPr>
          <w:p>
            <w:pPr>
              <w:spacing w:after="0"/>
              <w:rPr>
                <w:sz w:val="24"/>
                <w:szCs w:val="24"/>
                <w:color w:val="auto"/>
              </w:rPr>
            </w:pPr>
          </w:p>
        </w:tc>
        <w:tc>
          <w:tcPr>
            <w:tcW w:w="100" w:type="dxa"/>
            <w:vAlign w:val="bottom"/>
            <w:tcBorders>
              <w:bottom w:val="single" w:sz="8" w:color="8797B7"/>
            </w:tcBorders>
          </w:tcPr>
          <w:p>
            <w:pPr>
              <w:spacing w:after="0"/>
              <w:rPr>
                <w:sz w:val="24"/>
                <w:szCs w:val="24"/>
                <w:color w:val="auto"/>
              </w:rPr>
            </w:pPr>
          </w:p>
        </w:tc>
        <w:tc>
          <w:tcPr>
            <w:tcW w:w="9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98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Dividend growth</w:t>
            </w:r>
          </w:p>
        </w:tc>
        <w:tc>
          <w:tcPr>
            <w:tcW w:w="160" w:type="dxa"/>
            <w:vAlign w:val="bottom"/>
          </w:tcPr>
          <w:p>
            <w:pPr>
              <w:spacing w:after="0"/>
              <w:rPr>
                <w:sz w:val="20"/>
                <w:szCs w:val="20"/>
                <w:color w:val="auto"/>
              </w:rPr>
            </w:pP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8797B7"/>
            </w:tcBorders>
          </w:tcPr>
          <w:p>
            <w:pPr>
              <w:spacing w:after="0"/>
              <w:rPr>
                <w:sz w:val="20"/>
                <w:szCs w:val="20"/>
                <w:color w:val="auto"/>
              </w:rPr>
            </w:pPr>
          </w:p>
        </w:tc>
        <w:tc>
          <w:tcPr>
            <w:tcW w:w="7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p>
        </w:tc>
        <w:tc>
          <w:tcPr>
            <w:tcW w:w="160" w:type="dxa"/>
            <w:vAlign w:val="bottom"/>
            <w:tcBorders>
              <w:bottom w:val="single" w:sz="8" w:color="8797B7"/>
            </w:tcBorders>
          </w:tcPr>
          <w:p>
            <w:pPr>
              <w:spacing w:after="0"/>
              <w:rPr>
                <w:sz w:val="20"/>
                <w:szCs w:val="20"/>
                <w:color w:val="auto"/>
              </w:rPr>
            </w:pPr>
          </w:p>
        </w:tc>
        <w:tc>
          <w:tcPr>
            <w:tcW w:w="6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0"/>
                <w:szCs w:val="20"/>
                <w:color w:val="auto"/>
              </w:rPr>
            </w:pPr>
          </w:p>
        </w:tc>
        <w:tc>
          <w:tcPr>
            <w:tcW w:w="200" w:type="dxa"/>
            <w:vAlign w:val="bottom"/>
            <w:tcBorders>
              <w:bottom w:val="single" w:sz="8" w:color="8797B7"/>
            </w:tcBorders>
          </w:tcPr>
          <w:p>
            <w:pPr>
              <w:spacing w:after="0"/>
              <w:rPr>
                <w:sz w:val="20"/>
                <w:szCs w:val="20"/>
                <w:color w:val="auto"/>
              </w:rPr>
            </w:pPr>
          </w:p>
        </w:tc>
        <w:tc>
          <w:tcPr>
            <w:tcW w:w="7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20"/>
                <w:szCs w:val="20"/>
                <w:color w:val="auto"/>
              </w:rPr>
            </w:pPr>
          </w:p>
        </w:tc>
        <w:tc>
          <w:tcPr>
            <w:tcW w:w="100" w:type="dxa"/>
            <w:vAlign w:val="bottom"/>
            <w:tcBorders>
              <w:bottom w:val="single" w:sz="8" w:color="8797B7"/>
            </w:tcBorders>
          </w:tcPr>
          <w:p>
            <w:pPr>
              <w:spacing w:after="0"/>
              <w:rPr>
                <w:sz w:val="20"/>
                <w:szCs w:val="20"/>
                <w:color w:val="auto"/>
              </w:rPr>
            </w:pPr>
          </w:p>
        </w:tc>
        <w:tc>
          <w:tcPr>
            <w:tcW w:w="96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2.80%</w:t>
            </w:r>
          </w:p>
        </w:tc>
      </w:tr>
      <w:tr>
        <w:trPr>
          <w:trHeight w:val="250"/>
        </w:trPr>
        <w:tc>
          <w:tcPr>
            <w:tcW w:w="598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G&amp;A expense (in millions)</w:t>
            </w:r>
          </w:p>
        </w:tc>
        <w:tc>
          <w:tcPr>
            <w:tcW w:w="160" w:type="dxa"/>
            <w:vAlign w:val="bottom"/>
          </w:tcPr>
          <w:p>
            <w:pPr>
              <w:spacing w:after="0"/>
              <w:rPr>
                <w:sz w:val="21"/>
                <w:szCs w:val="21"/>
                <w:color w:val="auto"/>
              </w:rPr>
            </w:pP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355889"/>
            </w:tcBorders>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104.00</w:t>
            </w:r>
          </w:p>
        </w:tc>
        <w:tc>
          <w:tcPr>
            <w:tcW w:w="160" w:type="dxa"/>
            <w:vAlign w:val="bottom"/>
          </w:tcPr>
          <w:p>
            <w:pPr>
              <w:spacing w:after="0"/>
              <w:rPr>
                <w:sz w:val="21"/>
                <w:szCs w:val="21"/>
                <w:color w:val="auto"/>
              </w:rPr>
            </w:pPr>
          </w:p>
        </w:tc>
        <w:tc>
          <w:tcPr>
            <w:tcW w:w="1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101.00</w:t>
            </w:r>
          </w:p>
        </w:tc>
        <w:tc>
          <w:tcPr>
            <w:tcW w:w="160" w:type="dxa"/>
            <w:vAlign w:val="bottom"/>
          </w:tcPr>
          <w:p>
            <w:pPr>
              <w:spacing w:after="0"/>
              <w:rPr>
                <w:sz w:val="21"/>
                <w:szCs w:val="21"/>
                <w:color w:val="auto"/>
              </w:rPr>
            </w:pPr>
          </w:p>
        </w:tc>
        <w:tc>
          <w:tcPr>
            <w:tcW w:w="200" w:type="dxa"/>
            <w:vAlign w:val="bottom"/>
            <w:tcBorders>
              <w:bottom w:val="single" w:sz="8" w:color="355889"/>
            </w:tcBorders>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99.00</w:t>
            </w:r>
          </w:p>
        </w:tc>
        <w:tc>
          <w:tcPr>
            <w:tcW w:w="160" w:type="dxa"/>
            <w:vAlign w:val="bottom"/>
          </w:tcPr>
          <w:p>
            <w:pPr>
              <w:spacing w:after="0"/>
              <w:rPr>
                <w:sz w:val="21"/>
                <w:szCs w:val="21"/>
                <w:color w:val="auto"/>
              </w:rPr>
            </w:pPr>
          </w:p>
        </w:tc>
        <w:tc>
          <w:tcPr>
            <w:tcW w:w="10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90.70</w:t>
            </w:r>
          </w:p>
        </w:tc>
      </w:tr>
    </w:tbl>
    <w:p>
      <w:pPr>
        <w:spacing w:after="0" w:line="107" w:lineRule="exact"/>
        <w:rPr>
          <w:sz w:val="20"/>
          <w:szCs w:val="20"/>
          <w:color w:val="auto"/>
        </w:rPr>
      </w:pPr>
    </w:p>
    <w:p>
      <w:pPr>
        <w:ind w:left="320" w:right="40" w:hanging="312"/>
        <w:spacing w:after="0" w:line="248" w:lineRule="auto"/>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Consistent with the timing of prior years, payouts and determinations under the annual cash bonus program were made in December 2020 based on a combination of actual results through that point in time and estimates of full-year results. In prior years, to the extent actual full year performance differed from estimated performance, the Committee adjusted cash bonus payments in the following year, but, for 2020, the Committee will make no adjustments due to the supplemental discretionary bonuses made for 2020.</w:t>
      </w:r>
    </w:p>
    <w:p>
      <w:pPr>
        <w:spacing w:after="0" w:line="49" w:lineRule="exact"/>
        <w:rPr>
          <w:rFonts w:ascii="Arial" w:cs="Arial" w:eastAsia="Arial" w:hAnsi="Arial"/>
          <w:sz w:val="13"/>
          <w:szCs w:val="13"/>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Excludes lease termination income and free rent at 1515 Broadway.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These performance criteria were chosen by the Committee because they are key drivers of stockholder value creation:</w:t>
      </w:r>
    </w:p>
    <w:p>
      <w:pPr>
        <w:spacing w:after="0" w:line="185" w:lineRule="exact"/>
        <w:rPr>
          <w:sz w:val="20"/>
          <w:szCs w:val="20"/>
          <w:color w:val="auto"/>
        </w:rPr>
      </w:pPr>
    </w:p>
    <w:p>
      <w:pPr>
        <w:ind w:left="540" w:right="1080" w:hanging="262"/>
        <w:spacing w:after="0" w:line="271" w:lineRule="auto"/>
        <w:tabs>
          <w:tab w:leader="none" w:pos="540" w:val="left"/>
        </w:tabs>
        <w:numPr>
          <w:ilvl w:val="0"/>
          <w:numId w:val="89"/>
        </w:numPr>
        <w:rPr>
          <w:rFonts w:ascii="Arial" w:cs="Arial" w:eastAsia="Arial" w:hAnsi="Arial"/>
          <w:sz w:val="17"/>
          <w:szCs w:val="17"/>
          <w:color w:val="355A89"/>
        </w:rPr>
      </w:pPr>
      <w:r>
        <w:rPr>
          <w:rFonts w:ascii="Arial" w:cs="Arial" w:eastAsia="Arial" w:hAnsi="Arial"/>
          <w:sz w:val="18"/>
          <w:szCs w:val="18"/>
          <w:b w:val="1"/>
          <w:bCs w:val="1"/>
          <w:color w:val="auto"/>
        </w:rPr>
        <w:t xml:space="preserve">FFO per share: </w:t>
      </w:r>
      <w:r>
        <w:rPr>
          <w:rFonts w:ascii="Arial" w:cs="Arial" w:eastAsia="Arial" w:hAnsi="Arial"/>
          <w:sz w:val="18"/>
          <w:szCs w:val="18"/>
          <w:color w:val="auto"/>
        </w:rPr>
        <w:t>is a widely-used non-GAAP measure of earnings performance for REITs, used both by investors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a key financial measure for which we provide guidance.</w:t>
      </w:r>
    </w:p>
    <w:p>
      <w:pPr>
        <w:spacing w:after="0" w:line="5" w:lineRule="exact"/>
        <w:rPr>
          <w:rFonts w:ascii="Arial" w:cs="Arial" w:eastAsia="Arial" w:hAnsi="Arial"/>
          <w:sz w:val="17"/>
          <w:szCs w:val="17"/>
          <w:color w:val="355A89"/>
        </w:rPr>
      </w:pPr>
    </w:p>
    <w:p>
      <w:pPr>
        <w:ind w:left="540" w:right="20" w:hanging="262"/>
        <w:spacing w:after="0" w:line="253" w:lineRule="auto"/>
        <w:tabs>
          <w:tab w:leader="none" w:pos="540" w:val="left"/>
        </w:tabs>
        <w:numPr>
          <w:ilvl w:val="0"/>
          <w:numId w:val="89"/>
        </w:numPr>
        <w:rPr>
          <w:rFonts w:ascii="Arial" w:cs="Arial" w:eastAsia="Arial" w:hAnsi="Arial"/>
          <w:sz w:val="17"/>
          <w:szCs w:val="17"/>
          <w:color w:val="355A89"/>
        </w:rPr>
      </w:pPr>
      <w:r>
        <w:rPr>
          <w:rFonts w:ascii="Arial" w:cs="Arial" w:eastAsia="Arial" w:hAnsi="Arial"/>
          <w:sz w:val="18"/>
          <w:szCs w:val="18"/>
          <w:b w:val="1"/>
          <w:bCs w:val="1"/>
          <w:color w:val="auto"/>
        </w:rPr>
        <w:t xml:space="preserve">Annual same-store cash NOI growth: </w:t>
      </w:r>
      <w:r>
        <w:rPr>
          <w:rFonts w:ascii="Arial" w:cs="Arial" w:eastAsia="Arial" w:hAnsi="Arial"/>
          <w:sz w:val="18"/>
          <w:szCs w:val="18"/>
          <w:color w:val="auto"/>
        </w:rPr>
        <w:t>cash NOI is a key metric used to evaluate the operating performance of our properties. Same-store cash NOI is used to evaluate the operating performance of the properties owned by us in a similar manner in both reporting periods (year over year).</w:t>
      </w:r>
    </w:p>
    <w:p>
      <w:pPr>
        <w:spacing w:after="0" w:line="20" w:lineRule="exact"/>
        <w:rPr>
          <w:rFonts w:ascii="Arial" w:cs="Arial" w:eastAsia="Arial" w:hAnsi="Arial"/>
          <w:sz w:val="17"/>
          <w:szCs w:val="17"/>
          <w:color w:val="355A89"/>
        </w:rPr>
      </w:pPr>
    </w:p>
    <w:p>
      <w:pPr>
        <w:ind w:left="540" w:hanging="262"/>
        <w:spacing w:after="0"/>
        <w:tabs>
          <w:tab w:leader="none" w:pos="540" w:val="left"/>
        </w:tabs>
        <w:numPr>
          <w:ilvl w:val="0"/>
          <w:numId w:val="89"/>
        </w:numPr>
        <w:rPr>
          <w:rFonts w:ascii="Arial" w:cs="Arial" w:eastAsia="Arial" w:hAnsi="Arial"/>
          <w:sz w:val="17"/>
          <w:szCs w:val="17"/>
          <w:color w:val="355A89"/>
        </w:rPr>
      </w:pPr>
      <w:r>
        <w:rPr>
          <w:rFonts w:ascii="Arial" w:cs="Arial" w:eastAsia="Arial" w:hAnsi="Arial"/>
          <w:sz w:val="18"/>
          <w:szCs w:val="18"/>
          <w:b w:val="1"/>
          <w:bCs w:val="1"/>
          <w:color w:val="auto"/>
        </w:rPr>
        <w:t xml:space="preserve">Dividend growth: </w:t>
      </w:r>
      <w:r>
        <w:rPr>
          <w:rFonts w:ascii="Arial" w:cs="Arial" w:eastAsia="Arial" w:hAnsi="Arial"/>
          <w:sz w:val="18"/>
          <w:szCs w:val="18"/>
          <w:color w:val="auto"/>
        </w:rPr>
        <w:t>represents a key measure of the income we return to stockholders each year.</w:t>
      </w:r>
    </w:p>
    <w:p>
      <w:pPr>
        <w:spacing w:after="0" w:line="63" w:lineRule="exact"/>
        <w:rPr>
          <w:rFonts w:ascii="Arial" w:cs="Arial" w:eastAsia="Arial" w:hAnsi="Arial"/>
          <w:sz w:val="17"/>
          <w:szCs w:val="17"/>
          <w:color w:val="355A89"/>
        </w:rPr>
      </w:pPr>
    </w:p>
    <w:p>
      <w:pPr>
        <w:ind w:left="540" w:right="680" w:hanging="262"/>
        <w:spacing w:after="0" w:line="271" w:lineRule="auto"/>
        <w:tabs>
          <w:tab w:leader="none" w:pos="540" w:val="left"/>
        </w:tabs>
        <w:numPr>
          <w:ilvl w:val="0"/>
          <w:numId w:val="89"/>
        </w:numPr>
        <w:rPr>
          <w:rFonts w:ascii="Arial" w:cs="Arial" w:eastAsia="Arial" w:hAnsi="Arial"/>
          <w:sz w:val="17"/>
          <w:szCs w:val="17"/>
          <w:color w:val="355A89"/>
        </w:rPr>
      </w:pPr>
      <w:r>
        <w:rPr>
          <w:rFonts w:ascii="Arial" w:cs="Arial" w:eastAsia="Arial" w:hAnsi="Arial"/>
          <w:sz w:val="18"/>
          <w:szCs w:val="18"/>
          <w:b w:val="1"/>
          <w:bCs w:val="1"/>
          <w:color w:val="auto"/>
        </w:rPr>
        <w:t xml:space="preserve">G&amp;A expense: </w:t>
      </w:r>
      <w:r>
        <w:rPr>
          <w:rFonts w:ascii="Arial" w:cs="Arial" w:eastAsia="Arial" w:hAnsi="Arial"/>
          <w:sz w:val="18"/>
          <w:szCs w:val="18"/>
          <w:color w:val="auto"/>
        </w:rPr>
        <w:t>represents corporate overhead and is a key efficiency metric impacting the overall profitability and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2020, consistent with our pay-for-performance compensation philosophy and the goals established for prior years, the Committee set rigorous performance goals based on the Company’s guidance and internal projections that required the Company to deliver strong financial and operating performance and accretive value to stockholders to achieve payouts above target levels.</w:t>
      </w:r>
    </w:p>
    <w:p>
      <w:pPr>
        <w:spacing w:after="0" w:line="20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For purposes of determining the formulaic annual cash bonus payable to our CEO and President for 2020, the Committee retained the above performance targets, even as it became apparent during the early stages of the COVID-19 pandemic that these goals would not and could not accurately capture the Company’s performance during 2020. While the Company</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revised its guidance in April 2020, the Committee determined it was more prudent to assess performance at the end of the year on a holistic basis and consider the need for supplemental discretionary bonuses at that time rather than changing preset goals before the full impact of the pandemic became clear.</w:t>
      </w:r>
    </w:p>
    <w:p>
      <w:pPr>
        <w:spacing w:after="0" w:line="208"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following table reflects the 2020 formulaic cash bonuses awarded to Messrs. Holliday and Mathias pursuant to our annual cash bonus program, presented based on the percentages of each executive’s target bonus: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Actual 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Actual 2020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8"/>
        </w:trPr>
        <w:tc>
          <w:tcPr>
            <w:tcW w:w="5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Target 2020</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Cash Bonus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Cash Bonus</w:t>
            </w:r>
          </w:p>
        </w:tc>
        <w:tc>
          <w:tcPr>
            <w:tcW w:w="12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Actual 2019</w:t>
            </w:r>
          </w:p>
        </w:tc>
        <w:tc>
          <w:tcPr>
            <w:tcW w:w="860" w:type="dxa"/>
            <w:vAlign w:val="bottom"/>
          </w:tcPr>
          <w:p>
            <w:pPr>
              <w:spacing w:after="0"/>
              <w:rPr>
                <w:sz w:val="12"/>
                <w:szCs w:val="12"/>
                <w:color w:val="auto"/>
              </w:rPr>
            </w:pPr>
          </w:p>
        </w:tc>
      </w:tr>
      <w:tr>
        <w:trPr>
          <w:trHeight w:val="175"/>
        </w:trPr>
        <w:tc>
          <w:tcPr>
            <w:tcW w:w="536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Cash Bonus ($)</w:t>
            </w:r>
          </w:p>
        </w:tc>
        <w:tc>
          <w:tcPr>
            <w:tcW w:w="1120" w:type="dxa"/>
            <w:vAlign w:val="bottom"/>
            <w:gridSpan w:val="3"/>
          </w:tcPr>
          <w:p>
            <w:pPr>
              <w:ind w:left="80"/>
              <w:spacing w:after="0" w:line="176" w:lineRule="exact"/>
              <w:rPr>
                <w:sz w:val="20"/>
                <w:szCs w:val="20"/>
                <w:color w:val="auto"/>
              </w:rPr>
            </w:pPr>
            <w:r>
              <w:rPr>
                <w:rFonts w:ascii="Arial" w:cs="Arial" w:eastAsia="Arial" w:hAnsi="Arial"/>
                <w:sz w:val="12"/>
                <w:szCs w:val="12"/>
                <w:b w:val="1"/>
                <w:bCs w:val="1"/>
                <w:color w:val="355A89"/>
              </w:rPr>
              <w:t>(% of Target)</w:t>
            </w:r>
            <w:r>
              <w:rPr>
                <w:rFonts w:ascii="Arial" w:cs="Arial" w:eastAsia="Arial" w:hAnsi="Arial"/>
                <w:sz w:val="20"/>
                <w:szCs w:val="20"/>
                <w:b w:val="1"/>
                <w:bCs w:val="1"/>
                <w:color w:val="355A89"/>
                <w:vertAlign w:val="superscript"/>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Cash Bonus ($)</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355A89"/>
              </w:rPr>
              <w:t>% Change</w:t>
            </w:r>
          </w:p>
        </w:tc>
      </w:tr>
      <w:tr>
        <w:trPr>
          <w:trHeight w:val="27"/>
        </w:trPr>
        <w:tc>
          <w:tcPr>
            <w:tcW w:w="536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55A89"/>
          </w:tcPr>
          <w:p>
            <w:pPr>
              <w:spacing w:after="0"/>
              <w:rPr>
                <w:sz w:val="2"/>
                <w:szCs w:val="2"/>
                <w:color w:val="auto"/>
              </w:rPr>
            </w:pPr>
          </w:p>
        </w:tc>
        <w:tc>
          <w:tcPr>
            <w:tcW w:w="100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355A89"/>
          </w:tcPr>
          <w:p>
            <w:pPr>
              <w:spacing w:after="0"/>
              <w:rPr>
                <w:sz w:val="2"/>
                <w:szCs w:val="2"/>
                <w:color w:val="auto"/>
              </w:rPr>
            </w:pPr>
          </w:p>
        </w:tc>
        <w:tc>
          <w:tcPr>
            <w:tcW w:w="84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355A89"/>
          </w:tcPr>
          <w:p>
            <w:pPr>
              <w:spacing w:after="0"/>
              <w:rPr>
                <w:sz w:val="2"/>
                <w:szCs w:val="2"/>
                <w:color w:val="auto"/>
              </w:rPr>
            </w:pPr>
          </w:p>
        </w:tc>
        <w:tc>
          <w:tcPr>
            <w:tcW w:w="102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355A89"/>
          </w:tcPr>
          <w:p>
            <w:pPr>
              <w:spacing w:after="0"/>
              <w:rPr>
                <w:sz w:val="2"/>
                <w:szCs w:val="2"/>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242"/>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862,500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3,215,000</w:t>
            </w:r>
          </w:p>
        </w:tc>
        <w:tc>
          <w:tcPr>
            <w:tcW w:w="860" w:type="dxa"/>
            <w:vAlign w:val="bottom"/>
          </w:tcPr>
          <w:p>
            <w:pPr>
              <w:jc w:val="right"/>
              <w:spacing w:after="0"/>
              <w:rPr>
                <w:sz w:val="20"/>
                <w:szCs w:val="20"/>
                <w:color w:val="auto"/>
              </w:rPr>
            </w:pPr>
            <w:r>
              <w:rPr>
                <w:rFonts w:ascii="Arial" w:cs="Arial" w:eastAsia="Arial" w:hAnsi="Arial"/>
                <w:sz w:val="18"/>
                <w:szCs w:val="18"/>
                <w:color w:val="auto"/>
              </w:rPr>
              <w:t>-73.17%</w:t>
            </w:r>
          </w:p>
        </w:tc>
      </w:tr>
      <w:tr>
        <w:trPr>
          <w:trHeight w:val="21"/>
        </w:trPr>
        <w:tc>
          <w:tcPr>
            <w:tcW w:w="53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7F89AD"/>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7F89AD"/>
          </w:tcPr>
          <w:p>
            <w:pPr>
              <w:spacing w:after="0" w:line="20" w:lineRule="exact"/>
              <w:rPr>
                <w:sz w:val="1"/>
                <w:szCs w:val="1"/>
                <w:color w:val="auto"/>
              </w:rPr>
            </w:pPr>
          </w:p>
        </w:tc>
        <w:tc>
          <w:tcPr>
            <w:tcW w:w="8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7F89AD"/>
          </w:tcPr>
          <w:p>
            <w:pPr>
              <w:spacing w:after="0" w:line="20" w:lineRule="exact"/>
              <w:rPr>
                <w:sz w:val="1"/>
                <w:szCs w:val="1"/>
                <w:color w:val="auto"/>
              </w:rPr>
            </w:pPr>
          </w:p>
        </w:tc>
        <w:tc>
          <w:tcPr>
            <w:tcW w:w="102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7F89AD"/>
          </w:tcPr>
          <w:p>
            <w:pPr>
              <w:spacing w:after="0" w:line="20" w:lineRule="exact"/>
              <w:rPr>
                <w:sz w:val="1"/>
                <w:szCs w:val="1"/>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1,662,500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242"/>
              <w:spacing w:after="0"/>
              <w:rPr>
                <w:sz w:val="20"/>
                <w:szCs w:val="20"/>
                <w:color w:val="auto"/>
              </w:rPr>
            </w:pPr>
            <w:r>
              <w:rPr>
                <w:rFonts w:ascii="Arial" w:cs="Arial" w:eastAsia="Arial" w:hAnsi="Arial"/>
                <w:sz w:val="18"/>
                <w:szCs w:val="18"/>
                <w:color w:val="auto"/>
              </w:rPr>
              <w:t>34.57%</w:t>
            </w:r>
          </w:p>
        </w:tc>
        <w:tc>
          <w:tcPr>
            <w:tcW w:w="8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574,750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2,070,050</w:t>
            </w:r>
          </w:p>
        </w:tc>
        <w:tc>
          <w:tcPr>
            <w:tcW w:w="860" w:type="dxa"/>
            <w:vAlign w:val="bottom"/>
          </w:tcPr>
          <w:p>
            <w:pPr>
              <w:jc w:val="right"/>
              <w:spacing w:after="0"/>
              <w:rPr>
                <w:sz w:val="20"/>
                <w:szCs w:val="20"/>
                <w:color w:val="auto"/>
              </w:rPr>
            </w:pPr>
            <w:r>
              <w:rPr>
                <w:rFonts w:ascii="Arial" w:cs="Arial" w:eastAsia="Arial" w:hAnsi="Arial"/>
                <w:sz w:val="18"/>
                <w:szCs w:val="18"/>
                <w:color w:val="auto"/>
              </w:rPr>
              <w:t>-72.23%</w:t>
            </w:r>
          </w:p>
        </w:tc>
      </w:tr>
      <w:tr>
        <w:trPr>
          <w:trHeight w:val="35"/>
        </w:trPr>
        <w:tc>
          <w:tcPr>
            <w:tcW w:w="536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shd w:val="clear" w:color="auto" w:fill="355A89"/>
          </w:tcPr>
          <w:p>
            <w:pPr>
              <w:spacing w:after="0"/>
              <w:rPr>
                <w:sz w:val="3"/>
                <w:szCs w:val="3"/>
                <w:color w:val="auto"/>
              </w:rPr>
            </w:pPr>
          </w:p>
        </w:tc>
        <w:tc>
          <w:tcPr>
            <w:tcW w:w="1000" w:type="dxa"/>
            <w:vAlign w:val="bottom"/>
            <w:shd w:val="clear" w:color="auto" w:fill="355A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shd w:val="clear" w:color="auto" w:fill="355A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shd w:val="clear" w:color="auto" w:fill="355A89"/>
          </w:tcPr>
          <w:p>
            <w:pPr>
              <w:spacing w:after="0"/>
              <w:rPr>
                <w:sz w:val="3"/>
                <w:szCs w:val="3"/>
                <w:color w:val="auto"/>
              </w:rPr>
            </w:pPr>
          </w:p>
        </w:tc>
        <w:tc>
          <w:tcPr>
            <w:tcW w:w="84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shd w:val="clear" w:color="auto" w:fill="355A89"/>
          </w:tcPr>
          <w:p>
            <w:pPr>
              <w:spacing w:after="0"/>
              <w:rPr>
                <w:sz w:val="3"/>
                <w:szCs w:val="3"/>
                <w:color w:val="auto"/>
              </w:rPr>
            </w:pPr>
          </w:p>
        </w:tc>
        <w:tc>
          <w:tcPr>
            <w:tcW w:w="102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shd w:val="clear" w:color="auto" w:fill="355A89"/>
          </w:tcPr>
          <w:p>
            <w:pPr>
              <w:spacing w:after="0"/>
              <w:rPr>
                <w:sz w:val="3"/>
                <w:szCs w:val="3"/>
                <w:color w:val="auto"/>
              </w:rPr>
            </w:pPr>
          </w:p>
        </w:tc>
      </w:tr>
    </w:tbl>
    <w:p>
      <w:pPr>
        <w:spacing w:after="0" w:line="107" w:lineRule="exact"/>
        <w:rPr>
          <w:sz w:val="20"/>
          <w:szCs w:val="20"/>
          <w:color w:val="auto"/>
        </w:rPr>
      </w:pPr>
    </w:p>
    <w:p>
      <w:pPr>
        <w:ind w:left="320" w:right="200" w:hanging="312"/>
        <w:spacing w:after="0" w:line="258" w:lineRule="auto"/>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Consistent with the timing of prior years, payouts and determinations under the annual cash bonus program were made in December 2020 based on a combination of actual results through that point in time and estimates of full-year results.</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Annual Cash Bonus (Discretionary – All Named Executive Officers)</w:t>
      </w:r>
    </w:p>
    <w:p>
      <w:pPr>
        <w:spacing w:after="0" w:line="23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For 2020, the Committee determined that it was appropriate to award discretionary bonuses to each of our named executive officers. This decision was a departure from prior years, where Messrs. Holliday and Mathias received 100% formulaic bonuses and only bonuses for Messrs. DiLiberto and Levine were determined by the Committee in its discretion. The Committee assessed the same formulaic criteria as those set forth above under our 2020 formulaic annual cash bonus program, as well as additional factors relating to the long-term and short-term performance of our Company and the executive, the Committee’s view of appropriate annual incentive awards in light of the executive’s historical compensation, skill, experience and position, competitive market factors and other factors as were determined appropriate by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particular, in making these awards for 2020, the Committee sought to find a balance between:</w:t>
      </w:r>
    </w:p>
    <w:p>
      <w:pPr>
        <w:spacing w:after="0" w:line="212" w:lineRule="exact"/>
        <w:rPr>
          <w:sz w:val="20"/>
          <w:szCs w:val="20"/>
          <w:color w:val="auto"/>
        </w:rPr>
      </w:pPr>
    </w:p>
    <w:p>
      <w:pPr>
        <w:ind w:left="540" w:right="160" w:hanging="262"/>
        <w:spacing w:after="0" w:line="239" w:lineRule="auto"/>
        <w:tabs>
          <w:tab w:leader="none" w:pos="540" w:val="left"/>
        </w:tabs>
        <w:numPr>
          <w:ilvl w:val="0"/>
          <w:numId w:val="91"/>
        </w:numPr>
        <w:rPr>
          <w:rFonts w:ascii="Arial" w:cs="Arial" w:eastAsia="Arial" w:hAnsi="Arial"/>
          <w:sz w:val="17"/>
          <w:szCs w:val="17"/>
          <w:color w:val="355A89"/>
        </w:rPr>
      </w:pPr>
      <w:r>
        <w:rPr>
          <w:rFonts w:ascii="Arial" w:cs="Arial" w:eastAsia="Arial" w:hAnsi="Arial"/>
          <w:sz w:val="18"/>
          <w:szCs w:val="18"/>
          <w:color w:val="auto"/>
        </w:rPr>
        <w:t>rewarding executives for their contributions towards the significant operational achievements attained during the year despite the unique challenges brought about by the COVID-19 pandemic;</w:t>
      </w:r>
    </w:p>
    <w:p>
      <w:pPr>
        <w:spacing w:after="0" w:line="60" w:lineRule="exact"/>
        <w:rPr>
          <w:rFonts w:ascii="Arial" w:cs="Arial" w:eastAsia="Arial" w:hAnsi="Arial"/>
          <w:sz w:val="17"/>
          <w:szCs w:val="17"/>
          <w:color w:val="355A89"/>
        </w:rPr>
      </w:pPr>
    </w:p>
    <w:p>
      <w:pPr>
        <w:ind w:left="540" w:right="40" w:hanging="262"/>
        <w:spacing w:after="0" w:line="238" w:lineRule="auto"/>
        <w:tabs>
          <w:tab w:leader="none" w:pos="540" w:val="left"/>
        </w:tabs>
        <w:numPr>
          <w:ilvl w:val="0"/>
          <w:numId w:val="91"/>
        </w:numPr>
        <w:rPr>
          <w:rFonts w:ascii="Arial" w:cs="Arial" w:eastAsia="Arial" w:hAnsi="Arial"/>
          <w:sz w:val="17"/>
          <w:szCs w:val="17"/>
          <w:color w:val="355A89"/>
        </w:rPr>
      </w:pPr>
      <w:r>
        <w:rPr>
          <w:rFonts w:ascii="Arial" w:cs="Arial" w:eastAsia="Arial" w:hAnsi="Arial"/>
          <w:sz w:val="18"/>
          <w:szCs w:val="18"/>
          <w:color w:val="auto"/>
        </w:rPr>
        <w:t>ensuring that annual incentive award and total compensation amounts were in line with the prevailing market levels and addressed recruitment and retention needs in the competitive New York City commercial real estate markets where we actively compete for business opportunities and executive talent, including some companies and firms that are not publicly-traded;</w:t>
      </w:r>
    </w:p>
    <w:p>
      <w:pPr>
        <w:spacing w:after="0" w:line="59" w:lineRule="exact"/>
        <w:rPr>
          <w:rFonts w:ascii="Arial" w:cs="Arial" w:eastAsia="Arial" w:hAnsi="Arial"/>
          <w:sz w:val="17"/>
          <w:szCs w:val="17"/>
          <w:color w:val="355A89"/>
        </w:rPr>
      </w:pPr>
    </w:p>
    <w:p>
      <w:pPr>
        <w:ind w:left="540" w:right="160" w:hanging="262"/>
        <w:spacing w:after="0" w:line="239" w:lineRule="auto"/>
        <w:tabs>
          <w:tab w:leader="none" w:pos="540" w:val="left"/>
        </w:tabs>
        <w:numPr>
          <w:ilvl w:val="0"/>
          <w:numId w:val="91"/>
        </w:numPr>
        <w:rPr>
          <w:rFonts w:ascii="Arial" w:cs="Arial" w:eastAsia="Arial" w:hAnsi="Arial"/>
          <w:sz w:val="17"/>
          <w:szCs w:val="17"/>
          <w:color w:val="355A89"/>
        </w:rPr>
      </w:pPr>
      <w:r>
        <w:rPr>
          <w:rFonts w:ascii="Arial" w:cs="Arial" w:eastAsia="Arial" w:hAnsi="Arial"/>
          <w:sz w:val="18"/>
          <w:szCs w:val="18"/>
          <w:color w:val="auto"/>
        </w:rPr>
        <w:t>continuing to ensure our compensation programs create alignment of management and stockholder interests by appropriately rewarding our named executive officers for the attainment of performance achievements that drive long-term value creation;</w:t>
      </w:r>
    </w:p>
    <w:p>
      <w:pPr>
        <w:spacing w:after="0" w:line="60" w:lineRule="exact"/>
        <w:rPr>
          <w:rFonts w:ascii="Arial" w:cs="Arial" w:eastAsia="Arial" w:hAnsi="Arial"/>
          <w:sz w:val="17"/>
          <w:szCs w:val="17"/>
          <w:color w:val="355A89"/>
        </w:rPr>
      </w:pPr>
    </w:p>
    <w:p>
      <w:pPr>
        <w:ind w:left="540" w:hanging="262"/>
        <w:spacing w:after="0"/>
        <w:tabs>
          <w:tab w:leader="none" w:pos="540" w:val="left"/>
        </w:tabs>
        <w:numPr>
          <w:ilvl w:val="0"/>
          <w:numId w:val="91"/>
        </w:numPr>
        <w:rPr>
          <w:rFonts w:ascii="Arial" w:cs="Arial" w:eastAsia="Arial" w:hAnsi="Arial"/>
          <w:sz w:val="17"/>
          <w:szCs w:val="17"/>
          <w:color w:val="355A89"/>
        </w:rPr>
      </w:pPr>
      <w:r>
        <w:rPr>
          <w:rFonts w:ascii="Arial" w:cs="Arial" w:eastAsia="Arial" w:hAnsi="Arial"/>
          <w:sz w:val="18"/>
          <w:szCs w:val="18"/>
          <w:color w:val="auto"/>
        </w:rPr>
        <w:t>recognizing the significant decline in our stock price during 2020 and the adverse impact on short-term stockholder returns;</w:t>
      </w:r>
    </w:p>
    <w:p>
      <w:pPr>
        <w:spacing w:after="0" w:line="63" w:lineRule="exact"/>
        <w:rPr>
          <w:rFonts w:ascii="Arial" w:cs="Arial" w:eastAsia="Arial" w:hAnsi="Arial"/>
          <w:sz w:val="17"/>
          <w:szCs w:val="17"/>
          <w:color w:val="355A89"/>
        </w:rPr>
      </w:pPr>
    </w:p>
    <w:p>
      <w:pPr>
        <w:ind w:left="540" w:right="100" w:hanging="262"/>
        <w:spacing w:after="0" w:line="275" w:lineRule="auto"/>
        <w:tabs>
          <w:tab w:leader="none" w:pos="540" w:val="left"/>
        </w:tabs>
        <w:numPr>
          <w:ilvl w:val="0"/>
          <w:numId w:val="91"/>
        </w:numPr>
        <w:rPr>
          <w:rFonts w:ascii="Arial" w:cs="Arial" w:eastAsia="Arial" w:hAnsi="Arial"/>
          <w:sz w:val="16"/>
          <w:szCs w:val="16"/>
          <w:color w:val="355A89"/>
        </w:rPr>
      </w:pPr>
      <w:r>
        <w:rPr>
          <w:rFonts w:ascii="Arial" w:cs="Arial" w:eastAsia="Arial" w:hAnsi="Arial"/>
          <w:sz w:val="16"/>
          <w:szCs w:val="16"/>
          <w:color w:val="auto"/>
        </w:rPr>
        <w:t>taking into account our performance as compared to specific company goals and objectives for 2020 that were presented at our annual investor conference in December 2019, including financial goals, achievement of leasing and occupancy targets, investing activities such as strategic acquisitions and dispositions and share repurchases, execution of our debt and preferred equity platform, joint venture and development milestones and the furtherance of our ESG initiatives, also as viewed through the lens of the COVID-19 pandemic; and</w:t>
      </w:r>
    </w:p>
    <w:p>
      <w:pPr>
        <w:spacing w:after="0" w:line="34" w:lineRule="exact"/>
        <w:rPr>
          <w:rFonts w:ascii="Arial" w:cs="Arial" w:eastAsia="Arial" w:hAnsi="Arial"/>
          <w:sz w:val="16"/>
          <w:szCs w:val="16"/>
          <w:color w:val="355A89"/>
        </w:rPr>
      </w:pPr>
    </w:p>
    <w:p>
      <w:pPr>
        <w:jc w:val="both"/>
        <w:ind w:left="540" w:right="100" w:hanging="262"/>
        <w:spacing w:after="0" w:line="238" w:lineRule="auto"/>
        <w:tabs>
          <w:tab w:leader="none" w:pos="540" w:val="left"/>
        </w:tabs>
        <w:numPr>
          <w:ilvl w:val="0"/>
          <w:numId w:val="91"/>
        </w:numPr>
        <w:rPr>
          <w:rFonts w:ascii="Arial" w:cs="Arial" w:eastAsia="Arial" w:hAnsi="Arial"/>
          <w:sz w:val="17"/>
          <w:szCs w:val="17"/>
          <w:color w:val="355A89"/>
        </w:rPr>
      </w:pPr>
      <w:r>
        <w:rPr>
          <w:rFonts w:ascii="Arial" w:cs="Arial" w:eastAsia="Arial" w:hAnsi="Arial"/>
          <w:sz w:val="18"/>
          <w:szCs w:val="18"/>
          <w:color w:val="auto"/>
        </w:rPr>
        <w:t>giving weight to the additional priorities that emerged during the course of the year as the pandemic unfolded and our responses to those changed circumstances, such as the successful deployment of our pandemic response plan and other business resiliency initiatives, our focus on employee and tenant wellness and our leadership in social responsibility.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annual bonus awards that were granted to our named executive officers for 2019 and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2020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Discretionary</w:t>
            </w:r>
          </w:p>
        </w:tc>
        <w:tc>
          <w:tcPr>
            <w:tcW w:w="8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355A89"/>
              </w:rPr>
              <w:t>2020 Formulaic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Aggregate</w:t>
            </w:r>
          </w:p>
        </w:tc>
        <w:tc>
          <w:tcPr>
            <w:tcW w:w="80" w:type="dxa"/>
            <w:vAlign w:val="bottom"/>
          </w:tcPr>
          <w:p>
            <w:pPr>
              <w:spacing w:after="0"/>
              <w:rPr>
                <w:sz w:val="12"/>
                <w:szCs w:val="12"/>
                <w:color w:val="auto"/>
              </w:rPr>
            </w:pPr>
          </w:p>
        </w:tc>
        <w:tc>
          <w:tcPr>
            <w:tcW w:w="128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355A89"/>
                <w:w w:val="99"/>
              </w:rPr>
              <w:t xml:space="preserve">2019 Bonus </w:t>
            </w:r>
            <w:r>
              <w:rPr>
                <w:rFonts w:ascii="Arial" w:cs="Arial" w:eastAsia="Arial" w:hAnsi="Arial"/>
                <w:sz w:val="13"/>
                <w:szCs w:val="13"/>
                <w:b w:val="1"/>
                <w:bCs w:val="1"/>
                <w:u w:val="single" w:color="auto"/>
                <w:color w:val="355A89"/>
                <w:w w:val="99"/>
              </w:rPr>
              <w:t>($</w:t>
            </w:r>
            <w:r>
              <w:rPr>
                <w:rFonts w:ascii="Arial" w:cs="Arial" w:eastAsia="Arial" w:hAnsi="Arial"/>
                <w:sz w:val="13"/>
                <w:szCs w:val="13"/>
                <w:b w:val="1"/>
                <w:bCs w:val="1"/>
                <w:color w:val="355A89"/>
                <w:w w:val="99"/>
              </w:rPr>
              <w:t>)</w:t>
            </w:r>
            <w:r>
              <w:rPr>
                <w:rFonts w:ascii="Arial" w:cs="Arial" w:eastAsia="Arial" w:hAnsi="Arial"/>
                <w:sz w:val="22"/>
                <w:szCs w:val="22"/>
                <w:b w:val="1"/>
                <w:bCs w:val="1"/>
                <w:color w:val="355A89"/>
                <w:w w:val="99"/>
                <w:vertAlign w:val="superscript"/>
              </w:rPr>
              <w:t>(1)</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10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A89"/>
              </w:rPr>
              <w:t>Bonus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355A89"/>
              </w:rPr>
              <w:t>Bonus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355A89"/>
              </w:rPr>
              <w:t>2020 Bonus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355A89"/>
              </w:rPr>
              <w:t>% Change</w:t>
            </w:r>
          </w:p>
        </w:tc>
        <w:tc>
          <w:tcPr>
            <w:tcW w:w="0" w:type="dxa"/>
            <w:vAlign w:val="bottom"/>
          </w:tcPr>
          <w:p>
            <w:pPr>
              <w:spacing w:after="0"/>
              <w:rPr>
                <w:sz w:val="1"/>
                <w:szCs w:val="1"/>
                <w:color w:val="auto"/>
              </w:rPr>
            </w:pPr>
          </w:p>
        </w:tc>
      </w:tr>
      <w:tr>
        <w:trPr>
          <w:trHeight w:val="27"/>
        </w:trPr>
        <w:tc>
          <w:tcPr>
            <w:tcW w:w="510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355A89"/>
          </w:tcPr>
          <w:p>
            <w:pPr>
              <w:spacing w:after="0"/>
              <w:rPr>
                <w:sz w:val="2"/>
                <w:szCs w:val="2"/>
                <w:color w:val="auto"/>
              </w:rPr>
            </w:pPr>
          </w:p>
        </w:tc>
        <w:tc>
          <w:tcPr>
            <w:tcW w:w="96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78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355A89"/>
          </w:tcPr>
          <w:p>
            <w:pPr>
              <w:spacing w:after="0"/>
              <w:rPr>
                <w:sz w:val="2"/>
                <w:szCs w:val="2"/>
                <w:color w:val="auto"/>
              </w:rPr>
            </w:pPr>
          </w:p>
        </w:tc>
        <w:tc>
          <w:tcPr>
            <w:tcW w:w="100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355A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100" w:type="dxa"/>
            <w:vAlign w:val="bottom"/>
          </w:tcPr>
          <w:p>
            <w:pPr>
              <w:spacing w:after="0"/>
              <w:rPr>
                <w:sz w:val="20"/>
                <w:szCs w:val="20"/>
                <w:color w:val="auto"/>
              </w:rPr>
            </w:pPr>
            <w:r>
              <w:rPr>
                <w:rFonts w:ascii="Arial" w:cs="Arial" w:eastAsia="Arial" w:hAnsi="Arial"/>
                <w:sz w:val="18"/>
                <w:szCs w:val="18"/>
                <w:color w:val="auto"/>
              </w:rPr>
              <w:t>Marc Holliday</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1,637,500</w:t>
            </w:r>
          </w:p>
        </w:tc>
        <w:tc>
          <w:tcPr>
            <w:tcW w:w="80" w:type="dxa"/>
            <w:vAlign w:val="bottom"/>
          </w:tcPr>
          <w:p>
            <w:pPr>
              <w:spacing w:after="0"/>
              <w:rPr>
                <w:sz w:val="21"/>
                <w:szCs w:val="21"/>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862,500</w:t>
            </w:r>
          </w:p>
        </w:tc>
        <w:tc>
          <w:tcPr>
            <w:tcW w:w="8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21"/>
                <w:szCs w:val="21"/>
                <w:color w:val="auto"/>
              </w:rPr>
            </w:pPr>
          </w:p>
        </w:tc>
        <w:tc>
          <w:tcPr>
            <w:tcW w:w="30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3,215,000</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
        </w:trPr>
        <w:tc>
          <w:tcPr>
            <w:tcW w:w="5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7F89AD"/>
          </w:tcPr>
          <w:p>
            <w:pPr>
              <w:spacing w:after="0" w:line="20" w:lineRule="exact"/>
              <w:rPr>
                <w:sz w:val="1"/>
                <w:szCs w:val="1"/>
                <w:color w:val="auto"/>
              </w:rPr>
            </w:pPr>
          </w:p>
        </w:tc>
        <w:tc>
          <w:tcPr>
            <w:tcW w:w="96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7F89AD"/>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9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7F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Andrew Mathias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1,087,750</w:t>
            </w:r>
          </w:p>
        </w:tc>
        <w:tc>
          <w:tcPr>
            <w:tcW w:w="8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574,750</w:t>
            </w:r>
          </w:p>
        </w:tc>
        <w:tc>
          <w:tcPr>
            <w:tcW w:w="8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1,662,500</w:t>
            </w:r>
          </w:p>
        </w:tc>
        <w:tc>
          <w:tcPr>
            <w:tcW w:w="80" w:type="dxa"/>
            <w:vAlign w:val="bottom"/>
          </w:tcPr>
          <w:p>
            <w:pPr>
              <w:spacing w:after="0"/>
              <w:rPr>
                <w:sz w:val="20"/>
                <w:szCs w:val="20"/>
                <w:color w:val="auto"/>
              </w:rPr>
            </w:pPr>
          </w:p>
        </w:tc>
        <w:tc>
          <w:tcPr>
            <w:tcW w:w="30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2,070,050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
        </w:trPr>
        <w:tc>
          <w:tcPr>
            <w:tcW w:w="5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7F89AD"/>
          </w:tcPr>
          <w:p>
            <w:pPr>
              <w:spacing w:after="0" w:line="20" w:lineRule="exact"/>
              <w:rPr>
                <w:sz w:val="1"/>
                <w:szCs w:val="1"/>
                <w:color w:val="auto"/>
              </w:rPr>
            </w:pPr>
          </w:p>
        </w:tc>
        <w:tc>
          <w:tcPr>
            <w:tcW w:w="96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7F89AD"/>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9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7F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Matthew J. DiLiberto</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1,710,000</w:t>
            </w:r>
          </w:p>
        </w:tc>
        <w:tc>
          <w:tcPr>
            <w:tcW w:w="80" w:type="dxa"/>
            <w:vAlign w:val="bottom"/>
          </w:tcPr>
          <w:p>
            <w:pPr>
              <w:spacing w:after="0"/>
              <w:rPr>
                <w:sz w:val="20"/>
                <w:szCs w:val="20"/>
                <w:color w:val="auto"/>
              </w:rPr>
            </w:pPr>
          </w:p>
        </w:tc>
        <w:tc>
          <w:tcPr>
            <w:tcW w:w="30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1,800,000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
        </w:trPr>
        <w:tc>
          <w:tcPr>
            <w:tcW w:w="5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7F89AD"/>
          </w:tcPr>
          <w:p>
            <w:pPr>
              <w:spacing w:after="0" w:line="20" w:lineRule="exact"/>
              <w:rPr>
                <w:sz w:val="1"/>
                <w:szCs w:val="1"/>
                <w:color w:val="auto"/>
              </w:rPr>
            </w:pPr>
          </w:p>
        </w:tc>
        <w:tc>
          <w:tcPr>
            <w:tcW w:w="96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78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7F89AD"/>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7F89AD"/>
          </w:tcPr>
          <w:p>
            <w:pPr>
              <w:spacing w:after="0" w:line="20" w:lineRule="exact"/>
              <w:rPr>
                <w:sz w:val="1"/>
                <w:szCs w:val="1"/>
                <w:color w:val="auto"/>
              </w:rPr>
            </w:pPr>
          </w:p>
        </w:tc>
        <w:tc>
          <w:tcPr>
            <w:tcW w:w="9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7F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Andrew S. Levine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1,075,000</w:t>
            </w:r>
          </w:p>
        </w:tc>
        <w:tc>
          <w:tcPr>
            <w:tcW w:w="80" w:type="dxa"/>
            <w:vAlign w:val="bottom"/>
          </w:tcPr>
          <w:p>
            <w:pPr>
              <w:spacing w:after="0"/>
              <w:rPr>
                <w:sz w:val="20"/>
                <w:szCs w:val="20"/>
                <w:color w:val="auto"/>
              </w:rPr>
            </w:pPr>
          </w:p>
        </w:tc>
        <w:tc>
          <w:tcPr>
            <w:tcW w:w="30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1,175,000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35"/>
        </w:trPr>
        <w:tc>
          <w:tcPr>
            <w:tcW w:w="510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shd w:val="clear" w:color="auto" w:fill="355A89"/>
          </w:tcPr>
          <w:p>
            <w:pPr>
              <w:spacing w:after="0"/>
              <w:rPr>
                <w:sz w:val="3"/>
                <w:szCs w:val="3"/>
                <w:color w:val="auto"/>
              </w:rPr>
            </w:pPr>
          </w:p>
        </w:tc>
        <w:tc>
          <w:tcPr>
            <w:tcW w:w="960" w:type="dxa"/>
            <w:vAlign w:val="bottom"/>
            <w:shd w:val="clear" w:color="auto" w:fill="355A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355A89"/>
          </w:tcPr>
          <w:p>
            <w:pPr>
              <w:spacing w:after="0"/>
              <w:rPr>
                <w:sz w:val="3"/>
                <w:szCs w:val="3"/>
                <w:color w:val="auto"/>
              </w:rPr>
            </w:pPr>
          </w:p>
        </w:tc>
        <w:tc>
          <w:tcPr>
            <w:tcW w:w="780" w:type="dxa"/>
            <w:vAlign w:val="bottom"/>
            <w:shd w:val="clear" w:color="auto" w:fill="355A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shd w:val="clear" w:color="auto" w:fill="355A89"/>
          </w:tcPr>
          <w:p>
            <w:pPr>
              <w:spacing w:after="0"/>
              <w:rPr>
                <w:sz w:val="3"/>
                <w:szCs w:val="3"/>
                <w:color w:val="auto"/>
              </w:rPr>
            </w:pPr>
          </w:p>
        </w:tc>
        <w:tc>
          <w:tcPr>
            <w:tcW w:w="1000" w:type="dxa"/>
            <w:vAlign w:val="bottom"/>
            <w:shd w:val="clear" w:color="auto" w:fill="355A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355A89"/>
          </w:tcPr>
          <w:p>
            <w:pPr>
              <w:spacing w:after="0"/>
              <w:rPr>
                <w:sz w:val="3"/>
                <w:szCs w:val="3"/>
                <w:color w:val="auto"/>
              </w:rPr>
            </w:pPr>
          </w:p>
        </w:tc>
        <w:tc>
          <w:tcPr>
            <w:tcW w:w="90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shd w:val="clear" w:color="auto" w:fill="355A8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100% formulaic bonus amounts for Messrs. Holliday and Mathias and discretionary bonus amounts for Messrs. DiLiberto and Levine.</w:t>
      </w:r>
    </w:p>
    <w:p>
      <w:pPr>
        <w:spacing w:after="0" w:line="286"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For 2020, the Committee used its discretion to pay aggregate bonus amounts to Messrs. Holliday and Mathias equal to the initially established target bonuses that could be earned pursuant to the formulaic cash bonus program. The aggregate amounts awarded constitute a substantial reduction from both the amounts earned by each executive in 2019, as well</w:t>
      </w:r>
    </w:p>
    <w:p>
      <w:pPr>
        <w:spacing w:after="0" w:line="208" w:lineRule="exact"/>
        <w:rPr>
          <w:sz w:val="20"/>
          <w:szCs w:val="20"/>
          <w:color w:val="auto"/>
        </w:rPr>
      </w:pPr>
    </w:p>
    <w:p>
      <w:pPr>
        <w:ind w:left="300" w:hanging="292"/>
        <w:spacing w:after="0"/>
        <w:tabs>
          <w:tab w:leader="none" w:pos="300" w:val="left"/>
        </w:tabs>
        <w:numPr>
          <w:ilvl w:val="0"/>
          <w:numId w:val="93"/>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3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the amounts that Messrs. Holliday and Mathias would have earned had the Committee modified the formulaic bonus goals to track the Company’s revised guidance issued in April 2020 after the onset of the pandemic. Pay for performance is an underlying principle of our compensation philosophy, and the Committee ultimately determined that bonus payments above target levels were not appropriate during a year in which overall financial and operational performance was below original expectations and our stock price declined significantly.</w:t>
      </w:r>
    </w:p>
    <w:p>
      <w:pPr>
        <w:spacing w:after="0" w:line="208"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Similarly, the Committee awarded reduced annual bonus amounts to Messrs. DiLiberto and Levine. The bonuses paid to Messrs. Holliday and Mathias were paid in December 2020 while the bonus paid to Messrs. DiLiberto and Levine were paid in early 2021. The bonuses were paid in the form of cash and LTIP units that were vested upon grant, but remain subject to no-sell restrictions until three years after their grant date as set forth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4"/>
                <w:szCs w:val="14"/>
                <w:color w:val="auto"/>
              </w:rPr>
            </w:pPr>
          </w:p>
        </w:tc>
        <w:tc>
          <w:tcPr>
            <w:tcW w:w="4120" w:type="dxa"/>
            <w:vAlign w:val="bottom"/>
            <w:gridSpan w:val="4"/>
          </w:tcPr>
          <w:p>
            <w:pPr>
              <w:spacing w:after="0"/>
              <w:rPr>
                <w:sz w:val="20"/>
                <w:szCs w:val="20"/>
                <w:color w:val="auto"/>
              </w:rPr>
            </w:pPr>
            <w:r>
              <w:rPr>
                <w:rFonts w:ascii="Arial" w:cs="Arial" w:eastAsia="Arial" w:hAnsi="Arial"/>
                <w:sz w:val="13"/>
                <w:szCs w:val="13"/>
                <w:b w:val="1"/>
                <w:bCs w:val="1"/>
                <w:color w:val="355A89"/>
              </w:rPr>
              <w:t xml:space="preserve">2020 Bonus Paid in Cash </w:t>
            </w:r>
            <w:r>
              <w:rPr>
                <w:rFonts w:ascii="Arial" w:cs="Arial" w:eastAsia="Arial" w:hAnsi="Arial"/>
                <w:sz w:val="13"/>
                <w:szCs w:val="13"/>
                <w:b w:val="1"/>
                <w:bCs w:val="1"/>
                <w:u w:val="single" w:color="auto"/>
                <w:color w:val="355A89"/>
              </w:rPr>
              <w:t>($</w:t>
            </w:r>
            <w:r>
              <w:rPr>
                <w:rFonts w:ascii="Arial" w:cs="Arial" w:eastAsia="Arial" w:hAnsi="Arial"/>
                <w:sz w:val="13"/>
                <w:szCs w:val="13"/>
                <w:b w:val="1"/>
                <w:bCs w:val="1"/>
                <w:color w:val="355A89"/>
              </w:rPr>
              <w:t>)   2020 Bonus Paid in LTIP Units (#)</w:t>
            </w:r>
          </w:p>
        </w:tc>
      </w:tr>
      <w:tr>
        <w:trPr>
          <w:trHeight w:val="237"/>
        </w:trPr>
        <w:tc>
          <w:tcPr>
            <w:tcW w:w="6960" w:type="dxa"/>
            <w:vAlign w:val="bottom"/>
            <w:tcBorders>
              <w:top w:val="single" w:sz="8" w:color="355A89"/>
              <w:bottom w:val="single" w:sz="8" w:color="7F89AD"/>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560" w:type="dxa"/>
            <w:vAlign w:val="bottom"/>
            <w:tcBorders>
              <w:top w:val="single" w:sz="8" w:color="355A89"/>
              <w:bottom w:val="single" w:sz="8" w:color="7F89AD"/>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355A89"/>
              <w:bottom w:val="single" w:sz="8" w:color="7F89AD"/>
            </w:tcBorders>
          </w:tcPr>
          <w:p>
            <w:pPr>
              <w:jc w:val="right"/>
              <w:spacing w:after="0"/>
              <w:rPr>
                <w:sz w:val="20"/>
                <w:szCs w:val="20"/>
                <w:color w:val="auto"/>
              </w:rPr>
            </w:pPr>
            <w:r>
              <w:rPr>
                <w:rFonts w:ascii="Arial" w:cs="Arial" w:eastAsia="Arial" w:hAnsi="Arial"/>
                <w:sz w:val="18"/>
                <w:szCs w:val="18"/>
                <w:color w:val="auto"/>
              </w:rPr>
              <w:t>1,250,001</w:t>
            </w:r>
          </w:p>
        </w:tc>
        <w:tc>
          <w:tcPr>
            <w:tcW w:w="160" w:type="dxa"/>
            <w:vAlign w:val="bottom"/>
          </w:tcPr>
          <w:p>
            <w:pPr>
              <w:spacing w:after="0"/>
              <w:rPr>
                <w:sz w:val="20"/>
                <w:szCs w:val="20"/>
                <w:color w:val="auto"/>
              </w:rPr>
            </w:pPr>
          </w:p>
        </w:tc>
        <w:tc>
          <w:tcPr>
            <w:tcW w:w="2140" w:type="dxa"/>
            <w:vAlign w:val="bottom"/>
            <w:tcBorders>
              <w:top w:val="single" w:sz="8" w:color="355A89"/>
              <w:bottom w:val="single" w:sz="8" w:color="7F89AD"/>
            </w:tcBorders>
          </w:tcPr>
          <w:p>
            <w:pPr>
              <w:jc w:val="right"/>
              <w:spacing w:after="0"/>
              <w:rPr>
                <w:sz w:val="20"/>
                <w:szCs w:val="20"/>
                <w:color w:val="auto"/>
              </w:rPr>
            </w:pPr>
            <w:r>
              <w:rPr>
                <w:rFonts w:ascii="Arial" w:cs="Arial" w:eastAsia="Arial" w:hAnsi="Arial"/>
                <w:sz w:val="18"/>
                <w:szCs w:val="18"/>
                <w:color w:val="auto"/>
              </w:rPr>
              <w:t>20,475</w:t>
            </w:r>
          </w:p>
        </w:tc>
      </w:tr>
      <w:tr>
        <w:trPr>
          <w:trHeight w:val="237"/>
        </w:trPr>
        <w:tc>
          <w:tcPr>
            <w:tcW w:w="696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560" w:type="dxa"/>
            <w:vAlign w:val="bottom"/>
            <w:tcBorders>
              <w:bottom w:val="single" w:sz="8" w:color="7F89AD"/>
            </w:tcBorders>
          </w:tcPr>
          <w:p>
            <w:pPr>
              <w:spacing w:after="0"/>
              <w:rPr>
                <w:sz w:val="20"/>
                <w:szCs w:val="20"/>
                <w:color w:val="auto"/>
              </w:rPr>
            </w:pPr>
          </w:p>
        </w:tc>
        <w:tc>
          <w:tcPr>
            <w:tcW w:w="126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4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27,231</w:t>
            </w:r>
          </w:p>
        </w:tc>
      </w:tr>
      <w:tr>
        <w:trPr>
          <w:trHeight w:val="236"/>
        </w:trPr>
        <w:tc>
          <w:tcPr>
            <w:tcW w:w="696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56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1,710,000</w:t>
            </w:r>
          </w:p>
        </w:tc>
        <w:tc>
          <w:tcPr>
            <w:tcW w:w="160" w:type="dxa"/>
            <w:vAlign w:val="bottom"/>
          </w:tcPr>
          <w:p>
            <w:pPr>
              <w:spacing w:after="0"/>
              <w:rPr>
                <w:sz w:val="20"/>
                <w:szCs w:val="20"/>
                <w:color w:val="auto"/>
              </w:rPr>
            </w:pPr>
          </w:p>
        </w:tc>
        <w:tc>
          <w:tcPr>
            <w:tcW w:w="214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960" w:type="dxa"/>
            <w:vAlign w:val="bottom"/>
            <w:tcBorders>
              <w:bottom w:val="single" w:sz="8" w:color="355A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560" w:type="dxa"/>
            <w:vAlign w:val="bottom"/>
            <w:tcBorders>
              <w:bottom w:val="single" w:sz="8" w:color="355A89"/>
            </w:tcBorders>
          </w:tcPr>
          <w:p>
            <w:pPr>
              <w:spacing w:after="0"/>
              <w:rPr>
                <w:sz w:val="21"/>
                <w:szCs w:val="21"/>
                <w:color w:val="auto"/>
              </w:rPr>
            </w:pPr>
          </w:p>
        </w:tc>
        <w:tc>
          <w:tcPr>
            <w:tcW w:w="126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14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17,697</w:t>
            </w:r>
          </w:p>
        </w:tc>
      </w:tr>
    </w:tbl>
    <w:p>
      <w:pPr>
        <w:spacing w:after="0" w:line="21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Messrs. DiLiberto and Levine, the Committee granted time-based cash awards in 2017 of $1,500,000 and $2,000,000, respectively, to aid with retention and provide further incentive for future performance. The remaining half of the award vested on December 31, 2020 and was paid in February 2021.</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2020 Equity Incentive Awards Targets</w:t>
      </w:r>
    </w:p>
    <w:p>
      <w:pPr>
        <w:spacing w:after="0" w:line="235"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For 2020, long-term equity incentives were provided to our named executive officers through the grant of performance-based LTIP units and time-based LTIP units in connection with employment agreements. The majority of these awards included performance-based vesting hurdles.</w:t>
      </w:r>
    </w:p>
    <w:p>
      <w:pPr>
        <w:spacing w:after="0" w:line="16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mentioned above, in response to feedback that we received during stockholder engagements meetings, we simplified our long-term equity incentive award program such that, for 2020, this program consisted solely of grants of performance-based equity awards with multi-year performance criteria and time-based equity awards that vest based on continued service as described in more detail below. The target amounts of performance-based equity awards and time-based equity awards for each of Messrs. Holliday, Mathias and Levine for 2020 are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6"/>
          </w:tcPr>
          <w:p>
            <w:pPr>
              <w:jc w:val="right"/>
              <w:ind w:right="12"/>
              <w:spacing w:after="0"/>
              <w:rPr>
                <w:sz w:val="20"/>
                <w:szCs w:val="20"/>
                <w:color w:val="auto"/>
              </w:rPr>
            </w:pPr>
            <w:r>
              <w:rPr>
                <w:rFonts w:ascii="Arial" w:cs="Arial" w:eastAsia="Arial" w:hAnsi="Arial"/>
                <w:sz w:val="13"/>
                <w:szCs w:val="13"/>
                <w:b w:val="1"/>
                <w:bCs w:val="1"/>
                <w:color w:val="355A89"/>
              </w:rPr>
              <w:t>Target Equity Award Amounts</w:t>
            </w:r>
          </w:p>
        </w:tc>
        <w:tc>
          <w:tcPr>
            <w:tcW w:w="960" w:type="dxa"/>
            <w:vAlign w:val="bottom"/>
          </w:tcPr>
          <w:p>
            <w:pPr>
              <w:spacing w:after="0"/>
              <w:rPr>
                <w:sz w:val="15"/>
                <w:szCs w:val="15"/>
                <w:color w:val="auto"/>
              </w:rPr>
            </w:pPr>
          </w:p>
        </w:tc>
      </w:tr>
      <w:tr>
        <w:trPr>
          <w:trHeight w:val="48"/>
        </w:trPr>
        <w:tc>
          <w:tcPr>
            <w:tcW w:w="7220" w:type="dxa"/>
            <w:vAlign w:val="bottom"/>
            <w:gridSpan w:val="2"/>
          </w:tcPr>
          <w:p>
            <w:pPr>
              <w:spacing w:after="0"/>
              <w:rPr>
                <w:sz w:val="4"/>
                <w:szCs w:val="4"/>
                <w:color w:val="auto"/>
              </w:rPr>
            </w:pPr>
          </w:p>
        </w:tc>
        <w:tc>
          <w:tcPr>
            <w:tcW w:w="1480" w:type="dxa"/>
            <w:vAlign w:val="bottom"/>
            <w:tcBorders>
              <w:bottom w:val="single" w:sz="8" w:color="355A89"/>
            </w:tcBorders>
            <w:gridSpan w:val="3"/>
          </w:tcPr>
          <w:p>
            <w:pPr>
              <w:spacing w:after="0"/>
              <w:rPr>
                <w:sz w:val="4"/>
                <w:szCs w:val="4"/>
                <w:color w:val="auto"/>
              </w:rPr>
            </w:pPr>
          </w:p>
        </w:tc>
        <w:tc>
          <w:tcPr>
            <w:tcW w:w="220" w:type="dxa"/>
            <w:vAlign w:val="bottom"/>
            <w:tcBorders>
              <w:bottom w:val="single" w:sz="8" w:color="355A89"/>
            </w:tcBorders>
          </w:tcPr>
          <w:p>
            <w:pPr>
              <w:spacing w:after="0"/>
              <w:rPr>
                <w:sz w:val="4"/>
                <w:szCs w:val="4"/>
                <w:color w:val="auto"/>
              </w:rPr>
            </w:pPr>
          </w:p>
        </w:tc>
        <w:tc>
          <w:tcPr>
            <w:tcW w:w="1080" w:type="dxa"/>
            <w:vAlign w:val="bottom"/>
            <w:tcBorders>
              <w:bottom w:val="single" w:sz="8" w:color="355A89"/>
            </w:tcBorders>
            <w:gridSpan w:val="2"/>
          </w:tcPr>
          <w:p>
            <w:pPr>
              <w:spacing w:after="0"/>
              <w:rPr>
                <w:sz w:val="4"/>
                <w:szCs w:val="4"/>
                <w:color w:val="auto"/>
              </w:rPr>
            </w:pPr>
          </w:p>
        </w:tc>
        <w:tc>
          <w:tcPr>
            <w:tcW w:w="280" w:type="dxa"/>
            <w:vAlign w:val="bottom"/>
            <w:tcBorders>
              <w:bottom w:val="single" w:sz="8" w:color="355A89"/>
            </w:tcBorders>
          </w:tcPr>
          <w:p>
            <w:pPr>
              <w:spacing w:after="0"/>
              <w:rPr>
                <w:sz w:val="4"/>
                <w:szCs w:val="4"/>
                <w:color w:val="auto"/>
              </w:rPr>
            </w:pPr>
          </w:p>
        </w:tc>
        <w:tc>
          <w:tcPr>
            <w:tcW w:w="960" w:type="dxa"/>
            <w:vAlign w:val="bottom"/>
            <w:tcBorders>
              <w:bottom w:val="single" w:sz="8" w:color="355A89"/>
            </w:tcBorders>
          </w:tcPr>
          <w:p>
            <w:pPr>
              <w:spacing w:after="0"/>
              <w:rPr>
                <w:sz w:val="4"/>
                <w:szCs w:val="4"/>
                <w:color w:val="auto"/>
              </w:rPr>
            </w:pPr>
          </w:p>
        </w:tc>
      </w:tr>
      <w:tr>
        <w:trPr>
          <w:trHeight w:val="202"/>
        </w:trPr>
        <w:tc>
          <w:tcPr>
            <w:tcW w:w="7220" w:type="dxa"/>
            <w:vAlign w:val="bottom"/>
            <w:gridSpan w:val="2"/>
          </w:tcPr>
          <w:p>
            <w:pPr>
              <w:spacing w:after="0"/>
              <w:rPr>
                <w:sz w:val="20"/>
                <w:szCs w:val="20"/>
                <w:color w:val="auto"/>
              </w:rPr>
            </w:pPr>
            <w:r>
              <w:rPr>
                <w:rFonts w:ascii="Arial" w:cs="Arial" w:eastAsia="Arial" w:hAnsi="Arial"/>
                <w:sz w:val="13"/>
                <w:szCs w:val="13"/>
                <w:b w:val="1"/>
                <w:bCs w:val="1"/>
                <w:color w:val="auto"/>
              </w:rPr>
              <w:t>Executive</w:t>
            </w:r>
          </w:p>
        </w:tc>
        <w:tc>
          <w:tcPr>
            <w:tcW w:w="1480" w:type="dxa"/>
            <w:vAlign w:val="bottom"/>
            <w:gridSpan w:val="3"/>
          </w:tcPr>
          <w:p>
            <w:pPr>
              <w:ind w:left="40"/>
              <w:spacing w:after="0"/>
              <w:rPr>
                <w:sz w:val="20"/>
                <w:szCs w:val="20"/>
                <w:color w:val="auto"/>
              </w:rPr>
            </w:pPr>
            <w:r>
              <w:rPr>
                <w:rFonts w:ascii="Arial" w:cs="Arial" w:eastAsia="Arial" w:hAnsi="Arial"/>
                <w:sz w:val="13"/>
                <w:szCs w:val="13"/>
                <w:b w:val="1"/>
                <w:bCs w:val="1"/>
                <w:color w:val="355A89"/>
              </w:rPr>
              <w:t>Performance-Based</w:t>
            </w:r>
          </w:p>
        </w:tc>
        <w:tc>
          <w:tcPr>
            <w:tcW w:w="2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Time-Based</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355A89"/>
              </w:rPr>
              <w:t>Total</w:t>
            </w:r>
          </w:p>
        </w:tc>
      </w:tr>
      <w:tr>
        <w:trPr>
          <w:trHeight w:val="48"/>
        </w:trPr>
        <w:tc>
          <w:tcPr>
            <w:tcW w:w="706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bottom w:val="single" w:sz="8" w:color="355A89"/>
            </w:tcBorders>
          </w:tcPr>
          <w:p>
            <w:pPr>
              <w:spacing w:after="0"/>
              <w:rPr>
                <w:sz w:val="4"/>
                <w:szCs w:val="4"/>
                <w:color w:val="auto"/>
              </w:rPr>
            </w:pPr>
          </w:p>
        </w:tc>
        <w:tc>
          <w:tcPr>
            <w:tcW w:w="90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355A89"/>
            </w:tcBorders>
          </w:tcPr>
          <w:p>
            <w:pPr>
              <w:spacing w:after="0"/>
              <w:rPr>
                <w:sz w:val="4"/>
                <w:szCs w:val="4"/>
                <w:color w:val="auto"/>
              </w:rPr>
            </w:pPr>
          </w:p>
        </w:tc>
        <w:tc>
          <w:tcPr>
            <w:tcW w:w="92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355A89"/>
            </w:tcBorders>
          </w:tcPr>
          <w:p>
            <w:pPr>
              <w:spacing w:after="0"/>
              <w:rPr>
                <w:sz w:val="4"/>
                <w:szCs w:val="4"/>
                <w:color w:val="auto"/>
              </w:rPr>
            </w:pPr>
          </w:p>
        </w:tc>
        <w:tc>
          <w:tcPr>
            <w:tcW w:w="960" w:type="dxa"/>
            <w:vAlign w:val="bottom"/>
            <w:tcBorders>
              <w:bottom w:val="single" w:sz="8" w:color="355A89"/>
            </w:tcBorders>
          </w:tcPr>
          <w:p>
            <w:pPr>
              <w:spacing w:after="0"/>
              <w:rPr>
                <w:sz w:val="4"/>
                <w:szCs w:val="4"/>
                <w:color w:val="auto"/>
              </w:rPr>
            </w:pPr>
          </w:p>
        </w:tc>
      </w:tr>
      <w:tr>
        <w:trPr>
          <w:trHeight w:val="237"/>
        </w:trPr>
        <w:tc>
          <w:tcPr>
            <w:tcW w:w="706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420" w:type="dxa"/>
            <w:vAlign w:val="bottom"/>
            <w:tcBorders>
              <w:bottom w:val="single" w:sz="8" w:color="7F89AD"/>
            </w:tcBorders>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7,500,000</w:t>
            </w:r>
          </w:p>
        </w:tc>
        <w:tc>
          <w:tcPr>
            <w:tcW w:w="160" w:type="dxa"/>
            <w:vAlign w:val="bottom"/>
          </w:tcPr>
          <w:p>
            <w:pPr>
              <w:spacing w:after="0"/>
              <w:rPr>
                <w:sz w:val="20"/>
                <w:szCs w:val="20"/>
                <w:color w:val="auto"/>
              </w:rPr>
            </w:pPr>
          </w:p>
        </w:tc>
        <w:tc>
          <w:tcPr>
            <w:tcW w:w="220" w:type="dxa"/>
            <w:vAlign w:val="bottom"/>
            <w:tcBorders>
              <w:bottom w:val="single" w:sz="8" w:color="7F89AD"/>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tcPr>
          <w:p>
            <w:pPr>
              <w:spacing w:after="0"/>
              <w:rPr>
                <w:sz w:val="20"/>
                <w:szCs w:val="20"/>
                <w:color w:val="auto"/>
              </w:rPr>
            </w:pPr>
          </w:p>
        </w:tc>
        <w:tc>
          <w:tcPr>
            <w:tcW w:w="280" w:type="dxa"/>
            <w:vAlign w:val="bottom"/>
            <w:tcBorders>
              <w:bottom w:val="single" w:sz="8" w:color="7F89AD"/>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12,000,000</w:t>
            </w:r>
          </w:p>
        </w:tc>
      </w:tr>
      <w:tr>
        <w:trPr>
          <w:trHeight w:val="236"/>
        </w:trPr>
        <w:tc>
          <w:tcPr>
            <w:tcW w:w="706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420" w:type="dxa"/>
            <w:vAlign w:val="bottom"/>
            <w:tcBorders>
              <w:bottom w:val="single" w:sz="8" w:color="7F89AD"/>
            </w:tcBorders>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20"/>
                <w:szCs w:val="20"/>
                <w:color w:val="auto"/>
              </w:rPr>
            </w:pPr>
          </w:p>
        </w:tc>
        <w:tc>
          <w:tcPr>
            <w:tcW w:w="220" w:type="dxa"/>
            <w:vAlign w:val="bottom"/>
            <w:tcBorders>
              <w:bottom w:val="single" w:sz="8" w:color="7F89AD"/>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20"/>
                <w:szCs w:val="20"/>
                <w:color w:val="auto"/>
              </w:rPr>
            </w:pPr>
          </w:p>
        </w:tc>
        <w:tc>
          <w:tcPr>
            <w:tcW w:w="280" w:type="dxa"/>
            <w:vAlign w:val="bottom"/>
            <w:tcBorders>
              <w:bottom w:val="single" w:sz="8" w:color="7F89AD"/>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7F89AD"/>
            </w:tcBorders>
          </w:tcPr>
          <w:p>
            <w:pPr>
              <w:jc w:val="right"/>
              <w:spacing w:after="0"/>
              <w:rPr>
                <w:sz w:val="20"/>
                <w:szCs w:val="20"/>
                <w:color w:val="auto"/>
              </w:rPr>
            </w:pPr>
            <w:r>
              <w:rPr>
                <w:rFonts w:ascii="Arial" w:cs="Arial" w:eastAsia="Arial" w:hAnsi="Arial"/>
                <w:sz w:val="18"/>
                <w:szCs w:val="18"/>
                <w:color w:val="auto"/>
              </w:rPr>
              <w:t>9,500,000</w:t>
            </w:r>
          </w:p>
        </w:tc>
      </w:tr>
      <w:tr>
        <w:trPr>
          <w:trHeight w:val="250"/>
        </w:trPr>
        <w:tc>
          <w:tcPr>
            <w:tcW w:w="7060" w:type="dxa"/>
            <w:vAlign w:val="bottom"/>
            <w:tcBorders>
              <w:bottom w:val="single" w:sz="8" w:color="355A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420" w:type="dxa"/>
            <w:vAlign w:val="bottom"/>
            <w:tcBorders>
              <w:bottom w:val="single" w:sz="8" w:color="355A89"/>
            </w:tcBorders>
          </w:tcPr>
          <w:p>
            <w:pPr>
              <w:spacing w:after="0"/>
              <w:rPr>
                <w:sz w:val="21"/>
                <w:szCs w:val="21"/>
                <w:color w:val="auto"/>
              </w:rPr>
            </w:pPr>
          </w:p>
        </w:tc>
        <w:tc>
          <w:tcPr>
            <w:tcW w:w="90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Borders>
              <w:bottom w:val="single" w:sz="8" w:color="355A89"/>
            </w:tcBorders>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1,300,000</w:t>
            </w:r>
          </w:p>
        </w:tc>
        <w:tc>
          <w:tcPr>
            <w:tcW w:w="160" w:type="dxa"/>
            <w:vAlign w:val="bottom"/>
          </w:tcPr>
          <w:p>
            <w:pPr>
              <w:spacing w:after="0"/>
              <w:rPr>
                <w:sz w:val="21"/>
                <w:szCs w:val="21"/>
                <w:color w:val="auto"/>
              </w:rPr>
            </w:pPr>
          </w:p>
        </w:tc>
        <w:tc>
          <w:tcPr>
            <w:tcW w:w="280" w:type="dxa"/>
            <w:vAlign w:val="bottom"/>
            <w:tcBorders>
              <w:bottom w:val="single" w:sz="8" w:color="355A89"/>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1,300,000</w:t>
            </w:r>
          </w:p>
        </w:tc>
      </w:tr>
    </w:tbl>
    <w:p>
      <w:pPr>
        <w:spacing w:after="0" w:line="21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target amounts of the performance-based and time-based equity awards for Messrs. Holliday, Mathias and Levine reflect amounts agreed to in each executive’s employment agreement. The target value of the performance-based equity awards for each of Messrs. Holliday and Mathias is more than 60% of the total annual target value of each executive’s long-term equity incentive awards. The terms of these performance-based and time-based equity awards are described in more detail below.</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Mr. Levine’s employment agreement does not provide for a target annual performance-based equity grant, but he is eligible to participate, at the Committee’s discretion, in our annual long-term performance-based equity award program. Mr. DiLiberto’s employment agreement that was in effect during 2020 was entered into before the Committee implemented these changes to our long-term equity incentive award program. Given that Mr. DiLiberto received a long-term equity award in connection with the signing of that employment agreement in 2018, Mr. DiLiberto does not currently participate in this aspect of our long-term equity incentive award program. However, like Mr. Levine, Mr. DiLiberto was eligible to participate in our annual long-term performance-based equity award program at the Committee’s discretion.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2020 Performance-Based Equity Awards</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During 2020, we made annual awards of performance-based LTIP units to each of our named executive officers, 50% of which may be earned based on our relative TSR performance over a three-year period and 50% of which may be earned based on achievement of specified operating performance criteria over a one-year period, with a further modifier based on absolute TSR over a three-year period. For 2020, we further bifurcated the portion of the award that may be earned based on our relative TSR performance between the SNL Office Index (two-thirds) and a custom New York City peer group (one-third) comprised of six companies with office and/or retail commercial real estate portfolios concentrated in the New York City market. We made this change in order to more closely tie the earning of this portion of our performance-based LTIP units to our TSR performance relative to companies that were most directly comparable to us.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to the achievement of performance-based vesting hurdles, vesting of the awards will also be subject to continued employment, subject to acceleration in certain circumstances. Earned LTIP units will vest 100% for Messrs. Holliday and Mathias on December 31, 2022, and 50% on each of December 31, 2022 and December 31, 2023, for Messrs. DiLiberto and Levine.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structure of the performance-based LTIP units granted to our named executive officers in 2020: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55A89"/>
        </w:rPr>
        <w:t>SNL Office Index Relative TSR Component (33.33% of Total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80" w:type="dxa"/>
            <w:vAlign w:val="bottom"/>
            <w:gridSpan w:val="2"/>
          </w:tcPr>
          <w:p>
            <w:pPr>
              <w:ind w:left="540"/>
              <w:spacing w:after="0"/>
              <w:rPr>
                <w:sz w:val="20"/>
                <w:szCs w:val="20"/>
                <w:color w:val="auto"/>
              </w:rPr>
            </w:pPr>
            <w:r>
              <w:rPr>
                <w:rFonts w:ascii="Arial" w:cs="Arial" w:eastAsia="Arial" w:hAnsi="Arial"/>
                <w:sz w:val="13"/>
                <w:szCs w:val="13"/>
                <w:b w:val="1"/>
                <w:bCs w:val="1"/>
                <w:color w:val="355A89"/>
              </w:rPr>
              <w:t>Level</w:t>
            </w:r>
          </w:p>
        </w:tc>
        <w:tc>
          <w:tcPr>
            <w:tcW w:w="2540" w:type="dxa"/>
            <w:vAlign w:val="bottom"/>
            <w:gridSpan w:val="2"/>
          </w:tcPr>
          <w:p>
            <w:pPr>
              <w:spacing w:after="0"/>
              <w:rPr>
                <w:sz w:val="20"/>
                <w:szCs w:val="20"/>
                <w:color w:val="auto"/>
              </w:rPr>
            </w:pPr>
            <w:r>
              <w:rPr>
                <w:rFonts w:ascii="Arial" w:cs="Arial" w:eastAsia="Arial" w:hAnsi="Arial"/>
                <w:sz w:val="13"/>
                <w:szCs w:val="13"/>
                <w:b w:val="1"/>
                <w:bCs w:val="1"/>
                <w:color w:val="355A89"/>
              </w:rPr>
              <w:t>Percentage of Target Amount Earned</w:t>
            </w:r>
          </w:p>
        </w:tc>
        <w:tc>
          <w:tcPr>
            <w:tcW w:w="7120" w:type="dxa"/>
            <w:vAlign w:val="bottom"/>
          </w:tcPr>
          <w:p>
            <w:pPr>
              <w:jc w:val="center"/>
              <w:spacing w:after="0"/>
              <w:rPr>
                <w:sz w:val="20"/>
                <w:szCs w:val="20"/>
                <w:color w:val="auto"/>
              </w:rPr>
            </w:pPr>
            <w:r>
              <w:rPr>
                <w:rFonts w:ascii="Arial" w:cs="Arial" w:eastAsia="Arial" w:hAnsi="Arial"/>
                <w:sz w:val="13"/>
                <w:szCs w:val="13"/>
                <w:b w:val="1"/>
                <w:bCs w:val="1"/>
                <w:color w:val="355A89"/>
              </w:rPr>
              <w:t>Relative TSR (Three Years)</w:t>
            </w:r>
          </w:p>
        </w:tc>
      </w:tr>
      <w:tr>
        <w:trPr>
          <w:trHeight w:val="48"/>
        </w:trPr>
        <w:tc>
          <w:tcPr>
            <w:tcW w:w="142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2360" w:type="dxa"/>
            <w:vAlign w:val="bottom"/>
            <w:tcBorders>
              <w:bottom w:val="single" w:sz="8" w:color="355989"/>
            </w:tcBorders>
          </w:tcPr>
          <w:p>
            <w:pPr>
              <w:spacing w:after="0"/>
              <w:rPr>
                <w:sz w:val="4"/>
                <w:szCs w:val="4"/>
                <w:color w:val="auto"/>
              </w:rPr>
            </w:pPr>
          </w:p>
        </w:tc>
        <w:tc>
          <w:tcPr>
            <w:tcW w:w="180" w:type="dxa"/>
            <w:vAlign w:val="bottom"/>
          </w:tcPr>
          <w:p>
            <w:pPr>
              <w:spacing w:after="0"/>
              <w:rPr>
                <w:sz w:val="4"/>
                <w:szCs w:val="4"/>
                <w:color w:val="auto"/>
              </w:rPr>
            </w:pPr>
          </w:p>
        </w:tc>
        <w:tc>
          <w:tcPr>
            <w:tcW w:w="7120" w:type="dxa"/>
            <w:vAlign w:val="bottom"/>
            <w:tcBorders>
              <w:bottom w:val="single" w:sz="8" w:color="355989"/>
            </w:tcBorders>
          </w:tcPr>
          <w:p>
            <w:pPr>
              <w:spacing w:after="0"/>
              <w:rPr>
                <w:sz w:val="4"/>
                <w:szCs w:val="4"/>
                <w:color w:val="auto"/>
              </w:rPr>
            </w:pPr>
          </w:p>
        </w:tc>
      </w:tr>
      <w:tr>
        <w:trPr>
          <w:trHeight w:val="311"/>
        </w:trPr>
        <w:tc>
          <w:tcPr>
            <w:tcW w:w="142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Threshold</w:t>
            </w:r>
          </w:p>
        </w:tc>
        <w:tc>
          <w:tcPr>
            <w:tcW w:w="160" w:type="dxa"/>
            <w:vAlign w:val="bottom"/>
          </w:tcPr>
          <w:p>
            <w:pPr>
              <w:spacing w:after="0"/>
              <w:rPr>
                <w:sz w:val="24"/>
                <w:szCs w:val="24"/>
                <w:color w:val="auto"/>
              </w:rPr>
            </w:pPr>
          </w:p>
        </w:tc>
        <w:tc>
          <w:tcPr>
            <w:tcW w:w="236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99"/>
              </w:rPr>
              <w:t>50%</w:t>
            </w:r>
          </w:p>
        </w:tc>
        <w:tc>
          <w:tcPr>
            <w:tcW w:w="180" w:type="dxa"/>
            <w:vAlign w:val="bottom"/>
          </w:tcPr>
          <w:p>
            <w:pPr>
              <w:spacing w:after="0"/>
              <w:rPr>
                <w:sz w:val="24"/>
                <w:szCs w:val="24"/>
                <w:color w:val="auto"/>
              </w:rPr>
            </w:pPr>
          </w:p>
        </w:tc>
        <w:tc>
          <w:tcPr>
            <w:tcW w:w="7120" w:type="dxa"/>
            <w:vAlign w:val="bottom"/>
            <w:tcBorders>
              <w:bottom w:val="single" w:sz="8" w:color="7F89AD"/>
            </w:tcBorders>
          </w:tcPr>
          <w:p>
            <w:pPr>
              <w:jc w:val="center"/>
              <w:spacing w:after="0" w:line="310" w:lineRule="exact"/>
              <w:rPr>
                <w:sz w:val="20"/>
                <w:szCs w:val="20"/>
                <w:color w:val="auto"/>
              </w:rPr>
            </w:pPr>
            <w:r>
              <w:rPr>
                <w:rFonts w:ascii="Arial" w:cs="Arial" w:eastAsia="Arial" w:hAnsi="Arial"/>
                <w:sz w:val="18"/>
                <w:szCs w:val="18"/>
                <w:color w:val="auto"/>
                <w:w w:val="96"/>
              </w:rPr>
              <w:t>33</w:t>
            </w:r>
            <w:r>
              <w:rPr>
                <w:rFonts w:ascii="Arial" w:cs="Arial" w:eastAsia="Arial" w:hAnsi="Arial"/>
                <w:sz w:val="29"/>
                <w:szCs w:val="29"/>
                <w:color w:val="auto"/>
                <w:w w:val="96"/>
                <w:vertAlign w:val="superscript"/>
              </w:rPr>
              <w:t>rd</w:t>
            </w:r>
            <w:r>
              <w:rPr>
                <w:rFonts w:ascii="Arial" w:cs="Arial" w:eastAsia="Arial" w:hAnsi="Arial"/>
                <w:sz w:val="18"/>
                <w:szCs w:val="18"/>
                <w:color w:val="auto"/>
                <w:w w:val="96"/>
              </w:rPr>
              <w:t xml:space="preserve"> percentile of SNL Office Index Companies</w:t>
            </w:r>
          </w:p>
        </w:tc>
      </w:tr>
      <w:tr>
        <w:trPr>
          <w:trHeight w:val="304"/>
        </w:trPr>
        <w:tc>
          <w:tcPr>
            <w:tcW w:w="142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Target</w:t>
            </w:r>
          </w:p>
        </w:tc>
        <w:tc>
          <w:tcPr>
            <w:tcW w:w="160" w:type="dxa"/>
            <w:vAlign w:val="bottom"/>
          </w:tcPr>
          <w:p>
            <w:pPr>
              <w:spacing w:after="0"/>
              <w:rPr>
                <w:sz w:val="24"/>
                <w:szCs w:val="24"/>
                <w:color w:val="auto"/>
              </w:rPr>
            </w:pPr>
          </w:p>
        </w:tc>
        <w:tc>
          <w:tcPr>
            <w:tcW w:w="236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4"/>
                <w:szCs w:val="24"/>
                <w:color w:val="auto"/>
              </w:rPr>
            </w:pPr>
          </w:p>
        </w:tc>
        <w:tc>
          <w:tcPr>
            <w:tcW w:w="7120" w:type="dxa"/>
            <w:vAlign w:val="bottom"/>
            <w:tcBorders>
              <w:bottom w:val="single" w:sz="8" w:color="7F89AD"/>
            </w:tcBorders>
          </w:tcPr>
          <w:p>
            <w:pPr>
              <w:jc w:val="center"/>
              <w:spacing w:after="0" w:line="303" w:lineRule="exact"/>
              <w:rPr>
                <w:sz w:val="20"/>
                <w:szCs w:val="20"/>
                <w:color w:val="auto"/>
              </w:rPr>
            </w:pPr>
            <w:r>
              <w:rPr>
                <w:rFonts w:ascii="Arial" w:cs="Arial" w:eastAsia="Arial" w:hAnsi="Arial"/>
                <w:sz w:val="18"/>
                <w:szCs w:val="18"/>
                <w:color w:val="auto"/>
                <w:w w:val="96"/>
              </w:rPr>
              <w:t>50</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percentile of SNL Office Index Companies</w:t>
            </w:r>
          </w:p>
        </w:tc>
      </w:tr>
      <w:tr>
        <w:trPr>
          <w:trHeight w:val="311"/>
        </w:trPr>
        <w:tc>
          <w:tcPr>
            <w:tcW w:w="1580" w:type="dxa"/>
            <w:vAlign w:val="bottom"/>
            <w:tcBorders>
              <w:bottom w:val="single" w:sz="8" w:color="355989"/>
            </w:tcBorders>
            <w:gridSpan w:val="2"/>
          </w:tcPr>
          <w:p>
            <w:pPr>
              <w:spacing w:after="0"/>
              <w:rPr>
                <w:sz w:val="20"/>
                <w:szCs w:val="20"/>
                <w:color w:val="auto"/>
              </w:rPr>
            </w:pPr>
            <w:r>
              <w:rPr>
                <w:rFonts w:ascii="Arial" w:cs="Arial" w:eastAsia="Arial" w:hAnsi="Arial"/>
                <w:sz w:val="18"/>
                <w:szCs w:val="18"/>
                <w:color w:val="auto"/>
              </w:rPr>
              <w:t>Maximum</w:t>
            </w:r>
          </w:p>
        </w:tc>
        <w:tc>
          <w:tcPr>
            <w:tcW w:w="2360" w:type="dxa"/>
            <w:vAlign w:val="bottom"/>
            <w:tcBorders>
              <w:bottom w:val="single" w:sz="8" w:color="355989"/>
            </w:tcBorders>
          </w:tcPr>
          <w:p>
            <w:pPr>
              <w:jc w:val="center"/>
              <w:spacing w:after="0"/>
              <w:rPr>
                <w:sz w:val="20"/>
                <w:szCs w:val="20"/>
                <w:color w:val="auto"/>
              </w:rPr>
            </w:pPr>
            <w:r>
              <w:rPr>
                <w:rFonts w:ascii="Arial" w:cs="Arial" w:eastAsia="Arial" w:hAnsi="Arial"/>
                <w:sz w:val="18"/>
                <w:szCs w:val="18"/>
                <w:color w:val="auto"/>
                <w:w w:val="95"/>
              </w:rPr>
              <w:t>225%</w:t>
            </w:r>
          </w:p>
        </w:tc>
        <w:tc>
          <w:tcPr>
            <w:tcW w:w="180" w:type="dxa"/>
            <w:vAlign w:val="bottom"/>
            <w:tcBorders>
              <w:bottom w:val="single" w:sz="8" w:color="355989"/>
            </w:tcBorders>
          </w:tcPr>
          <w:p>
            <w:pPr>
              <w:spacing w:after="0"/>
              <w:rPr>
                <w:sz w:val="24"/>
                <w:szCs w:val="24"/>
                <w:color w:val="auto"/>
              </w:rPr>
            </w:pPr>
          </w:p>
        </w:tc>
        <w:tc>
          <w:tcPr>
            <w:tcW w:w="7120" w:type="dxa"/>
            <w:vAlign w:val="bottom"/>
            <w:tcBorders>
              <w:bottom w:val="single" w:sz="8" w:color="355989"/>
            </w:tcBorders>
          </w:tcPr>
          <w:p>
            <w:pPr>
              <w:jc w:val="center"/>
              <w:spacing w:after="0" w:line="303" w:lineRule="exact"/>
              <w:rPr>
                <w:sz w:val="20"/>
                <w:szCs w:val="20"/>
                <w:color w:val="auto"/>
              </w:rPr>
            </w:pPr>
            <w:r>
              <w:rPr>
                <w:rFonts w:ascii="Arial" w:cs="Arial" w:eastAsia="Arial" w:hAnsi="Arial"/>
                <w:sz w:val="18"/>
                <w:szCs w:val="18"/>
                <w:color w:val="auto"/>
                <w:w w:val="96"/>
              </w:rPr>
              <w:t>67</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percentile of SNL Office Index Companies</w:t>
            </w:r>
          </w:p>
        </w:tc>
      </w:tr>
      <w:tr>
        <w:trPr>
          <w:trHeight w:val="547"/>
        </w:trPr>
        <w:tc>
          <w:tcPr>
            <w:tcW w:w="1420" w:type="dxa"/>
            <w:vAlign w:val="bottom"/>
            <w:tcBorders>
              <w:bottom w:val="single" w:sz="8" w:color="355989"/>
            </w:tcBorders>
          </w:tcPr>
          <w:p>
            <w:pPr>
              <w:spacing w:after="0"/>
              <w:rPr>
                <w:sz w:val="24"/>
                <w:szCs w:val="24"/>
                <w:color w:val="auto"/>
              </w:rPr>
            </w:pPr>
          </w:p>
        </w:tc>
        <w:tc>
          <w:tcPr>
            <w:tcW w:w="160" w:type="dxa"/>
            <w:vAlign w:val="bottom"/>
            <w:tcBorders>
              <w:bottom w:val="single" w:sz="8" w:color="355989"/>
            </w:tcBorders>
          </w:tcPr>
          <w:p>
            <w:pPr>
              <w:spacing w:after="0"/>
              <w:rPr>
                <w:sz w:val="24"/>
                <w:szCs w:val="24"/>
                <w:color w:val="auto"/>
              </w:rPr>
            </w:pPr>
          </w:p>
        </w:tc>
        <w:tc>
          <w:tcPr>
            <w:tcW w:w="9660" w:type="dxa"/>
            <w:vAlign w:val="bottom"/>
            <w:tcBorders>
              <w:bottom w:val="single" w:sz="8" w:color="355989"/>
            </w:tcBorders>
            <w:gridSpan w:val="3"/>
          </w:tcPr>
          <w:p>
            <w:pPr>
              <w:jc w:val="center"/>
              <w:ind w:right="1500"/>
              <w:spacing w:after="0"/>
              <w:rPr>
                <w:sz w:val="20"/>
                <w:szCs w:val="20"/>
                <w:color w:val="auto"/>
              </w:rPr>
            </w:pPr>
            <w:r>
              <w:rPr>
                <w:rFonts w:ascii="Arial" w:cs="Arial" w:eastAsia="Arial" w:hAnsi="Arial"/>
                <w:sz w:val="13"/>
                <w:szCs w:val="13"/>
                <w:b w:val="1"/>
                <w:bCs w:val="1"/>
                <w:color w:val="355A89"/>
              </w:rPr>
              <w:t>NYC Peer Group Relative TSR Component (16.67% of Total Award)</w:t>
            </w:r>
            <w:r>
              <w:rPr>
                <w:rFonts w:ascii="Arial" w:cs="Arial" w:eastAsia="Arial" w:hAnsi="Arial"/>
                <w:sz w:val="22"/>
                <w:szCs w:val="22"/>
                <w:b w:val="1"/>
                <w:bCs w:val="1"/>
                <w:color w:val="355A89"/>
                <w:vertAlign w:val="superscript"/>
              </w:rPr>
              <w:t>(1)</w:t>
            </w:r>
          </w:p>
        </w:tc>
      </w:tr>
      <w:tr>
        <w:trPr>
          <w:trHeight w:val="202"/>
        </w:trPr>
        <w:tc>
          <w:tcPr>
            <w:tcW w:w="1580" w:type="dxa"/>
            <w:vAlign w:val="bottom"/>
            <w:gridSpan w:val="2"/>
          </w:tcPr>
          <w:p>
            <w:pPr>
              <w:ind w:left="540"/>
              <w:spacing w:after="0"/>
              <w:rPr>
                <w:sz w:val="20"/>
                <w:szCs w:val="20"/>
                <w:color w:val="auto"/>
              </w:rPr>
            </w:pPr>
            <w:r>
              <w:rPr>
                <w:rFonts w:ascii="Arial" w:cs="Arial" w:eastAsia="Arial" w:hAnsi="Arial"/>
                <w:sz w:val="13"/>
                <w:szCs w:val="13"/>
                <w:b w:val="1"/>
                <w:bCs w:val="1"/>
                <w:color w:val="355A89"/>
              </w:rPr>
              <w:t>Level</w:t>
            </w:r>
          </w:p>
        </w:tc>
        <w:tc>
          <w:tcPr>
            <w:tcW w:w="2540" w:type="dxa"/>
            <w:vAlign w:val="bottom"/>
            <w:gridSpan w:val="2"/>
          </w:tcPr>
          <w:p>
            <w:pPr>
              <w:spacing w:after="0"/>
              <w:rPr>
                <w:sz w:val="20"/>
                <w:szCs w:val="20"/>
                <w:color w:val="auto"/>
              </w:rPr>
            </w:pPr>
            <w:r>
              <w:rPr>
                <w:rFonts w:ascii="Arial" w:cs="Arial" w:eastAsia="Arial" w:hAnsi="Arial"/>
                <w:sz w:val="13"/>
                <w:szCs w:val="13"/>
                <w:b w:val="1"/>
                <w:bCs w:val="1"/>
                <w:color w:val="355A89"/>
              </w:rPr>
              <w:t>Percentage of Target Amount Earned</w:t>
            </w:r>
          </w:p>
        </w:tc>
        <w:tc>
          <w:tcPr>
            <w:tcW w:w="7120" w:type="dxa"/>
            <w:vAlign w:val="bottom"/>
          </w:tcPr>
          <w:p>
            <w:pPr>
              <w:jc w:val="center"/>
              <w:spacing w:after="0"/>
              <w:rPr>
                <w:sz w:val="20"/>
                <w:szCs w:val="20"/>
                <w:color w:val="auto"/>
              </w:rPr>
            </w:pPr>
            <w:r>
              <w:rPr>
                <w:rFonts w:ascii="Arial" w:cs="Arial" w:eastAsia="Arial" w:hAnsi="Arial"/>
                <w:sz w:val="13"/>
                <w:szCs w:val="13"/>
                <w:b w:val="1"/>
                <w:bCs w:val="1"/>
                <w:color w:val="355A89"/>
              </w:rPr>
              <w:t>Relative TSR (Three Years)</w:t>
            </w:r>
          </w:p>
        </w:tc>
      </w:tr>
      <w:tr>
        <w:trPr>
          <w:trHeight w:val="48"/>
        </w:trPr>
        <w:tc>
          <w:tcPr>
            <w:tcW w:w="142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2360" w:type="dxa"/>
            <w:vAlign w:val="bottom"/>
            <w:tcBorders>
              <w:bottom w:val="single" w:sz="8" w:color="355989"/>
            </w:tcBorders>
          </w:tcPr>
          <w:p>
            <w:pPr>
              <w:spacing w:after="0"/>
              <w:rPr>
                <w:sz w:val="4"/>
                <w:szCs w:val="4"/>
                <w:color w:val="auto"/>
              </w:rPr>
            </w:pPr>
          </w:p>
        </w:tc>
        <w:tc>
          <w:tcPr>
            <w:tcW w:w="180" w:type="dxa"/>
            <w:vAlign w:val="bottom"/>
          </w:tcPr>
          <w:p>
            <w:pPr>
              <w:spacing w:after="0"/>
              <w:rPr>
                <w:sz w:val="4"/>
                <w:szCs w:val="4"/>
                <w:color w:val="auto"/>
              </w:rPr>
            </w:pPr>
          </w:p>
        </w:tc>
        <w:tc>
          <w:tcPr>
            <w:tcW w:w="7120" w:type="dxa"/>
            <w:vAlign w:val="bottom"/>
            <w:tcBorders>
              <w:bottom w:val="single" w:sz="8" w:color="355989"/>
            </w:tcBorders>
          </w:tcPr>
          <w:p>
            <w:pPr>
              <w:spacing w:after="0"/>
              <w:rPr>
                <w:sz w:val="4"/>
                <w:szCs w:val="4"/>
                <w:color w:val="auto"/>
              </w:rPr>
            </w:pPr>
          </w:p>
        </w:tc>
      </w:tr>
      <w:tr>
        <w:trPr>
          <w:trHeight w:val="310"/>
        </w:trPr>
        <w:tc>
          <w:tcPr>
            <w:tcW w:w="142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Threshold</w:t>
            </w:r>
          </w:p>
        </w:tc>
        <w:tc>
          <w:tcPr>
            <w:tcW w:w="160" w:type="dxa"/>
            <w:vAlign w:val="bottom"/>
          </w:tcPr>
          <w:p>
            <w:pPr>
              <w:spacing w:after="0"/>
              <w:rPr>
                <w:sz w:val="24"/>
                <w:szCs w:val="24"/>
                <w:color w:val="auto"/>
              </w:rPr>
            </w:pPr>
          </w:p>
        </w:tc>
        <w:tc>
          <w:tcPr>
            <w:tcW w:w="236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99"/>
              </w:rPr>
              <w:t>50%</w:t>
            </w:r>
          </w:p>
        </w:tc>
        <w:tc>
          <w:tcPr>
            <w:tcW w:w="180" w:type="dxa"/>
            <w:vAlign w:val="bottom"/>
          </w:tcPr>
          <w:p>
            <w:pPr>
              <w:spacing w:after="0"/>
              <w:rPr>
                <w:sz w:val="24"/>
                <w:szCs w:val="24"/>
                <w:color w:val="auto"/>
              </w:rPr>
            </w:pPr>
          </w:p>
        </w:tc>
        <w:tc>
          <w:tcPr>
            <w:tcW w:w="7120" w:type="dxa"/>
            <w:vAlign w:val="bottom"/>
            <w:tcBorders>
              <w:bottom w:val="single" w:sz="8" w:color="7F89AD"/>
            </w:tcBorders>
          </w:tcPr>
          <w:p>
            <w:pPr>
              <w:jc w:val="center"/>
              <w:spacing w:after="0" w:line="310" w:lineRule="exact"/>
              <w:rPr>
                <w:sz w:val="20"/>
                <w:szCs w:val="20"/>
                <w:color w:val="auto"/>
              </w:rPr>
            </w:pPr>
            <w:r>
              <w:rPr>
                <w:rFonts w:ascii="Arial" w:cs="Arial" w:eastAsia="Arial" w:hAnsi="Arial"/>
                <w:sz w:val="18"/>
                <w:szCs w:val="18"/>
                <w:color w:val="auto"/>
                <w:w w:val="96"/>
              </w:rPr>
              <w:t>33</w:t>
            </w:r>
            <w:r>
              <w:rPr>
                <w:rFonts w:ascii="Arial" w:cs="Arial" w:eastAsia="Arial" w:hAnsi="Arial"/>
                <w:sz w:val="29"/>
                <w:szCs w:val="29"/>
                <w:color w:val="auto"/>
                <w:w w:val="96"/>
                <w:vertAlign w:val="superscript"/>
              </w:rPr>
              <w:t>rd</w:t>
            </w:r>
            <w:r>
              <w:rPr>
                <w:rFonts w:ascii="Arial" w:cs="Arial" w:eastAsia="Arial" w:hAnsi="Arial"/>
                <w:sz w:val="18"/>
                <w:szCs w:val="18"/>
                <w:color w:val="auto"/>
                <w:w w:val="96"/>
              </w:rPr>
              <w:t xml:space="preserve"> percentile of NYC Peer Group Companies</w:t>
            </w:r>
          </w:p>
        </w:tc>
      </w:tr>
      <w:tr>
        <w:trPr>
          <w:trHeight w:val="304"/>
        </w:trPr>
        <w:tc>
          <w:tcPr>
            <w:tcW w:w="142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Target</w:t>
            </w:r>
          </w:p>
        </w:tc>
        <w:tc>
          <w:tcPr>
            <w:tcW w:w="160" w:type="dxa"/>
            <w:vAlign w:val="bottom"/>
          </w:tcPr>
          <w:p>
            <w:pPr>
              <w:spacing w:after="0"/>
              <w:rPr>
                <w:sz w:val="24"/>
                <w:szCs w:val="24"/>
                <w:color w:val="auto"/>
              </w:rPr>
            </w:pPr>
          </w:p>
        </w:tc>
        <w:tc>
          <w:tcPr>
            <w:tcW w:w="236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4"/>
                <w:szCs w:val="24"/>
                <w:color w:val="auto"/>
              </w:rPr>
            </w:pPr>
          </w:p>
        </w:tc>
        <w:tc>
          <w:tcPr>
            <w:tcW w:w="7120" w:type="dxa"/>
            <w:vAlign w:val="bottom"/>
            <w:tcBorders>
              <w:bottom w:val="single" w:sz="8" w:color="7F89AD"/>
            </w:tcBorders>
          </w:tcPr>
          <w:p>
            <w:pPr>
              <w:jc w:val="center"/>
              <w:spacing w:after="0" w:line="303" w:lineRule="exact"/>
              <w:rPr>
                <w:sz w:val="20"/>
                <w:szCs w:val="20"/>
                <w:color w:val="auto"/>
              </w:rPr>
            </w:pPr>
            <w:r>
              <w:rPr>
                <w:rFonts w:ascii="Arial" w:cs="Arial" w:eastAsia="Arial" w:hAnsi="Arial"/>
                <w:sz w:val="18"/>
                <w:szCs w:val="18"/>
                <w:color w:val="auto"/>
                <w:w w:val="96"/>
              </w:rPr>
              <w:t>50</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percentile of NYC Peer Group Companies</w:t>
            </w:r>
          </w:p>
        </w:tc>
      </w:tr>
      <w:tr>
        <w:trPr>
          <w:trHeight w:val="311"/>
        </w:trPr>
        <w:tc>
          <w:tcPr>
            <w:tcW w:w="1580" w:type="dxa"/>
            <w:vAlign w:val="bottom"/>
            <w:tcBorders>
              <w:bottom w:val="single" w:sz="8" w:color="355989"/>
            </w:tcBorders>
            <w:gridSpan w:val="2"/>
          </w:tcPr>
          <w:p>
            <w:pPr>
              <w:spacing w:after="0"/>
              <w:rPr>
                <w:sz w:val="20"/>
                <w:szCs w:val="20"/>
                <w:color w:val="auto"/>
              </w:rPr>
            </w:pPr>
            <w:r>
              <w:rPr>
                <w:rFonts w:ascii="Arial" w:cs="Arial" w:eastAsia="Arial" w:hAnsi="Arial"/>
                <w:sz w:val="18"/>
                <w:szCs w:val="18"/>
                <w:color w:val="auto"/>
              </w:rPr>
              <w:t>Maximum</w:t>
            </w:r>
          </w:p>
        </w:tc>
        <w:tc>
          <w:tcPr>
            <w:tcW w:w="2360" w:type="dxa"/>
            <w:vAlign w:val="bottom"/>
            <w:tcBorders>
              <w:bottom w:val="single" w:sz="8" w:color="355989"/>
            </w:tcBorders>
          </w:tcPr>
          <w:p>
            <w:pPr>
              <w:jc w:val="center"/>
              <w:spacing w:after="0"/>
              <w:rPr>
                <w:sz w:val="20"/>
                <w:szCs w:val="20"/>
                <w:color w:val="auto"/>
              </w:rPr>
            </w:pPr>
            <w:r>
              <w:rPr>
                <w:rFonts w:ascii="Arial" w:cs="Arial" w:eastAsia="Arial" w:hAnsi="Arial"/>
                <w:sz w:val="18"/>
                <w:szCs w:val="18"/>
                <w:color w:val="auto"/>
                <w:w w:val="95"/>
              </w:rPr>
              <w:t>225%</w:t>
            </w:r>
          </w:p>
        </w:tc>
        <w:tc>
          <w:tcPr>
            <w:tcW w:w="180" w:type="dxa"/>
            <w:vAlign w:val="bottom"/>
            <w:tcBorders>
              <w:bottom w:val="single" w:sz="8" w:color="355989"/>
            </w:tcBorders>
          </w:tcPr>
          <w:p>
            <w:pPr>
              <w:spacing w:after="0"/>
              <w:rPr>
                <w:sz w:val="24"/>
                <w:szCs w:val="24"/>
                <w:color w:val="auto"/>
              </w:rPr>
            </w:pPr>
          </w:p>
        </w:tc>
        <w:tc>
          <w:tcPr>
            <w:tcW w:w="7120" w:type="dxa"/>
            <w:vAlign w:val="bottom"/>
            <w:tcBorders>
              <w:bottom w:val="single" w:sz="8" w:color="355989"/>
            </w:tcBorders>
          </w:tcPr>
          <w:p>
            <w:pPr>
              <w:jc w:val="center"/>
              <w:spacing w:after="0" w:line="303" w:lineRule="exact"/>
              <w:rPr>
                <w:sz w:val="20"/>
                <w:szCs w:val="20"/>
                <w:color w:val="auto"/>
              </w:rPr>
            </w:pPr>
            <w:r>
              <w:rPr>
                <w:rFonts w:ascii="Arial" w:cs="Arial" w:eastAsia="Arial" w:hAnsi="Arial"/>
                <w:sz w:val="18"/>
                <w:szCs w:val="18"/>
                <w:color w:val="auto"/>
                <w:w w:val="96"/>
              </w:rPr>
              <w:t>67</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percentile of NYC Peer Group Companies</w:t>
            </w:r>
          </w:p>
        </w:tc>
      </w:tr>
      <w:tr>
        <w:trPr>
          <w:trHeight w:val="445"/>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6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355A89"/>
              </w:rPr>
              <w:t>Operational Performance Component (50% of Total Award)</w:t>
            </w:r>
          </w:p>
        </w:tc>
      </w:tr>
      <w:tr>
        <w:trPr>
          <w:trHeight w:val="48"/>
        </w:trPr>
        <w:tc>
          <w:tcPr>
            <w:tcW w:w="1420" w:type="dxa"/>
            <w:vAlign w:val="bottom"/>
            <w:tcBorders>
              <w:bottom w:val="single" w:sz="8" w:color="355989"/>
            </w:tcBorders>
          </w:tcPr>
          <w:p>
            <w:pPr>
              <w:spacing w:after="0"/>
              <w:rPr>
                <w:sz w:val="4"/>
                <w:szCs w:val="4"/>
                <w:color w:val="auto"/>
              </w:rPr>
            </w:pPr>
          </w:p>
        </w:tc>
        <w:tc>
          <w:tcPr>
            <w:tcW w:w="160" w:type="dxa"/>
            <w:vAlign w:val="bottom"/>
            <w:tcBorders>
              <w:bottom w:val="single" w:sz="8" w:color="355989"/>
            </w:tcBorders>
          </w:tcPr>
          <w:p>
            <w:pPr>
              <w:spacing w:after="0"/>
              <w:rPr>
                <w:sz w:val="4"/>
                <w:szCs w:val="4"/>
                <w:color w:val="auto"/>
              </w:rPr>
            </w:pPr>
          </w:p>
        </w:tc>
        <w:tc>
          <w:tcPr>
            <w:tcW w:w="2360" w:type="dxa"/>
            <w:vAlign w:val="bottom"/>
            <w:tcBorders>
              <w:bottom w:val="single" w:sz="8" w:color="355989"/>
            </w:tcBorders>
          </w:tcPr>
          <w:p>
            <w:pPr>
              <w:spacing w:after="0"/>
              <w:rPr>
                <w:sz w:val="4"/>
                <w:szCs w:val="4"/>
                <w:color w:val="auto"/>
              </w:rPr>
            </w:pPr>
          </w:p>
        </w:tc>
        <w:tc>
          <w:tcPr>
            <w:tcW w:w="180" w:type="dxa"/>
            <w:vAlign w:val="bottom"/>
            <w:tcBorders>
              <w:bottom w:val="single" w:sz="8" w:color="355989"/>
            </w:tcBorders>
          </w:tcPr>
          <w:p>
            <w:pPr>
              <w:spacing w:after="0"/>
              <w:rPr>
                <w:sz w:val="4"/>
                <w:szCs w:val="4"/>
                <w:color w:val="auto"/>
              </w:rPr>
            </w:pPr>
          </w:p>
        </w:tc>
        <w:tc>
          <w:tcPr>
            <w:tcW w:w="7120" w:type="dxa"/>
            <w:vAlign w:val="bottom"/>
            <w:tcBorders>
              <w:bottom w:val="single" w:sz="8" w:color="355989"/>
            </w:tcBorders>
          </w:tcPr>
          <w:p>
            <w:pPr>
              <w:spacing w:after="0"/>
              <w:rPr>
                <w:sz w:val="4"/>
                <w:szCs w:val="4"/>
                <w:color w:val="auto"/>
              </w:rPr>
            </w:pPr>
          </w:p>
        </w:tc>
      </w:tr>
      <w:tr>
        <w:trPr>
          <w:trHeight w:val="202"/>
        </w:trPr>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20" w:type="dxa"/>
            <w:vAlign w:val="bottom"/>
          </w:tcPr>
          <w:p>
            <w:pPr>
              <w:jc w:val="center"/>
              <w:ind w:right="4020"/>
              <w:spacing w:after="0"/>
              <w:rPr>
                <w:sz w:val="20"/>
                <w:szCs w:val="20"/>
                <w:color w:val="auto"/>
              </w:rPr>
            </w:pPr>
            <w:r>
              <w:rPr>
                <w:rFonts w:ascii="Arial" w:cs="Arial" w:eastAsia="Arial" w:hAnsi="Arial"/>
                <w:sz w:val="13"/>
                <w:szCs w:val="13"/>
                <w:b w:val="1"/>
                <w:bCs w:val="1"/>
                <w:color w:val="355A89"/>
              </w:rPr>
              <w:t>Operational Performance Goals (One Year)</w:t>
            </w:r>
          </w:p>
        </w:tc>
      </w:tr>
      <w:tr>
        <w:trPr>
          <w:trHeight w:val="48"/>
        </w:trPr>
        <w:tc>
          <w:tcPr>
            <w:tcW w:w="1420" w:type="dxa"/>
            <w:vAlign w:val="bottom"/>
            <w:tcBorders>
              <w:bottom w:val="single" w:sz="8" w:color="355989"/>
            </w:tcBorders>
          </w:tcPr>
          <w:p>
            <w:pPr>
              <w:spacing w:after="0"/>
              <w:rPr>
                <w:sz w:val="4"/>
                <w:szCs w:val="4"/>
                <w:color w:val="auto"/>
              </w:rPr>
            </w:pPr>
          </w:p>
        </w:tc>
        <w:tc>
          <w:tcPr>
            <w:tcW w:w="160" w:type="dxa"/>
            <w:vAlign w:val="bottom"/>
            <w:tcBorders>
              <w:bottom w:val="single" w:sz="8" w:color="355989"/>
            </w:tcBorders>
          </w:tcPr>
          <w:p>
            <w:pPr>
              <w:spacing w:after="0"/>
              <w:rPr>
                <w:sz w:val="4"/>
                <w:szCs w:val="4"/>
                <w:color w:val="auto"/>
              </w:rPr>
            </w:pPr>
          </w:p>
        </w:tc>
        <w:tc>
          <w:tcPr>
            <w:tcW w:w="2360" w:type="dxa"/>
            <w:vAlign w:val="bottom"/>
            <w:tcBorders>
              <w:bottom w:val="single" w:sz="8" w:color="355989"/>
            </w:tcBorders>
          </w:tcPr>
          <w:p>
            <w:pPr>
              <w:spacing w:after="0"/>
              <w:rPr>
                <w:sz w:val="4"/>
                <w:szCs w:val="4"/>
                <w:color w:val="auto"/>
              </w:rPr>
            </w:pPr>
          </w:p>
        </w:tc>
        <w:tc>
          <w:tcPr>
            <w:tcW w:w="180" w:type="dxa"/>
            <w:vAlign w:val="bottom"/>
            <w:tcBorders>
              <w:bottom w:val="single" w:sz="8" w:color="355989"/>
            </w:tcBorders>
          </w:tcPr>
          <w:p>
            <w:pPr>
              <w:spacing w:after="0"/>
              <w:rPr>
                <w:sz w:val="4"/>
                <w:szCs w:val="4"/>
                <w:color w:val="auto"/>
              </w:rPr>
            </w:pPr>
          </w:p>
        </w:tc>
        <w:tc>
          <w:tcPr>
            <w:tcW w:w="7120" w:type="dxa"/>
            <w:vAlign w:val="bottom"/>
            <w:tcBorders>
              <w:bottom w:val="single" w:sz="8" w:color="355989"/>
            </w:tcBorders>
          </w:tcPr>
          <w:p>
            <w:pPr>
              <w:spacing w:after="0"/>
              <w:rPr>
                <w:sz w:val="4"/>
                <w:szCs w:val="4"/>
                <w:color w:val="auto"/>
              </w:rPr>
            </w:pPr>
          </w:p>
        </w:tc>
      </w:tr>
      <w:tr>
        <w:trPr>
          <w:trHeight w:val="202"/>
        </w:trPr>
        <w:tc>
          <w:tcPr>
            <w:tcW w:w="1580" w:type="dxa"/>
            <w:vAlign w:val="bottom"/>
            <w:gridSpan w:val="2"/>
          </w:tcPr>
          <w:p>
            <w:pPr>
              <w:ind w:left="540"/>
              <w:spacing w:after="0"/>
              <w:rPr>
                <w:sz w:val="20"/>
                <w:szCs w:val="20"/>
                <w:color w:val="auto"/>
              </w:rPr>
            </w:pPr>
            <w:r>
              <w:rPr>
                <w:rFonts w:ascii="Arial" w:cs="Arial" w:eastAsia="Arial" w:hAnsi="Arial"/>
                <w:sz w:val="13"/>
                <w:szCs w:val="13"/>
                <w:b w:val="1"/>
                <w:bCs w:val="1"/>
                <w:color w:val="355A89"/>
              </w:rPr>
              <w:t>Level</w:t>
            </w:r>
          </w:p>
        </w:tc>
        <w:tc>
          <w:tcPr>
            <w:tcW w:w="2540" w:type="dxa"/>
            <w:vAlign w:val="bottom"/>
            <w:gridSpan w:val="2"/>
          </w:tcPr>
          <w:p>
            <w:pPr>
              <w:spacing w:after="0"/>
              <w:rPr>
                <w:sz w:val="20"/>
                <w:szCs w:val="20"/>
                <w:color w:val="auto"/>
              </w:rPr>
            </w:pPr>
            <w:r>
              <w:rPr>
                <w:rFonts w:ascii="Arial" w:cs="Arial" w:eastAsia="Arial" w:hAnsi="Arial"/>
                <w:sz w:val="13"/>
                <w:szCs w:val="13"/>
                <w:b w:val="1"/>
                <w:bCs w:val="1"/>
                <w:color w:val="355A89"/>
              </w:rPr>
              <w:t>Percentage of Target Amount Earned</w:t>
            </w:r>
          </w:p>
        </w:tc>
        <w:tc>
          <w:tcPr>
            <w:tcW w:w="7120" w:type="dxa"/>
            <w:vAlign w:val="bottom"/>
          </w:tcPr>
          <w:p>
            <w:pPr>
              <w:jc w:val="center"/>
              <w:spacing w:after="0"/>
              <w:rPr>
                <w:sz w:val="20"/>
                <w:szCs w:val="20"/>
                <w:color w:val="auto"/>
              </w:rPr>
            </w:pPr>
            <w:r>
              <w:rPr>
                <w:rFonts w:ascii="Arial" w:cs="Arial" w:eastAsia="Arial" w:hAnsi="Arial"/>
                <w:sz w:val="13"/>
                <w:szCs w:val="13"/>
                <w:b w:val="1"/>
                <w:bCs w:val="1"/>
                <w:color w:val="355A89"/>
              </w:rPr>
              <w:t>Operational Performance Goals (weighting)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63" w:gutter="0" w:footer="0" w:header="0"/>
        </w:sectPr>
      </w:pPr>
    </w:p>
    <w:p>
      <w:pPr>
        <w:spacing w:after="0" w:line="152"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Threshold</w:t>
      </w:r>
      <w:r>
        <w:rPr>
          <w:sz w:val="20"/>
          <w:szCs w:val="20"/>
          <w:color w:val="auto"/>
        </w:rPr>
        <w:tab/>
      </w: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5031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520" w:val="left"/>
        </w:tabs>
        <w:rPr>
          <w:sz w:val="20"/>
          <w:szCs w:val="20"/>
          <w:color w:val="auto"/>
        </w:rPr>
      </w:pPr>
      <w:r>
        <w:rPr>
          <w:rFonts w:ascii="Arial" w:cs="Arial" w:eastAsia="Arial" w:hAnsi="Arial"/>
          <w:sz w:val="16"/>
          <w:szCs w:val="16"/>
          <w:color w:val="auto"/>
        </w:rPr>
        <w:t>Target</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5031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1" w:lineRule="exact"/>
        <w:rPr>
          <w:sz w:val="20"/>
          <w:szCs w:val="20"/>
          <w:color w:val="auto"/>
        </w:rPr>
      </w:pPr>
    </w:p>
    <w:p>
      <w:pPr>
        <w:spacing w:after="0"/>
        <w:tabs>
          <w:tab w:leader="none" w:pos="2520" w:val="left"/>
        </w:tabs>
        <w:rPr>
          <w:sz w:val="20"/>
          <w:szCs w:val="20"/>
          <w:color w:val="auto"/>
        </w:rPr>
      </w:pPr>
      <w:r>
        <w:rPr>
          <w:rFonts w:ascii="Arial" w:cs="Arial" w:eastAsia="Arial" w:hAnsi="Arial"/>
          <w:sz w:val="16"/>
          <w:szCs w:val="16"/>
          <w:color w:val="auto"/>
        </w:rPr>
        <w:t>Maximum</w:t>
      </w:r>
      <w:r>
        <w:rPr>
          <w:sz w:val="20"/>
          <w:szCs w:val="20"/>
          <w:color w:val="auto"/>
        </w:rPr>
        <w:tab/>
      </w: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39" w:hanging="239"/>
        <w:spacing w:after="0"/>
        <w:tabs>
          <w:tab w:leader="none" w:pos="239" w:val="left"/>
        </w:tabs>
        <w:numPr>
          <w:ilvl w:val="0"/>
          <w:numId w:val="94"/>
        </w:numPr>
        <w:rPr>
          <w:rFonts w:ascii="Arial" w:cs="Arial" w:eastAsia="Arial" w:hAnsi="Arial"/>
          <w:sz w:val="17"/>
          <w:szCs w:val="17"/>
          <w:color w:val="355A89"/>
        </w:rPr>
      </w:pPr>
      <w:r>
        <w:rPr>
          <w:rFonts w:ascii="Arial" w:cs="Arial" w:eastAsia="Arial" w:hAnsi="Arial"/>
          <w:sz w:val="18"/>
          <w:szCs w:val="18"/>
          <w:color w:val="auto"/>
        </w:rPr>
        <w:t>Funds Available for Distribution (25%)</w:t>
      </w:r>
    </w:p>
    <w:p>
      <w:pPr>
        <w:spacing w:after="0" w:line="103" w:lineRule="exact"/>
        <w:rPr>
          <w:rFonts w:ascii="Arial" w:cs="Arial" w:eastAsia="Arial" w:hAnsi="Arial"/>
          <w:sz w:val="17"/>
          <w:szCs w:val="17"/>
          <w:color w:val="355A89"/>
        </w:rPr>
      </w:pPr>
    </w:p>
    <w:p>
      <w:pPr>
        <w:ind w:left="239" w:hanging="239"/>
        <w:spacing w:after="0"/>
        <w:tabs>
          <w:tab w:leader="none" w:pos="239" w:val="left"/>
        </w:tabs>
        <w:numPr>
          <w:ilvl w:val="0"/>
          <w:numId w:val="94"/>
        </w:numPr>
        <w:rPr>
          <w:rFonts w:ascii="Arial" w:cs="Arial" w:eastAsia="Arial" w:hAnsi="Arial"/>
          <w:sz w:val="17"/>
          <w:szCs w:val="17"/>
          <w:color w:val="355A89"/>
        </w:rPr>
      </w:pPr>
      <w:r>
        <w:rPr>
          <w:rFonts w:ascii="Arial" w:cs="Arial" w:eastAsia="Arial" w:hAnsi="Arial"/>
          <w:sz w:val="18"/>
          <w:szCs w:val="18"/>
          <w:color w:val="auto"/>
        </w:rPr>
        <w:t>Debt/EBITDA Ratio (25%)</w:t>
      </w:r>
    </w:p>
    <w:p>
      <w:pPr>
        <w:spacing w:after="0" w:line="117" w:lineRule="exact"/>
        <w:rPr>
          <w:rFonts w:ascii="Arial" w:cs="Arial" w:eastAsia="Arial" w:hAnsi="Arial"/>
          <w:sz w:val="17"/>
          <w:szCs w:val="17"/>
          <w:color w:val="355A89"/>
        </w:rPr>
      </w:pPr>
    </w:p>
    <w:p>
      <w:pPr>
        <w:ind w:left="239" w:hanging="239"/>
        <w:spacing w:after="0"/>
        <w:tabs>
          <w:tab w:leader="none" w:pos="239" w:val="left"/>
        </w:tabs>
        <w:numPr>
          <w:ilvl w:val="0"/>
          <w:numId w:val="94"/>
        </w:numPr>
        <w:rPr>
          <w:rFonts w:ascii="Arial" w:cs="Arial" w:eastAsia="Arial" w:hAnsi="Arial"/>
          <w:sz w:val="16"/>
          <w:szCs w:val="16"/>
          <w:color w:val="355A89"/>
        </w:rPr>
      </w:pPr>
      <w:r>
        <w:rPr>
          <w:rFonts w:ascii="Arial" w:cs="Arial" w:eastAsia="Arial" w:hAnsi="Arial"/>
          <w:sz w:val="16"/>
          <w:szCs w:val="16"/>
          <w:color w:val="auto"/>
        </w:rPr>
        <w:t>Manhattan Office Same Store Leased Occupancy (25%)</w:t>
      </w:r>
    </w:p>
    <w:p>
      <w:pPr>
        <w:spacing w:after="0" w:line="126" w:lineRule="exact"/>
        <w:rPr>
          <w:rFonts w:ascii="Arial" w:cs="Arial" w:eastAsia="Arial" w:hAnsi="Arial"/>
          <w:sz w:val="16"/>
          <w:szCs w:val="16"/>
          <w:color w:val="355A89"/>
        </w:rPr>
      </w:pPr>
    </w:p>
    <w:p>
      <w:pPr>
        <w:ind w:left="239" w:hanging="239"/>
        <w:spacing w:after="0"/>
        <w:tabs>
          <w:tab w:leader="none" w:pos="239" w:val="left"/>
        </w:tabs>
        <w:numPr>
          <w:ilvl w:val="0"/>
          <w:numId w:val="94"/>
        </w:numPr>
        <w:rPr>
          <w:rFonts w:ascii="Arial" w:cs="Arial" w:eastAsia="Arial" w:hAnsi="Arial"/>
          <w:sz w:val="17"/>
          <w:szCs w:val="17"/>
          <w:color w:val="355A89"/>
        </w:rPr>
      </w:pPr>
      <w:r>
        <w:rPr>
          <w:rFonts w:ascii="Arial" w:cs="Arial" w:eastAsia="Arial" w:hAnsi="Arial"/>
          <w:sz w:val="18"/>
          <w:szCs w:val="18"/>
          <w:color w:val="auto"/>
        </w:rPr>
        <w:t>Manhattan Office Leasing Volume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12065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1" w:space="720"/>
            <w:col w:w="7119"/>
          </w:cols>
          <w:pgMar w:left="320" w:top="121" w:right="339" w:bottom="763" w:gutter="0" w:footer="0" w:header="0"/>
          <w:type w:val="continuous"/>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55A89"/>
        </w:rPr>
        <w:t>Absolute TSR Modifier (Three Years) (Only Modifies Operational Performance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80" w:type="dxa"/>
            <w:vAlign w:val="bottom"/>
            <w:gridSpan w:val="2"/>
          </w:tcPr>
          <w:p>
            <w:pPr>
              <w:ind w:left="540"/>
              <w:spacing w:after="0"/>
              <w:rPr>
                <w:sz w:val="20"/>
                <w:szCs w:val="20"/>
                <w:color w:val="auto"/>
              </w:rPr>
            </w:pPr>
            <w:r>
              <w:rPr>
                <w:rFonts w:ascii="Arial" w:cs="Arial" w:eastAsia="Arial" w:hAnsi="Arial"/>
                <w:sz w:val="13"/>
                <w:szCs w:val="13"/>
                <w:b w:val="1"/>
                <w:bCs w:val="1"/>
                <w:color w:val="355A89"/>
              </w:rPr>
              <w:t>Level</w:t>
            </w:r>
          </w:p>
        </w:tc>
        <w:tc>
          <w:tcPr>
            <w:tcW w:w="2540" w:type="dxa"/>
            <w:vAlign w:val="bottom"/>
            <w:gridSpan w:val="2"/>
          </w:tcPr>
          <w:p>
            <w:pPr>
              <w:ind w:left="100"/>
              <w:spacing w:after="0"/>
              <w:rPr>
                <w:sz w:val="20"/>
                <w:szCs w:val="20"/>
                <w:color w:val="auto"/>
              </w:rPr>
            </w:pPr>
            <w:r>
              <w:rPr>
                <w:rFonts w:ascii="Arial" w:cs="Arial" w:eastAsia="Arial" w:hAnsi="Arial"/>
                <w:sz w:val="13"/>
                <w:szCs w:val="13"/>
                <w:b w:val="1"/>
                <w:bCs w:val="1"/>
                <w:color w:val="355A89"/>
              </w:rPr>
              <w:t>Adjustment to Percentage Earned</w:t>
            </w:r>
          </w:p>
        </w:tc>
        <w:tc>
          <w:tcPr>
            <w:tcW w:w="7120" w:type="dxa"/>
            <w:vAlign w:val="bottom"/>
          </w:tcPr>
          <w:p>
            <w:pPr>
              <w:ind w:left="2820"/>
              <w:spacing w:after="0"/>
              <w:rPr>
                <w:sz w:val="20"/>
                <w:szCs w:val="20"/>
                <w:color w:val="auto"/>
              </w:rPr>
            </w:pPr>
            <w:r>
              <w:rPr>
                <w:rFonts w:ascii="Arial" w:cs="Arial" w:eastAsia="Arial" w:hAnsi="Arial"/>
                <w:sz w:val="13"/>
                <w:szCs w:val="13"/>
                <w:b w:val="1"/>
                <w:bCs w:val="1"/>
                <w:color w:val="355A89"/>
              </w:rPr>
              <w:t>Absolute TSR Per Year</w:t>
            </w:r>
          </w:p>
        </w:tc>
      </w:tr>
      <w:tr>
        <w:trPr>
          <w:trHeight w:val="48"/>
        </w:trPr>
        <w:tc>
          <w:tcPr>
            <w:tcW w:w="142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2360" w:type="dxa"/>
            <w:vAlign w:val="bottom"/>
            <w:tcBorders>
              <w:bottom w:val="single" w:sz="8" w:color="355989"/>
            </w:tcBorders>
          </w:tcPr>
          <w:p>
            <w:pPr>
              <w:spacing w:after="0"/>
              <w:rPr>
                <w:sz w:val="4"/>
                <w:szCs w:val="4"/>
                <w:color w:val="auto"/>
              </w:rPr>
            </w:pPr>
          </w:p>
        </w:tc>
        <w:tc>
          <w:tcPr>
            <w:tcW w:w="180" w:type="dxa"/>
            <w:vAlign w:val="bottom"/>
          </w:tcPr>
          <w:p>
            <w:pPr>
              <w:spacing w:after="0"/>
              <w:rPr>
                <w:sz w:val="4"/>
                <w:szCs w:val="4"/>
                <w:color w:val="auto"/>
              </w:rPr>
            </w:pPr>
          </w:p>
        </w:tc>
        <w:tc>
          <w:tcPr>
            <w:tcW w:w="7120" w:type="dxa"/>
            <w:vAlign w:val="bottom"/>
            <w:tcBorders>
              <w:bottom w:val="single" w:sz="8" w:color="355989"/>
            </w:tcBorders>
          </w:tcPr>
          <w:p>
            <w:pPr>
              <w:spacing w:after="0"/>
              <w:rPr>
                <w:sz w:val="4"/>
                <w:szCs w:val="4"/>
                <w:color w:val="auto"/>
              </w:rPr>
            </w:pPr>
          </w:p>
        </w:tc>
      </w:tr>
      <w:tr>
        <w:trPr>
          <w:trHeight w:val="236"/>
        </w:trPr>
        <w:tc>
          <w:tcPr>
            <w:tcW w:w="142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Threshold</w:t>
            </w:r>
          </w:p>
        </w:tc>
        <w:tc>
          <w:tcPr>
            <w:tcW w:w="160" w:type="dxa"/>
            <w:vAlign w:val="bottom"/>
          </w:tcPr>
          <w:p>
            <w:pPr>
              <w:spacing w:after="0"/>
              <w:rPr>
                <w:sz w:val="20"/>
                <w:szCs w:val="20"/>
                <w:color w:val="auto"/>
              </w:rPr>
            </w:pPr>
          </w:p>
        </w:tc>
        <w:tc>
          <w:tcPr>
            <w:tcW w:w="236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98"/>
              </w:rPr>
              <w:t>-12.5%</w:t>
            </w:r>
          </w:p>
        </w:tc>
        <w:tc>
          <w:tcPr>
            <w:tcW w:w="180" w:type="dxa"/>
            <w:vAlign w:val="bottom"/>
          </w:tcPr>
          <w:p>
            <w:pPr>
              <w:spacing w:after="0"/>
              <w:rPr>
                <w:sz w:val="20"/>
                <w:szCs w:val="20"/>
                <w:color w:val="auto"/>
              </w:rPr>
            </w:pPr>
          </w:p>
        </w:tc>
        <w:tc>
          <w:tcPr>
            <w:tcW w:w="712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96"/>
              </w:rPr>
              <w:t>≤ 3.5%</w:t>
            </w:r>
          </w:p>
        </w:tc>
      </w:tr>
      <w:tr>
        <w:trPr>
          <w:trHeight w:val="237"/>
        </w:trPr>
        <w:tc>
          <w:tcPr>
            <w:tcW w:w="1420" w:type="dxa"/>
            <w:vAlign w:val="bottom"/>
            <w:tcBorders>
              <w:bottom w:val="single" w:sz="8" w:color="7F89AD"/>
            </w:tcBorders>
          </w:tcPr>
          <w:p>
            <w:pPr>
              <w:spacing w:after="0"/>
              <w:rPr>
                <w:sz w:val="20"/>
                <w:szCs w:val="20"/>
                <w:color w:val="auto"/>
              </w:rPr>
            </w:pPr>
            <w:r>
              <w:rPr>
                <w:rFonts w:ascii="Arial" w:cs="Arial" w:eastAsia="Arial" w:hAnsi="Arial"/>
                <w:sz w:val="18"/>
                <w:szCs w:val="18"/>
                <w:color w:val="auto"/>
              </w:rPr>
              <w:t>Target</w:t>
            </w:r>
          </w:p>
        </w:tc>
        <w:tc>
          <w:tcPr>
            <w:tcW w:w="160" w:type="dxa"/>
            <w:vAlign w:val="bottom"/>
          </w:tcPr>
          <w:p>
            <w:pPr>
              <w:spacing w:after="0"/>
              <w:rPr>
                <w:sz w:val="20"/>
                <w:szCs w:val="20"/>
                <w:color w:val="auto"/>
              </w:rPr>
            </w:pPr>
          </w:p>
        </w:tc>
        <w:tc>
          <w:tcPr>
            <w:tcW w:w="236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7120" w:type="dxa"/>
            <w:vAlign w:val="bottom"/>
            <w:tcBorders>
              <w:bottom w:val="single" w:sz="8" w:color="7F89AD"/>
            </w:tcBorders>
          </w:tcPr>
          <w:p>
            <w:pPr>
              <w:jc w:val="center"/>
              <w:spacing w:after="0"/>
              <w:rPr>
                <w:sz w:val="20"/>
                <w:szCs w:val="20"/>
                <w:color w:val="auto"/>
              </w:rPr>
            </w:pPr>
            <w:r>
              <w:rPr>
                <w:rFonts w:ascii="Arial" w:cs="Arial" w:eastAsia="Arial" w:hAnsi="Arial"/>
                <w:sz w:val="18"/>
                <w:szCs w:val="18"/>
                <w:color w:val="auto"/>
                <w:w w:val="97"/>
              </w:rPr>
              <w:t>5.5%</w:t>
            </w:r>
          </w:p>
        </w:tc>
      </w:tr>
      <w:tr>
        <w:trPr>
          <w:trHeight w:val="250"/>
        </w:trPr>
        <w:tc>
          <w:tcPr>
            <w:tcW w:w="142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Maximum</w:t>
            </w:r>
          </w:p>
        </w:tc>
        <w:tc>
          <w:tcPr>
            <w:tcW w:w="160" w:type="dxa"/>
            <w:vAlign w:val="bottom"/>
          </w:tcPr>
          <w:p>
            <w:pPr>
              <w:spacing w:after="0"/>
              <w:rPr>
                <w:sz w:val="21"/>
                <w:szCs w:val="21"/>
                <w:color w:val="auto"/>
              </w:rPr>
            </w:pPr>
          </w:p>
        </w:tc>
        <w:tc>
          <w:tcPr>
            <w:tcW w:w="2360" w:type="dxa"/>
            <w:vAlign w:val="bottom"/>
            <w:tcBorders>
              <w:bottom w:val="single" w:sz="8" w:color="355989"/>
            </w:tcBorders>
          </w:tcPr>
          <w:p>
            <w:pPr>
              <w:jc w:val="center"/>
              <w:spacing w:after="0"/>
              <w:rPr>
                <w:sz w:val="20"/>
                <w:szCs w:val="20"/>
                <w:color w:val="auto"/>
              </w:rPr>
            </w:pPr>
            <w:r>
              <w:rPr>
                <w:rFonts w:ascii="Arial" w:cs="Arial" w:eastAsia="Arial" w:hAnsi="Arial"/>
                <w:sz w:val="18"/>
                <w:szCs w:val="18"/>
                <w:color w:val="auto"/>
                <w:w w:val="97"/>
              </w:rPr>
              <w:t>+12.5%</w:t>
            </w:r>
          </w:p>
        </w:tc>
        <w:tc>
          <w:tcPr>
            <w:tcW w:w="180" w:type="dxa"/>
            <w:vAlign w:val="bottom"/>
          </w:tcPr>
          <w:p>
            <w:pPr>
              <w:spacing w:after="0"/>
              <w:rPr>
                <w:sz w:val="21"/>
                <w:szCs w:val="21"/>
                <w:color w:val="auto"/>
              </w:rPr>
            </w:pPr>
          </w:p>
        </w:tc>
        <w:tc>
          <w:tcPr>
            <w:tcW w:w="7120" w:type="dxa"/>
            <w:vAlign w:val="bottom"/>
            <w:tcBorders>
              <w:bottom w:val="single" w:sz="8" w:color="355989"/>
            </w:tcBorders>
          </w:tcPr>
          <w:p>
            <w:pPr>
              <w:jc w:val="center"/>
              <w:spacing w:after="0"/>
              <w:rPr>
                <w:sz w:val="20"/>
                <w:szCs w:val="20"/>
                <w:color w:val="auto"/>
              </w:rPr>
            </w:pPr>
            <w:r>
              <w:rPr>
                <w:rFonts w:ascii="Arial" w:cs="Arial" w:eastAsia="Arial" w:hAnsi="Arial"/>
                <w:sz w:val="18"/>
                <w:szCs w:val="18"/>
                <w:color w:val="auto"/>
                <w:w w:val="96"/>
              </w:rPr>
              <w:t>≥ 7.5%</w:t>
            </w:r>
          </w:p>
        </w:tc>
      </w:tr>
    </w:tbl>
    <w:p>
      <w:pPr>
        <w:spacing w:after="0" w:line="242" w:lineRule="exact"/>
        <w:rPr>
          <w:sz w:val="20"/>
          <w:szCs w:val="20"/>
          <w:color w:val="auto"/>
        </w:rPr>
      </w:pPr>
    </w:p>
    <w:p>
      <w:pPr>
        <w:ind w:left="320" w:right="360" w:hanging="312"/>
        <w:spacing w:after="0" w:line="258" w:lineRule="auto"/>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NYC Peer Group is comprised of the following companies: Acadia Realty Trust, Columbia Property Trust, Inc., Empire State Realty Trust, Inc., Mack-Cali Realty Corporation, Paramount Group, Inc. and Vornado Realty Trust.</w:t>
      </w:r>
    </w:p>
    <w:p>
      <w:pPr>
        <w:spacing w:after="0" w:line="1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designing our 2020 performance-based equity awards, we carefully selected performance criteria across not just a range of financial and corporate goals but also a range of performance periods that, taken together, aim to account for the complexities of operating our business over both the short-term and the long-term. Striking the right balance requires that we establish performance goals that incentivize our executive officers to strive for excellence no matter the time horizon. We aim to accomplish this objective by rationally linking the sum of the component parts of our compensation structure - not just to the way our executive officers think about our business but also to the way that our shareholders think about value, thereby aligning interests of executives with those of long-term stockholders.</w:t>
      </w:r>
    </w:p>
    <w:p>
      <w:pPr>
        <w:spacing w:after="0" w:line="21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Consistent with the approach taken with respect to the formulaic component of our annual cash bonus program, the Committee maintained the performance goals established in January 2020, rather than adjusting for the impact of the COVID-19 pandemic.</w:t>
      </w:r>
    </w:p>
    <w:p>
      <w:pPr>
        <w:spacing w:after="0" w:line="2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table below indicates equity award grants made under our 2020 annual performance-based equity award program. For Messrs. Holliday and Mathias, the grants were made in accordance with the terms of the employment agreements that were in effect with each executive during 2020. The awards made to Messrs. DiLiberto and Levine were discretionary based on the Committee’s assessment of each executive’s historical compensation, skill, experience and position, competitive market factors and other factors deemed appropriate by the Committee.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80" w:type="dxa"/>
            <w:vAlign w:val="bottom"/>
            <w:gridSpan w:val="7"/>
          </w:tcPr>
          <w:p>
            <w:pPr>
              <w:jc w:val="center"/>
              <w:spacing w:after="0"/>
              <w:rPr>
                <w:sz w:val="20"/>
                <w:szCs w:val="20"/>
                <w:color w:val="auto"/>
              </w:rPr>
            </w:pPr>
            <w:r>
              <w:rPr>
                <w:rFonts w:ascii="Arial" w:cs="Arial" w:eastAsia="Arial" w:hAnsi="Arial"/>
                <w:sz w:val="13"/>
                <w:szCs w:val="13"/>
                <w:b w:val="1"/>
                <w:bCs w:val="1"/>
                <w:color w:val="355A89"/>
              </w:rPr>
              <w:t>Annual Performance-Based LTIP Units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48"/>
        </w:trPr>
        <w:tc>
          <w:tcPr>
            <w:tcW w:w="4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tcBorders>
              <w:bottom w:val="single" w:sz="8" w:color="355989"/>
            </w:tcBorders>
            <w:gridSpan w:val="5"/>
          </w:tcPr>
          <w:p>
            <w:pPr>
              <w:spacing w:after="0"/>
              <w:rPr>
                <w:sz w:val="4"/>
                <w:szCs w:val="4"/>
                <w:color w:val="auto"/>
              </w:rPr>
            </w:pPr>
          </w:p>
        </w:tc>
        <w:tc>
          <w:tcPr>
            <w:tcW w:w="160" w:type="dxa"/>
            <w:vAlign w:val="bottom"/>
            <w:tcBorders>
              <w:bottom w:val="single" w:sz="8" w:color="355989"/>
            </w:tcBorders>
          </w:tcPr>
          <w:p>
            <w:pPr>
              <w:spacing w:after="0"/>
              <w:rPr>
                <w:sz w:val="4"/>
                <w:szCs w:val="4"/>
                <w:color w:val="auto"/>
              </w:rPr>
            </w:pPr>
          </w:p>
        </w:tc>
        <w:tc>
          <w:tcPr>
            <w:tcW w:w="2320" w:type="dxa"/>
            <w:vAlign w:val="bottom"/>
            <w:tcBorders>
              <w:bottom w:val="single" w:sz="8" w:color="355989"/>
            </w:tcBorders>
            <w:gridSpan w:val="6"/>
          </w:tcPr>
          <w:p>
            <w:pPr>
              <w:spacing w:after="0"/>
              <w:rPr>
                <w:sz w:val="4"/>
                <w:szCs w:val="4"/>
                <w:color w:val="auto"/>
              </w:rPr>
            </w:pPr>
          </w:p>
        </w:tc>
        <w:tc>
          <w:tcPr>
            <w:tcW w:w="2160" w:type="dxa"/>
            <w:vAlign w:val="bottom"/>
            <w:tcBorders>
              <w:bottom w:val="single" w:sz="8" w:color="355989"/>
            </w:tcBorders>
            <w:gridSpan w:val="5"/>
          </w:tcPr>
          <w:p>
            <w:pPr>
              <w:spacing w:after="0"/>
              <w:rPr>
                <w:sz w:val="4"/>
                <w:szCs w:val="4"/>
                <w:color w:val="auto"/>
              </w:rPr>
            </w:pPr>
          </w:p>
        </w:tc>
      </w:tr>
      <w:tr>
        <w:trPr>
          <w:trHeight w:val="202"/>
        </w:trPr>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5"/>
          </w:tcPr>
          <w:p>
            <w:pPr>
              <w:jc w:val="right"/>
              <w:ind w:right="436"/>
              <w:spacing w:after="0"/>
              <w:rPr>
                <w:sz w:val="20"/>
                <w:szCs w:val="20"/>
                <w:color w:val="auto"/>
              </w:rPr>
            </w:pPr>
            <w:r>
              <w:rPr>
                <w:rFonts w:ascii="Arial" w:cs="Arial" w:eastAsia="Arial" w:hAnsi="Arial"/>
                <w:sz w:val="13"/>
                <w:szCs w:val="13"/>
                <w:b w:val="1"/>
                <w:bCs w:val="1"/>
                <w:color w:val="355A89"/>
              </w:rPr>
              <w:t>Operational Units</w:t>
            </w:r>
          </w:p>
        </w:tc>
        <w:tc>
          <w:tcPr>
            <w:tcW w:w="160" w:type="dxa"/>
            <w:vAlign w:val="bottom"/>
          </w:tcPr>
          <w:p>
            <w:pPr>
              <w:spacing w:after="0"/>
              <w:rPr>
                <w:sz w:val="17"/>
                <w:szCs w:val="17"/>
                <w:color w:val="auto"/>
              </w:rPr>
            </w:pPr>
          </w:p>
        </w:tc>
        <w:tc>
          <w:tcPr>
            <w:tcW w:w="232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355A89"/>
              </w:rPr>
              <w:t>Index Relative TSR Units</w:t>
            </w:r>
          </w:p>
        </w:tc>
        <w:tc>
          <w:tcPr>
            <w:tcW w:w="2160" w:type="dxa"/>
            <w:vAlign w:val="bottom"/>
            <w:gridSpan w:val="5"/>
          </w:tcPr>
          <w:p>
            <w:pPr>
              <w:jc w:val="right"/>
              <w:ind w:right="236"/>
              <w:spacing w:after="0"/>
              <w:rPr>
                <w:sz w:val="20"/>
                <w:szCs w:val="20"/>
                <w:color w:val="auto"/>
              </w:rPr>
            </w:pPr>
            <w:r>
              <w:rPr>
                <w:rFonts w:ascii="Arial" w:cs="Arial" w:eastAsia="Arial" w:hAnsi="Arial"/>
                <w:sz w:val="13"/>
                <w:szCs w:val="13"/>
                <w:b w:val="1"/>
                <w:bCs w:val="1"/>
                <w:color w:val="355A89"/>
              </w:rPr>
              <w:t>NYC Relative TSR Units</w:t>
            </w:r>
          </w:p>
        </w:tc>
      </w:tr>
      <w:tr>
        <w:trPr>
          <w:trHeight w:val="48"/>
        </w:trPr>
        <w:tc>
          <w:tcPr>
            <w:tcW w:w="4440" w:type="dxa"/>
            <w:vAlign w:val="bottom"/>
            <w:gridSpan w:val="2"/>
          </w:tcPr>
          <w:p>
            <w:pPr>
              <w:spacing w:after="0"/>
              <w:rPr>
                <w:sz w:val="4"/>
                <w:szCs w:val="4"/>
                <w:color w:val="auto"/>
              </w:rPr>
            </w:pPr>
          </w:p>
        </w:tc>
        <w:tc>
          <w:tcPr>
            <w:tcW w:w="820" w:type="dxa"/>
            <w:vAlign w:val="bottom"/>
            <w:tcBorders>
              <w:bottom w:val="single" w:sz="8" w:color="355989"/>
            </w:tcBorders>
            <w:gridSpan w:val="2"/>
          </w:tcPr>
          <w:p>
            <w:pPr>
              <w:spacing w:after="0"/>
              <w:rPr>
                <w:sz w:val="4"/>
                <w:szCs w:val="4"/>
                <w:color w:val="auto"/>
              </w:rPr>
            </w:pPr>
          </w:p>
        </w:tc>
        <w:tc>
          <w:tcPr>
            <w:tcW w:w="700" w:type="dxa"/>
            <w:vAlign w:val="bottom"/>
            <w:tcBorders>
              <w:bottom w:val="single" w:sz="8" w:color="355989"/>
            </w:tcBorders>
            <w:gridSpan w:val="2"/>
          </w:tcPr>
          <w:p>
            <w:pPr>
              <w:spacing w:after="0"/>
              <w:rPr>
                <w:sz w:val="4"/>
                <w:szCs w:val="4"/>
                <w:color w:val="auto"/>
              </w:rPr>
            </w:pPr>
          </w:p>
        </w:tc>
        <w:tc>
          <w:tcPr>
            <w:tcW w:w="6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355989"/>
            </w:tcBorders>
            <w:gridSpan w:val="2"/>
          </w:tcPr>
          <w:p>
            <w:pPr>
              <w:spacing w:after="0"/>
              <w:rPr>
                <w:sz w:val="4"/>
                <w:szCs w:val="4"/>
                <w:color w:val="auto"/>
              </w:rPr>
            </w:pPr>
          </w:p>
        </w:tc>
        <w:tc>
          <w:tcPr>
            <w:tcW w:w="700" w:type="dxa"/>
            <w:vAlign w:val="bottom"/>
            <w:tcBorders>
              <w:bottom w:val="single" w:sz="8" w:color="355989"/>
            </w:tcBorders>
            <w:gridSpan w:val="2"/>
          </w:tcPr>
          <w:p>
            <w:pPr>
              <w:spacing w:after="0"/>
              <w:rPr>
                <w:sz w:val="4"/>
                <w:szCs w:val="4"/>
                <w:color w:val="auto"/>
              </w:rPr>
            </w:pPr>
          </w:p>
        </w:tc>
        <w:tc>
          <w:tcPr>
            <w:tcW w:w="6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355989"/>
            </w:tcBorders>
            <w:gridSpan w:val="2"/>
          </w:tcPr>
          <w:p>
            <w:pPr>
              <w:spacing w:after="0"/>
              <w:rPr>
                <w:sz w:val="4"/>
                <w:szCs w:val="4"/>
                <w:color w:val="auto"/>
              </w:rPr>
            </w:pPr>
          </w:p>
        </w:tc>
        <w:tc>
          <w:tcPr>
            <w:tcW w:w="700" w:type="dxa"/>
            <w:vAlign w:val="bottom"/>
            <w:tcBorders>
              <w:bottom w:val="single" w:sz="8" w:color="355989"/>
            </w:tcBorders>
            <w:gridSpan w:val="2"/>
          </w:tcPr>
          <w:p>
            <w:pPr>
              <w:spacing w:after="0"/>
              <w:rPr>
                <w:sz w:val="4"/>
                <w:szCs w:val="4"/>
                <w:color w:val="auto"/>
              </w:rPr>
            </w:pPr>
          </w:p>
        </w:tc>
        <w:tc>
          <w:tcPr>
            <w:tcW w:w="640" w:type="dxa"/>
            <w:vAlign w:val="bottom"/>
            <w:tcBorders>
              <w:bottom w:val="single" w:sz="8" w:color="355989"/>
            </w:tcBorders>
          </w:tcPr>
          <w:p>
            <w:pPr>
              <w:spacing w:after="0"/>
              <w:rPr>
                <w:sz w:val="4"/>
                <w:szCs w:val="4"/>
                <w:color w:val="auto"/>
              </w:rPr>
            </w:pPr>
          </w:p>
        </w:tc>
      </w:tr>
      <w:tr>
        <w:trPr>
          <w:trHeight w:val="202"/>
        </w:trPr>
        <w:tc>
          <w:tcPr>
            <w:tcW w:w="4440" w:type="dxa"/>
            <w:vAlign w:val="bottom"/>
            <w:gridSpan w:val="2"/>
          </w:tcPr>
          <w:p>
            <w:pPr>
              <w:spacing w:after="0"/>
              <w:rPr>
                <w:sz w:val="20"/>
                <w:szCs w:val="20"/>
                <w:color w:val="auto"/>
              </w:rPr>
            </w:pPr>
            <w:r>
              <w:rPr>
                <w:rFonts w:ascii="Arial" w:cs="Arial" w:eastAsia="Arial" w:hAnsi="Arial"/>
                <w:sz w:val="13"/>
                <w:szCs w:val="13"/>
                <w:b w:val="1"/>
                <w:bCs w:val="1"/>
                <w:color w:val="auto"/>
              </w:rPr>
              <w:t>Executive</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355A89"/>
              </w:rPr>
              <w:t>Threshold</w:t>
            </w:r>
          </w:p>
        </w:tc>
        <w:tc>
          <w:tcPr>
            <w:tcW w:w="700" w:type="dxa"/>
            <w:vAlign w:val="bottom"/>
            <w:gridSpan w:val="2"/>
          </w:tcPr>
          <w:p>
            <w:pPr>
              <w:ind w:left="140"/>
              <w:spacing w:after="0"/>
              <w:rPr>
                <w:sz w:val="20"/>
                <w:szCs w:val="20"/>
                <w:color w:val="auto"/>
              </w:rPr>
            </w:pPr>
            <w:r>
              <w:rPr>
                <w:rFonts w:ascii="Arial" w:cs="Arial" w:eastAsia="Arial" w:hAnsi="Arial"/>
                <w:sz w:val="13"/>
                <w:szCs w:val="13"/>
                <w:b w:val="1"/>
                <w:bCs w:val="1"/>
                <w:color w:val="355A89"/>
              </w:rPr>
              <w:t>Target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355A89"/>
              </w:rPr>
              <w:t>Maximum</w:t>
            </w:r>
          </w:p>
        </w:tc>
        <w:tc>
          <w:tcPr>
            <w:tcW w:w="16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355A89"/>
              </w:rPr>
              <w:t>Threshold</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Target</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355A89"/>
              </w:rPr>
              <w:t>Maximum</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355A89"/>
              </w:rPr>
              <w:t>Threshold</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Target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355A89"/>
              </w:rPr>
              <w:t>Maximum</w:t>
            </w:r>
          </w:p>
        </w:tc>
      </w:tr>
      <w:tr>
        <w:trPr>
          <w:trHeight w:val="48"/>
        </w:trPr>
        <w:tc>
          <w:tcPr>
            <w:tcW w:w="428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Borders>
              <w:bottom w:val="single" w:sz="8" w:color="355989"/>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355989"/>
            </w:tcBorders>
          </w:tcPr>
          <w:p>
            <w:pPr>
              <w:spacing w:after="0"/>
              <w:rPr>
                <w:sz w:val="4"/>
                <w:szCs w:val="4"/>
                <w:color w:val="auto"/>
              </w:rPr>
            </w:pPr>
          </w:p>
        </w:tc>
      </w:tr>
      <w:tr>
        <w:trPr>
          <w:trHeight w:val="235"/>
        </w:trPr>
        <w:tc>
          <w:tcPr>
            <w:tcW w:w="42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17,972</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41,078</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92,426</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13,693</w:t>
            </w: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27,386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61,618</w:t>
            </w:r>
          </w:p>
        </w:tc>
        <w:tc>
          <w:tcPr>
            <w:tcW w:w="660" w:type="dxa"/>
            <w:vAlign w:val="bottom"/>
          </w:tcPr>
          <w:p>
            <w:pPr>
              <w:jc w:val="right"/>
              <w:spacing w:after="0"/>
              <w:rPr>
                <w:sz w:val="20"/>
                <w:szCs w:val="20"/>
                <w:color w:val="auto"/>
              </w:rPr>
            </w:pPr>
            <w:r>
              <w:rPr>
                <w:rFonts w:ascii="Arial" w:cs="Arial" w:eastAsia="Arial" w:hAnsi="Arial"/>
                <w:sz w:val="18"/>
                <w:szCs w:val="18"/>
                <w:color w:val="auto"/>
              </w:rPr>
              <w:t>6,847</w:t>
            </w: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13,693</w:t>
            </w:r>
          </w:p>
        </w:tc>
        <w:tc>
          <w:tcPr>
            <w:tcW w:w="640" w:type="dxa"/>
            <w:vAlign w:val="bottom"/>
          </w:tcPr>
          <w:p>
            <w:pPr>
              <w:jc w:val="right"/>
              <w:spacing w:after="0"/>
              <w:rPr>
                <w:sz w:val="20"/>
                <w:szCs w:val="20"/>
                <w:color w:val="auto"/>
              </w:rPr>
            </w:pPr>
            <w:r>
              <w:rPr>
                <w:rFonts w:ascii="Arial" w:cs="Arial" w:eastAsia="Arial" w:hAnsi="Arial"/>
                <w:sz w:val="18"/>
                <w:szCs w:val="18"/>
                <w:color w:val="auto"/>
              </w:rPr>
              <w:t>30,809</w:t>
            </w:r>
          </w:p>
        </w:tc>
      </w:tr>
      <w:tr>
        <w:trPr>
          <w:trHeight w:val="21"/>
        </w:trPr>
        <w:tc>
          <w:tcPr>
            <w:tcW w:w="42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7F89AD"/>
          </w:tcPr>
          <w:p>
            <w:pPr>
              <w:spacing w:after="0" w:line="20" w:lineRule="exact"/>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14,378</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32,863</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73,941</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10,954</w:t>
            </w: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21,908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49,294</w:t>
            </w:r>
          </w:p>
        </w:tc>
        <w:tc>
          <w:tcPr>
            <w:tcW w:w="660" w:type="dxa"/>
            <w:vAlign w:val="bottom"/>
          </w:tcPr>
          <w:p>
            <w:pPr>
              <w:jc w:val="right"/>
              <w:spacing w:after="0"/>
              <w:rPr>
                <w:sz w:val="20"/>
                <w:szCs w:val="20"/>
                <w:color w:val="auto"/>
              </w:rPr>
            </w:pPr>
            <w:r>
              <w:rPr>
                <w:rFonts w:ascii="Arial" w:cs="Arial" w:eastAsia="Arial" w:hAnsi="Arial"/>
                <w:sz w:val="18"/>
                <w:szCs w:val="18"/>
                <w:color w:val="auto"/>
              </w:rPr>
              <w:t>5,477</w:t>
            </w: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10,954</w:t>
            </w:r>
          </w:p>
        </w:tc>
        <w:tc>
          <w:tcPr>
            <w:tcW w:w="640" w:type="dxa"/>
            <w:vAlign w:val="bottom"/>
          </w:tcPr>
          <w:p>
            <w:pPr>
              <w:jc w:val="right"/>
              <w:spacing w:after="0"/>
              <w:rPr>
                <w:sz w:val="20"/>
                <w:szCs w:val="20"/>
                <w:color w:val="auto"/>
              </w:rPr>
            </w:pPr>
            <w:r>
              <w:rPr>
                <w:rFonts w:ascii="Arial" w:cs="Arial" w:eastAsia="Arial" w:hAnsi="Arial"/>
                <w:sz w:val="18"/>
                <w:szCs w:val="18"/>
                <w:color w:val="auto"/>
              </w:rPr>
              <w:t>24,647</w:t>
            </w:r>
          </w:p>
        </w:tc>
      </w:tr>
      <w:tr>
        <w:trPr>
          <w:trHeight w:val="236"/>
        </w:trPr>
        <w:tc>
          <w:tcPr>
            <w:tcW w:w="4280" w:type="dxa"/>
            <w:vAlign w:val="bottom"/>
            <w:tcBorders>
              <w:top w:val="single" w:sz="8" w:color="7F89AD"/>
              <w:bottom w:val="single" w:sz="8" w:color="7F89AD"/>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66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20"/>
                <w:szCs w:val="20"/>
                <w:color w:val="auto"/>
              </w:rPr>
            </w:pPr>
          </w:p>
        </w:tc>
        <w:tc>
          <w:tcPr>
            <w:tcW w:w="54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3,043</w:t>
            </w:r>
          </w:p>
        </w:tc>
        <w:tc>
          <w:tcPr>
            <w:tcW w:w="160" w:type="dxa"/>
            <w:vAlign w:val="bottom"/>
          </w:tcPr>
          <w:p>
            <w:pPr>
              <w:spacing w:after="0"/>
              <w:rPr>
                <w:sz w:val="20"/>
                <w:szCs w:val="20"/>
                <w:color w:val="auto"/>
              </w:rPr>
            </w:pPr>
          </w:p>
        </w:tc>
        <w:tc>
          <w:tcPr>
            <w:tcW w:w="64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6,846</w:t>
            </w:r>
          </w:p>
        </w:tc>
        <w:tc>
          <w:tcPr>
            <w:tcW w:w="160" w:type="dxa"/>
            <w:vAlign w:val="bottom"/>
          </w:tcPr>
          <w:p>
            <w:pPr>
              <w:spacing w:after="0"/>
              <w:rPr>
                <w:sz w:val="20"/>
                <w:szCs w:val="20"/>
                <w:color w:val="auto"/>
              </w:rPr>
            </w:pPr>
          </w:p>
        </w:tc>
        <w:tc>
          <w:tcPr>
            <w:tcW w:w="66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0"/>
                <w:szCs w:val="20"/>
                <w:color w:val="auto"/>
              </w:rPr>
            </w:pPr>
          </w:p>
        </w:tc>
        <w:tc>
          <w:tcPr>
            <w:tcW w:w="54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20"/>
                <w:szCs w:val="20"/>
                <w:color w:val="auto"/>
              </w:rPr>
            </w:pPr>
          </w:p>
        </w:tc>
        <w:tc>
          <w:tcPr>
            <w:tcW w:w="64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4,564</w:t>
            </w:r>
          </w:p>
        </w:tc>
        <w:tc>
          <w:tcPr>
            <w:tcW w:w="160" w:type="dxa"/>
            <w:vAlign w:val="bottom"/>
          </w:tcPr>
          <w:p>
            <w:pPr>
              <w:spacing w:after="0"/>
              <w:rPr>
                <w:sz w:val="20"/>
                <w:szCs w:val="20"/>
                <w:color w:val="auto"/>
              </w:rPr>
            </w:pPr>
          </w:p>
        </w:tc>
        <w:tc>
          <w:tcPr>
            <w:tcW w:w="66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0"/>
                <w:szCs w:val="20"/>
                <w:color w:val="auto"/>
              </w:rPr>
            </w:pPr>
          </w:p>
        </w:tc>
        <w:tc>
          <w:tcPr>
            <w:tcW w:w="54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0"/>
                <w:szCs w:val="20"/>
                <w:color w:val="auto"/>
              </w:rPr>
            </w:pPr>
          </w:p>
        </w:tc>
        <w:tc>
          <w:tcPr>
            <w:tcW w:w="640" w:type="dxa"/>
            <w:vAlign w:val="bottom"/>
            <w:tcBorders>
              <w:top w:val="single" w:sz="8" w:color="7F89AD"/>
              <w:bottom w:val="single" w:sz="8" w:color="7F89AD"/>
            </w:tcBorders>
          </w:tcPr>
          <w:p>
            <w:pPr>
              <w:jc w:val="right"/>
              <w:spacing w:after="0"/>
              <w:rPr>
                <w:sz w:val="20"/>
                <w:szCs w:val="20"/>
                <w:color w:val="auto"/>
              </w:rPr>
            </w:pPr>
            <w:r>
              <w:rPr>
                <w:rFonts w:ascii="Arial" w:cs="Arial" w:eastAsia="Arial" w:hAnsi="Arial"/>
                <w:sz w:val="18"/>
                <w:szCs w:val="18"/>
                <w:color w:val="auto"/>
              </w:rPr>
              <w:t>2,282</w:t>
            </w:r>
          </w:p>
        </w:tc>
      </w:tr>
      <w:tr>
        <w:trPr>
          <w:trHeight w:val="250"/>
        </w:trPr>
        <w:tc>
          <w:tcPr>
            <w:tcW w:w="428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66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21"/>
                <w:szCs w:val="21"/>
                <w:color w:val="auto"/>
              </w:rPr>
            </w:pPr>
          </w:p>
        </w:tc>
        <w:tc>
          <w:tcPr>
            <w:tcW w:w="54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3,043</w:t>
            </w:r>
          </w:p>
        </w:tc>
        <w:tc>
          <w:tcPr>
            <w:tcW w:w="160" w:type="dxa"/>
            <w:vAlign w:val="bottom"/>
          </w:tcPr>
          <w:p>
            <w:pPr>
              <w:spacing w:after="0"/>
              <w:rPr>
                <w:sz w:val="21"/>
                <w:szCs w:val="21"/>
                <w:color w:val="auto"/>
              </w:rPr>
            </w:pPr>
          </w:p>
        </w:tc>
        <w:tc>
          <w:tcPr>
            <w:tcW w:w="64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6,846</w:t>
            </w:r>
          </w:p>
        </w:tc>
        <w:tc>
          <w:tcPr>
            <w:tcW w:w="160" w:type="dxa"/>
            <w:vAlign w:val="bottom"/>
          </w:tcPr>
          <w:p>
            <w:pPr>
              <w:spacing w:after="0"/>
              <w:rPr>
                <w:sz w:val="21"/>
                <w:szCs w:val="21"/>
                <w:color w:val="auto"/>
              </w:rPr>
            </w:pPr>
          </w:p>
        </w:tc>
        <w:tc>
          <w:tcPr>
            <w:tcW w:w="66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1"/>
                <w:szCs w:val="21"/>
                <w:color w:val="auto"/>
              </w:rPr>
            </w:pPr>
          </w:p>
        </w:tc>
        <w:tc>
          <w:tcPr>
            <w:tcW w:w="54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21"/>
                <w:szCs w:val="21"/>
                <w:color w:val="auto"/>
              </w:rPr>
            </w:pPr>
          </w:p>
        </w:tc>
        <w:tc>
          <w:tcPr>
            <w:tcW w:w="64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4,564</w:t>
            </w:r>
          </w:p>
        </w:tc>
        <w:tc>
          <w:tcPr>
            <w:tcW w:w="160" w:type="dxa"/>
            <w:vAlign w:val="bottom"/>
          </w:tcPr>
          <w:p>
            <w:pPr>
              <w:spacing w:after="0"/>
              <w:rPr>
                <w:sz w:val="21"/>
                <w:szCs w:val="21"/>
                <w:color w:val="auto"/>
              </w:rPr>
            </w:pPr>
          </w:p>
        </w:tc>
        <w:tc>
          <w:tcPr>
            <w:tcW w:w="66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1"/>
                <w:szCs w:val="21"/>
                <w:color w:val="auto"/>
              </w:rPr>
            </w:pPr>
          </w:p>
        </w:tc>
        <w:tc>
          <w:tcPr>
            <w:tcW w:w="54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1"/>
                <w:szCs w:val="21"/>
                <w:color w:val="auto"/>
              </w:rPr>
            </w:pPr>
          </w:p>
        </w:tc>
        <w:tc>
          <w:tcPr>
            <w:tcW w:w="64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2,282</w:t>
            </w:r>
          </w:p>
        </w:tc>
      </w:tr>
    </w:tbl>
    <w:p>
      <w:pPr>
        <w:spacing w:after="0" w:line="219"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763"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3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the 2020 calendar year, each of our named executive officers earned 115.44% of target based on our operational performance relative to each goal. Even in the face of the pandemic, the Company achieved operational success in 2020 and sufficiently outperformed several of these goals so as to achieve above-target performance, as set forth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Threshold</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Target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Maximum</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Actual</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355A89"/>
                <w:w w:val="99"/>
              </w:rPr>
              <w:t>Percentage</w:t>
            </w:r>
          </w:p>
        </w:tc>
      </w:tr>
      <w:tr>
        <w:trPr>
          <w:trHeight w:val="199"/>
        </w:trPr>
        <w:tc>
          <w:tcPr>
            <w:tcW w:w="5740" w:type="dxa"/>
            <w:vAlign w:val="bottom"/>
          </w:tcPr>
          <w:p>
            <w:pPr>
              <w:spacing w:after="0"/>
              <w:rPr>
                <w:sz w:val="20"/>
                <w:szCs w:val="20"/>
                <w:color w:val="auto"/>
              </w:rPr>
            </w:pPr>
            <w:r>
              <w:rPr>
                <w:rFonts w:ascii="Arial" w:cs="Arial" w:eastAsia="Arial" w:hAnsi="Arial"/>
                <w:sz w:val="13"/>
                <w:szCs w:val="13"/>
                <w:b w:val="1"/>
                <w:bCs w:val="1"/>
                <w:color w:val="auto"/>
              </w:rPr>
              <w:t>2020 Operational Units Goals</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355A89"/>
                <w:w w:val="96"/>
              </w:rPr>
              <w:t>Weight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355A89"/>
              </w:rPr>
              <w:t>Performance</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355A89"/>
              </w:rPr>
              <w:t>Performance</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Performance</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Performance</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355A89"/>
              </w:rPr>
              <w:t>Earned</w:t>
            </w:r>
          </w:p>
        </w:tc>
      </w:tr>
      <w:tr>
        <w:trPr>
          <w:trHeight w:val="228"/>
        </w:trPr>
        <w:tc>
          <w:tcPr>
            <w:tcW w:w="5740" w:type="dxa"/>
            <w:vAlign w:val="bottom"/>
            <w:tcBorders>
              <w:top w:val="single" w:sz="8" w:color="355989"/>
            </w:tcBorders>
          </w:tcPr>
          <w:p>
            <w:pPr>
              <w:spacing w:after="0"/>
              <w:rPr>
                <w:sz w:val="20"/>
                <w:szCs w:val="20"/>
                <w:color w:val="auto"/>
              </w:rPr>
            </w:pPr>
            <w:r>
              <w:rPr>
                <w:rFonts w:ascii="Arial" w:cs="Arial" w:eastAsia="Arial" w:hAnsi="Arial"/>
                <w:sz w:val="18"/>
                <w:szCs w:val="18"/>
                <w:color w:val="auto"/>
              </w:rPr>
              <w:t>Funds Available</w:t>
            </w:r>
          </w:p>
        </w:tc>
        <w:tc>
          <w:tcPr>
            <w:tcW w:w="160" w:type="dxa"/>
            <w:vAlign w:val="bottom"/>
          </w:tcPr>
          <w:p>
            <w:pPr>
              <w:spacing w:after="0"/>
              <w:rPr>
                <w:sz w:val="19"/>
                <w:szCs w:val="19"/>
                <w:color w:val="auto"/>
              </w:rPr>
            </w:pPr>
          </w:p>
        </w:tc>
        <w:tc>
          <w:tcPr>
            <w:tcW w:w="460" w:type="dxa"/>
            <w:vAlign w:val="bottom"/>
            <w:tcBorders>
              <w:top w:val="single" w:sz="8" w:color="355989"/>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355989"/>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355989"/>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355989"/>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355989"/>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355989"/>
            </w:tcBorders>
          </w:tcPr>
          <w:p>
            <w:pPr>
              <w:spacing w:after="0"/>
              <w:rPr>
                <w:sz w:val="19"/>
                <w:szCs w:val="19"/>
                <w:color w:val="auto"/>
              </w:rPr>
            </w:pPr>
          </w:p>
        </w:tc>
      </w:tr>
      <w:tr>
        <w:trPr>
          <w:trHeight w:val="251"/>
        </w:trPr>
        <w:tc>
          <w:tcPr>
            <w:tcW w:w="5740" w:type="dxa"/>
            <w:vAlign w:val="bottom"/>
          </w:tcPr>
          <w:p>
            <w:pPr>
              <w:spacing w:after="0"/>
              <w:rPr>
                <w:sz w:val="20"/>
                <w:szCs w:val="20"/>
                <w:color w:val="auto"/>
              </w:rPr>
            </w:pPr>
            <w:r>
              <w:rPr>
                <w:rFonts w:ascii="Arial" w:cs="Arial" w:eastAsia="Arial" w:hAnsi="Arial"/>
                <w:sz w:val="18"/>
                <w:szCs w:val="18"/>
                <w:color w:val="auto"/>
              </w:rPr>
              <w:t>for Distribution</w:t>
            </w: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$360M</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$375M</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≥$390M</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$455M</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
        </w:trPr>
        <w:tc>
          <w:tcPr>
            <w:tcW w:w="574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48649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48649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486491"/>
          </w:tcPr>
          <w:p>
            <w:pPr>
              <w:spacing w:after="0" w:line="20" w:lineRule="exact"/>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Debt / EBITDA Ratio</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7.70x</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7.45x</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≤7.20x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6.98x</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8"/>
        </w:trPr>
        <w:tc>
          <w:tcPr>
            <w:tcW w:w="5740" w:type="dxa"/>
            <w:vAlign w:val="bottom"/>
            <w:tcBorders>
              <w:top w:val="single" w:sz="8" w:color="486491"/>
            </w:tcBorders>
          </w:tcPr>
          <w:p>
            <w:pPr>
              <w:spacing w:after="0"/>
              <w:rPr>
                <w:sz w:val="20"/>
                <w:szCs w:val="20"/>
                <w:color w:val="auto"/>
              </w:rPr>
            </w:pPr>
            <w:r>
              <w:rPr>
                <w:rFonts w:ascii="Arial" w:cs="Arial" w:eastAsia="Arial" w:hAnsi="Arial"/>
                <w:sz w:val="18"/>
                <w:szCs w:val="18"/>
                <w:color w:val="auto"/>
              </w:rPr>
              <w:t>Manhattan Office Same-</w:t>
            </w:r>
          </w:p>
        </w:tc>
        <w:tc>
          <w:tcPr>
            <w:tcW w:w="160" w:type="dxa"/>
            <w:vAlign w:val="bottom"/>
          </w:tcPr>
          <w:p>
            <w:pPr>
              <w:spacing w:after="0"/>
              <w:rPr>
                <w:sz w:val="19"/>
                <w:szCs w:val="19"/>
                <w:color w:val="auto"/>
              </w:rPr>
            </w:pPr>
          </w:p>
        </w:tc>
        <w:tc>
          <w:tcPr>
            <w:tcW w:w="460" w:type="dxa"/>
            <w:vAlign w:val="bottom"/>
            <w:tcBorders>
              <w:top w:val="single" w:sz="8" w:color="486491"/>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486491"/>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486491"/>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486491"/>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486491"/>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486491"/>
            </w:tcBorders>
          </w:tcPr>
          <w:p>
            <w:pPr>
              <w:spacing w:after="0"/>
              <w:rPr>
                <w:sz w:val="19"/>
                <w:szCs w:val="19"/>
                <w:color w:val="auto"/>
              </w:rPr>
            </w:pPr>
          </w:p>
        </w:tc>
      </w:tr>
      <w:tr>
        <w:trPr>
          <w:trHeight w:val="252"/>
        </w:trPr>
        <w:tc>
          <w:tcPr>
            <w:tcW w:w="5740" w:type="dxa"/>
            <w:vAlign w:val="bottom"/>
          </w:tcPr>
          <w:p>
            <w:pPr>
              <w:spacing w:after="0"/>
              <w:rPr>
                <w:sz w:val="20"/>
                <w:szCs w:val="20"/>
                <w:color w:val="auto"/>
              </w:rPr>
            </w:pPr>
            <w:r>
              <w:rPr>
                <w:rFonts w:ascii="Arial" w:cs="Arial" w:eastAsia="Arial" w:hAnsi="Arial"/>
                <w:sz w:val="18"/>
                <w:szCs w:val="18"/>
                <w:color w:val="auto"/>
              </w:rPr>
              <w:t>Store Leased Occupancy</w:t>
            </w: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95.70%</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96.00%</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96.30%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93.90%</w:t>
            </w:r>
          </w:p>
        </w:tc>
        <w:tc>
          <w:tcPr>
            <w:tcW w:w="7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7"/>
        </w:trPr>
        <w:tc>
          <w:tcPr>
            <w:tcW w:w="5740" w:type="dxa"/>
            <w:vAlign w:val="bottom"/>
            <w:tcBorders>
              <w:top w:val="single" w:sz="8" w:color="486491"/>
            </w:tcBorders>
          </w:tcPr>
          <w:p>
            <w:pPr>
              <w:spacing w:after="0"/>
              <w:rPr>
                <w:sz w:val="20"/>
                <w:szCs w:val="20"/>
                <w:color w:val="auto"/>
              </w:rPr>
            </w:pPr>
            <w:r>
              <w:rPr>
                <w:rFonts w:ascii="Arial" w:cs="Arial" w:eastAsia="Arial" w:hAnsi="Arial"/>
                <w:sz w:val="18"/>
                <w:szCs w:val="18"/>
                <w:color w:val="auto"/>
              </w:rPr>
              <w:t>Manhattan Office</w:t>
            </w:r>
          </w:p>
        </w:tc>
        <w:tc>
          <w:tcPr>
            <w:tcW w:w="160" w:type="dxa"/>
            <w:vAlign w:val="bottom"/>
          </w:tcPr>
          <w:p>
            <w:pPr>
              <w:spacing w:after="0"/>
              <w:rPr>
                <w:sz w:val="19"/>
                <w:szCs w:val="19"/>
                <w:color w:val="auto"/>
              </w:rPr>
            </w:pPr>
          </w:p>
        </w:tc>
        <w:tc>
          <w:tcPr>
            <w:tcW w:w="460" w:type="dxa"/>
            <w:vAlign w:val="bottom"/>
            <w:tcBorders>
              <w:top w:val="single" w:sz="8" w:color="486491"/>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486491"/>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486491"/>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486491"/>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486491"/>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486491"/>
            </w:tcBorders>
          </w:tcPr>
          <w:p>
            <w:pPr>
              <w:spacing w:after="0"/>
              <w:rPr>
                <w:sz w:val="19"/>
                <w:szCs w:val="19"/>
                <w:color w:val="auto"/>
              </w:rPr>
            </w:pPr>
          </w:p>
        </w:tc>
      </w:tr>
      <w:tr>
        <w:trPr>
          <w:trHeight w:val="252"/>
        </w:trPr>
        <w:tc>
          <w:tcPr>
            <w:tcW w:w="5900" w:type="dxa"/>
            <w:vAlign w:val="bottom"/>
            <w:gridSpan w:val="2"/>
          </w:tcPr>
          <w:p>
            <w:pPr>
              <w:spacing w:after="0"/>
              <w:rPr>
                <w:sz w:val="20"/>
                <w:szCs w:val="20"/>
                <w:color w:val="auto"/>
              </w:rPr>
            </w:pPr>
            <w:r>
              <w:rPr>
                <w:rFonts w:ascii="Arial" w:cs="Arial" w:eastAsia="Arial" w:hAnsi="Arial"/>
                <w:sz w:val="18"/>
                <w:szCs w:val="18"/>
                <w:color w:val="auto"/>
              </w:rPr>
              <w:t>Leasing Volume</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1.3M sf</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1.5M sf</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1.7M sf</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1.35M sf</w:t>
            </w:r>
          </w:p>
        </w:tc>
        <w:tc>
          <w:tcPr>
            <w:tcW w:w="72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50"/>
        </w:trPr>
        <w:tc>
          <w:tcPr>
            <w:tcW w:w="5740" w:type="dxa"/>
            <w:vAlign w:val="bottom"/>
            <w:tcBorders>
              <w:top w:val="single" w:sz="8" w:color="486491"/>
              <w:bottom w:val="single" w:sz="8" w:color="355989"/>
            </w:tcBorders>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Borders>
              <w:top w:val="single" w:sz="8" w:color="486491"/>
              <w:bottom w:val="single" w:sz="8" w:color="355989"/>
            </w:tcBorders>
          </w:tcPr>
          <w:p>
            <w:pPr>
              <w:jc w:val="right"/>
              <w:spacing w:after="0"/>
              <w:rPr>
                <w:sz w:val="20"/>
                <w:szCs w:val="20"/>
                <w:color w:val="auto"/>
              </w:rPr>
            </w:pPr>
            <w:r>
              <w:rPr>
                <w:rFonts w:ascii="Arial" w:cs="Arial" w:eastAsia="Arial" w:hAnsi="Arial"/>
                <w:sz w:val="18"/>
                <w:szCs w:val="18"/>
                <w:b w:val="1"/>
                <w:bCs w:val="1"/>
                <w:color w:val="auto"/>
                <w:w w:val="95"/>
              </w:rPr>
              <w:t>100%</w:t>
            </w:r>
          </w:p>
        </w:tc>
        <w:tc>
          <w:tcPr>
            <w:tcW w:w="160" w:type="dxa"/>
            <w:vAlign w:val="bottom"/>
          </w:tcPr>
          <w:p>
            <w:pPr>
              <w:spacing w:after="0"/>
              <w:rPr>
                <w:sz w:val="21"/>
                <w:szCs w:val="21"/>
                <w:color w:val="auto"/>
              </w:rPr>
            </w:pPr>
          </w:p>
        </w:tc>
        <w:tc>
          <w:tcPr>
            <w:tcW w:w="840" w:type="dxa"/>
            <w:vAlign w:val="bottom"/>
            <w:tcBorders>
              <w:top w:val="single" w:sz="8" w:color="486491"/>
              <w:bottom w:val="single" w:sz="8" w:color="355989"/>
            </w:tcBorders>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top w:val="single" w:sz="8" w:color="486491"/>
              <w:bottom w:val="single" w:sz="8" w:color="355989"/>
            </w:tcBorders>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Borders>
              <w:top w:val="single" w:sz="8" w:color="486491"/>
              <w:bottom w:val="single" w:sz="8" w:color="355989"/>
            </w:tcBorders>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Borders>
              <w:top w:val="single" w:sz="8" w:color="486491"/>
              <w:bottom w:val="single" w:sz="8" w:color="355989"/>
            </w:tcBorders>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top w:val="single" w:sz="8" w:color="486491"/>
              <w:bottom w:val="single" w:sz="8" w:color="355989"/>
            </w:tcBorders>
          </w:tcPr>
          <w:p>
            <w:pPr>
              <w:jc w:val="right"/>
              <w:spacing w:after="0"/>
              <w:rPr>
                <w:sz w:val="20"/>
                <w:szCs w:val="20"/>
                <w:color w:val="auto"/>
              </w:rPr>
            </w:pPr>
            <w:r>
              <w:rPr>
                <w:rFonts w:ascii="Arial" w:cs="Arial" w:eastAsia="Arial" w:hAnsi="Arial"/>
                <w:sz w:val="18"/>
                <w:szCs w:val="18"/>
                <w:b w:val="1"/>
                <w:bCs w:val="1"/>
                <w:color w:val="auto"/>
                <w:w w:val="98"/>
              </w:rPr>
              <w:t>115.44%</w:t>
            </w:r>
          </w:p>
        </w:tc>
      </w:tr>
    </w:tbl>
    <w:p>
      <w:pPr>
        <w:spacing w:after="0" w:line="21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table below sets forth the number of LTIP units initially earned and the minimum and maximum numbers of LTIP units that may ultimately be earned after the application of the absolute TSR modifier at the end of the three-year performance period. Absolute TSR performance through year-end 2020 is less than 3.5%; therefore, the projected amount earned is the minimum number. This table also shows projected performance with respect to the 2020 relative TSR performance-based awards, based on relative TSR performance as of year-end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6"/>
          </w:tcPr>
          <w:p>
            <w:pPr>
              <w:jc w:val="right"/>
              <w:ind w:right="940"/>
              <w:spacing w:after="0"/>
              <w:rPr>
                <w:sz w:val="20"/>
                <w:szCs w:val="20"/>
                <w:color w:val="auto"/>
              </w:rPr>
            </w:pPr>
            <w:r>
              <w:rPr>
                <w:rFonts w:ascii="Arial" w:cs="Arial" w:eastAsia="Arial" w:hAnsi="Arial"/>
                <w:sz w:val="13"/>
                <w:szCs w:val="13"/>
                <w:b w:val="1"/>
                <w:bCs w:val="1"/>
                <w:color w:val="355A89"/>
              </w:rPr>
              <w:t>Earned 2020 Operational Units</w:t>
            </w:r>
          </w:p>
        </w:tc>
        <w:tc>
          <w:tcPr>
            <w:tcW w:w="2380" w:type="dxa"/>
            <w:vAlign w:val="bottom"/>
            <w:gridSpan w:val="3"/>
          </w:tcPr>
          <w:p>
            <w:pPr>
              <w:jc w:val="right"/>
              <w:ind w:right="21"/>
              <w:spacing w:after="0"/>
              <w:rPr>
                <w:sz w:val="20"/>
                <w:szCs w:val="20"/>
                <w:color w:val="auto"/>
              </w:rPr>
            </w:pPr>
            <w:r>
              <w:rPr>
                <w:rFonts w:ascii="Arial" w:cs="Arial" w:eastAsia="Arial" w:hAnsi="Arial"/>
                <w:sz w:val="13"/>
                <w:szCs w:val="13"/>
                <w:b w:val="1"/>
                <w:bCs w:val="1"/>
                <w:color w:val="355A89"/>
              </w:rPr>
              <w:t>Projected 2020 Relative TSR Units</w:t>
            </w:r>
          </w:p>
        </w:tc>
      </w:tr>
      <w:tr>
        <w:trPr>
          <w:trHeight w:val="159"/>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top w:val="single" w:sz="8" w:color="355989"/>
            </w:tcBorders>
          </w:tcPr>
          <w:p>
            <w:pPr>
              <w:spacing w:after="0"/>
              <w:rPr>
                <w:sz w:val="13"/>
                <w:szCs w:val="13"/>
                <w:color w:val="auto"/>
              </w:rPr>
            </w:pPr>
          </w:p>
        </w:tc>
        <w:tc>
          <w:tcPr>
            <w:tcW w:w="160" w:type="dxa"/>
            <w:vAlign w:val="bottom"/>
            <w:tcBorders>
              <w:top w:val="single" w:sz="8" w:color="355989"/>
            </w:tcBorders>
          </w:tcPr>
          <w:p>
            <w:pPr>
              <w:spacing w:after="0"/>
              <w:rPr>
                <w:sz w:val="13"/>
                <w:szCs w:val="13"/>
                <w:color w:val="auto"/>
              </w:rPr>
            </w:pPr>
          </w:p>
        </w:tc>
        <w:tc>
          <w:tcPr>
            <w:tcW w:w="1260" w:type="dxa"/>
            <w:vAlign w:val="bottom"/>
            <w:tcBorders>
              <w:top w:val="single" w:sz="8" w:color="355989"/>
            </w:tcBorders>
            <w:gridSpan w:val="2"/>
          </w:tcPr>
          <w:p>
            <w:pPr>
              <w:jc w:val="right"/>
              <w:ind w:right="160"/>
              <w:spacing w:after="0"/>
              <w:rPr>
                <w:sz w:val="20"/>
                <w:szCs w:val="20"/>
                <w:color w:val="auto"/>
              </w:rPr>
            </w:pPr>
            <w:r>
              <w:rPr>
                <w:rFonts w:ascii="Arial" w:cs="Arial" w:eastAsia="Arial" w:hAnsi="Arial"/>
                <w:sz w:val="13"/>
                <w:szCs w:val="13"/>
                <w:b w:val="1"/>
                <w:bCs w:val="1"/>
                <w:color w:val="355A89"/>
              </w:rPr>
              <w:t>Minimum</w:t>
            </w:r>
          </w:p>
        </w:tc>
        <w:tc>
          <w:tcPr>
            <w:tcW w:w="1100" w:type="dxa"/>
            <w:vAlign w:val="bottom"/>
            <w:tcBorders>
              <w:top w:val="single" w:sz="8" w:color="355989"/>
            </w:tcBorders>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top w:val="single" w:sz="8" w:color="355989"/>
            </w:tcBorders>
          </w:tcPr>
          <w:p>
            <w:pPr>
              <w:spacing w:after="0"/>
              <w:rPr>
                <w:sz w:val="13"/>
                <w:szCs w:val="13"/>
                <w:color w:val="auto"/>
              </w:rPr>
            </w:pPr>
          </w:p>
        </w:tc>
        <w:tc>
          <w:tcPr>
            <w:tcW w:w="440" w:type="dxa"/>
            <w:vAlign w:val="bottom"/>
            <w:tcBorders>
              <w:top w:val="single" w:sz="8" w:color="355989"/>
            </w:tcBorders>
          </w:tcPr>
          <w:p>
            <w:pPr>
              <w:spacing w:after="0"/>
              <w:rPr>
                <w:sz w:val="13"/>
                <w:szCs w:val="13"/>
                <w:color w:val="auto"/>
              </w:rPr>
            </w:pPr>
          </w:p>
        </w:tc>
        <w:tc>
          <w:tcPr>
            <w:tcW w:w="940" w:type="dxa"/>
            <w:vAlign w:val="bottom"/>
            <w:tcBorders>
              <w:top w:val="single" w:sz="8" w:color="355989"/>
            </w:tcBorders>
          </w:tcPr>
          <w:p>
            <w:pPr>
              <w:spacing w:after="0"/>
              <w:rPr>
                <w:sz w:val="13"/>
                <w:szCs w:val="13"/>
                <w:color w:val="auto"/>
              </w:rPr>
            </w:pPr>
          </w:p>
        </w:tc>
      </w:tr>
      <w:tr>
        <w:trPr>
          <w:trHeight w:val="148"/>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and Projected</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Maximum</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Initially Earned</w:t>
            </w: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(assuming 12.5%</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(assuming 12.5%</w:t>
            </w:r>
          </w:p>
        </w:tc>
        <w:tc>
          <w:tcPr>
            <w:tcW w:w="14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355A89"/>
              </w:rPr>
              <w:t>Projected Index</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355A89"/>
              </w:rPr>
              <w:t>Projected NYC</w:t>
            </w:r>
          </w:p>
        </w:tc>
      </w:tr>
      <w:tr>
        <w:trPr>
          <w:trHeight w:val="148"/>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(115.44% of</w:t>
            </w: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downward TSR</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upward TSR</w:t>
            </w:r>
          </w:p>
        </w:tc>
        <w:tc>
          <w:tcPr>
            <w:tcW w:w="14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355A89"/>
              </w:rPr>
              <w:t>Relative as of</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355A89"/>
              </w:rPr>
              <w:t>Relative as of</w:t>
            </w:r>
          </w:p>
        </w:tc>
      </w:tr>
      <w:tr>
        <w:trPr>
          <w:trHeight w:val="185"/>
        </w:trPr>
        <w:tc>
          <w:tcPr>
            <w:tcW w:w="502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355A89"/>
              </w:rPr>
              <w:t>Target)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355A89"/>
              </w:rPr>
              <w:t>modifier)</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modifier)</w:t>
            </w:r>
          </w:p>
        </w:tc>
        <w:tc>
          <w:tcPr>
            <w:tcW w:w="14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355A89"/>
              </w:rPr>
              <w:t>12/31/2020</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355A89"/>
              </w:rPr>
              <w:t>12/31/2020</w:t>
            </w:r>
          </w:p>
        </w:tc>
      </w:tr>
      <w:tr>
        <w:trPr>
          <w:trHeight w:val="34"/>
        </w:trPr>
        <w:tc>
          <w:tcPr>
            <w:tcW w:w="502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355989"/>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355989"/>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355989"/>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355989"/>
          </w:tcPr>
          <w:p>
            <w:pPr>
              <w:spacing w:after="0"/>
              <w:rPr>
                <w:sz w:val="2"/>
                <w:szCs w:val="2"/>
                <w:color w:val="auto"/>
              </w:rPr>
            </w:pPr>
          </w:p>
        </w:tc>
      </w:tr>
      <w:tr>
        <w:trPr>
          <w:trHeight w:val="235"/>
        </w:trPr>
        <w:tc>
          <w:tcPr>
            <w:tcW w:w="502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47,422</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41,494</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53,350</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15,465</w:t>
            </w:r>
          </w:p>
        </w:tc>
        <w:tc>
          <w:tcPr>
            <w:tcW w:w="940" w:type="dxa"/>
            <w:vAlign w:val="bottom"/>
          </w:tcPr>
          <w:p>
            <w:pPr>
              <w:jc w:val="right"/>
              <w:spacing w:after="0"/>
              <w:rPr>
                <w:sz w:val="20"/>
                <w:szCs w:val="20"/>
                <w:color w:val="auto"/>
              </w:rPr>
            </w:pPr>
            <w:r>
              <w:rPr>
                <w:rFonts w:ascii="Arial" w:cs="Arial" w:eastAsia="Arial" w:hAnsi="Arial"/>
                <w:sz w:val="18"/>
                <w:szCs w:val="18"/>
                <w:color w:val="auto"/>
              </w:rPr>
              <w:t>30,809</w:t>
            </w:r>
          </w:p>
        </w:tc>
      </w:tr>
      <w:tr>
        <w:trPr>
          <w:trHeight w:val="21"/>
        </w:trPr>
        <w:tc>
          <w:tcPr>
            <w:tcW w:w="502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48649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48649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486491"/>
          </w:tcPr>
          <w:p>
            <w:pPr>
              <w:spacing w:after="0" w:line="20" w:lineRule="exact"/>
              <w:rPr>
                <w:sz w:val="1"/>
                <w:szCs w:val="1"/>
                <w:color w:val="auto"/>
              </w:rPr>
            </w:pPr>
          </w:p>
        </w:tc>
      </w:tr>
      <w:tr>
        <w:trPr>
          <w:trHeight w:val="235"/>
        </w:trPr>
        <w:tc>
          <w:tcPr>
            <w:tcW w:w="502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37,938</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33,196</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42,680</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12,371</w:t>
            </w:r>
          </w:p>
        </w:tc>
        <w:tc>
          <w:tcPr>
            <w:tcW w:w="940" w:type="dxa"/>
            <w:vAlign w:val="bottom"/>
          </w:tcPr>
          <w:p>
            <w:pPr>
              <w:jc w:val="right"/>
              <w:spacing w:after="0"/>
              <w:rPr>
                <w:sz w:val="20"/>
                <w:szCs w:val="20"/>
                <w:color w:val="auto"/>
              </w:rPr>
            </w:pPr>
            <w:r>
              <w:rPr>
                <w:rFonts w:ascii="Arial" w:cs="Arial" w:eastAsia="Arial" w:hAnsi="Arial"/>
                <w:sz w:val="18"/>
                <w:szCs w:val="18"/>
                <w:color w:val="auto"/>
              </w:rPr>
              <w:t>24,647</w:t>
            </w:r>
          </w:p>
        </w:tc>
      </w:tr>
      <w:tr>
        <w:trPr>
          <w:trHeight w:val="21"/>
        </w:trPr>
        <w:tc>
          <w:tcPr>
            <w:tcW w:w="502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48649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48649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486491"/>
          </w:tcPr>
          <w:p>
            <w:pPr>
              <w:spacing w:after="0" w:line="20" w:lineRule="exact"/>
              <w:rPr>
                <w:sz w:val="1"/>
                <w:szCs w:val="1"/>
                <w:color w:val="auto"/>
              </w:rPr>
            </w:pPr>
          </w:p>
        </w:tc>
      </w:tr>
      <w:tr>
        <w:trPr>
          <w:trHeight w:val="235"/>
        </w:trPr>
        <w:tc>
          <w:tcPr>
            <w:tcW w:w="502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3,513</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3,074</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3,952</w:t>
            </w:r>
          </w:p>
        </w:tc>
        <w:tc>
          <w:tcPr>
            <w:tcW w:w="18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1,145</w:t>
            </w:r>
          </w:p>
        </w:tc>
        <w:tc>
          <w:tcPr>
            <w:tcW w:w="94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21"/>
        </w:trPr>
        <w:tc>
          <w:tcPr>
            <w:tcW w:w="502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4864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48649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48649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486491"/>
          </w:tcPr>
          <w:p>
            <w:pPr>
              <w:spacing w:after="0" w:line="20" w:lineRule="exact"/>
              <w:rPr>
                <w:sz w:val="1"/>
                <w:szCs w:val="1"/>
                <w:color w:val="auto"/>
              </w:rPr>
            </w:pPr>
          </w:p>
        </w:tc>
      </w:tr>
      <w:tr>
        <w:trPr>
          <w:trHeight w:val="235"/>
        </w:trPr>
        <w:tc>
          <w:tcPr>
            <w:tcW w:w="502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3,513</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3,074</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3,952</w:t>
            </w:r>
          </w:p>
        </w:tc>
        <w:tc>
          <w:tcPr>
            <w:tcW w:w="18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1,145</w:t>
            </w:r>
          </w:p>
        </w:tc>
        <w:tc>
          <w:tcPr>
            <w:tcW w:w="94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35"/>
        </w:trPr>
        <w:tc>
          <w:tcPr>
            <w:tcW w:w="502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shd w:val="clear" w:color="auto" w:fill="355989"/>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shd w:val="clear" w:color="auto" w:fill="355989"/>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shd w:val="clear" w:color="auto" w:fill="355989"/>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shd w:val="clear" w:color="auto" w:fill="355989"/>
          </w:tcPr>
          <w:p>
            <w:pPr>
              <w:spacing w:after="0"/>
              <w:rPr>
                <w:sz w:val="3"/>
                <w:szCs w:val="3"/>
                <w:color w:val="auto"/>
              </w:rPr>
            </w:pPr>
          </w:p>
        </w:tc>
      </w:tr>
    </w:tbl>
    <w:p>
      <w:pPr>
        <w:spacing w:after="0" w:line="21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projected performance highlights our pay-for-performance philosophy and the flexible, dynamic nature of our performance-based awards. The operational units were initially earned at above-target levels based on successful achievement of short-term operational goals. But, based on current TSR performance, the awards are expected to receive the full downward adjustment. Similarly, the awards that may be earned based on performance relative to the SNL Office Index are projected to be earned at only slightly above threshold, illustrating the relative underperformance of the NYC office sector. However, the awards that are eligible to be earned based on our performance relative to our NYC peers are projected to be earned at maximum, reflecting the strength of our NYC portfolio and our management team’s ability to navigate the unique challenges facing the overall NYC real estate market during 2020.</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2019 Performance-Based Equity Awards</w:t>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table below summarizes projected performance with respect to our 2019 performance-based equity awards, a portion of which were earned based on our operational performance through December 31, 2019, and remain subject to an absolute TSR modifier through year-end 2021, and a portion of which may be earned based on our TSR performance relative to the SNL Office Index through year-end 2021. The performance hurdles for each component are identical to those set forth above for our 2020 performance-based equity awards.</w:t>
      </w:r>
    </w:p>
    <w:p>
      <w:pPr>
        <w:spacing w:after="0" w:line="20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As of December 31, 2020, our performance would have resulted in the maximum downward adjustment of LTIP units initially earned based on 2019 operational performance, and in the forfeiture of all 2019 relative TSR performance-based awards, as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Projected 2019 Operational</w:t>
            </w:r>
          </w:p>
        </w:tc>
        <w:tc>
          <w:tcPr>
            <w:tcW w:w="1820" w:type="dxa"/>
            <w:vAlign w:val="bottom"/>
          </w:tcPr>
          <w:p>
            <w:pPr>
              <w:jc w:val="right"/>
              <w:spacing w:after="0"/>
              <w:rPr>
                <w:sz w:val="20"/>
                <w:szCs w:val="20"/>
                <w:color w:val="auto"/>
              </w:rPr>
            </w:pPr>
            <w:r>
              <w:rPr>
                <w:rFonts w:ascii="Arial" w:cs="Arial" w:eastAsia="Arial" w:hAnsi="Arial"/>
                <w:sz w:val="13"/>
                <w:szCs w:val="13"/>
                <w:b w:val="1"/>
                <w:bCs w:val="1"/>
                <w:color w:val="355A89"/>
              </w:rPr>
              <w:t>Projected 2019 Relative TSR</w:t>
            </w:r>
          </w:p>
        </w:tc>
      </w:tr>
      <w:tr>
        <w:trPr>
          <w:trHeight w:val="172"/>
        </w:trPr>
        <w:tc>
          <w:tcPr>
            <w:tcW w:w="7360" w:type="dxa"/>
            <w:vAlign w:val="bottom"/>
            <w:tcBorders>
              <w:bottom w:val="single" w:sz="8" w:color="355989"/>
            </w:tcBorders>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4"/>
                <w:szCs w:val="14"/>
                <w:color w:val="auto"/>
              </w:rPr>
            </w:pPr>
          </w:p>
        </w:tc>
        <w:tc>
          <w:tcPr>
            <w:tcW w:w="1740" w:type="dxa"/>
            <w:vAlign w:val="bottom"/>
            <w:tcBorders>
              <w:bottom w:val="single" w:sz="8" w:color="355989"/>
            </w:tcBorders>
          </w:tcPr>
          <w:p>
            <w:pPr>
              <w:jc w:val="right"/>
              <w:spacing w:after="0"/>
              <w:rPr>
                <w:sz w:val="20"/>
                <w:szCs w:val="20"/>
                <w:color w:val="auto"/>
              </w:rPr>
            </w:pPr>
            <w:r>
              <w:rPr>
                <w:rFonts w:ascii="Arial" w:cs="Arial" w:eastAsia="Arial" w:hAnsi="Arial"/>
                <w:sz w:val="13"/>
                <w:szCs w:val="13"/>
                <w:b w:val="1"/>
                <w:bCs w:val="1"/>
                <w:color w:val="355A89"/>
              </w:rPr>
              <w:t>Units as of 12/31/2020</w:t>
            </w:r>
          </w:p>
        </w:tc>
        <w:tc>
          <w:tcPr>
            <w:tcW w:w="160" w:type="dxa"/>
            <w:vAlign w:val="bottom"/>
          </w:tcPr>
          <w:p>
            <w:pPr>
              <w:spacing w:after="0"/>
              <w:rPr>
                <w:sz w:val="14"/>
                <w:szCs w:val="14"/>
                <w:color w:val="auto"/>
              </w:rPr>
            </w:pPr>
          </w:p>
        </w:tc>
        <w:tc>
          <w:tcPr>
            <w:tcW w:w="1820" w:type="dxa"/>
            <w:vAlign w:val="bottom"/>
            <w:tcBorders>
              <w:bottom w:val="single" w:sz="8" w:color="355989"/>
            </w:tcBorders>
          </w:tcPr>
          <w:p>
            <w:pPr>
              <w:jc w:val="right"/>
              <w:spacing w:after="0"/>
              <w:rPr>
                <w:sz w:val="20"/>
                <w:szCs w:val="20"/>
                <w:color w:val="auto"/>
              </w:rPr>
            </w:pPr>
            <w:r>
              <w:rPr>
                <w:rFonts w:ascii="Arial" w:cs="Arial" w:eastAsia="Arial" w:hAnsi="Arial"/>
                <w:sz w:val="13"/>
                <w:szCs w:val="13"/>
                <w:b w:val="1"/>
                <w:bCs w:val="1"/>
                <w:color w:val="355A89"/>
              </w:rPr>
              <w:t>Units as of 12/31/2020</w:t>
            </w:r>
          </w:p>
        </w:tc>
      </w:tr>
      <w:tr>
        <w:trPr>
          <w:trHeight w:val="237"/>
        </w:trPr>
        <w:tc>
          <w:tcPr>
            <w:tcW w:w="7360" w:type="dxa"/>
            <w:vAlign w:val="bottom"/>
            <w:tcBorders>
              <w:bottom w:val="single" w:sz="8" w:color="486491"/>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174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60,530</w:t>
            </w:r>
          </w:p>
        </w:tc>
        <w:tc>
          <w:tcPr>
            <w:tcW w:w="160" w:type="dxa"/>
            <w:vAlign w:val="bottom"/>
          </w:tcPr>
          <w:p>
            <w:pPr>
              <w:spacing w:after="0"/>
              <w:rPr>
                <w:sz w:val="20"/>
                <w:szCs w:val="20"/>
                <w:color w:val="auto"/>
              </w:rPr>
            </w:pPr>
          </w:p>
        </w:tc>
        <w:tc>
          <w:tcPr>
            <w:tcW w:w="182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0</w:t>
            </w:r>
          </w:p>
        </w:tc>
      </w:tr>
      <w:tr>
        <w:trPr>
          <w:trHeight w:val="236"/>
        </w:trPr>
        <w:tc>
          <w:tcPr>
            <w:tcW w:w="7360" w:type="dxa"/>
            <w:vAlign w:val="bottom"/>
            <w:tcBorders>
              <w:bottom w:val="single" w:sz="8" w:color="486491"/>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174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48,423</w:t>
            </w:r>
          </w:p>
        </w:tc>
        <w:tc>
          <w:tcPr>
            <w:tcW w:w="160" w:type="dxa"/>
            <w:vAlign w:val="bottom"/>
          </w:tcPr>
          <w:p>
            <w:pPr>
              <w:spacing w:after="0"/>
              <w:rPr>
                <w:sz w:val="20"/>
                <w:szCs w:val="20"/>
                <w:color w:val="auto"/>
              </w:rPr>
            </w:pPr>
          </w:p>
        </w:tc>
        <w:tc>
          <w:tcPr>
            <w:tcW w:w="182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0</w:t>
            </w:r>
          </w:p>
        </w:tc>
      </w:tr>
      <w:tr>
        <w:trPr>
          <w:trHeight w:val="236"/>
        </w:trPr>
        <w:tc>
          <w:tcPr>
            <w:tcW w:w="7360" w:type="dxa"/>
            <w:vAlign w:val="bottom"/>
            <w:tcBorders>
              <w:bottom w:val="single" w:sz="8" w:color="486491"/>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174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20"/>
                <w:szCs w:val="20"/>
                <w:color w:val="auto"/>
              </w:rPr>
            </w:pPr>
          </w:p>
        </w:tc>
        <w:tc>
          <w:tcPr>
            <w:tcW w:w="182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0</w:t>
            </w:r>
          </w:p>
        </w:tc>
      </w:tr>
      <w:tr>
        <w:trPr>
          <w:trHeight w:val="250"/>
        </w:trPr>
        <w:tc>
          <w:tcPr>
            <w:tcW w:w="736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174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21"/>
                <w:szCs w:val="21"/>
                <w:color w:val="auto"/>
              </w:rPr>
            </w:pPr>
          </w:p>
        </w:tc>
        <w:tc>
          <w:tcPr>
            <w:tcW w:w="1820" w:type="dxa"/>
            <w:vAlign w:val="bottom"/>
            <w:tcBorders>
              <w:bottom w:val="single" w:sz="8" w:color="355989"/>
            </w:tcBorders>
          </w:tcPr>
          <w:p>
            <w:pPr>
              <w:jc w:val="right"/>
              <w:spacing w:after="0"/>
              <w:rPr>
                <w:sz w:val="20"/>
                <w:szCs w:val="20"/>
                <w:color w:val="auto"/>
              </w:rPr>
            </w:pPr>
            <w:r>
              <w:rPr>
                <w:rFonts w:ascii="Arial" w:cs="Arial" w:eastAsia="Arial" w:hAnsi="Arial"/>
                <w:sz w:val="18"/>
                <w:szCs w:val="18"/>
                <w:color w:val="auto"/>
              </w:rPr>
              <w:t>0</w:t>
            </w: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2020 Time-Based Equity Awards</w:t>
      </w:r>
    </w:p>
    <w:p>
      <w:pPr>
        <w:spacing w:after="0" w:line="23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January 2021, we also made annual awards of time-based LTIP units to Messrs. Holliday, Mathias and Levine pursuant to each executive’s employment agreement that are subject to vesting over three years, in the case of Messrs. Holliday and Mathias, and over one year in the case of Mr. Levine, with each award vesting ratably on January 1st of each year following the grant of each award. Mr. DiLiberto’s employment agreement that was in effect during 2020 did not provide for him to participate in this aspect of our long-term equity incentive award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indicates equity award grants made under our 2020 annual time-based equity award program.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4"/>
          </w:tcPr>
          <w:p>
            <w:pPr>
              <w:jc w:val="right"/>
              <w:ind w:right="377"/>
              <w:spacing w:after="0"/>
              <w:rPr>
                <w:sz w:val="20"/>
                <w:szCs w:val="20"/>
                <w:color w:val="auto"/>
              </w:rPr>
            </w:pPr>
            <w:r>
              <w:rPr>
                <w:rFonts w:ascii="Arial" w:cs="Arial" w:eastAsia="Arial" w:hAnsi="Arial"/>
                <w:sz w:val="13"/>
                <w:szCs w:val="13"/>
                <w:b w:val="1"/>
                <w:bCs w:val="1"/>
                <w:color w:val="355A89"/>
              </w:rPr>
              <w:t>Time-based LTIP Units</w:t>
            </w:r>
          </w:p>
        </w:tc>
      </w:tr>
      <w:tr>
        <w:trPr>
          <w:trHeight w:val="48"/>
        </w:trPr>
        <w:tc>
          <w:tcPr>
            <w:tcW w:w="8860" w:type="dxa"/>
            <w:vAlign w:val="bottom"/>
            <w:gridSpan w:val="2"/>
          </w:tcPr>
          <w:p>
            <w:pPr>
              <w:spacing w:after="0"/>
              <w:rPr>
                <w:sz w:val="4"/>
                <w:szCs w:val="4"/>
                <w:color w:val="auto"/>
              </w:rPr>
            </w:pPr>
          </w:p>
        </w:tc>
        <w:tc>
          <w:tcPr>
            <w:tcW w:w="1280" w:type="dxa"/>
            <w:vAlign w:val="bottom"/>
            <w:tcBorders>
              <w:bottom w:val="single" w:sz="8" w:color="355989"/>
            </w:tcBorders>
            <w:gridSpan w:val="2"/>
          </w:tcPr>
          <w:p>
            <w:pPr>
              <w:spacing w:after="0"/>
              <w:rPr>
                <w:sz w:val="4"/>
                <w:szCs w:val="4"/>
                <w:color w:val="auto"/>
              </w:rPr>
            </w:pPr>
          </w:p>
        </w:tc>
        <w:tc>
          <w:tcPr>
            <w:tcW w:w="220" w:type="dxa"/>
            <w:vAlign w:val="bottom"/>
            <w:tcBorders>
              <w:bottom w:val="single" w:sz="8" w:color="355989"/>
            </w:tcBorders>
          </w:tcPr>
          <w:p>
            <w:pPr>
              <w:spacing w:after="0"/>
              <w:rPr>
                <w:sz w:val="4"/>
                <w:szCs w:val="4"/>
                <w:color w:val="auto"/>
              </w:rPr>
            </w:pPr>
          </w:p>
        </w:tc>
        <w:tc>
          <w:tcPr>
            <w:tcW w:w="880" w:type="dxa"/>
            <w:vAlign w:val="bottom"/>
            <w:tcBorders>
              <w:bottom w:val="single" w:sz="8" w:color="355989"/>
            </w:tcBorders>
          </w:tcPr>
          <w:p>
            <w:pPr>
              <w:spacing w:after="0"/>
              <w:rPr>
                <w:sz w:val="4"/>
                <w:szCs w:val="4"/>
                <w:color w:val="auto"/>
              </w:rPr>
            </w:pPr>
          </w:p>
        </w:tc>
      </w:tr>
      <w:tr>
        <w:trPr>
          <w:trHeight w:val="264"/>
        </w:trPr>
        <w:tc>
          <w:tcPr>
            <w:tcW w:w="870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22"/>
                <w:szCs w:val="22"/>
                <w:color w:val="auto"/>
              </w:rPr>
            </w:pPr>
          </w:p>
        </w:tc>
        <w:tc>
          <w:tcPr>
            <w:tcW w:w="1280" w:type="dxa"/>
            <w:vAlign w:val="bottom"/>
            <w:gridSpan w:val="2"/>
          </w:tcPr>
          <w:p>
            <w:pPr>
              <w:ind w:left="500"/>
              <w:spacing w:after="0"/>
              <w:rPr>
                <w:sz w:val="20"/>
                <w:szCs w:val="20"/>
                <w:color w:val="auto"/>
              </w:rPr>
            </w:pPr>
            <w:r>
              <w:rPr>
                <w:rFonts w:ascii="Arial" w:cs="Arial" w:eastAsia="Arial" w:hAnsi="Arial"/>
                <w:sz w:val="13"/>
                <w:szCs w:val="13"/>
                <w:b w:val="1"/>
                <w:bCs w:val="1"/>
                <w:color w:val="355A89"/>
              </w:rPr>
              <w:t># of Units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Grant Value</w:t>
            </w:r>
          </w:p>
        </w:tc>
      </w:tr>
      <w:tr>
        <w:trPr>
          <w:trHeight w:val="310"/>
        </w:trPr>
        <w:tc>
          <w:tcPr>
            <w:tcW w:w="8700" w:type="dxa"/>
            <w:vAlign w:val="bottom"/>
            <w:tcBorders>
              <w:top w:val="single" w:sz="8" w:color="355989"/>
              <w:bottom w:val="single" w:sz="8" w:color="486491"/>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4"/>
                <w:szCs w:val="24"/>
                <w:color w:val="auto"/>
              </w:rPr>
            </w:pPr>
          </w:p>
        </w:tc>
        <w:tc>
          <w:tcPr>
            <w:tcW w:w="1120" w:type="dxa"/>
            <w:vAlign w:val="bottom"/>
            <w:tcBorders>
              <w:top w:val="single" w:sz="8" w:color="355989"/>
              <w:bottom w:val="single" w:sz="8" w:color="486491"/>
            </w:tcBorders>
          </w:tcPr>
          <w:p>
            <w:pPr>
              <w:jc w:val="right"/>
              <w:spacing w:after="0" w:line="310" w:lineRule="exact"/>
              <w:rPr>
                <w:sz w:val="20"/>
                <w:szCs w:val="20"/>
                <w:color w:val="auto"/>
              </w:rPr>
            </w:pPr>
            <w:r>
              <w:rPr>
                <w:rFonts w:ascii="Arial" w:cs="Arial" w:eastAsia="Arial" w:hAnsi="Arial"/>
                <w:sz w:val="18"/>
                <w:szCs w:val="18"/>
                <w:color w:val="auto"/>
              </w:rPr>
              <w:t>141,983</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220" w:type="dxa"/>
            <w:vAlign w:val="bottom"/>
            <w:tcBorders>
              <w:top w:val="single" w:sz="8" w:color="355989"/>
              <w:bottom w:val="single" w:sz="8" w:color="486491"/>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355989"/>
              <w:bottom w:val="single" w:sz="8" w:color="486491"/>
            </w:tcBorders>
          </w:tcPr>
          <w:p>
            <w:pPr>
              <w:jc w:val="right"/>
              <w:spacing w:after="0"/>
              <w:rPr>
                <w:sz w:val="20"/>
                <w:szCs w:val="20"/>
                <w:color w:val="auto"/>
              </w:rPr>
            </w:pPr>
            <w:r>
              <w:rPr>
                <w:rFonts w:ascii="Arial" w:cs="Arial" w:eastAsia="Arial" w:hAnsi="Arial"/>
                <w:sz w:val="18"/>
                <w:szCs w:val="18"/>
                <w:color w:val="auto"/>
              </w:rPr>
              <w:t>8,432,750</w:t>
            </w:r>
          </w:p>
        </w:tc>
      </w:tr>
      <w:tr>
        <w:trPr>
          <w:trHeight w:val="304"/>
        </w:trPr>
        <w:tc>
          <w:tcPr>
            <w:tcW w:w="8700" w:type="dxa"/>
            <w:vAlign w:val="bottom"/>
            <w:tcBorders>
              <w:bottom w:val="single" w:sz="8" w:color="486491"/>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4"/>
                <w:szCs w:val="24"/>
                <w:color w:val="auto"/>
              </w:rPr>
            </w:pPr>
          </w:p>
        </w:tc>
        <w:tc>
          <w:tcPr>
            <w:tcW w:w="1120" w:type="dxa"/>
            <w:vAlign w:val="bottom"/>
            <w:tcBorders>
              <w:bottom w:val="single" w:sz="8" w:color="486491"/>
            </w:tcBorders>
          </w:tcPr>
          <w:p>
            <w:pPr>
              <w:jc w:val="right"/>
              <w:spacing w:after="0" w:line="303" w:lineRule="exact"/>
              <w:rPr>
                <w:sz w:val="20"/>
                <w:szCs w:val="20"/>
                <w:color w:val="auto"/>
              </w:rPr>
            </w:pPr>
            <w:r>
              <w:rPr>
                <w:rFonts w:ascii="Arial" w:cs="Arial" w:eastAsia="Arial" w:hAnsi="Arial"/>
                <w:sz w:val="18"/>
                <w:szCs w:val="18"/>
                <w:color w:val="auto"/>
              </w:rPr>
              <w:t>110,233</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220" w:type="dxa"/>
            <w:vAlign w:val="bottom"/>
            <w:tcBorders>
              <w:bottom w:val="single" w:sz="8" w:color="486491"/>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6,547,043</w:t>
            </w:r>
          </w:p>
        </w:tc>
      </w:tr>
      <w:tr>
        <w:trPr>
          <w:trHeight w:val="311"/>
        </w:trPr>
        <w:tc>
          <w:tcPr>
            <w:tcW w:w="8700" w:type="dxa"/>
            <w:vAlign w:val="bottom"/>
            <w:tcBorders>
              <w:bottom w:val="single" w:sz="8" w:color="486491"/>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4"/>
                <w:szCs w:val="24"/>
                <w:color w:val="auto"/>
              </w:rPr>
            </w:pPr>
          </w:p>
        </w:tc>
        <w:tc>
          <w:tcPr>
            <w:tcW w:w="1120" w:type="dxa"/>
            <w:vAlign w:val="bottom"/>
            <w:tcBorders>
              <w:bottom w:val="single" w:sz="8" w:color="486491"/>
            </w:tcBorders>
          </w:tcPr>
          <w:p>
            <w:pPr>
              <w:jc w:val="right"/>
              <w:spacing w:after="0" w:line="303" w:lineRule="exact"/>
              <w:rPr>
                <w:sz w:val="20"/>
                <w:szCs w:val="20"/>
                <w:color w:val="auto"/>
              </w:rPr>
            </w:pPr>
            <w:r>
              <w:rPr>
                <w:rFonts w:ascii="Arial" w:cs="Arial" w:eastAsia="Arial" w:hAnsi="Arial"/>
                <w:sz w:val="18"/>
                <w:szCs w:val="18"/>
                <w:color w:val="auto"/>
              </w:rPr>
              <w:t>23,572</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220" w:type="dxa"/>
            <w:vAlign w:val="bottom"/>
            <w:tcBorders>
              <w:bottom w:val="single" w:sz="8" w:color="486491"/>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86491"/>
            </w:tcBorders>
          </w:tcPr>
          <w:p>
            <w:pPr>
              <w:jc w:val="right"/>
              <w:spacing w:after="0"/>
              <w:rPr>
                <w:sz w:val="20"/>
                <w:szCs w:val="20"/>
                <w:color w:val="auto"/>
              </w:rPr>
            </w:pPr>
            <w:r>
              <w:rPr>
                <w:rFonts w:ascii="Arial" w:cs="Arial" w:eastAsia="Arial" w:hAnsi="Arial"/>
                <w:sz w:val="18"/>
                <w:szCs w:val="18"/>
                <w:color w:val="auto"/>
              </w:rPr>
              <w:t>1,400,000</w:t>
            </w:r>
          </w:p>
        </w:tc>
      </w:tr>
    </w:tbl>
    <w:p>
      <w:pPr>
        <w:spacing w:after="0" w:line="242" w:lineRule="exact"/>
        <w:rPr>
          <w:sz w:val="20"/>
          <w:szCs w:val="20"/>
          <w:color w:val="auto"/>
        </w:rPr>
      </w:pPr>
    </w:p>
    <w:p>
      <w:pPr>
        <w:ind w:left="320" w:hanging="310"/>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These LTIP units will vest in equal installments on each of January 1, 2022, January 1, 2023 and January 1, 2024.</w:t>
      </w:r>
    </w:p>
    <w:p>
      <w:pPr>
        <w:spacing w:after="0" w:line="66" w:lineRule="exact"/>
        <w:rPr>
          <w:rFonts w:ascii="Arial" w:cs="Arial" w:eastAsia="Arial" w:hAnsi="Arial"/>
          <w:sz w:val="13"/>
          <w:szCs w:val="13"/>
          <w:color w:val="auto"/>
        </w:rPr>
      </w:pPr>
    </w:p>
    <w:p>
      <w:pPr>
        <w:ind w:left="320" w:hanging="310"/>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These LTIP units will vest on January 1, 2022.</w:t>
      </w:r>
    </w:p>
    <w:p>
      <w:pPr>
        <w:spacing w:after="0" w:line="219"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These time-based awards for 2020 exceeded the target amounts of $4,500,000, $3,500,000 and $1,300,000 set forth in the employment agreements for Messrs. Holliday, Mathias and Levine, respectively. In making these awards, the Committee considered the entirety of 2020 compensation and sought to find a balance between:</w:t>
      </w:r>
    </w:p>
    <w:p>
      <w:pPr>
        <w:spacing w:after="0" w:line="204" w:lineRule="exact"/>
        <w:rPr>
          <w:sz w:val="20"/>
          <w:szCs w:val="20"/>
          <w:color w:val="auto"/>
        </w:rPr>
      </w:pPr>
    </w:p>
    <w:p>
      <w:pPr>
        <w:ind w:left="540" w:right="480" w:hanging="262"/>
        <w:spacing w:after="0" w:line="246" w:lineRule="auto"/>
        <w:tabs>
          <w:tab w:leader="none" w:pos="540" w:val="left"/>
        </w:tabs>
        <w:numPr>
          <w:ilvl w:val="0"/>
          <w:numId w:val="98"/>
        </w:numPr>
        <w:rPr>
          <w:rFonts w:ascii="Arial" w:cs="Arial" w:eastAsia="Arial" w:hAnsi="Arial"/>
          <w:sz w:val="17"/>
          <w:szCs w:val="17"/>
          <w:color w:val="355A89"/>
        </w:rPr>
      </w:pPr>
      <w:r>
        <w:rPr>
          <w:rFonts w:ascii="Arial" w:cs="Arial" w:eastAsia="Arial" w:hAnsi="Arial"/>
          <w:sz w:val="18"/>
          <w:szCs w:val="18"/>
          <w:color w:val="auto"/>
        </w:rPr>
        <w:t>rewarding executives for their contributions towards the significant operational achievements attained during the year despite the unique challenges brought about by the COVID-19 pandemic;</w:t>
      </w:r>
    </w:p>
    <w:p>
      <w:pPr>
        <w:spacing w:after="0" w:line="48" w:lineRule="exact"/>
        <w:rPr>
          <w:rFonts w:ascii="Arial" w:cs="Arial" w:eastAsia="Arial" w:hAnsi="Arial"/>
          <w:sz w:val="17"/>
          <w:szCs w:val="17"/>
          <w:color w:val="355A89"/>
        </w:rPr>
      </w:pPr>
    </w:p>
    <w:p>
      <w:pPr>
        <w:ind w:left="540" w:right="320" w:hanging="262"/>
        <w:spacing w:after="0"/>
        <w:tabs>
          <w:tab w:leader="none" w:pos="540" w:val="left"/>
        </w:tabs>
        <w:numPr>
          <w:ilvl w:val="0"/>
          <w:numId w:val="98"/>
        </w:numPr>
        <w:rPr>
          <w:rFonts w:ascii="Arial" w:cs="Arial" w:eastAsia="Arial" w:hAnsi="Arial"/>
          <w:sz w:val="17"/>
          <w:szCs w:val="17"/>
          <w:color w:val="355A89"/>
        </w:rPr>
      </w:pPr>
      <w:r>
        <w:rPr>
          <w:rFonts w:ascii="Arial" w:cs="Arial" w:eastAsia="Arial" w:hAnsi="Arial"/>
          <w:sz w:val="18"/>
          <w:szCs w:val="18"/>
          <w:color w:val="auto"/>
        </w:rPr>
        <w:t>ensuring that annual incentive award and total compensation amounts were in line with the prevailing market levels and addressed recruitment and retention needs in the competitive New York City commercial real estate markets where we actively compete for business opportunities and executive talent, including some companies and firms that are not publicly-traded;</w:t>
      </w:r>
    </w:p>
    <w:p>
      <w:pPr>
        <w:spacing w:after="0" w:line="54" w:lineRule="exact"/>
        <w:rPr>
          <w:rFonts w:ascii="Arial" w:cs="Arial" w:eastAsia="Arial" w:hAnsi="Arial"/>
          <w:sz w:val="17"/>
          <w:szCs w:val="17"/>
          <w:color w:val="355A89"/>
        </w:rPr>
      </w:pPr>
    </w:p>
    <w:p>
      <w:pPr>
        <w:ind w:left="540" w:right="740" w:hanging="262"/>
        <w:spacing w:after="0" w:line="274" w:lineRule="auto"/>
        <w:tabs>
          <w:tab w:leader="none" w:pos="540" w:val="left"/>
        </w:tabs>
        <w:numPr>
          <w:ilvl w:val="0"/>
          <w:numId w:val="98"/>
        </w:numPr>
        <w:rPr>
          <w:rFonts w:ascii="Arial" w:cs="Arial" w:eastAsia="Arial" w:hAnsi="Arial"/>
          <w:sz w:val="16"/>
          <w:szCs w:val="16"/>
          <w:color w:val="355A89"/>
        </w:rPr>
      </w:pPr>
      <w:r>
        <w:rPr>
          <w:rFonts w:ascii="Arial" w:cs="Arial" w:eastAsia="Arial" w:hAnsi="Arial"/>
          <w:sz w:val="17"/>
          <w:szCs w:val="17"/>
          <w:color w:val="auto"/>
        </w:rPr>
        <w:t>continuing to ensure our compensation programs create alignment of management and stockholder interests by appropriately rewarding our named executive officers for the attainment of performance achievements that drive long-term value creation;</w:t>
      </w:r>
    </w:p>
    <w:p>
      <w:pPr>
        <w:spacing w:after="0" w:line="26" w:lineRule="exact"/>
        <w:rPr>
          <w:rFonts w:ascii="Arial" w:cs="Arial" w:eastAsia="Arial" w:hAnsi="Arial"/>
          <w:sz w:val="16"/>
          <w:szCs w:val="16"/>
          <w:color w:val="355A89"/>
        </w:rPr>
      </w:pPr>
    </w:p>
    <w:p>
      <w:pPr>
        <w:ind w:left="540" w:hanging="262"/>
        <w:spacing w:after="0"/>
        <w:tabs>
          <w:tab w:leader="none" w:pos="540" w:val="left"/>
        </w:tabs>
        <w:numPr>
          <w:ilvl w:val="0"/>
          <w:numId w:val="98"/>
        </w:numPr>
        <w:rPr>
          <w:rFonts w:ascii="Arial" w:cs="Arial" w:eastAsia="Arial" w:hAnsi="Arial"/>
          <w:sz w:val="17"/>
          <w:szCs w:val="17"/>
          <w:color w:val="355A89"/>
        </w:rPr>
      </w:pPr>
      <w:r>
        <w:rPr>
          <w:rFonts w:ascii="Arial" w:cs="Arial" w:eastAsia="Arial" w:hAnsi="Arial"/>
          <w:sz w:val="18"/>
          <w:szCs w:val="18"/>
          <w:color w:val="auto"/>
        </w:rPr>
        <w:t>recognizing the significant short-term decline in our stock price during 2020 and the adverse impact on short-term stockholder returns;</w:t>
      </w:r>
    </w:p>
    <w:p>
      <w:pPr>
        <w:spacing w:after="0" w:line="63" w:lineRule="exact"/>
        <w:rPr>
          <w:rFonts w:ascii="Arial" w:cs="Arial" w:eastAsia="Arial" w:hAnsi="Arial"/>
          <w:sz w:val="17"/>
          <w:szCs w:val="17"/>
          <w:color w:val="355A89"/>
        </w:rPr>
      </w:pPr>
    </w:p>
    <w:p>
      <w:pPr>
        <w:ind w:left="540" w:right="40" w:hanging="262"/>
        <w:spacing w:after="0" w:line="238" w:lineRule="auto"/>
        <w:tabs>
          <w:tab w:leader="none" w:pos="540" w:val="left"/>
        </w:tabs>
        <w:numPr>
          <w:ilvl w:val="0"/>
          <w:numId w:val="98"/>
        </w:numPr>
        <w:rPr>
          <w:rFonts w:ascii="Arial" w:cs="Arial" w:eastAsia="Arial" w:hAnsi="Arial"/>
          <w:sz w:val="17"/>
          <w:szCs w:val="17"/>
          <w:color w:val="355A89"/>
        </w:rPr>
      </w:pPr>
      <w:r>
        <w:rPr>
          <w:rFonts w:ascii="Arial" w:cs="Arial" w:eastAsia="Arial" w:hAnsi="Arial"/>
          <w:sz w:val="18"/>
          <w:szCs w:val="18"/>
          <w:color w:val="auto"/>
        </w:rPr>
        <w:t>taking into account our performance as compared to specific company goals and objectives for 2020 that were presented at our annual investor conference in December 2019, including financial goals, achievement of leasing and occupancy targets, investing activities such as strategic acquisitions and dispositions and share repurchases, execution of our debt and preferred equity platform, joint venture and development milestones and the furtherance of our ESG initiatives, also as viewed through the lens of the COVID-19 pandemic; and</w:t>
      </w:r>
    </w:p>
    <w:p>
      <w:pPr>
        <w:spacing w:after="0" w:line="53" w:lineRule="exact"/>
        <w:rPr>
          <w:rFonts w:ascii="Arial" w:cs="Arial" w:eastAsia="Arial" w:hAnsi="Arial"/>
          <w:sz w:val="17"/>
          <w:szCs w:val="17"/>
          <w:color w:val="355A89"/>
        </w:rPr>
      </w:pPr>
    </w:p>
    <w:p>
      <w:pPr>
        <w:ind w:left="540" w:right="320" w:hanging="262"/>
        <w:spacing w:after="0"/>
        <w:tabs>
          <w:tab w:leader="none" w:pos="540" w:val="left"/>
        </w:tabs>
        <w:numPr>
          <w:ilvl w:val="0"/>
          <w:numId w:val="98"/>
        </w:numPr>
        <w:rPr>
          <w:rFonts w:ascii="Arial" w:cs="Arial" w:eastAsia="Arial" w:hAnsi="Arial"/>
          <w:sz w:val="17"/>
          <w:szCs w:val="17"/>
          <w:color w:val="355A89"/>
        </w:rPr>
      </w:pPr>
      <w:r>
        <w:rPr>
          <w:rFonts w:ascii="Arial" w:cs="Arial" w:eastAsia="Arial" w:hAnsi="Arial"/>
          <w:sz w:val="18"/>
          <w:szCs w:val="18"/>
          <w:color w:val="auto"/>
        </w:rPr>
        <w:t>giving weight to the additional priorities that emerged during the course of the year as the pandemic unfolded and our responses to those changed circumstances, such as the successful deployment of our pandemic response plan and other business resiliency initiatives, our focus on employee and tenant wellness and our leadership in social responsibility.</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aggregate effect of these considerations was that the Committee decided to provide our CEO and President with actual compensation for 2020 that was approximately 10% below the projected economic value of each executive’s 2019 total compensation as of December 31, 2019, in each case, determined in the manner described in “2020 Executive Compensation—2020 CEO Compensation,” above. This reduction was appropriate to recognize the strong leadership of our CEO and our President during a period of unprecedented challenges arising from the COVID-19 pandemic while not serving to compromise the fundamental pay-for-performance values that are at the core of our compensation philosophy.</w:t>
      </w:r>
    </w:p>
    <w:p>
      <w:pPr>
        <w:spacing w:after="0" w:line="210" w:lineRule="exact"/>
        <w:rPr>
          <w:sz w:val="20"/>
          <w:szCs w:val="20"/>
          <w:color w:val="auto"/>
        </w:rPr>
      </w:pPr>
    </w:p>
    <w:p>
      <w:pPr>
        <w:ind w:left="300" w:hanging="292"/>
        <w:spacing w:after="0"/>
        <w:tabs>
          <w:tab w:leader="none" w:pos="300" w:val="left"/>
        </w:tabs>
        <w:numPr>
          <w:ilvl w:val="0"/>
          <w:numId w:val="99"/>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Other Compensation Policies and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How We Determine Executive Compensation</w:t>
      </w:r>
    </w:p>
    <w:p>
      <w:pPr>
        <w:spacing w:after="0" w:line="23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Committee determines compensation for our named executive officers and is comprised of four of our independent directors, Lauren B. Dillard (Chair), Edwin T. Burton, III and John S. Levy. John H. Alschuler served as a member of the Committee during fiscal-year 2020 and until April 1, 2021.</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Consideration of Say-on-Pay Vote</w:t>
      </w:r>
    </w:p>
    <w:p>
      <w:pPr>
        <w:spacing w:after="0" w:line="23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Committee considered the results of our 2020 advisory vote on executive compensation and the feedback received through our extensive stockholder engagement program in its decisions for 2020 compensation. The continuing increases in the votes cast in favor of our 2020 advisory vote on executive compensation from 2019, which was itself a substantial increase form the vote cast in favor of our 2018 advisory vote, was viewed by the Committee as an indication of our stockholders’ support for the significant changes made to our executive compensation over the last several years.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Independent Compensation Consultant/Compensation Process</w:t>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retained Gressle &amp; McGinley LLC as its independent outside compensation consulting firm and engaged Gressle &amp; McGinley LLC to provide the Committee with relevant data concerning the marketplace, our peer group and its own independent analysis and recommendations concerning executive compensation. Gressle &amp; McGinley LLC regularly participates in Compensation Committee meetings. Gressle &amp; McGinley LLC does not provide any additional services to the Committee and does not provide any services to the Company other than to the Committee. Its sole role is as an independent consulting firm to advise the Committee with respect to the compensation of our named executive officers. The ultimate determination of total compensation and the elements that comprise that total compensation is made solely by the Committee.</w:t>
      </w:r>
    </w:p>
    <w:p>
      <w:pPr>
        <w:spacing w:after="0" w:line="20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With respect to our named executive officers, the Committee solicits recommendations from our Chief Executive Officer regarding total compensation, the allocation of this compensation among base salary, annual bonus amounts and other long-term incentive compensation, as well as the portion of overall compensation to be provided in cash or equity. FTI Consulting is retained by our management as a general business advisor and provides services to the Company in a number of areas, including compensation. FTI Consulting, which has relationships with certain officers of the Company, provided market data to our Chief Executive Officer, which he reviewed when considering and formulating his compensation recommendations that he then communicated to the Committee. The Committee is also provided with the market data compiled by FTI Consulting and its recommendations with respect to the compensation of our named executive officers. The other named executive officers do not play a role in determining their own compensation, other than discussing their performance with our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All final determinations of compensation for our named executive officers are made solely by the Committee.</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2020, the Committee reviewed then-existing policies of certain of our institutional investors, ISS and Glass Lewis and other governance groups, as well as feedback provided by such groups in prior year proxy research reports. The Committee engaged with a significant number of stockholders holding a substantial percentage of outstanding shares as discussed above, and annually reviews our executive compensation policies and practices to ensure that such policies are in line with current market practices and stockholders’ best interests. The Committee makes regular reports to the Board.</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Peer Group Benchmarking</w:t>
      </w:r>
    </w:p>
    <w:p>
      <w:pPr>
        <w:spacing w:after="0" w:line="23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2020,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2020, but rather to confirm that our Chief Executive Officer’s total compensation for 2020 was within an appropriate range of the total compensation, considering relative size and performance. With respect to size, we ranked above the median of these peers with respect to common equity market capitalization and total revenue.</w:t>
      </w:r>
    </w:p>
    <w:p>
      <w:pPr>
        <w:spacing w:after="0" w:line="21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Committee reviewed 2020 total compensation information for the chief executive officers of a peer group, with an emphasis on the REIT industry. The peer group included a number of New York City-based peer companies. That decision is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based on the unique characteristics of the New York City real estate marketplace, which is where we conduct substantially all of our business, and which is one of the most competitive in the world, from both a business and compensation perspective. The following companies were included in the peer group that the Committee reviewed: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00" w:type="dxa"/>
            <w:vAlign w:val="bottom"/>
            <w:gridSpan w:val="2"/>
          </w:tcPr>
          <w:p>
            <w:pPr>
              <w:spacing w:after="0"/>
              <w:rPr>
                <w:sz w:val="20"/>
                <w:szCs w:val="20"/>
                <w:color w:val="auto"/>
              </w:rPr>
            </w:pPr>
            <w:r>
              <w:rPr>
                <w:rFonts w:ascii="Arial" w:cs="Arial" w:eastAsia="Arial" w:hAnsi="Arial"/>
                <w:sz w:val="13"/>
                <w:szCs w:val="13"/>
                <w:b w:val="1"/>
                <w:bCs w:val="1"/>
                <w:color w:val="486591"/>
              </w:rPr>
              <w:t>Peer Group</w:t>
            </w:r>
          </w:p>
        </w:tc>
        <w:tc>
          <w:tcPr>
            <w:tcW w:w="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417"/>
        </w:trPr>
        <w:tc>
          <w:tcPr>
            <w:tcW w:w="3700" w:type="dxa"/>
            <w:vAlign w:val="bottom"/>
            <w:gridSpan w:val="2"/>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Alexandria Real Estate Equities, Inc.</w:t>
            </w:r>
          </w:p>
        </w:tc>
        <w:tc>
          <w:tcPr>
            <w:tcW w:w="3520" w:type="dxa"/>
            <w:vAlign w:val="bottom"/>
            <w:gridSpan w:val="2"/>
          </w:tcPr>
          <w:p>
            <w:pPr>
              <w:ind w:left="32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Hudson Pacific Properties, Inc.</w:t>
            </w:r>
          </w:p>
        </w:tc>
        <w:tc>
          <w:tcPr>
            <w:tcW w:w="720" w:type="dxa"/>
            <w:vAlign w:val="bottom"/>
          </w:tcPr>
          <w:p>
            <w:pPr>
              <w:ind w:left="540"/>
              <w:spacing w:after="0"/>
              <w:rPr>
                <w:sz w:val="20"/>
                <w:szCs w:val="20"/>
                <w:color w:val="auto"/>
              </w:rPr>
            </w:pPr>
            <w:r>
              <w:rPr>
                <w:rFonts w:ascii="Arial" w:cs="Arial" w:eastAsia="Arial" w:hAnsi="Arial"/>
                <w:sz w:val="17"/>
                <w:szCs w:val="17"/>
                <w:color w:val="355A89"/>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Ladder Capital Corp.</w:t>
            </w:r>
          </w:p>
        </w:tc>
      </w:tr>
      <w:tr>
        <w:trPr>
          <w:trHeight w:val="283"/>
        </w:trPr>
        <w:tc>
          <w:tcPr>
            <w:tcW w:w="460" w:type="dxa"/>
            <w:vAlign w:val="bottom"/>
          </w:tcPr>
          <w:p>
            <w:pPr>
              <w:ind w:left="280"/>
              <w:spacing w:after="0"/>
              <w:rPr>
                <w:sz w:val="20"/>
                <w:szCs w:val="20"/>
                <w:color w:val="auto"/>
              </w:rPr>
            </w:pPr>
            <w:r>
              <w:rPr>
                <w:rFonts w:ascii="Arial" w:cs="Arial" w:eastAsia="Arial" w:hAnsi="Arial"/>
                <w:sz w:val="17"/>
                <w:szCs w:val="17"/>
                <w:color w:val="355A89"/>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Boston Properties, Inc.</w:t>
            </w:r>
          </w:p>
        </w:tc>
        <w:tc>
          <w:tcPr>
            <w:tcW w:w="500" w:type="dxa"/>
            <w:vAlign w:val="bottom"/>
          </w:tcPr>
          <w:p>
            <w:pPr>
              <w:ind w:left="320"/>
              <w:spacing w:after="0"/>
              <w:rPr>
                <w:sz w:val="20"/>
                <w:szCs w:val="20"/>
                <w:color w:val="auto"/>
              </w:rPr>
            </w:pPr>
            <w:r>
              <w:rPr>
                <w:rFonts w:ascii="Arial" w:cs="Arial" w:eastAsia="Arial" w:hAnsi="Arial"/>
                <w:sz w:val="17"/>
                <w:szCs w:val="17"/>
                <w:color w:val="355A89"/>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Kennedy-Wilson Holdings, Inc.</w:t>
            </w:r>
          </w:p>
        </w:tc>
        <w:tc>
          <w:tcPr>
            <w:tcW w:w="720" w:type="dxa"/>
            <w:vAlign w:val="bottom"/>
          </w:tcPr>
          <w:p>
            <w:pPr>
              <w:ind w:left="540"/>
              <w:spacing w:after="0"/>
              <w:rPr>
                <w:sz w:val="20"/>
                <w:szCs w:val="20"/>
                <w:color w:val="auto"/>
              </w:rPr>
            </w:pPr>
            <w:r>
              <w:rPr>
                <w:rFonts w:ascii="Arial" w:cs="Arial" w:eastAsia="Arial" w:hAnsi="Arial"/>
                <w:sz w:val="17"/>
                <w:szCs w:val="17"/>
                <w:color w:val="355A89"/>
              </w:rPr>
              <w:t>●</w:t>
            </w:r>
          </w:p>
        </w:tc>
        <w:tc>
          <w:tcPr>
            <w:tcW w:w="1840" w:type="dxa"/>
            <w:vAlign w:val="bottom"/>
          </w:tcPr>
          <w:p>
            <w:pPr>
              <w:ind w:left="60"/>
              <w:spacing w:after="0"/>
              <w:rPr>
                <w:sz w:val="20"/>
                <w:szCs w:val="20"/>
                <w:color w:val="auto"/>
              </w:rPr>
            </w:pPr>
            <w:r>
              <w:rPr>
                <w:rFonts w:ascii="Arial" w:cs="Arial" w:eastAsia="Arial" w:hAnsi="Arial"/>
                <w:sz w:val="18"/>
                <w:szCs w:val="18"/>
                <w:color w:val="auto"/>
                <w:w w:val="96"/>
              </w:rPr>
              <w:t>Paramount Group, Inc.</w:t>
            </w:r>
          </w:p>
        </w:tc>
      </w:tr>
      <w:tr>
        <w:trPr>
          <w:trHeight w:val="297"/>
        </w:trPr>
        <w:tc>
          <w:tcPr>
            <w:tcW w:w="460" w:type="dxa"/>
            <w:vAlign w:val="bottom"/>
          </w:tcPr>
          <w:p>
            <w:pPr>
              <w:ind w:left="280"/>
              <w:spacing w:after="0"/>
              <w:rPr>
                <w:sz w:val="20"/>
                <w:szCs w:val="20"/>
                <w:color w:val="auto"/>
              </w:rPr>
            </w:pPr>
            <w:r>
              <w:rPr>
                <w:rFonts w:ascii="Arial" w:cs="Arial" w:eastAsia="Arial" w:hAnsi="Arial"/>
                <w:sz w:val="17"/>
                <w:szCs w:val="17"/>
                <w:color w:val="355A89"/>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Douglas Emmett, Inc.</w:t>
            </w:r>
          </w:p>
        </w:tc>
        <w:tc>
          <w:tcPr>
            <w:tcW w:w="500" w:type="dxa"/>
            <w:vAlign w:val="bottom"/>
          </w:tcPr>
          <w:p>
            <w:pPr>
              <w:ind w:left="320"/>
              <w:spacing w:after="0"/>
              <w:rPr>
                <w:sz w:val="20"/>
                <w:szCs w:val="20"/>
                <w:color w:val="auto"/>
              </w:rPr>
            </w:pPr>
            <w:r>
              <w:rPr>
                <w:rFonts w:ascii="Arial" w:cs="Arial" w:eastAsia="Arial" w:hAnsi="Arial"/>
                <w:sz w:val="17"/>
                <w:szCs w:val="17"/>
                <w:color w:val="355A89"/>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Kilroy Realty Corporation</w:t>
            </w:r>
          </w:p>
        </w:tc>
        <w:tc>
          <w:tcPr>
            <w:tcW w:w="720" w:type="dxa"/>
            <w:vAlign w:val="bottom"/>
          </w:tcPr>
          <w:p>
            <w:pPr>
              <w:ind w:left="540"/>
              <w:spacing w:after="0"/>
              <w:rPr>
                <w:sz w:val="20"/>
                <w:szCs w:val="20"/>
                <w:color w:val="auto"/>
              </w:rPr>
            </w:pPr>
            <w:r>
              <w:rPr>
                <w:rFonts w:ascii="Arial" w:cs="Arial" w:eastAsia="Arial" w:hAnsi="Arial"/>
                <w:sz w:val="17"/>
                <w:szCs w:val="17"/>
                <w:color w:val="355A89"/>
              </w:rPr>
              <w:t>●</w:t>
            </w:r>
          </w:p>
        </w:tc>
        <w:tc>
          <w:tcPr>
            <w:tcW w:w="1840" w:type="dxa"/>
            <w:vAlign w:val="bottom"/>
          </w:tcPr>
          <w:p>
            <w:pPr>
              <w:ind w:left="60"/>
              <w:spacing w:after="0"/>
              <w:rPr>
                <w:sz w:val="20"/>
                <w:szCs w:val="20"/>
                <w:color w:val="auto"/>
              </w:rPr>
            </w:pPr>
            <w:r>
              <w:rPr>
                <w:rFonts w:ascii="Arial" w:cs="Arial" w:eastAsia="Arial" w:hAnsi="Arial"/>
                <w:sz w:val="18"/>
                <w:szCs w:val="18"/>
                <w:color w:val="auto"/>
              </w:rPr>
              <w:t>Vornado Realty Trust</w:t>
            </w:r>
          </w:p>
        </w:tc>
      </w:tr>
    </w:tbl>
    <w:p>
      <w:pPr>
        <w:spacing w:after="0" w:line="73" w:lineRule="exact"/>
        <w:rPr>
          <w:sz w:val="20"/>
          <w:szCs w:val="20"/>
          <w:color w:val="auto"/>
        </w:rPr>
      </w:pPr>
    </w:p>
    <w:p>
      <w:pPr>
        <w:ind w:left="520" w:hanging="233"/>
        <w:spacing w:after="0"/>
        <w:tabs>
          <w:tab w:leader="none" w:pos="520" w:val="left"/>
        </w:tabs>
        <w:numPr>
          <w:ilvl w:val="0"/>
          <w:numId w:val="100"/>
        </w:numPr>
        <w:rPr>
          <w:rFonts w:ascii="Arial" w:cs="Arial" w:eastAsia="Arial" w:hAnsi="Arial"/>
          <w:sz w:val="17"/>
          <w:szCs w:val="17"/>
          <w:color w:val="355A89"/>
        </w:rPr>
      </w:pPr>
      <w:r>
        <w:rPr>
          <w:rFonts w:ascii="Arial" w:cs="Arial" w:eastAsia="Arial" w:hAnsi="Arial"/>
          <w:sz w:val="18"/>
          <w:szCs w:val="18"/>
          <w:color w:val="auto"/>
        </w:rPr>
        <w:t>Empire State Realty Trust, Inc.</w:t>
      </w:r>
    </w:p>
    <w:p>
      <w:pPr>
        <w:spacing w:after="0" w:line="22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direct New York City competitors, both in terms of real estate business and talent, are not limited to other public REITs doing business in New York City. Rather, the Committee also views our competitors as consisting of top performing hedge funds, international investors, large private firms and others that may have equal or greater financial resources, including access to cost-efficient capital. The Committee believes that the top real estate principals of these non-REIT companies typically receive substantially higher compensation than chief executive officers of public REITs. However, based on feedback from our stockholders, we previously removed all New York City-based asset managers from our peer group and now review compensation based on our updated peer group and a national office REIT index.</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Analysis of Risk Associated with Our Executive Compensation Plans</w:t>
      </w:r>
    </w:p>
    <w:p>
      <w:pPr>
        <w:spacing w:after="0" w:line="235"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In setting compensation, we also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reaching our conclusion, we considered the following aspects of our executive compensation plans and policies among others:</w:t>
      </w:r>
    </w:p>
    <w:p>
      <w:pPr>
        <w:spacing w:after="0" w:line="207" w:lineRule="exact"/>
        <w:rPr>
          <w:sz w:val="20"/>
          <w:szCs w:val="20"/>
          <w:color w:val="auto"/>
        </w:rPr>
      </w:pPr>
    </w:p>
    <w:p>
      <w:pPr>
        <w:ind w:left="540" w:hanging="262"/>
        <w:spacing w:after="0"/>
        <w:tabs>
          <w:tab w:leader="none" w:pos="540" w:val="left"/>
        </w:tabs>
        <w:numPr>
          <w:ilvl w:val="0"/>
          <w:numId w:val="101"/>
        </w:numPr>
        <w:rPr>
          <w:rFonts w:ascii="Arial" w:cs="Arial" w:eastAsia="Arial" w:hAnsi="Arial"/>
          <w:sz w:val="17"/>
          <w:szCs w:val="17"/>
          <w:color w:val="355A89"/>
        </w:rPr>
      </w:pPr>
      <w:r>
        <w:rPr>
          <w:rFonts w:ascii="Arial" w:cs="Arial" w:eastAsia="Arial" w:hAnsi="Arial"/>
          <w:sz w:val="18"/>
          <w:szCs w:val="18"/>
          <w:color w:val="auto"/>
        </w:rPr>
        <w:t>We evaluate performance based upon the achievement of a variety of business objectives and goals;</w:t>
      </w:r>
    </w:p>
    <w:p>
      <w:pPr>
        <w:spacing w:after="0" w:line="63" w:lineRule="exact"/>
        <w:rPr>
          <w:rFonts w:ascii="Arial" w:cs="Arial" w:eastAsia="Arial" w:hAnsi="Arial"/>
          <w:sz w:val="17"/>
          <w:szCs w:val="17"/>
          <w:color w:val="355A89"/>
        </w:rPr>
      </w:pPr>
    </w:p>
    <w:p>
      <w:pPr>
        <w:jc w:val="both"/>
        <w:ind w:left="540" w:right="180" w:hanging="262"/>
        <w:spacing w:after="0"/>
        <w:tabs>
          <w:tab w:leader="none" w:pos="540" w:val="left"/>
        </w:tabs>
        <w:numPr>
          <w:ilvl w:val="0"/>
          <w:numId w:val="101"/>
        </w:numPr>
        <w:rPr>
          <w:rFonts w:ascii="Arial" w:cs="Arial" w:eastAsia="Arial" w:hAnsi="Arial"/>
          <w:sz w:val="17"/>
          <w:szCs w:val="17"/>
          <w:color w:val="355A89"/>
        </w:rPr>
      </w:pPr>
      <w:r>
        <w:rPr>
          <w:rFonts w:ascii="Arial" w:cs="Arial" w:eastAsia="Arial" w:hAnsi="Arial"/>
          <w:sz w:val="18"/>
          <w:szCs w:val="18"/>
          <w:color w:val="auto"/>
        </w:rPr>
        <w:t>We use a balanced equity compensation mix comprised of performance-based and time-based full value equity awards that lessens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54" w:lineRule="exact"/>
        <w:rPr>
          <w:rFonts w:ascii="Arial" w:cs="Arial" w:eastAsia="Arial" w:hAnsi="Arial"/>
          <w:sz w:val="17"/>
          <w:szCs w:val="17"/>
          <w:color w:val="355A89"/>
        </w:rPr>
      </w:pPr>
    </w:p>
    <w:p>
      <w:pPr>
        <w:jc w:val="both"/>
        <w:ind w:left="540" w:right="60" w:hanging="262"/>
        <w:spacing w:after="0" w:line="274" w:lineRule="auto"/>
        <w:tabs>
          <w:tab w:leader="none" w:pos="540" w:val="left"/>
        </w:tabs>
        <w:numPr>
          <w:ilvl w:val="0"/>
          <w:numId w:val="101"/>
        </w:numPr>
        <w:rPr>
          <w:rFonts w:ascii="Arial" w:cs="Arial" w:eastAsia="Arial" w:hAnsi="Arial"/>
          <w:sz w:val="16"/>
          <w:szCs w:val="16"/>
          <w:color w:val="355A89"/>
        </w:rPr>
      </w:pPr>
      <w:r>
        <w:rPr>
          <w:rFonts w:ascii="Arial" w:cs="Arial" w:eastAsia="Arial" w:hAnsi="Arial"/>
          <w:sz w:val="17"/>
          <w:szCs w:val="17"/>
          <w:color w:val="auto"/>
        </w:rPr>
        <w:t>We provide a significant portion of incentive compensation in the form of long-term incentive awards. The amounts that ultimately may be earned are tied to how we perform over a multi-year period, which focuses management on sustaining our long-term performance;</w:t>
      </w:r>
    </w:p>
    <w:p>
      <w:pPr>
        <w:spacing w:after="0" w:line="26" w:lineRule="exact"/>
        <w:rPr>
          <w:rFonts w:ascii="Arial" w:cs="Arial" w:eastAsia="Arial" w:hAnsi="Arial"/>
          <w:sz w:val="16"/>
          <w:szCs w:val="16"/>
          <w:color w:val="355A89"/>
        </w:rPr>
      </w:pPr>
    </w:p>
    <w:p>
      <w:pPr>
        <w:ind w:left="540" w:right="600" w:hanging="262"/>
        <w:spacing w:after="0" w:line="246" w:lineRule="auto"/>
        <w:tabs>
          <w:tab w:leader="none" w:pos="540" w:val="left"/>
        </w:tabs>
        <w:numPr>
          <w:ilvl w:val="0"/>
          <w:numId w:val="101"/>
        </w:numPr>
        <w:rPr>
          <w:rFonts w:ascii="Arial" w:cs="Arial" w:eastAsia="Arial" w:hAnsi="Arial"/>
          <w:sz w:val="17"/>
          <w:szCs w:val="17"/>
          <w:color w:val="355A89"/>
        </w:rPr>
      </w:pPr>
      <w:r>
        <w:rPr>
          <w:rFonts w:ascii="Arial" w:cs="Arial" w:eastAsia="Arial" w:hAnsi="Arial"/>
          <w:sz w:val="18"/>
          <w:szCs w:val="18"/>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48" w:lineRule="exact"/>
        <w:rPr>
          <w:rFonts w:ascii="Arial" w:cs="Arial" w:eastAsia="Arial" w:hAnsi="Arial"/>
          <w:sz w:val="17"/>
          <w:szCs w:val="17"/>
          <w:color w:val="355A89"/>
        </w:rPr>
      </w:pPr>
    </w:p>
    <w:p>
      <w:pPr>
        <w:ind w:left="540" w:right="20" w:hanging="262"/>
        <w:spacing w:after="0"/>
        <w:tabs>
          <w:tab w:leader="none" w:pos="540" w:val="left"/>
        </w:tabs>
        <w:numPr>
          <w:ilvl w:val="0"/>
          <w:numId w:val="101"/>
        </w:numPr>
        <w:rPr>
          <w:rFonts w:ascii="Arial" w:cs="Arial" w:eastAsia="Arial" w:hAnsi="Arial"/>
          <w:sz w:val="17"/>
          <w:szCs w:val="17"/>
          <w:color w:val="355A89"/>
        </w:rPr>
      </w:pPr>
      <w:r>
        <w:rPr>
          <w:rFonts w:ascii="Arial" w:cs="Arial" w:eastAsia="Arial" w:hAnsi="Arial"/>
          <w:sz w:val="18"/>
          <w:szCs w:val="18"/>
          <w:color w:val="auto"/>
        </w:rPr>
        <w:t>We provide a significant portion of each executive’s annual compensation in the form of equity-based compensation and executives are required to maintain sizable holdings of equity in the Company under the terms of our equity ownership guidelines, which aligns an appropriate portion of their personal wealth to our long-term performance; and</w:t>
      </w:r>
    </w:p>
    <w:p>
      <w:pPr>
        <w:spacing w:after="0" w:line="54" w:lineRule="exact"/>
        <w:rPr>
          <w:rFonts w:ascii="Arial" w:cs="Arial" w:eastAsia="Arial" w:hAnsi="Arial"/>
          <w:sz w:val="17"/>
          <w:szCs w:val="17"/>
          <w:color w:val="355A89"/>
        </w:rPr>
      </w:pPr>
    </w:p>
    <w:p>
      <w:pPr>
        <w:ind w:left="540" w:right="40" w:hanging="262"/>
        <w:spacing w:after="0"/>
        <w:tabs>
          <w:tab w:leader="none" w:pos="540" w:val="left"/>
        </w:tabs>
        <w:numPr>
          <w:ilvl w:val="0"/>
          <w:numId w:val="101"/>
        </w:numPr>
        <w:rPr>
          <w:rFonts w:ascii="Arial" w:cs="Arial" w:eastAsia="Arial" w:hAnsi="Arial"/>
          <w:sz w:val="17"/>
          <w:szCs w:val="17"/>
          <w:color w:val="355A89"/>
        </w:rPr>
      </w:pPr>
      <w:r>
        <w:rPr>
          <w:rFonts w:ascii="Arial" w:cs="Arial" w:eastAsia="Arial" w:hAnsi="Arial"/>
          <w:sz w:val="18"/>
          <w:szCs w:val="18"/>
          <w:color w:val="auto"/>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207"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Accordingly, although a significant portion of our executives’ compensation is performance-based and “at-risk,” we believe our executive compensation programs are appropriately structured and do not pose a material risk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Executive and Director Equity Ownership Guidelines</w:t>
      </w:r>
    </w:p>
    <w:p>
      <w:pPr>
        <w:spacing w:after="0" w:line="2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furtherance of the Committee’s ongoing efforts to foster an ownership culture among our senior leadership team, we adopted equity ownership guidelines for our named executive officers and non-employee directors, as set forth below:</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Named Executive Officers and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747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747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9747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747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246" w:lineRule="exact"/>
        <w:rPr>
          <w:sz w:val="20"/>
          <w:szCs w:val="20"/>
          <w:color w:val="auto"/>
        </w:rPr>
      </w:pPr>
    </w:p>
    <w:p>
      <w:pPr>
        <w:ind w:left="300" w:hanging="292"/>
        <w:spacing w:after="0"/>
        <w:tabs>
          <w:tab w:leader="none" w:pos="300" w:val="left"/>
        </w:tabs>
        <w:numPr>
          <w:ilvl w:val="0"/>
          <w:numId w:val="102"/>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55A89"/>
        </w:rPr>
        <w:t>Multiple of Base Salary or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55A89"/>
        </w:rPr>
        <w:t>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5410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1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1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5410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ectPr>
          <w:pgSz w:w="11900" w:h="16838" w:orient="portrait"/>
          <w:cols w:equalWidth="0" w:num="2">
            <w:col w:w="8860" w:space="720"/>
            <w:col w:w="1660"/>
          </w:cols>
          <w:pgMar w:left="320" w:top="121"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3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All of our named executive officers hold a significant amount of equity in our Company and are highly incentivized to create sustainable, long-term stockholder value.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95757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575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575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575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575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95757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pacing w:after="0" w:line="269"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As of February 10, 2021.</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Perquisites and Other Personal Benefits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55A89"/>
        </w:rPr>
        <w:t>Actual Equity Ownership -</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55A89"/>
        </w:rPr>
        <w:t>Multiple of Base Salary</w:t>
      </w:r>
      <w:r>
        <w:rPr>
          <w:rFonts w:ascii="Arial" w:cs="Arial" w:eastAsia="Arial" w:hAnsi="Arial"/>
          <w:sz w:val="22"/>
          <w:szCs w:val="22"/>
          <w:b w:val="1"/>
          <w:bCs w:val="1"/>
          <w:color w:val="355A8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07188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52x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7188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986" w:lineRule="exact"/>
        <w:rPr>
          <w:sz w:val="20"/>
          <w:szCs w:val="20"/>
          <w:color w:val="auto"/>
        </w:rPr>
      </w:pPr>
    </w:p>
    <w:p>
      <w:pPr>
        <w:sectPr>
          <w:pgSz w:w="11900" w:h="16838" w:orient="portrait"/>
          <w:cols w:equalWidth="0" w:num="2">
            <w:col w:w="8840" w:space="720"/>
            <w:col w:w="1680"/>
          </w:cols>
          <w:pgMar w:left="320" w:top="121" w:right="339" w:bottom="1440" w:gutter="0" w:footer="0" w:header="0"/>
          <w:type w:val="continuous"/>
        </w:sectPr>
      </w:pPr>
    </w:p>
    <w:p>
      <w:pPr>
        <w:spacing w:after="0" w:line="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do not provide significant perquisites or personal benefits to our named executive officers, except that we provide leased automobiles for our Chief Executive Officer and President. Additionally, our Chief Executive Officer receives certain insurance benefits. The costs of these benefits constituted less than one percent of the applicable executive’s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Employment Agreements</w:t>
      </w: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 Tables—Potential Payments Upon Termination or Change in Control” for a summary of the employment agreements with our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Clawback Policy</w:t>
      </w:r>
    </w:p>
    <w:p>
      <w:pPr>
        <w:spacing w:after="0" w:line="23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Anti-hedging Policy</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 The Company does not have any practices or policies regarding the ability of any other employees to purchase financial instruments or otherwise engage in transactions that hedge or offset, or are designed to hedge or offset, any decrease in the market value of the Company’s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486591"/>
        </w:rPr>
        <w:t>Other Matters</w:t>
      </w:r>
    </w:p>
    <w:p>
      <w:pPr>
        <w:spacing w:after="0" w:line="21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355A89"/>
        </w:rPr>
        <w:t xml:space="preserve">LTIP units and Class O LTIP units. </w:t>
      </w:r>
      <w:r>
        <w:rPr>
          <w:rFonts w:ascii="Arial" w:cs="Arial" w:eastAsia="Arial" w:hAnsi="Arial"/>
          <w:sz w:val="18"/>
          <w:szCs w:val="18"/>
          <w:color w:val="000000"/>
        </w:rPr>
        <w:t>We issued a separate class of units of limited partnership interest in our operating partnership, which we refer</w:t>
      </w:r>
      <w:r>
        <w:rPr>
          <w:rFonts w:ascii="Arial" w:cs="Arial" w:eastAsia="Arial" w:hAnsi="Arial"/>
          <w:sz w:val="18"/>
          <w:szCs w:val="18"/>
          <w:i w:val="1"/>
          <w:iCs w:val="1"/>
          <w:color w:val="355A89"/>
        </w:rPr>
        <w:t xml:space="preserve"> </w:t>
      </w:r>
      <w:r>
        <w:rPr>
          <w:rFonts w:ascii="Arial" w:cs="Arial" w:eastAsia="Arial" w:hAnsi="Arial"/>
          <w:sz w:val="18"/>
          <w:szCs w:val="18"/>
          <w:color w:val="000000"/>
        </w:rPr>
        <w:t>to as LTIP units, for the equity bonuses that we granted to our named executive officers for 2020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2020, we did not grant any Class O LTIP units.</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spacing w:after="0" w:line="20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p>
    <w:p>
      <w:pPr>
        <w:spacing w:after="0" w:line="397" w:lineRule="exact"/>
        <w:rPr>
          <w:sz w:val="20"/>
          <w:szCs w:val="20"/>
          <w:color w:val="auto"/>
        </w:rPr>
      </w:pPr>
    </w:p>
    <w:p>
      <w:pPr>
        <w:ind w:left="300" w:hanging="292"/>
        <w:spacing w:after="0"/>
        <w:tabs>
          <w:tab w:leader="none" w:pos="300" w:val="left"/>
        </w:tabs>
        <w:numPr>
          <w:ilvl w:val="0"/>
          <w:numId w:val="104"/>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Summary Compensation Table</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sets forth information regarding the compensation paid to the individuals who served as our Chief Executive Officer and Chief Financial Officer during our 2020 fiscal year and two of our most highly compensated executive officers, other than our Chief Executive Officer and Chief Financial Officer, whose total compensation exceeded $100,000 during the fiscal year ended December 31, 2020, or collectively, the “named executive officers.”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restart"/>
          </w:tcPr>
          <w:p>
            <w:pPr>
              <w:jc w:val="right"/>
              <w:ind w:right="164"/>
              <w:spacing w:after="0"/>
              <w:rPr>
                <w:sz w:val="20"/>
                <w:szCs w:val="20"/>
                <w:color w:val="auto"/>
              </w:rPr>
            </w:pPr>
            <w:r>
              <w:rPr>
                <w:rFonts w:ascii="Arial" w:cs="Arial" w:eastAsia="Arial" w:hAnsi="Arial"/>
                <w:sz w:val="14"/>
                <w:szCs w:val="14"/>
                <w:b w:val="1"/>
                <w:bCs w:val="1"/>
                <w:color w:val="355A89"/>
              </w:rPr>
              <w:t>Option</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55A89"/>
              </w:rPr>
              <w:t>Non-Equity</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355A89"/>
              </w:rPr>
              <w:t>All Other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355A89"/>
              </w:rPr>
              <w:t>Bonus Stock Awards</w:t>
            </w:r>
            <w:r>
              <w:rPr>
                <w:rFonts w:ascii="Arial" w:cs="Arial" w:eastAsia="Arial" w:hAnsi="Arial"/>
                <w:sz w:val="23"/>
                <w:szCs w:val="23"/>
                <w:b w:val="1"/>
                <w:bCs w:val="1"/>
                <w:color w:val="355A89"/>
                <w:vertAlign w:val="superscript"/>
              </w:rPr>
              <w:t>(1)</w:t>
            </w:r>
          </w:p>
        </w:tc>
        <w:tc>
          <w:tcPr>
            <w:tcW w:w="900" w:type="dxa"/>
            <w:vAlign w:val="bottom"/>
            <w:gridSpan w:val="3"/>
            <w:vMerge w:val="continue"/>
          </w:tcPr>
          <w:p>
            <w:pPr>
              <w:spacing w:after="0"/>
              <w:rPr>
                <w:sz w:val="12"/>
                <w:szCs w:val="12"/>
                <w:color w:val="auto"/>
              </w:rPr>
            </w:pPr>
          </w:p>
        </w:tc>
        <w:tc>
          <w:tcPr>
            <w:tcW w:w="110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355A89"/>
              </w:rPr>
              <w:t>Incentive Plan</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b w:val="1"/>
                <w:bCs w:val="1"/>
                <w:color w:val="auto"/>
              </w:rPr>
              <w:t>Name and Principal</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55A89"/>
              </w:rPr>
              <w:t>Salary</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7"/>
            <w:vMerge w:val="continue"/>
          </w:tcPr>
          <w:p>
            <w:pPr>
              <w:spacing w:after="0"/>
              <w:rPr>
                <w:sz w:val="15"/>
                <w:szCs w:val="15"/>
                <w:color w:val="auto"/>
              </w:rPr>
            </w:pPr>
          </w:p>
        </w:tc>
        <w:tc>
          <w:tcPr>
            <w:tcW w:w="900" w:type="dxa"/>
            <w:vAlign w:val="bottom"/>
            <w:gridSpan w:val="3"/>
          </w:tcPr>
          <w:p>
            <w:pPr>
              <w:jc w:val="right"/>
              <w:ind w:right="164"/>
              <w:spacing w:after="0" w:line="176" w:lineRule="exact"/>
              <w:rPr>
                <w:sz w:val="20"/>
                <w:szCs w:val="20"/>
                <w:color w:val="auto"/>
              </w:rPr>
            </w:pPr>
            <w:r>
              <w:rPr>
                <w:rFonts w:ascii="Arial" w:cs="Arial" w:eastAsia="Arial" w:hAnsi="Arial"/>
                <w:sz w:val="13"/>
                <w:szCs w:val="13"/>
                <w:b w:val="1"/>
                <w:bCs w:val="1"/>
                <w:color w:val="355A89"/>
              </w:rPr>
              <w:t>Awards</w:t>
            </w:r>
            <w:r>
              <w:rPr>
                <w:rFonts w:ascii="Arial" w:cs="Arial" w:eastAsia="Arial" w:hAnsi="Arial"/>
                <w:sz w:val="20"/>
                <w:szCs w:val="20"/>
                <w:b w:val="1"/>
                <w:bCs w:val="1"/>
                <w:color w:val="355A89"/>
                <w:vertAlign w:val="superscript"/>
              </w:rPr>
              <w:t>(1)</w:t>
            </w:r>
          </w:p>
        </w:tc>
        <w:tc>
          <w:tcPr>
            <w:tcW w:w="2340" w:type="dxa"/>
            <w:vAlign w:val="bottom"/>
            <w:gridSpan w:val="6"/>
          </w:tcPr>
          <w:p>
            <w:pPr>
              <w:jc w:val="right"/>
              <w:ind w:right="60"/>
              <w:spacing w:after="0" w:line="176" w:lineRule="exact"/>
              <w:rPr>
                <w:sz w:val="20"/>
                <w:szCs w:val="20"/>
                <w:color w:val="auto"/>
              </w:rPr>
            </w:pPr>
            <w:r>
              <w:rPr>
                <w:rFonts w:ascii="Arial" w:cs="Arial" w:eastAsia="Arial" w:hAnsi="Arial"/>
                <w:sz w:val="13"/>
                <w:szCs w:val="13"/>
                <w:b w:val="1"/>
                <w:bCs w:val="1"/>
                <w:color w:val="355A89"/>
              </w:rPr>
              <w:t>Compensation Compensation</w:t>
            </w:r>
            <w:r>
              <w:rPr>
                <w:rFonts w:ascii="Arial" w:cs="Arial" w:eastAsia="Arial" w:hAnsi="Arial"/>
                <w:sz w:val="20"/>
                <w:szCs w:val="20"/>
                <w:b w:val="1"/>
                <w:bCs w:val="1"/>
                <w:color w:val="355A89"/>
                <w:vertAlign w:val="superscript"/>
              </w:rPr>
              <w:t>(2)</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55A89"/>
              </w:rPr>
              <w:t>Total</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355A89"/>
              </w:rPr>
              <w:t>Year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55A89"/>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355A89"/>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55A89"/>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55A89"/>
              </w:rPr>
              <w:t>($)</w:t>
            </w:r>
          </w:p>
        </w:tc>
        <w:tc>
          <w:tcPr>
            <w:tcW w:w="16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55A89"/>
              </w:rPr>
              <w:t>($)</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355A89"/>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355A89"/>
              </w:rPr>
              <w:t>($)</w:t>
            </w:r>
          </w:p>
        </w:tc>
        <w:tc>
          <w:tcPr>
            <w:tcW w:w="0" w:type="dxa"/>
            <w:vAlign w:val="bottom"/>
          </w:tcPr>
          <w:p>
            <w:pPr>
              <w:spacing w:after="0"/>
              <w:rPr>
                <w:sz w:val="1"/>
                <w:szCs w:val="1"/>
                <w:color w:val="auto"/>
              </w:rPr>
            </w:pPr>
          </w:p>
        </w:tc>
      </w:tr>
      <w:tr>
        <w:trPr>
          <w:trHeight w:val="237"/>
        </w:trPr>
        <w:tc>
          <w:tcPr>
            <w:tcW w:w="2900" w:type="dxa"/>
            <w:vAlign w:val="bottom"/>
            <w:tcBorders>
              <w:top w:val="single" w:sz="8" w:color="355989"/>
            </w:tcBorders>
          </w:tcPr>
          <w:p>
            <w:pPr>
              <w:spacing w:after="0"/>
              <w:rPr>
                <w:sz w:val="20"/>
                <w:szCs w:val="20"/>
                <w:color w:val="auto"/>
              </w:rPr>
            </w:pPr>
            <w:r>
              <w:rPr>
                <w:rFonts w:ascii="Arial" w:cs="Arial" w:eastAsia="Arial" w:hAnsi="Arial"/>
                <w:sz w:val="16"/>
                <w:szCs w:val="16"/>
                <w:color w:val="auto"/>
              </w:rPr>
              <w:t>Marc Holliday</w:t>
            </w:r>
          </w:p>
        </w:tc>
        <w:tc>
          <w:tcPr>
            <w:tcW w:w="60" w:type="dxa"/>
            <w:vAlign w:val="bottom"/>
          </w:tcPr>
          <w:p>
            <w:pPr>
              <w:spacing w:after="0"/>
              <w:rPr>
                <w:sz w:val="20"/>
                <w:szCs w:val="20"/>
                <w:color w:val="auto"/>
              </w:rPr>
            </w:pPr>
          </w:p>
        </w:tc>
        <w:tc>
          <w:tcPr>
            <w:tcW w:w="36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w w:val="95"/>
                <w:shd w:val="clear" w:color="auto" w:fill="C0C4D7"/>
              </w:rPr>
              <w:t>2020</w:t>
            </w:r>
          </w:p>
        </w:tc>
        <w:tc>
          <w:tcPr>
            <w:tcW w:w="80" w:type="dxa"/>
            <w:vAlign w:val="bottom"/>
          </w:tcPr>
          <w:p>
            <w:pPr>
              <w:spacing w:after="0"/>
              <w:rPr>
                <w:sz w:val="20"/>
                <w:szCs w:val="20"/>
                <w:color w:val="auto"/>
              </w:rPr>
            </w:pPr>
          </w:p>
        </w:tc>
        <w:tc>
          <w:tcPr>
            <w:tcW w:w="180" w:type="dxa"/>
            <w:vAlign w:val="bottom"/>
            <w:tcBorders>
              <w:top w:val="single" w:sz="8" w:color="355989"/>
              <w:bottom w:val="single" w:sz="8" w:color="355989"/>
            </w:tcBorders>
            <w:shd w:val="clear" w:color="auto" w:fill="C0C4D7"/>
          </w:tcPr>
          <w:p>
            <w:pPr>
              <w:jc w:val="right"/>
              <w:ind w:right="24"/>
              <w:spacing w:after="0"/>
              <w:rPr>
                <w:sz w:val="20"/>
                <w:szCs w:val="20"/>
                <w:color w:val="auto"/>
              </w:rPr>
            </w:pPr>
            <w:r>
              <w:rPr>
                <w:rFonts w:ascii="Arial" w:cs="Arial" w:eastAsia="Arial" w:hAnsi="Arial"/>
                <w:sz w:val="15"/>
                <w:szCs w:val="15"/>
                <w:color w:val="auto"/>
                <w:w w:val="71"/>
                <w:shd w:val="clear" w:color="auto" w:fill="C0C4D7"/>
              </w:rPr>
              <w:t>$</w:t>
            </w:r>
          </w:p>
        </w:tc>
        <w:tc>
          <w:tcPr>
            <w:tcW w:w="82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1,250,000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355989"/>
              <w:bottom w:val="single" w:sz="8" w:color="355989"/>
            </w:tcBorders>
            <w:shd w:val="clear" w:color="auto" w:fill="C0C4D7"/>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355989"/>
              <w:bottom w:val="single" w:sz="8" w:color="355989"/>
            </w:tcBorders>
            <w:gridSpan w:val="2"/>
            <w:shd w:val="clear" w:color="auto" w:fill="C0C4D7"/>
          </w:tcPr>
          <w:p>
            <w:pPr>
              <w:jc w:val="right"/>
              <w:spacing w:after="0"/>
              <w:rPr>
                <w:sz w:val="20"/>
                <w:szCs w:val="20"/>
                <w:color w:val="auto"/>
              </w:rPr>
            </w:pPr>
            <w:r>
              <w:rPr>
                <w:rFonts w:ascii="Arial" w:cs="Arial" w:eastAsia="Arial" w:hAnsi="Arial"/>
                <w:sz w:val="16"/>
                <w:szCs w:val="16"/>
                <w:color w:val="auto"/>
              </w:rPr>
              <w:t>387,501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355989"/>
              <w:bottom w:val="single" w:sz="8" w:color="355989"/>
            </w:tcBorders>
            <w:shd w:val="clear" w:color="auto" w:fill="C0C4D7"/>
          </w:tcPr>
          <w:p>
            <w:pPr>
              <w:jc w:val="right"/>
              <w:ind w:right="44"/>
              <w:spacing w:after="0"/>
              <w:rPr>
                <w:sz w:val="20"/>
                <w:szCs w:val="20"/>
                <w:color w:val="auto"/>
              </w:rPr>
            </w:pPr>
            <w:r>
              <w:rPr>
                <w:rFonts w:ascii="Arial" w:cs="Arial" w:eastAsia="Arial" w:hAnsi="Arial"/>
                <w:sz w:val="15"/>
                <w:szCs w:val="15"/>
                <w:color w:val="auto"/>
                <w:w w:val="71"/>
                <w:shd w:val="clear" w:color="auto" w:fill="C0C4D7"/>
              </w:rPr>
              <w:t>$</w:t>
            </w:r>
          </w:p>
        </w:tc>
        <w:tc>
          <w:tcPr>
            <w:tcW w:w="90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12,643,310</w:t>
            </w:r>
          </w:p>
        </w:tc>
        <w:tc>
          <w:tcPr>
            <w:tcW w:w="80" w:type="dxa"/>
            <w:vAlign w:val="bottom"/>
          </w:tcPr>
          <w:p>
            <w:pPr>
              <w:spacing w:after="0"/>
              <w:rPr>
                <w:sz w:val="20"/>
                <w:szCs w:val="20"/>
                <w:color w:val="auto"/>
              </w:rPr>
            </w:pPr>
          </w:p>
        </w:tc>
        <w:tc>
          <w:tcPr>
            <w:tcW w:w="660" w:type="dxa"/>
            <w:vAlign w:val="bottom"/>
            <w:tcBorders>
              <w:top w:val="single" w:sz="8" w:color="355989"/>
              <w:bottom w:val="single" w:sz="8" w:color="355989"/>
            </w:tcBorders>
            <w:shd w:val="clear" w:color="auto" w:fill="C0C4D7"/>
          </w:tcPr>
          <w:p>
            <w:pPr>
              <w:ind w:left="5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0"/>
                <w:szCs w:val="20"/>
                <w:color w:val="auto"/>
              </w:rPr>
            </w:pPr>
          </w:p>
        </w:tc>
        <w:tc>
          <w:tcPr>
            <w:tcW w:w="160" w:type="dxa"/>
            <w:vAlign w:val="bottom"/>
            <w:tcBorders>
              <w:top w:val="single" w:sz="8" w:color="355989"/>
              <w:bottom w:val="single" w:sz="8" w:color="355989"/>
            </w:tcBorders>
            <w:shd w:val="clear" w:color="auto" w:fill="C0C4D7"/>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rPr>
              <w:t>862,500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355989"/>
              <w:bottom w:val="single" w:sz="8" w:color="355989"/>
            </w:tcBorders>
            <w:shd w:val="clear" w:color="auto" w:fill="C0C4D7"/>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rPr>
              <w:t>51,415</w:t>
            </w:r>
          </w:p>
        </w:tc>
        <w:tc>
          <w:tcPr>
            <w:tcW w:w="80" w:type="dxa"/>
            <w:vAlign w:val="bottom"/>
          </w:tcPr>
          <w:p>
            <w:pPr>
              <w:spacing w:after="0"/>
              <w:rPr>
                <w:sz w:val="20"/>
                <w:szCs w:val="20"/>
                <w:color w:val="auto"/>
              </w:rPr>
            </w:pPr>
          </w:p>
        </w:tc>
        <w:tc>
          <w:tcPr>
            <w:tcW w:w="180" w:type="dxa"/>
            <w:vAlign w:val="bottom"/>
            <w:tcBorders>
              <w:top w:val="single" w:sz="8" w:color="355989"/>
              <w:bottom w:val="single" w:sz="8" w:color="355989"/>
            </w:tcBorders>
            <w:shd w:val="clear" w:color="auto" w:fill="C0C4D7"/>
          </w:tcPr>
          <w:p>
            <w:pPr>
              <w:jc w:val="right"/>
              <w:ind w:right="24"/>
              <w:spacing w:after="0"/>
              <w:rPr>
                <w:sz w:val="20"/>
                <w:szCs w:val="20"/>
                <w:color w:val="auto"/>
              </w:rPr>
            </w:pPr>
            <w:r>
              <w:rPr>
                <w:rFonts w:ascii="Arial" w:cs="Arial" w:eastAsia="Arial" w:hAnsi="Arial"/>
                <w:sz w:val="15"/>
                <w:szCs w:val="15"/>
                <w:color w:val="auto"/>
                <w:w w:val="71"/>
                <w:shd w:val="clear" w:color="auto" w:fill="C0C4D7"/>
              </w:rPr>
              <w:t>$</w:t>
            </w:r>
          </w:p>
        </w:tc>
        <w:tc>
          <w:tcPr>
            <w:tcW w:w="92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15,194,726</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6"/>
                <w:szCs w:val="16"/>
                <w:color w:val="auto"/>
              </w:rPr>
              <w:t>Chief Executive</w:t>
            </w: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2019</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1,250,000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4"/>
          </w:tcPr>
          <w:p>
            <w:pPr>
              <w:jc w:val="right"/>
              <w:ind w:right="44"/>
              <w:spacing w:after="0"/>
              <w:rPr>
                <w:sz w:val="20"/>
                <w:szCs w:val="20"/>
                <w:color w:val="auto"/>
              </w:rPr>
            </w:pPr>
            <w:r>
              <w:rPr>
                <w:rFonts w:ascii="Arial" w:cs="Arial" w:eastAsia="Arial" w:hAnsi="Arial"/>
                <w:sz w:val="16"/>
                <w:szCs w:val="16"/>
                <w:color w:val="auto"/>
              </w:rPr>
              <w:t>— $</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16,397,131</w:t>
            </w:r>
          </w:p>
        </w:tc>
        <w:tc>
          <w:tcPr>
            <w:tcW w:w="90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3,293,070</w:t>
            </w:r>
          </w:p>
        </w:tc>
        <w:tc>
          <w:tcPr>
            <w:tcW w:w="3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49,815</w:t>
            </w:r>
          </w:p>
        </w:tc>
        <w:tc>
          <w:tcPr>
            <w:tcW w:w="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20,990,016</w:t>
            </w:r>
          </w:p>
        </w:tc>
        <w:tc>
          <w:tcPr>
            <w:tcW w:w="0" w:type="dxa"/>
            <w:vAlign w:val="bottom"/>
          </w:tcPr>
          <w:p>
            <w:pPr>
              <w:spacing w:after="0"/>
              <w:rPr>
                <w:sz w:val="1"/>
                <w:szCs w:val="1"/>
                <w:color w:val="auto"/>
              </w:rPr>
            </w:pPr>
          </w:p>
        </w:tc>
      </w:tr>
      <w:tr>
        <w:trPr>
          <w:trHeight w:val="33"/>
        </w:trPr>
        <w:tc>
          <w:tcPr>
            <w:tcW w:w="2900" w:type="dxa"/>
            <w:vAlign w:val="bottom"/>
            <w:vMerge w:val="restart"/>
          </w:tcPr>
          <w:p>
            <w:pPr>
              <w:spacing w:after="0"/>
              <w:rPr>
                <w:sz w:val="20"/>
                <w:szCs w:val="20"/>
                <w:color w:val="auto"/>
              </w:rPr>
            </w:pPr>
            <w:r>
              <w:rPr>
                <w:rFonts w:ascii="Arial" w:cs="Arial" w:eastAsia="Arial" w:hAnsi="Arial"/>
                <w:sz w:val="16"/>
                <w:szCs w:val="16"/>
                <w:color w:val="auto"/>
              </w:rPr>
              <w:t>Officer and</w:t>
            </w:r>
          </w:p>
        </w:tc>
        <w:tc>
          <w:tcPr>
            <w:tcW w:w="60" w:type="dxa"/>
            <w:vAlign w:val="bottom"/>
          </w:tcPr>
          <w:p>
            <w:pPr>
              <w:spacing w:after="0"/>
              <w:rPr>
                <w:sz w:val="2"/>
                <w:szCs w:val="2"/>
                <w:color w:val="auto"/>
              </w:rPr>
            </w:pPr>
          </w:p>
        </w:tc>
        <w:tc>
          <w:tcPr>
            <w:tcW w:w="3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90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60" w:type="dxa"/>
            <w:vAlign w:val="bottom"/>
            <w:shd w:val="clear" w:color="auto" w:fill="3559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92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2018</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1,250,000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gridSpan w:val="4"/>
          </w:tcPr>
          <w:p>
            <w:pPr>
              <w:jc w:val="right"/>
              <w:ind w:right="44"/>
              <w:spacing w:after="0"/>
              <w:rPr>
                <w:sz w:val="20"/>
                <w:szCs w:val="20"/>
                <w:color w:val="auto"/>
              </w:rPr>
            </w:pPr>
            <w:r>
              <w:rPr>
                <w:rFonts w:ascii="Arial" w:cs="Arial" w:eastAsia="Arial" w:hAnsi="Arial"/>
                <w:sz w:val="16"/>
                <w:szCs w:val="16"/>
                <w:color w:val="auto"/>
              </w:rPr>
              <w:t>— $</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9,297,455</w:t>
            </w:r>
          </w:p>
        </w:tc>
        <w:tc>
          <w:tcPr>
            <w:tcW w:w="90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2,746,491</w:t>
            </w:r>
          </w:p>
        </w:tc>
        <w:tc>
          <w:tcPr>
            <w:tcW w:w="3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61,832</w:t>
            </w:r>
          </w:p>
        </w:tc>
        <w:tc>
          <w:tcPr>
            <w:tcW w:w="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13,355,778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6"/>
                <w:szCs w:val="16"/>
                <w:color w:val="auto"/>
              </w:rPr>
              <w:t>Chairman of the Board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8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980" w:type="dxa"/>
            <w:vAlign w:val="bottom"/>
            <w:gridSpan w:val="2"/>
          </w:tcPr>
          <w:p>
            <w:pPr>
              <w:spacing w:after="0"/>
              <w:rPr>
                <w:sz w:val="4"/>
                <w:szCs w:val="4"/>
                <w:color w:val="auto"/>
              </w:rPr>
            </w:pPr>
          </w:p>
        </w:tc>
        <w:tc>
          <w:tcPr>
            <w:tcW w:w="900" w:type="dxa"/>
            <w:vAlign w:val="bottom"/>
            <w:gridSpan w:val="3"/>
          </w:tcPr>
          <w:p>
            <w:pPr>
              <w:spacing w:after="0"/>
              <w:rPr>
                <w:sz w:val="4"/>
                <w:szCs w:val="4"/>
                <w:color w:val="auto"/>
              </w:rPr>
            </w:pPr>
          </w:p>
        </w:tc>
        <w:tc>
          <w:tcPr>
            <w:tcW w:w="1440" w:type="dxa"/>
            <w:vAlign w:val="bottom"/>
            <w:gridSpan w:val="4"/>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900" w:type="dxa"/>
            <w:vAlign w:val="bottom"/>
            <w:tcBorders>
              <w:top w:val="single" w:sz="8" w:color="355989"/>
            </w:tcBorders>
          </w:tcPr>
          <w:p>
            <w:pPr>
              <w:spacing w:after="0"/>
              <w:rPr>
                <w:sz w:val="20"/>
                <w:szCs w:val="20"/>
                <w:color w:val="auto"/>
              </w:rPr>
            </w:pPr>
            <w:r>
              <w:rPr>
                <w:rFonts w:ascii="Arial" w:cs="Arial" w:eastAsia="Arial" w:hAnsi="Arial"/>
                <w:sz w:val="16"/>
                <w:szCs w:val="16"/>
                <w:color w:val="auto"/>
              </w:rPr>
              <w:t>Andrew Mathias</w:t>
            </w:r>
          </w:p>
        </w:tc>
        <w:tc>
          <w:tcPr>
            <w:tcW w:w="60" w:type="dxa"/>
            <w:vAlign w:val="bottom"/>
          </w:tcPr>
          <w:p>
            <w:pPr>
              <w:spacing w:after="0"/>
              <w:rPr>
                <w:sz w:val="20"/>
                <w:szCs w:val="20"/>
                <w:color w:val="auto"/>
              </w:rPr>
            </w:pPr>
          </w:p>
        </w:tc>
        <w:tc>
          <w:tcPr>
            <w:tcW w:w="36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w w:val="95"/>
                <w:shd w:val="clear" w:color="auto" w:fill="C0C4D7"/>
              </w:rPr>
              <w:t>2020</w:t>
            </w:r>
          </w:p>
        </w:tc>
        <w:tc>
          <w:tcPr>
            <w:tcW w:w="80" w:type="dxa"/>
            <w:vAlign w:val="bottom"/>
          </w:tcPr>
          <w:p>
            <w:pPr>
              <w:spacing w:after="0"/>
              <w:rPr>
                <w:sz w:val="20"/>
                <w:szCs w:val="20"/>
                <w:color w:val="auto"/>
              </w:rPr>
            </w:pPr>
          </w:p>
        </w:tc>
        <w:tc>
          <w:tcPr>
            <w:tcW w:w="180" w:type="dxa"/>
            <w:vAlign w:val="bottom"/>
            <w:tcBorders>
              <w:top w:val="single" w:sz="8" w:color="355989"/>
              <w:bottom w:val="single" w:sz="8" w:color="355989"/>
            </w:tcBorders>
            <w:shd w:val="clear" w:color="auto" w:fill="C0C4D7"/>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rPr>
              <w:t>950,000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355989"/>
              <w:bottom w:val="single" w:sz="8" w:color="355989"/>
            </w:tcBorders>
            <w:shd w:val="clear" w:color="auto" w:fill="C0C4D7"/>
          </w:tcPr>
          <w:p>
            <w:pPr>
              <w:spacing w:after="0"/>
              <w:rPr>
                <w:sz w:val="20"/>
                <w:szCs w:val="20"/>
                <w:color w:val="auto"/>
              </w:rPr>
            </w:pPr>
          </w:p>
        </w:tc>
        <w:tc>
          <w:tcPr>
            <w:tcW w:w="820" w:type="dxa"/>
            <w:vAlign w:val="bottom"/>
            <w:tcBorders>
              <w:top w:val="single" w:sz="8" w:color="355989"/>
              <w:bottom w:val="single" w:sz="8" w:color="355989"/>
            </w:tcBorders>
            <w:shd w:val="clear" w:color="auto" w:fill="C0C4D7"/>
          </w:tcPr>
          <w:p>
            <w:pPr>
              <w:spacing w:after="0"/>
              <w:rPr>
                <w:sz w:val="20"/>
                <w:szCs w:val="20"/>
                <w:color w:val="auto"/>
              </w:rPr>
            </w:pPr>
          </w:p>
        </w:tc>
        <w:tc>
          <w:tcPr>
            <w:tcW w:w="18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gridSpan w:val="2"/>
          </w:tcPr>
          <w:p>
            <w:pPr>
              <w:spacing w:after="0"/>
              <w:rPr>
                <w:sz w:val="20"/>
                <w:szCs w:val="20"/>
                <w:color w:val="auto"/>
              </w:rPr>
            </w:pPr>
          </w:p>
        </w:tc>
        <w:tc>
          <w:tcPr>
            <w:tcW w:w="200" w:type="dxa"/>
            <w:vAlign w:val="bottom"/>
            <w:tcBorders>
              <w:top w:val="single" w:sz="8" w:color="355989"/>
              <w:bottom w:val="single" w:sz="8" w:color="355989"/>
            </w:tcBorders>
            <w:shd w:val="clear" w:color="auto" w:fill="C0C4D7"/>
          </w:tcPr>
          <w:p>
            <w:pPr>
              <w:jc w:val="right"/>
              <w:ind w:right="44"/>
              <w:spacing w:after="0"/>
              <w:rPr>
                <w:sz w:val="20"/>
                <w:szCs w:val="20"/>
                <w:color w:val="auto"/>
              </w:rPr>
            </w:pPr>
            <w:r>
              <w:rPr>
                <w:rFonts w:ascii="Arial" w:cs="Arial" w:eastAsia="Arial" w:hAnsi="Arial"/>
                <w:sz w:val="15"/>
                <w:szCs w:val="15"/>
                <w:color w:val="auto"/>
                <w:w w:val="71"/>
                <w:shd w:val="clear" w:color="auto" w:fill="C0C4D7"/>
              </w:rPr>
              <w:t>$</w:t>
            </w:r>
          </w:p>
        </w:tc>
        <w:tc>
          <w:tcPr>
            <w:tcW w:w="90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10,580,622</w:t>
            </w:r>
          </w:p>
        </w:tc>
        <w:tc>
          <w:tcPr>
            <w:tcW w:w="80" w:type="dxa"/>
            <w:vAlign w:val="bottom"/>
          </w:tcPr>
          <w:p>
            <w:pPr>
              <w:spacing w:after="0"/>
              <w:rPr>
                <w:sz w:val="20"/>
                <w:szCs w:val="20"/>
                <w:color w:val="auto"/>
              </w:rPr>
            </w:pPr>
          </w:p>
        </w:tc>
        <w:tc>
          <w:tcPr>
            <w:tcW w:w="660" w:type="dxa"/>
            <w:vAlign w:val="bottom"/>
            <w:tcBorders>
              <w:top w:val="single" w:sz="8" w:color="355989"/>
              <w:bottom w:val="single" w:sz="8" w:color="355989"/>
            </w:tcBorders>
            <w:shd w:val="clear" w:color="auto" w:fill="C0C4D7"/>
          </w:tcPr>
          <w:p>
            <w:pPr>
              <w:ind w:left="5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0"/>
                <w:szCs w:val="20"/>
                <w:color w:val="auto"/>
              </w:rPr>
            </w:pPr>
          </w:p>
        </w:tc>
        <w:tc>
          <w:tcPr>
            <w:tcW w:w="160" w:type="dxa"/>
            <w:vAlign w:val="bottom"/>
            <w:tcBorders>
              <w:top w:val="single" w:sz="8" w:color="355989"/>
              <w:bottom w:val="single" w:sz="8" w:color="355989"/>
            </w:tcBorders>
            <w:shd w:val="clear" w:color="auto" w:fill="C0C4D7"/>
          </w:tcPr>
          <w:p>
            <w:pPr>
              <w:spacing w:after="0"/>
              <w:rPr>
                <w:sz w:val="20"/>
                <w:szCs w:val="20"/>
                <w:color w:val="auto"/>
              </w:rPr>
            </w:pPr>
          </w:p>
        </w:tc>
        <w:tc>
          <w:tcPr>
            <w:tcW w:w="106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gridSpan w:val="2"/>
          </w:tcPr>
          <w:p>
            <w:pPr>
              <w:spacing w:after="0"/>
              <w:rPr>
                <w:sz w:val="20"/>
                <w:szCs w:val="20"/>
                <w:color w:val="auto"/>
              </w:rPr>
            </w:pPr>
          </w:p>
        </w:tc>
        <w:tc>
          <w:tcPr>
            <w:tcW w:w="300" w:type="dxa"/>
            <w:vAlign w:val="bottom"/>
            <w:tcBorders>
              <w:top w:val="single" w:sz="8" w:color="355989"/>
              <w:bottom w:val="single" w:sz="8" w:color="355989"/>
            </w:tcBorders>
            <w:shd w:val="clear" w:color="auto" w:fill="C0C4D7"/>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rPr>
              <w:t>43,136</w:t>
            </w:r>
          </w:p>
        </w:tc>
        <w:tc>
          <w:tcPr>
            <w:tcW w:w="80" w:type="dxa"/>
            <w:vAlign w:val="bottom"/>
          </w:tcPr>
          <w:p>
            <w:pPr>
              <w:spacing w:after="0"/>
              <w:rPr>
                <w:sz w:val="20"/>
                <w:szCs w:val="20"/>
                <w:color w:val="auto"/>
              </w:rPr>
            </w:pPr>
          </w:p>
        </w:tc>
        <w:tc>
          <w:tcPr>
            <w:tcW w:w="180" w:type="dxa"/>
            <w:vAlign w:val="bottom"/>
            <w:tcBorders>
              <w:top w:val="single" w:sz="8" w:color="355989"/>
              <w:bottom w:val="single" w:sz="8" w:color="355989"/>
            </w:tcBorders>
            <w:shd w:val="clear" w:color="auto" w:fill="C0C4D7"/>
          </w:tcPr>
          <w:p>
            <w:pPr>
              <w:jc w:val="right"/>
              <w:ind w:right="24"/>
              <w:spacing w:after="0"/>
              <w:rPr>
                <w:sz w:val="20"/>
                <w:szCs w:val="20"/>
                <w:color w:val="auto"/>
              </w:rPr>
            </w:pPr>
            <w:r>
              <w:rPr>
                <w:rFonts w:ascii="Arial" w:cs="Arial" w:eastAsia="Arial" w:hAnsi="Arial"/>
                <w:sz w:val="15"/>
                <w:szCs w:val="15"/>
                <w:color w:val="auto"/>
                <w:w w:val="71"/>
                <w:shd w:val="clear" w:color="auto" w:fill="C0C4D7"/>
              </w:rPr>
              <w:t>$</w:t>
            </w:r>
          </w:p>
        </w:tc>
        <w:tc>
          <w:tcPr>
            <w:tcW w:w="920" w:type="dxa"/>
            <w:vAlign w:val="bottom"/>
            <w:tcBorders>
              <w:top w:val="single" w:sz="8" w:color="355989"/>
              <w:bottom w:val="single" w:sz="8" w:color="355989"/>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11,573,758</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r>
              <w:rPr>
                <w:rFonts w:ascii="Arial" w:cs="Arial" w:eastAsia="Arial" w:hAnsi="Arial"/>
                <w:sz w:val="16"/>
                <w:szCs w:val="16"/>
                <w:color w:val="auto"/>
              </w:rPr>
              <w:t>President</w:t>
            </w:r>
          </w:p>
        </w:tc>
        <w:tc>
          <w:tcPr>
            <w:tcW w:w="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2019</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950,000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4"/>
          </w:tcPr>
          <w:p>
            <w:pPr>
              <w:jc w:val="right"/>
              <w:ind w:right="44"/>
              <w:spacing w:after="0"/>
              <w:rPr>
                <w:sz w:val="20"/>
                <w:szCs w:val="20"/>
                <w:color w:val="auto"/>
              </w:rPr>
            </w:pPr>
            <w:r>
              <w:rPr>
                <w:rFonts w:ascii="Arial" w:cs="Arial" w:eastAsia="Arial" w:hAnsi="Arial"/>
                <w:sz w:val="16"/>
                <w:szCs w:val="16"/>
                <w:color w:val="auto"/>
              </w:rPr>
              <w:t>— $</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11,191,600</w:t>
            </w:r>
          </w:p>
        </w:tc>
        <w:tc>
          <w:tcPr>
            <w:tcW w:w="90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4"/>
          </w:tcPr>
          <w:p>
            <w:pPr>
              <w:jc w:val="right"/>
              <w:ind w:right="144"/>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42,088</w:t>
            </w:r>
          </w:p>
        </w:tc>
        <w:tc>
          <w:tcPr>
            <w:tcW w:w="80" w:type="dxa"/>
            <w:vAlign w:val="bottom"/>
          </w:tcPr>
          <w:p>
            <w:pPr>
              <w:spacing w:after="0"/>
              <w:rPr>
                <w:sz w:val="20"/>
                <w:szCs w:val="20"/>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12,183,688</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90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60" w:type="dxa"/>
            <w:vAlign w:val="bottom"/>
            <w:shd w:val="clear" w:color="auto" w:fill="355989"/>
          </w:tcPr>
          <w:p>
            <w:pPr>
              <w:spacing w:after="0"/>
              <w:rPr>
                <w:sz w:val="2"/>
                <w:szCs w:val="2"/>
                <w:color w:val="auto"/>
              </w:rPr>
            </w:pPr>
          </w:p>
        </w:tc>
        <w:tc>
          <w:tcPr>
            <w:tcW w:w="80" w:type="dxa"/>
            <w:vAlign w:val="bottom"/>
            <w:gridSpan w:val="2"/>
          </w:tcPr>
          <w:p>
            <w:pPr>
              <w:spacing w:after="0"/>
              <w:rPr>
                <w:sz w:val="2"/>
                <w:szCs w:val="2"/>
                <w:color w:val="auto"/>
              </w:rPr>
            </w:pPr>
          </w:p>
        </w:tc>
        <w:tc>
          <w:tcPr>
            <w:tcW w:w="30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92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5"/>
              </w:rPr>
              <w:t>2018</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900,000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4"/>
          </w:tcPr>
          <w:p>
            <w:pPr>
              <w:jc w:val="right"/>
              <w:ind w:right="44"/>
              <w:spacing w:after="0"/>
              <w:rPr>
                <w:sz w:val="20"/>
                <w:szCs w:val="20"/>
                <w:color w:val="auto"/>
              </w:rPr>
            </w:pPr>
            <w:r>
              <w:rPr>
                <w:rFonts w:ascii="Arial" w:cs="Arial" w:eastAsia="Arial" w:hAnsi="Arial"/>
                <w:sz w:val="16"/>
                <w:szCs w:val="16"/>
                <w:color w:val="auto"/>
              </w:rPr>
              <w:t>— $</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9,471,414</w:t>
            </w:r>
          </w:p>
        </w:tc>
        <w:tc>
          <w:tcPr>
            <w:tcW w:w="90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4"/>
          </w:tcPr>
          <w:p>
            <w:pPr>
              <w:jc w:val="right"/>
              <w:ind w:right="144"/>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42,923</w:t>
            </w:r>
          </w:p>
        </w:tc>
        <w:tc>
          <w:tcPr>
            <w:tcW w:w="80" w:type="dxa"/>
            <w:vAlign w:val="bottom"/>
          </w:tcPr>
          <w:p>
            <w:pPr>
              <w:spacing w:after="0"/>
              <w:rPr>
                <w:sz w:val="20"/>
                <w:szCs w:val="20"/>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10,414,337</w:t>
            </w:r>
          </w:p>
        </w:tc>
        <w:tc>
          <w:tcPr>
            <w:tcW w:w="0" w:type="dxa"/>
            <w:vAlign w:val="bottom"/>
          </w:tcPr>
          <w:p>
            <w:pPr>
              <w:spacing w:after="0"/>
              <w:rPr>
                <w:sz w:val="1"/>
                <w:szCs w:val="1"/>
                <w:color w:val="auto"/>
              </w:rPr>
            </w:pPr>
          </w:p>
        </w:tc>
      </w:tr>
      <w:tr>
        <w:trPr>
          <w:trHeight w:val="224"/>
        </w:trPr>
        <w:tc>
          <w:tcPr>
            <w:tcW w:w="2900" w:type="dxa"/>
            <w:vAlign w:val="bottom"/>
            <w:tcBorders>
              <w:top w:val="single" w:sz="8" w:color="355989"/>
            </w:tcBorders>
          </w:tcPr>
          <w:p>
            <w:pPr>
              <w:spacing w:after="0"/>
              <w:rPr>
                <w:sz w:val="20"/>
                <w:szCs w:val="20"/>
                <w:color w:val="auto"/>
              </w:rPr>
            </w:pPr>
            <w:r>
              <w:rPr>
                <w:rFonts w:ascii="Arial" w:cs="Arial" w:eastAsia="Arial" w:hAnsi="Arial"/>
                <w:sz w:val="16"/>
                <w:szCs w:val="16"/>
                <w:color w:val="auto"/>
              </w:rPr>
              <w:t>Matthew J. DiLiberto</w:t>
            </w:r>
          </w:p>
        </w:tc>
        <w:tc>
          <w:tcPr>
            <w:tcW w:w="60" w:type="dxa"/>
            <w:vAlign w:val="bottom"/>
          </w:tcPr>
          <w:p>
            <w:pPr>
              <w:spacing w:after="0"/>
              <w:rPr>
                <w:sz w:val="19"/>
                <w:szCs w:val="19"/>
                <w:color w:val="auto"/>
              </w:rPr>
            </w:pPr>
          </w:p>
        </w:tc>
        <w:tc>
          <w:tcPr>
            <w:tcW w:w="36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w w:val="95"/>
                <w:shd w:val="clear" w:color="auto" w:fill="C0C4D7"/>
              </w:rPr>
              <w:t>2020</w:t>
            </w:r>
          </w:p>
        </w:tc>
        <w:tc>
          <w:tcPr>
            <w:tcW w:w="80" w:type="dxa"/>
            <w:vAlign w:val="bottom"/>
          </w:tcPr>
          <w:p>
            <w:pPr>
              <w:spacing w:after="0"/>
              <w:rPr>
                <w:sz w:val="19"/>
                <w:szCs w:val="19"/>
                <w:color w:val="auto"/>
              </w:rPr>
            </w:pPr>
          </w:p>
        </w:tc>
        <w:tc>
          <w:tcPr>
            <w:tcW w:w="180" w:type="dxa"/>
            <w:vAlign w:val="bottom"/>
            <w:tcBorders>
              <w:top w:val="single" w:sz="8" w:color="355989"/>
            </w:tcBorders>
            <w:vMerge w:val="restart"/>
            <w:shd w:val="clear" w:color="auto" w:fill="C0C4D7"/>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550,000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355989"/>
            </w:tcBorders>
            <w:vMerge w:val="restart"/>
            <w:shd w:val="clear" w:color="auto" w:fill="C0C4D7"/>
          </w:tcPr>
          <w:p>
            <w:pPr>
              <w:jc w:val="right"/>
              <w:ind w:right="24"/>
              <w:spacing w:after="0"/>
              <w:rPr>
                <w:sz w:val="20"/>
                <w:szCs w:val="20"/>
                <w:color w:val="auto"/>
              </w:rPr>
            </w:pPr>
            <w:r>
              <w:rPr>
                <w:rFonts w:ascii="Arial" w:cs="Arial" w:eastAsia="Arial" w:hAnsi="Arial"/>
                <w:sz w:val="15"/>
                <w:szCs w:val="15"/>
                <w:color w:val="auto"/>
                <w:w w:val="71"/>
                <w:shd w:val="clear" w:color="auto" w:fill="C0C4D7"/>
              </w:rPr>
              <w:t>$</w:t>
            </w:r>
          </w:p>
        </w:tc>
        <w:tc>
          <w:tcPr>
            <w:tcW w:w="8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2,460,000</w:t>
            </w:r>
          </w:p>
        </w:tc>
        <w:tc>
          <w:tcPr>
            <w:tcW w:w="180" w:type="dxa"/>
            <w:vAlign w:val="bottom"/>
            <w:tcBorders>
              <w:top w:val="single" w:sz="8" w:color="355989"/>
            </w:tcBorders>
            <w:shd w:val="clear" w:color="auto" w:fill="C0C4D7"/>
          </w:tcPr>
          <w:p>
            <w:pPr>
              <w:jc w:val="right"/>
              <w:spacing w:after="0"/>
              <w:rPr>
                <w:sz w:val="20"/>
                <w:szCs w:val="20"/>
                <w:color w:val="auto"/>
              </w:rPr>
            </w:pPr>
            <w:r>
              <w:rPr>
                <w:rFonts w:ascii="Arial" w:cs="Arial" w:eastAsia="Arial" w:hAnsi="Arial"/>
                <w:sz w:val="13"/>
                <w:szCs w:val="13"/>
                <w:color w:val="auto"/>
                <w:shd w:val="clear" w:color="auto" w:fill="C0C4D7"/>
              </w:rPr>
              <w:t>(3)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355989"/>
            </w:tcBorders>
            <w:vMerge w:val="restart"/>
            <w:shd w:val="clear" w:color="auto" w:fill="C0C4D7"/>
          </w:tcPr>
          <w:p>
            <w:pPr>
              <w:jc w:val="right"/>
              <w:ind w:right="44"/>
              <w:spacing w:after="0"/>
              <w:rPr>
                <w:sz w:val="20"/>
                <w:szCs w:val="20"/>
                <w:color w:val="auto"/>
              </w:rPr>
            </w:pPr>
            <w:r>
              <w:rPr>
                <w:rFonts w:ascii="Arial" w:cs="Arial" w:eastAsia="Arial" w:hAnsi="Arial"/>
                <w:sz w:val="15"/>
                <w:szCs w:val="15"/>
                <w:color w:val="auto"/>
                <w:w w:val="71"/>
                <w:shd w:val="clear" w:color="auto" w:fill="C0C4D7"/>
              </w:rPr>
              <w:t>$</w:t>
            </w:r>
          </w:p>
        </w:tc>
        <w:tc>
          <w:tcPr>
            <w:tcW w:w="90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1,336,498</w:t>
            </w:r>
          </w:p>
        </w:tc>
        <w:tc>
          <w:tcPr>
            <w:tcW w:w="80" w:type="dxa"/>
            <w:vAlign w:val="bottom"/>
          </w:tcPr>
          <w:p>
            <w:pPr>
              <w:spacing w:after="0"/>
              <w:rPr>
                <w:sz w:val="19"/>
                <w:szCs w:val="19"/>
                <w:color w:val="auto"/>
              </w:rPr>
            </w:pPr>
          </w:p>
        </w:tc>
        <w:tc>
          <w:tcPr>
            <w:tcW w:w="660" w:type="dxa"/>
            <w:vAlign w:val="bottom"/>
            <w:tcBorders>
              <w:top w:val="single" w:sz="8" w:color="355989"/>
            </w:tcBorders>
            <w:vMerge w:val="restart"/>
            <w:shd w:val="clear" w:color="auto" w:fill="C0C4D7"/>
          </w:tcPr>
          <w:p>
            <w:pPr>
              <w:ind w:left="5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9"/>
                <w:szCs w:val="19"/>
                <w:color w:val="auto"/>
              </w:rPr>
            </w:pPr>
          </w:p>
        </w:tc>
        <w:tc>
          <w:tcPr>
            <w:tcW w:w="160" w:type="dxa"/>
            <w:vAlign w:val="bottom"/>
            <w:tcBorders>
              <w:top w:val="single" w:sz="8" w:color="355989"/>
            </w:tcBorders>
            <w:shd w:val="clear" w:color="auto" w:fill="C0C4D7"/>
          </w:tcPr>
          <w:p>
            <w:pPr>
              <w:spacing w:after="0"/>
              <w:rPr>
                <w:sz w:val="19"/>
                <w:szCs w:val="19"/>
                <w:color w:val="auto"/>
              </w:rPr>
            </w:pPr>
          </w:p>
        </w:tc>
        <w:tc>
          <w:tcPr>
            <w:tcW w:w="106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355989"/>
            </w:tcBorders>
            <w:vMerge w:val="restart"/>
            <w:shd w:val="clear" w:color="auto" w:fill="C0C4D7"/>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11,400</w:t>
            </w:r>
          </w:p>
        </w:tc>
        <w:tc>
          <w:tcPr>
            <w:tcW w:w="80" w:type="dxa"/>
            <w:vAlign w:val="bottom"/>
          </w:tcPr>
          <w:p>
            <w:pPr>
              <w:spacing w:after="0"/>
              <w:rPr>
                <w:sz w:val="19"/>
                <w:szCs w:val="19"/>
                <w:color w:val="auto"/>
              </w:rPr>
            </w:pPr>
          </w:p>
        </w:tc>
        <w:tc>
          <w:tcPr>
            <w:tcW w:w="180" w:type="dxa"/>
            <w:vAlign w:val="bottom"/>
            <w:tcBorders>
              <w:top w:val="single" w:sz="8" w:color="355989"/>
            </w:tcBorders>
            <w:vMerge w:val="restart"/>
            <w:shd w:val="clear" w:color="auto" w:fill="C0C4D7"/>
          </w:tcPr>
          <w:p>
            <w:pPr>
              <w:jc w:val="right"/>
              <w:ind w:right="24"/>
              <w:spacing w:after="0"/>
              <w:rPr>
                <w:sz w:val="20"/>
                <w:szCs w:val="20"/>
                <w:color w:val="auto"/>
              </w:rPr>
            </w:pPr>
            <w:r>
              <w:rPr>
                <w:rFonts w:ascii="Arial" w:cs="Arial" w:eastAsia="Arial" w:hAnsi="Arial"/>
                <w:sz w:val="15"/>
                <w:szCs w:val="15"/>
                <w:color w:val="auto"/>
                <w:w w:val="71"/>
                <w:shd w:val="clear" w:color="auto" w:fill="C0C4D7"/>
              </w:rPr>
              <w:t>$</w:t>
            </w:r>
          </w:p>
        </w:tc>
        <w:tc>
          <w:tcPr>
            <w:tcW w:w="9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4,357,898</w:t>
            </w:r>
          </w:p>
        </w:tc>
        <w:tc>
          <w:tcPr>
            <w:tcW w:w="0" w:type="dxa"/>
            <w:vAlign w:val="bottom"/>
          </w:tcPr>
          <w:p>
            <w:pPr>
              <w:spacing w:after="0"/>
              <w:rPr>
                <w:sz w:val="1"/>
                <w:szCs w:val="1"/>
                <w:color w:val="auto"/>
              </w:rPr>
            </w:pPr>
          </w:p>
        </w:tc>
      </w:tr>
      <w:tr>
        <w:trPr>
          <w:trHeight w:val="67"/>
        </w:trPr>
        <w:tc>
          <w:tcPr>
            <w:tcW w:w="2900" w:type="dxa"/>
            <w:vAlign w:val="bottom"/>
            <w:vMerge w:val="restart"/>
          </w:tcPr>
          <w:p>
            <w:pPr>
              <w:spacing w:after="0"/>
              <w:rPr>
                <w:sz w:val="20"/>
                <w:szCs w:val="20"/>
                <w:color w:val="auto"/>
              </w:rPr>
            </w:pPr>
            <w:r>
              <w:rPr>
                <w:rFonts w:ascii="Arial" w:cs="Arial" w:eastAsia="Arial" w:hAnsi="Arial"/>
                <w:sz w:val="16"/>
                <w:szCs w:val="16"/>
                <w:color w:val="auto"/>
              </w:rPr>
              <w:t>Chief Financial</w:t>
            </w:r>
          </w:p>
        </w:tc>
        <w:tc>
          <w:tcPr>
            <w:tcW w:w="60" w:type="dxa"/>
            <w:vAlign w:val="bottom"/>
          </w:tcPr>
          <w:p>
            <w:pPr>
              <w:spacing w:after="0"/>
              <w:rPr>
                <w:sz w:val="5"/>
                <w:szCs w:val="5"/>
                <w:color w:val="auto"/>
              </w:rPr>
            </w:pPr>
          </w:p>
        </w:tc>
        <w:tc>
          <w:tcPr>
            <w:tcW w:w="36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355989"/>
            </w:tcBorders>
            <w:vMerge w:val="continue"/>
            <w:shd w:val="clear" w:color="auto" w:fill="C0C4D7"/>
          </w:tcPr>
          <w:p>
            <w:pPr>
              <w:spacing w:after="0"/>
              <w:rPr>
                <w:sz w:val="5"/>
                <w:szCs w:val="5"/>
                <w:color w:val="auto"/>
              </w:rPr>
            </w:pPr>
          </w:p>
        </w:tc>
        <w:tc>
          <w:tcPr>
            <w:tcW w:w="820" w:type="dxa"/>
            <w:vAlign w:val="bottom"/>
            <w:tcBorders>
              <w:bottom w:val="single" w:sz="8" w:color="355989"/>
            </w:tcBorders>
            <w:vMerge w:val="continue"/>
            <w:shd w:val="clear" w:color="auto" w:fill="C0C4D7"/>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355989"/>
            </w:tcBorders>
            <w:vMerge w:val="continue"/>
            <w:shd w:val="clear" w:color="auto" w:fill="C0C4D7"/>
          </w:tcPr>
          <w:p>
            <w:pPr>
              <w:spacing w:after="0"/>
              <w:rPr>
                <w:sz w:val="5"/>
                <w:szCs w:val="5"/>
                <w:color w:val="auto"/>
              </w:rPr>
            </w:pPr>
          </w:p>
        </w:tc>
        <w:tc>
          <w:tcPr>
            <w:tcW w:w="820" w:type="dxa"/>
            <w:vAlign w:val="bottom"/>
            <w:tcBorders>
              <w:bottom w:val="single" w:sz="8" w:color="355989"/>
            </w:tcBorders>
            <w:vMerge w:val="continue"/>
            <w:shd w:val="clear" w:color="auto" w:fill="C0C4D7"/>
          </w:tcPr>
          <w:p>
            <w:pPr>
              <w:spacing w:after="0"/>
              <w:rPr>
                <w:sz w:val="5"/>
                <w:szCs w:val="5"/>
                <w:color w:val="auto"/>
              </w:rPr>
            </w:pPr>
          </w:p>
        </w:tc>
        <w:tc>
          <w:tcPr>
            <w:tcW w:w="180" w:type="dxa"/>
            <w:vAlign w:val="bottom"/>
            <w:tcBorders>
              <w:bottom w:val="single" w:sz="8" w:color="355989"/>
            </w:tcBorders>
            <w:shd w:val="clear" w:color="auto" w:fill="C0C4D7"/>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355989"/>
            </w:tcBorders>
            <w:vMerge w:val="continue"/>
            <w:shd w:val="clear" w:color="auto" w:fill="C0C4D7"/>
          </w:tcPr>
          <w:p>
            <w:pPr>
              <w:spacing w:after="0"/>
              <w:rPr>
                <w:sz w:val="5"/>
                <w:szCs w:val="5"/>
                <w:color w:val="auto"/>
              </w:rPr>
            </w:pPr>
          </w:p>
        </w:tc>
        <w:tc>
          <w:tcPr>
            <w:tcW w:w="90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355989"/>
            </w:tcBorders>
            <w:shd w:val="clear" w:color="auto" w:fill="C0C4D7"/>
          </w:tcPr>
          <w:p>
            <w:pPr>
              <w:spacing w:after="0"/>
              <w:rPr>
                <w:sz w:val="5"/>
                <w:szCs w:val="5"/>
                <w:color w:val="auto"/>
              </w:rPr>
            </w:pPr>
          </w:p>
        </w:tc>
        <w:tc>
          <w:tcPr>
            <w:tcW w:w="106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gridSpan w:val="2"/>
          </w:tcPr>
          <w:p>
            <w:pPr>
              <w:spacing w:after="0"/>
              <w:rPr>
                <w:sz w:val="5"/>
                <w:szCs w:val="5"/>
                <w:color w:val="auto"/>
              </w:rPr>
            </w:pPr>
          </w:p>
        </w:tc>
        <w:tc>
          <w:tcPr>
            <w:tcW w:w="300" w:type="dxa"/>
            <w:vAlign w:val="bottom"/>
            <w:tcBorders>
              <w:bottom w:val="single" w:sz="8" w:color="355989"/>
            </w:tcBorders>
            <w:vMerge w:val="continue"/>
            <w:shd w:val="clear" w:color="auto" w:fill="C0C4D7"/>
          </w:tcPr>
          <w:p>
            <w:pPr>
              <w:spacing w:after="0"/>
              <w:rPr>
                <w:sz w:val="5"/>
                <w:szCs w:val="5"/>
                <w:color w:val="auto"/>
              </w:rPr>
            </w:pPr>
          </w:p>
        </w:tc>
        <w:tc>
          <w:tcPr>
            <w:tcW w:w="82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355989"/>
            </w:tcBorders>
            <w:vMerge w:val="continue"/>
            <w:shd w:val="clear" w:color="auto" w:fill="C0C4D7"/>
          </w:tcPr>
          <w:p>
            <w:pPr>
              <w:spacing w:after="0"/>
              <w:rPr>
                <w:sz w:val="5"/>
                <w:szCs w:val="5"/>
                <w:color w:val="auto"/>
              </w:rPr>
            </w:pPr>
          </w:p>
        </w:tc>
        <w:tc>
          <w:tcPr>
            <w:tcW w:w="920" w:type="dxa"/>
            <w:vAlign w:val="bottom"/>
            <w:tcBorders>
              <w:bottom w:val="single" w:sz="8" w:color="355989"/>
            </w:tcBorders>
            <w:vMerge w:val="continue"/>
            <w:shd w:val="clear" w:color="auto" w:fill="C0C4D7"/>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60" w:type="dxa"/>
            <w:vAlign w:val="bottom"/>
            <w:vMerge w:val="restart"/>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2019</w:t>
            </w:r>
          </w:p>
        </w:tc>
        <w:tc>
          <w:tcPr>
            <w:tcW w:w="26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550,000</w:t>
            </w:r>
          </w:p>
        </w:tc>
        <w:tc>
          <w:tcPr>
            <w:tcW w:w="22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1,650,000</w:t>
            </w:r>
          </w:p>
        </w:tc>
        <w:tc>
          <w:tcPr>
            <w:tcW w:w="24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1,011,997</w:t>
            </w:r>
          </w:p>
        </w:tc>
        <w:tc>
          <w:tcPr>
            <w:tcW w:w="900" w:type="dxa"/>
            <w:vAlign w:val="bottom"/>
            <w:gridSpan w:val="3"/>
            <w:vMerge w:val="restart"/>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4"/>
            <w:vMerge w:val="restart"/>
          </w:tcPr>
          <w:p>
            <w:pPr>
              <w:jc w:val="right"/>
              <w:ind w:right="144"/>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11,200</w:t>
            </w:r>
          </w:p>
        </w:tc>
        <w:tc>
          <w:tcPr>
            <w:tcW w:w="80" w:type="dxa"/>
            <w:vAlign w:val="bottom"/>
          </w:tcPr>
          <w:p>
            <w:pPr>
              <w:spacing w:after="0"/>
              <w:rPr>
                <w:sz w:val="13"/>
                <w:szCs w:val="13"/>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3,223,197</w:t>
            </w:r>
          </w:p>
        </w:tc>
        <w:tc>
          <w:tcPr>
            <w:tcW w:w="0" w:type="dxa"/>
            <w:vAlign w:val="bottom"/>
          </w:tcPr>
          <w:p>
            <w:pPr>
              <w:spacing w:after="0"/>
              <w:rPr>
                <w:sz w:val="1"/>
                <w:szCs w:val="1"/>
                <w:color w:val="auto"/>
              </w:rPr>
            </w:pPr>
          </w:p>
        </w:tc>
      </w:tr>
      <w:tr>
        <w:trPr>
          <w:trHeight w:val="77"/>
        </w:trPr>
        <w:tc>
          <w:tcPr>
            <w:tcW w:w="2900" w:type="dxa"/>
            <w:vAlign w:val="bottom"/>
            <w:vMerge w:val="restart"/>
          </w:tcPr>
          <w:p>
            <w:pPr>
              <w:spacing w:after="0"/>
              <w:rPr>
                <w:sz w:val="20"/>
                <w:szCs w:val="20"/>
                <w:color w:val="auto"/>
              </w:rPr>
            </w:pPr>
            <w:r>
              <w:rPr>
                <w:rFonts w:ascii="Arial" w:cs="Arial" w:eastAsia="Arial" w:hAnsi="Arial"/>
                <w:sz w:val="16"/>
                <w:szCs w:val="16"/>
                <w:color w:val="auto"/>
              </w:rPr>
              <w:t>Officer</w:t>
            </w:r>
          </w:p>
        </w:tc>
        <w:tc>
          <w:tcPr>
            <w:tcW w:w="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9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90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60" w:type="dxa"/>
            <w:vAlign w:val="bottom"/>
            <w:shd w:val="clear" w:color="auto" w:fill="3559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92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900" w:type="dxa"/>
            <w:vAlign w:val="bottom"/>
            <w:vMerge w:val="continue"/>
          </w:tcPr>
          <w:p>
            <w:pPr>
              <w:spacing w:after="0"/>
              <w:rPr>
                <w:sz w:val="12"/>
                <w:szCs w:val="12"/>
                <w:color w:val="auto"/>
              </w:rPr>
            </w:pPr>
          </w:p>
        </w:tc>
        <w:tc>
          <w:tcPr>
            <w:tcW w:w="6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2018</w:t>
            </w:r>
          </w:p>
        </w:tc>
        <w:tc>
          <w:tcPr>
            <w:tcW w:w="26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550,000</w:t>
            </w:r>
          </w:p>
        </w:tc>
        <w:tc>
          <w:tcPr>
            <w:tcW w:w="22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1,600,000</w:t>
            </w:r>
          </w:p>
        </w:tc>
        <w:tc>
          <w:tcPr>
            <w:tcW w:w="24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3,079,244</w:t>
            </w:r>
          </w:p>
        </w:tc>
        <w:tc>
          <w:tcPr>
            <w:tcW w:w="900" w:type="dxa"/>
            <w:vAlign w:val="bottom"/>
            <w:gridSpan w:val="3"/>
            <w:vMerge w:val="restart"/>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4"/>
            <w:vMerge w:val="restart"/>
          </w:tcPr>
          <w:p>
            <w:pPr>
              <w:jc w:val="right"/>
              <w:ind w:right="144"/>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11,000</w:t>
            </w:r>
          </w:p>
        </w:tc>
        <w:tc>
          <w:tcPr>
            <w:tcW w:w="80" w:type="dxa"/>
            <w:vAlign w:val="bottom"/>
          </w:tcPr>
          <w:p>
            <w:pPr>
              <w:spacing w:after="0"/>
              <w:rPr>
                <w:sz w:val="12"/>
                <w:szCs w:val="12"/>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5,240,244</w:t>
            </w:r>
          </w:p>
        </w:tc>
        <w:tc>
          <w:tcPr>
            <w:tcW w:w="0" w:type="dxa"/>
            <w:vAlign w:val="bottom"/>
          </w:tcPr>
          <w:p>
            <w:pPr>
              <w:spacing w:after="0"/>
              <w:rPr>
                <w:sz w:val="1"/>
                <w:szCs w:val="1"/>
                <w:color w:val="auto"/>
              </w:rPr>
            </w:pPr>
          </w:p>
        </w:tc>
      </w:tr>
      <w:tr>
        <w:trPr>
          <w:trHeight w:val="94"/>
        </w:trPr>
        <w:tc>
          <w:tcPr>
            <w:tcW w:w="29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900" w:type="dxa"/>
            <w:vAlign w:val="bottom"/>
            <w:tcBorders>
              <w:top w:val="single" w:sz="8" w:color="355989"/>
            </w:tcBorders>
          </w:tcPr>
          <w:p>
            <w:pPr>
              <w:spacing w:after="0"/>
              <w:rPr>
                <w:sz w:val="20"/>
                <w:szCs w:val="20"/>
                <w:color w:val="auto"/>
              </w:rPr>
            </w:pPr>
            <w:r>
              <w:rPr>
                <w:rFonts w:ascii="Arial" w:cs="Arial" w:eastAsia="Arial" w:hAnsi="Arial"/>
                <w:sz w:val="16"/>
                <w:szCs w:val="16"/>
                <w:color w:val="auto"/>
              </w:rPr>
              <w:t>Andrew S. Levine</w:t>
            </w:r>
          </w:p>
        </w:tc>
        <w:tc>
          <w:tcPr>
            <w:tcW w:w="60" w:type="dxa"/>
            <w:vAlign w:val="bottom"/>
          </w:tcPr>
          <w:p>
            <w:pPr>
              <w:spacing w:after="0"/>
              <w:rPr>
                <w:sz w:val="19"/>
                <w:szCs w:val="19"/>
                <w:color w:val="auto"/>
              </w:rPr>
            </w:pPr>
          </w:p>
        </w:tc>
        <w:tc>
          <w:tcPr>
            <w:tcW w:w="36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w w:val="95"/>
                <w:shd w:val="clear" w:color="auto" w:fill="C0C4D7"/>
              </w:rPr>
              <w:t>2020</w:t>
            </w:r>
          </w:p>
        </w:tc>
        <w:tc>
          <w:tcPr>
            <w:tcW w:w="80" w:type="dxa"/>
            <w:vAlign w:val="bottom"/>
          </w:tcPr>
          <w:p>
            <w:pPr>
              <w:spacing w:after="0"/>
              <w:rPr>
                <w:sz w:val="19"/>
                <w:szCs w:val="19"/>
                <w:color w:val="auto"/>
              </w:rPr>
            </w:pPr>
          </w:p>
        </w:tc>
        <w:tc>
          <w:tcPr>
            <w:tcW w:w="180" w:type="dxa"/>
            <w:vAlign w:val="bottom"/>
            <w:tcBorders>
              <w:top w:val="single" w:sz="8" w:color="355989"/>
            </w:tcBorders>
            <w:vMerge w:val="restart"/>
            <w:shd w:val="clear" w:color="auto" w:fill="C0C4D7"/>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580,000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355989"/>
            </w:tcBorders>
            <w:vMerge w:val="restart"/>
            <w:shd w:val="clear" w:color="auto" w:fill="C0C4D7"/>
          </w:tcPr>
          <w:p>
            <w:pPr>
              <w:jc w:val="right"/>
              <w:ind w:right="24"/>
              <w:spacing w:after="0"/>
              <w:rPr>
                <w:sz w:val="20"/>
                <w:szCs w:val="20"/>
                <w:color w:val="auto"/>
              </w:rPr>
            </w:pPr>
            <w:r>
              <w:rPr>
                <w:rFonts w:ascii="Arial" w:cs="Arial" w:eastAsia="Arial" w:hAnsi="Arial"/>
                <w:sz w:val="15"/>
                <w:szCs w:val="15"/>
                <w:color w:val="auto"/>
                <w:w w:val="71"/>
                <w:shd w:val="clear" w:color="auto" w:fill="C0C4D7"/>
              </w:rPr>
              <w:t>$</w:t>
            </w:r>
          </w:p>
        </w:tc>
        <w:tc>
          <w:tcPr>
            <w:tcW w:w="8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1,000,000</w:t>
            </w:r>
          </w:p>
        </w:tc>
        <w:tc>
          <w:tcPr>
            <w:tcW w:w="180" w:type="dxa"/>
            <w:vAlign w:val="bottom"/>
            <w:tcBorders>
              <w:top w:val="single" w:sz="8" w:color="355989"/>
            </w:tcBorders>
            <w:shd w:val="clear" w:color="auto" w:fill="C0C4D7"/>
          </w:tcPr>
          <w:p>
            <w:pPr>
              <w:jc w:val="right"/>
              <w:spacing w:after="0"/>
              <w:rPr>
                <w:sz w:val="20"/>
                <w:szCs w:val="20"/>
                <w:color w:val="auto"/>
              </w:rPr>
            </w:pPr>
            <w:r>
              <w:rPr>
                <w:rFonts w:ascii="Arial" w:cs="Arial" w:eastAsia="Arial" w:hAnsi="Arial"/>
                <w:sz w:val="13"/>
                <w:szCs w:val="13"/>
                <w:color w:val="auto"/>
                <w:shd w:val="clear" w:color="auto" w:fill="C0C4D7"/>
              </w:rPr>
              <w:t>(3)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355989"/>
            </w:tcBorders>
            <w:vMerge w:val="restart"/>
            <w:shd w:val="clear" w:color="auto" w:fill="C0C4D7"/>
          </w:tcPr>
          <w:p>
            <w:pPr>
              <w:jc w:val="right"/>
              <w:ind w:right="44"/>
              <w:spacing w:after="0"/>
              <w:rPr>
                <w:sz w:val="20"/>
                <w:szCs w:val="20"/>
                <w:color w:val="auto"/>
              </w:rPr>
            </w:pPr>
            <w:r>
              <w:rPr>
                <w:rFonts w:ascii="Arial" w:cs="Arial" w:eastAsia="Arial" w:hAnsi="Arial"/>
                <w:sz w:val="15"/>
                <w:szCs w:val="15"/>
                <w:color w:val="auto"/>
                <w:w w:val="71"/>
                <w:shd w:val="clear" w:color="auto" w:fill="C0C4D7"/>
              </w:rPr>
              <w:t>$</w:t>
            </w:r>
          </w:p>
        </w:tc>
        <w:tc>
          <w:tcPr>
            <w:tcW w:w="90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2,701,565</w:t>
            </w:r>
          </w:p>
        </w:tc>
        <w:tc>
          <w:tcPr>
            <w:tcW w:w="80" w:type="dxa"/>
            <w:vAlign w:val="bottom"/>
          </w:tcPr>
          <w:p>
            <w:pPr>
              <w:spacing w:after="0"/>
              <w:rPr>
                <w:sz w:val="19"/>
                <w:szCs w:val="19"/>
                <w:color w:val="auto"/>
              </w:rPr>
            </w:pPr>
          </w:p>
        </w:tc>
        <w:tc>
          <w:tcPr>
            <w:tcW w:w="660" w:type="dxa"/>
            <w:vAlign w:val="bottom"/>
            <w:tcBorders>
              <w:top w:val="single" w:sz="8" w:color="355989"/>
            </w:tcBorders>
            <w:vMerge w:val="restart"/>
            <w:shd w:val="clear" w:color="auto" w:fill="C0C4D7"/>
          </w:tcPr>
          <w:p>
            <w:pPr>
              <w:ind w:left="5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9"/>
                <w:szCs w:val="19"/>
                <w:color w:val="auto"/>
              </w:rPr>
            </w:pPr>
          </w:p>
        </w:tc>
        <w:tc>
          <w:tcPr>
            <w:tcW w:w="160" w:type="dxa"/>
            <w:vAlign w:val="bottom"/>
            <w:tcBorders>
              <w:top w:val="single" w:sz="8" w:color="355989"/>
            </w:tcBorders>
            <w:shd w:val="clear" w:color="auto" w:fill="C0C4D7"/>
          </w:tcPr>
          <w:p>
            <w:pPr>
              <w:spacing w:after="0"/>
              <w:rPr>
                <w:sz w:val="19"/>
                <w:szCs w:val="19"/>
                <w:color w:val="auto"/>
              </w:rPr>
            </w:pPr>
          </w:p>
        </w:tc>
        <w:tc>
          <w:tcPr>
            <w:tcW w:w="106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355989"/>
            </w:tcBorders>
            <w:vMerge w:val="restart"/>
            <w:shd w:val="clear" w:color="auto" w:fill="C0C4D7"/>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11,400</w:t>
            </w:r>
          </w:p>
        </w:tc>
        <w:tc>
          <w:tcPr>
            <w:tcW w:w="80" w:type="dxa"/>
            <w:vAlign w:val="bottom"/>
          </w:tcPr>
          <w:p>
            <w:pPr>
              <w:spacing w:after="0"/>
              <w:rPr>
                <w:sz w:val="19"/>
                <w:szCs w:val="19"/>
                <w:color w:val="auto"/>
              </w:rPr>
            </w:pPr>
          </w:p>
        </w:tc>
        <w:tc>
          <w:tcPr>
            <w:tcW w:w="180" w:type="dxa"/>
            <w:vAlign w:val="bottom"/>
            <w:tcBorders>
              <w:top w:val="single" w:sz="8" w:color="355989"/>
            </w:tcBorders>
            <w:vMerge w:val="restart"/>
            <w:shd w:val="clear" w:color="auto" w:fill="C0C4D7"/>
          </w:tcPr>
          <w:p>
            <w:pPr>
              <w:jc w:val="right"/>
              <w:ind w:right="24"/>
              <w:spacing w:after="0"/>
              <w:rPr>
                <w:sz w:val="20"/>
                <w:szCs w:val="20"/>
                <w:color w:val="auto"/>
              </w:rPr>
            </w:pPr>
            <w:r>
              <w:rPr>
                <w:rFonts w:ascii="Arial" w:cs="Arial" w:eastAsia="Arial" w:hAnsi="Arial"/>
                <w:sz w:val="15"/>
                <w:szCs w:val="15"/>
                <w:color w:val="auto"/>
                <w:w w:val="71"/>
                <w:shd w:val="clear" w:color="auto" w:fill="C0C4D7"/>
              </w:rPr>
              <w:t>$</w:t>
            </w:r>
          </w:p>
        </w:tc>
        <w:tc>
          <w:tcPr>
            <w:tcW w:w="920" w:type="dxa"/>
            <w:vAlign w:val="bottom"/>
            <w:tcBorders>
              <w:top w:val="single" w:sz="8" w:color="355989"/>
            </w:tcBorders>
            <w:vMerge w:val="restart"/>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4,292,965</w:t>
            </w:r>
          </w:p>
        </w:tc>
        <w:tc>
          <w:tcPr>
            <w:tcW w:w="0" w:type="dxa"/>
            <w:vAlign w:val="bottom"/>
          </w:tcPr>
          <w:p>
            <w:pPr>
              <w:spacing w:after="0"/>
              <w:rPr>
                <w:sz w:val="1"/>
                <w:szCs w:val="1"/>
                <w:color w:val="auto"/>
              </w:rPr>
            </w:pPr>
          </w:p>
        </w:tc>
      </w:tr>
      <w:tr>
        <w:trPr>
          <w:trHeight w:val="67"/>
        </w:trPr>
        <w:tc>
          <w:tcPr>
            <w:tcW w:w="2900" w:type="dxa"/>
            <w:vAlign w:val="bottom"/>
            <w:vMerge w:val="restart"/>
          </w:tcPr>
          <w:p>
            <w:pPr>
              <w:spacing w:after="0"/>
              <w:rPr>
                <w:sz w:val="20"/>
                <w:szCs w:val="20"/>
                <w:color w:val="auto"/>
              </w:rPr>
            </w:pPr>
            <w:r>
              <w:rPr>
                <w:rFonts w:ascii="Arial" w:cs="Arial" w:eastAsia="Arial" w:hAnsi="Arial"/>
                <w:sz w:val="16"/>
                <w:szCs w:val="16"/>
                <w:color w:val="auto"/>
              </w:rPr>
              <w:t>Chief Legal Officer</w:t>
            </w:r>
          </w:p>
        </w:tc>
        <w:tc>
          <w:tcPr>
            <w:tcW w:w="60" w:type="dxa"/>
            <w:vAlign w:val="bottom"/>
          </w:tcPr>
          <w:p>
            <w:pPr>
              <w:spacing w:after="0"/>
              <w:rPr>
                <w:sz w:val="5"/>
                <w:szCs w:val="5"/>
                <w:color w:val="auto"/>
              </w:rPr>
            </w:pPr>
          </w:p>
        </w:tc>
        <w:tc>
          <w:tcPr>
            <w:tcW w:w="36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355989"/>
            </w:tcBorders>
            <w:vMerge w:val="continue"/>
            <w:shd w:val="clear" w:color="auto" w:fill="C0C4D7"/>
          </w:tcPr>
          <w:p>
            <w:pPr>
              <w:spacing w:after="0"/>
              <w:rPr>
                <w:sz w:val="5"/>
                <w:szCs w:val="5"/>
                <w:color w:val="auto"/>
              </w:rPr>
            </w:pPr>
          </w:p>
        </w:tc>
        <w:tc>
          <w:tcPr>
            <w:tcW w:w="820" w:type="dxa"/>
            <w:vAlign w:val="bottom"/>
            <w:tcBorders>
              <w:bottom w:val="single" w:sz="8" w:color="355989"/>
            </w:tcBorders>
            <w:vMerge w:val="continue"/>
            <w:shd w:val="clear" w:color="auto" w:fill="C0C4D7"/>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bottom w:val="single" w:sz="8" w:color="355989"/>
            </w:tcBorders>
            <w:vMerge w:val="continue"/>
            <w:shd w:val="clear" w:color="auto" w:fill="C0C4D7"/>
          </w:tcPr>
          <w:p>
            <w:pPr>
              <w:spacing w:after="0"/>
              <w:rPr>
                <w:sz w:val="5"/>
                <w:szCs w:val="5"/>
                <w:color w:val="auto"/>
              </w:rPr>
            </w:pPr>
          </w:p>
        </w:tc>
        <w:tc>
          <w:tcPr>
            <w:tcW w:w="820" w:type="dxa"/>
            <w:vAlign w:val="bottom"/>
            <w:tcBorders>
              <w:bottom w:val="single" w:sz="8" w:color="355989"/>
            </w:tcBorders>
            <w:vMerge w:val="continue"/>
            <w:shd w:val="clear" w:color="auto" w:fill="C0C4D7"/>
          </w:tcPr>
          <w:p>
            <w:pPr>
              <w:spacing w:after="0"/>
              <w:rPr>
                <w:sz w:val="5"/>
                <w:szCs w:val="5"/>
                <w:color w:val="auto"/>
              </w:rPr>
            </w:pPr>
          </w:p>
        </w:tc>
        <w:tc>
          <w:tcPr>
            <w:tcW w:w="180" w:type="dxa"/>
            <w:vAlign w:val="bottom"/>
            <w:tcBorders>
              <w:bottom w:val="single" w:sz="8" w:color="355989"/>
            </w:tcBorders>
            <w:shd w:val="clear" w:color="auto" w:fill="C0C4D7"/>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355989"/>
            </w:tcBorders>
            <w:vMerge w:val="continue"/>
            <w:shd w:val="clear" w:color="auto" w:fill="C0C4D7"/>
          </w:tcPr>
          <w:p>
            <w:pPr>
              <w:spacing w:after="0"/>
              <w:rPr>
                <w:sz w:val="5"/>
                <w:szCs w:val="5"/>
                <w:color w:val="auto"/>
              </w:rPr>
            </w:pPr>
          </w:p>
        </w:tc>
        <w:tc>
          <w:tcPr>
            <w:tcW w:w="90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355989"/>
            </w:tcBorders>
            <w:shd w:val="clear" w:color="auto" w:fill="C0C4D7"/>
          </w:tcPr>
          <w:p>
            <w:pPr>
              <w:spacing w:after="0"/>
              <w:rPr>
                <w:sz w:val="5"/>
                <w:szCs w:val="5"/>
                <w:color w:val="auto"/>
              </w:rPr>
            </w:pPr>
          </w:p>
        </w:tc>
        <w:tc>
          <w:tcPr>
            <w:tcW w:w="106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gridSpan w:val="2"/>
          </w:tcPr>
          <w:p>
            <w:pPr>
              <w:spacing w:after="0"/>
              <w:rPr>
                <w:sz w:val="5"/>
                <w:szCs w:val="5"/>
                <w:color w:val="auto"/>
              </w:rPr>
            </w:pPr>
          </w:p>
        </w:tc>
        <w:tc>
          <w:tcPr>
            <w:tcW w:w="300" w:type="dxa"/>
            <w:vAlign w:val="bottom"/>
            <w:tcBorders>
              <w:bottom w:val="single" w:sz="8" w:color="355989"/>
            </w:tcBorders>
            <w:vMerge w:val="continue"/>
            <w:shd w:val="clear" w:color="auto" w:fill="C0C4D7"/>
          </w:tcPr>
          <w:p>
            <w:pPr>
              <w:spacing w:after="0"/>
              <w:rPr>
                <w:sz w:val="5"/>
                <w:szCs w:val="5"/>
                <w:color w:val="auto"/>
              </w:rPr>
            </w:pPr>
          </w:p>
        </w:tc>
        <w:tc>
          <w:tcPr>
            <w:tcW w:w="820" w:type="dxa"/>
            <w:vAlign w:val="bottom"/>
            <w:tcBorders>
              <w:bottom w:val="single" w:sz="8" w:color="355989"/>
            </w:tcBorders>
            <w:vMerge w:val="continue"/>
            <w:shd w:val="clear" w:color="auto" w:fill="C0C4D7"/>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355989"/>
            </w:tcBorders>
            <w:vMerge w:val="continue"/>
            <w:shd w:val="clear" w:color="auto" w:fill="C0C4D7"/>
          </w:tcPr>
          <w:p>
            <w:pPr>
              <w:spacing w:after="0"/>
              <w:rPr>
                <w:sz w:val="5"/>
                <w:szCs w:val="5"/>
                <w:color w:val="auto"/>
              </w:rPr>
            </w:pPr>
          </w:p>
        </w:tc>
        <w:tc>
          <w:tcPr>
            <w:tcW w:w="920" w:type="dxa"/>
            <w:vAlign w:val="bottom"/>
            <w:tcBorders>
              <w:bottom w:val="single" w:sz="8" w:color="355989"/>
            </w:tcBorders>
            <w:vMerge w:val="continue"/>
            <w:shd w:val="clear" w:color="auto" w:fill="C0C4D7"/>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60" w:type="dxa"/>
            <w:vAlign w:val="bottom"/>
            <w:vMerge w:val="restart"/>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2019</w:t>
            </w:r>
          </w:p>
        </w:tc>
        <w:tc>
          <w:tcPr>
            <w:tcW w:w="26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580,000</w:t>
            </w:r>
          </w:p>
        </w:tc>
        <w:tc>
          <w:tcPr>
            <w:tcW w:w="22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1,000,000</w:t>
            </w:r>
          </w:p>
        </w:tc>
        <w:tc>
          <w:tcPr>
            <w:tcW w:w="24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3,104,650</w:t>
            </w:r>
          </w:p>
        </w:tc>
        <w:tc>
          <w:tcPr>
            <w:tcW w:w="900" w:type="dxa"/>
            <w:vAlign w:val="bottom"/>
            <w:gridSpan w:val="3"/>
            <w:vMerge w:val="restart"/>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4"/>
            <w:vMerge w:val="restart"/>
          </w:tcPr>
          <w:p>
            <w:pPr>
              <w:jc w:val="right"/>
              <w:ind w:right="144"/>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11,200</w:t>
            </w:r>
          </w:p>
        </w:tc>
        <w:tc>
          <w:tcPr>
            <w:tcW w:w="80" w:type="dxa"/>
            <w:vAlign w:val="bottom"/>
          </w:tcPr>
          <w:p>
            <w:pPr>
              <w:spacing w:after="0"/>
              <w:rPr>
                <w:sz w:val="13"/>
                <w:szCs w:val="13"/>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4,695,850</w:t>
            </w:r>
          </w:p>
        </w:tc>
        <w:tc>
          <w:tcPr>
            <w:tcW w:w="0" w:type="dxa"/>
            <w:vAlign w:val="bottom"/>
          </w:tcPr>
          <w:p>
            <w:pPr>
              <w:spacing w:after="0"/>
              <w:rPr>
                <w:sz w:val="1"/>
                <w:szCs w:val="1"/>
                <w:color w:val="auto"/>
              </w:rPr>
            </w:pPr>
          </w:p>
        </w:tc>
      </w:tr>
      <w:tr>
        <w:trPr>
          <w:trHeight w:val="77"/>
        </w:trPr>
        <w:tc>
          <w:tcPr>
            <w:tcW w:w="2900" w:type="dxa"/>
            <w:vAlign w:val="bottom"/>
            <w:vMerge w:val="restart"/>
          </w:tcPr>
          <w:p>
            <w:pPr>
              <w:spacing w:after="0"/>
              <w:rPr>
                <w:sz w:val="20"/>
                <w:szCs w:val="20"/>
                <w:color w:val="auto"/>
              </w:rPr>
            </w:pPr>
            <w:r>
              <w:rPr>
                <w:rFonts w:ascii="Arial" w:cs="Arial" w:eastAsia="Arial" w:hAnsi="Arial"/>
                <w:sz w:val="16"/>
                <w:szCs w:val="16"/>
                <w:color w:val="auto"/>
              </w:rPr>
              <w:t>and General Counsel</w:t>
            </w:r>
          </w:p>
        </w:tc>
        <w:tc>
          <w:tcPr>
            <w:tcW w:w="6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9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355989"/>
          </w:tcPr>
          <w:p>
            <w:pPr>
              <w:spacing w:after="0"/>
              <w:rPr>
                <w:sz w:val="2"/>
                <w:szCs w:val="2"/>
                <w:color w:val="auto"/>
              </w:rPr>
            </w:pPr>
          </w:p>
        </w:tc>
        <w:tc>
          <w:tcPr>
            <w:tcW w:w="90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55989"/>
          </w:tcPr>
          <w:p>
            <w:pPr>
              <w:spacing w:after="0"/>
              <w:rPr>
                <w:sz w:val="2"/>
                <w:szCs w:val="2"/>
                <w:color w:val="auto"/>
              </w:rPr>
            </w:pPr>
          </w:p>
        </w:tc>
        <w:tc>
          <w:tcPr>
            <w:tcW w:w="1060" w:type="dxa"/>
            <w:vAlign w:val="bottom"/>
            <w:shd w:val="clear" w:color="auto" w:fill="3559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355989"/>
          </w:tcPr>
          <w:p>
            <w:pPr>
              <w:spacing w:after="0"/>
              <w:rPr>
                <w:sz w:val="2"/>
                <w:szCs w:val="2"/>
                <w:color w:val="auto"/>
              </w:rPr>
            </w:pPr>
          </w:p>
        </w:tc>
        <w:tc>
          <w:tcPr>
            <w:tcW w:w="820" w:type="dxa"/>
            <w:vAlign w:val="bottom"/>
            <w:shd w:val="clear" w:color="auto" w:fill="3559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55989"/>
          </w:tcPr>
          <w:p>
            <w:pPr>
              <w:spacing w:after="0"/>
              <w:rPr>
                <w:sz w:val="2"/>
                <w:szCs w:val="2"/>
                <w:color w:val="auto"/>
              </w:rPr>
            </w:pPr>
          </w:p>
        </w:tc>
        <w:tc>
          <w:tcPr>
            <w:tcW w:w="920" w:type="dxa"/>
            <w:vAlign w:val="bottom"/>
            <w:shd w:val="clear" w:color="auto" w:fill="3559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900" w:type="dxa"/>
            <w:vAlign w:val="bottom"/>
            <w:vMerge w:val="continue"/>
          </w:tcPr>
          <w:p>
            <w:pPr>
              <w:spacing w:after="0"/>
              <w:rPr>
                <w:sz w:val="12"/>
                <w:szCs w:val="12"/>
                <w:color w:val="auto"/>
              </w:rPr>
            </w:pPr>
          </w:p>
        </w:tc>
        <w:tc>
          <w:tcPr>
            <w:tcW w:w="60" w:type="dxa"/>
            <w:vAlign w:val="bottom"/>
            <w:vMerge w:val="restart"/>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5"/>
              </w:rPr>
              <w:t>2018</w:t>
            </w:r>
          </w:p>
        </w:tc>
        <w:tc>
          <w:tcPr>
            <w:tcW w:w="26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550,000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gridSpan w:val="4"/>
            <w:vMerge w:val="restart"/>
          </w:tcPr>
          <w:p>
            <w:pPr>
              <w:jc w:val="right"/>
              <w:ind w:right="44"/>
              <w:spacing w:after="0"/>
              <w:rPr>
                <w:sz w:val="20"/>
                <w:szCs w:val="20"/>
                <w:color w:val="auto"/>
              </w:rPr>
            </w:pPr>
            <w:r>
              <w:rPr>
                <w:rFonts w:ascii="Arial" w:cs="Arial" w:eastAsia="Arial" w:hAnsi="Arial"/>
                <w:sz w:val="16"/>
                <w:szCs w:val="16"/>
                <w:color w:val="auto"/>
              </w:rPr>
              <w:t>— $</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1,051,877</w:t>
            </w:r>
          </w:p>
        </w:tc>
        <w:tc>
          <w:tcPr>
            <w:tcW w:w="900" w:type="dxa"/>
            <w:vAlign w:val="bottom"/>
            <w:gridSpan w:val="3"/>
            <w:vMerge w:val="restart"/>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4"/>
            <w:vMerge w:val="restart"/>
          </w:tcPr>
          <w:p>
            <w:pPr>
              <w:jc w:val="right"/>
              <w:ind w:right="144"/>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11,000</w:t>
            </w:r>
          </w:p>
        </w:tc>
        <w:tc>
          <w:tcPr>
            <w:tcW w:w="80" w:type="dxa"/>
            <w:vAlign w:val="bottom"/>
          </w:tcPr>
          <w:p>
            <w:pPr>
              <w:spacing w:after="0"/>
              <w:rPr>
                <w:sz w:val="12"/>
                <w:szCs w:val="12"/>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1,612,877</w:t>
            </w:r>
          </w:p>
        </w:tc>
        <w:tc>
          <w:tcPr>
            <w:tcW w:w="0" w:type="dxa"/>
            <w:vAlign w:val="bottom"/>
          </w:tcPr>
          <w:p>
            <w:pPr>
              <w:spacing w:after="0"/>
              <w:rPr>
                <w:sz w:val="1"/>
                <w:szCs w:val="1"/>
                <w:color w:val="auto"/>
              </w:rPr>
            </w:pPr>
          </w:p>
        </w:tc>
      </w:tr>
      <w:tr>
        <w:trPr>
          <w:trHeight w:val="91"/>
        </w:trPr>
        <w:tc>
          <w:tcPr>
            <w:tcW w:w="29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gridSpan w:val="4"/>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900" w:type="dxa"/>
            <w:vAlign w:val="bottom"/>
            <w:shd w:val="clear" w:color="auto" w:fill="355989"/>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shd w:val="clear" w:color="auto" w:fill="355989"/>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355989"/>
          </w:tcPr>
          <w:p>
            <w:pPr>
              <w:spacing w:after="0"/>
              <w:rPr>
                <w:sz w:val="3"/>
                <w:szCs w:val="3"/>
                <w:color w:val="auto"/>
              </w:rPr>
            </w:pPr>
          </w:p>
        </w:tc>
        <w:tc>
          <w:tcPr>
            <w:tcW w:w="820" w:type="dxa"/>
            <w:vAlign w:val="bottom"/>
            <w:shd w:val="clear" w:color="auto" w:fill="355989"/>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shd w:val="clear" w:color="auto" w:fill="355989"/>
          </w:tcPr>
          <w:p>
            <w:pPr>
              <w:spacing w:after="0"/>
              <w:rPr>
                <w:sz w:val="3"/>
                <w:szCs w:val="3"/>
                <w:color w:val="auto"/>
              </w:rPr>
            </w:pPr>
          </w:p>
        </w:tc>
        <w:tc>
          <w:tcPr>
            <w:tcW w:w="820" w:type="dxa"/>
            <w:vAlign w:val="bottom"/>
            <w:shd w:val="clear" w:color="auto" w:fill="355989"/>
          </w:tcPr>
          <w:p>
            <w:pPr>
              <w:spacing w:after="0"/>
              <w:rPr>
                <w:sz w:val="3"/>
                <w:szCs w:val="3"/>
                <w:color w:val="auto"/>
              </w:rPr>
            </w:pPr>
          </w:p>
        </w:tc>
        <w:tc>
          <w:tcPr>
            <w:tcW w:w="180" w:type="dxa"/>
            <w:vAlign w:val="bottom"/>
            <w:shd w:val="clear" w:color="auto" w:fill="355989"/>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shd w:val="clear" w:color="auto" w:fill="355989"/>
          </w:tcPr>
          <w:p>
            <w:pPr>
              <w:spacing w:after="0"/>
              <w:rPr>
                <w:sz w:val="3"/>
                <w:szCs w:val="3"/>
                <w:color w:val="auto"/>
              </w:rPr>
            </w:pPr>
          </w:p>
        </w:tc>
        <w:tc>
          <w:tcPr>
            <w:tcW w:w="900" w:type="dxa"/>
            <w:vAlign w:val="bottom"/>
            <w:shd w:val="clear" w:color="auto" w:fill="355989"/>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shd w:val="clear" w:color="auto" w:fill="355989"/>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355989"/>
          </w:tcPr>
          <w:p>
            <w:pPr>
              <w:spacing w:after="0"/>
              <w:rPr>
                <w:sz w:val="3"/>
                <w:szCs w:val="3"/>
                <w:color w:val="auto"/>
              </w:rPr>
            </w:pPr>
          </w:p>
        </w:tc>
        <w:tc>
          <w:tcPr>
            <w:tcW w:w="1060" w:type="dxa"/>
            <w:vAlign w:val="bottom"/>
            <w:shd w:val="clear" w:color="auto" w:fill="355989"/>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shd w:val="clear" w:color="auto" w:fill="355989"/>
          </w:tcPr>
          <w:p>
            <w:pPr>
              <w:spacing w:after="0"/>
              <w:rPr>
                <w:sz w:val="3"/>
                <w:szCs w:val="3"/>
                <w:color w:val="auto"/>
              </w:rPr>
            </w:pPr>
          </w:p>
        </w:tc>
        <w:tc>
          <w:tcPr>
            <w:tcW w:w="820" w:type="dxa"/>
            <w:vAlign w:val="bottom"/>
            <w:shd w:val="clear" w:color="auto" w:fill="355989"/>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shd w:val="clear" w:color="auto" w:fill="355989"/>
          </w:tcPr>
          <w:p>
            <w:pPr>
              <w:spacing w:after="0"/>
              <w:rPr>
                <w:sz w:val="3"/>
                <w:szCs w:val="3"/>
                <w:color w:val="auto"/>
              </w:rPr>
            </w:pPr>
          </w:p>
        </w:tc>
        <w:tc>
          <w:tcPr>
            <w:tcW w:w="920" w:type="dxa"/>
            <w:vAlign w:val="bottom"/>
            <w:shd w:val="clear" w:color="auto" w:fill="35598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20" w:right="60" w:hanging="312"/>
        <w:spacing w:after="0" w:line="242" w:lineRule="auto"/>
        <w:tabs>
          <w:tab w:leader="none" w:pos="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Amounts shown do not reflect compensation actually received by the named executive officer. Instead, the amounts shown are the full grant date fair value of stock awards and option awards issued to the executives in 2020, 2019 and 2018, respectively. In accordance with SEC disclosure requirements, the amounts for 2020 include the full grant date fair value of our 2020 annual performance-based equity awards, which were as follows: Mr. Holliday—$7,586,073; Mr. Mathias—$6,068,878; Mr. DiLiberto—$594,035; and Mr. Levine—$594,035,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during 2020 used an assumed stock price volatility level of 18.0% on our common stock and a risk-free interest rate of 1.62%.</w:t>
      </w:r>
    </w:p>
    <w:p>
      <w:pPr>
        <w:spacing w:after="0" w:line="54" w:lineRule="exact"/>
        <w:rPr>
          <w:rFonts w:ascii="Arial" w:cs="Arial" w:eastAsia="Arial" w:hAnsi="Arial"/>
          <w:sz w:val="13"/>
          <w:szCs w:val="13"/>
          <w:color w:val="auto"/>
        </w:rPr>
      </w:pPr>
    </w:p>
    <w:p>
      <w:pPr>
        <w:ind w:left="320" w:right="180"/>
        <w:spacing w:after="0" w:line="243" w:lineRule="auto"/>
        <w:rPr>
          <w:rFonts w:ascii="Arial" w:cs="Arial" w:eastAsia="Arial" w:hAnsi="Arial"/>
          <w:sz w:val="13"/>
          <w:szCs w:val="13"/>
          <w:color w:val="auto"/>
        </w:rPr>
      </w:pPr>
      <w:r>
        <w:rPr>
          <w:rFonts w:ascii="Arial" w:cs="Arial" w:eastAsia="Arial" w:hAnsi="Arial"/>
          <w:sz w:val="13"/>
          <w:szCs w:val="13"/>
          <w:color w:val="auto"/>
        </w:rPr>
        <w:t>The actual value of awards with respect to our 2020 annual performance-based equity awards is contingent upon the attainment of operational performance metrics over a one-year measurement period that ended December 31, 2020, subject to modification based on our absolute stockholder return over a three-year measurement period that will end on December 31, 2022, and relative stockholder return metrics over a three-year measurement period that will end on December 31, 2022. Assuming that maximum performance is achieved under our 2020 annual performance-based equity awards, the value at the grant date of the awards would each have been as follows: Mr. Holliday—$17,368,788; Mr. Mathias—$13,894,993; Mr. DiLiberto—$1,286,500; and Mr. Levine—$1,286,500, respectively.</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table and footnotes below show the components of this column for 2020, which include certain perquisites such as Company 401(k) matching contributions.</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9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All Other</w:t>
            </w:r>
          </w:p>
        </w:tc>
      </w:tr>
      <w:tr>
        <w:trPr>
          <w:trHeight w:val="199"/>
        </w:trPr>
        <w:tc>
          <w:tcPr>
            <w:tcW w:w="9620" w:type="dxa"/>
            <w:vAlign w:val="bottom"/>
            <w:tcBorders>
              <w:bottom w:val="single" w:sz="8" w:color="355989"/>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7"/>
                <w:szCs w:val="17"/>
                <w:color w:val="auto"/>
              </w:rPr>
            </w:pPr>
          </w:p>
        </w:tc>
        <w:tc>
          <w:tcPr>
            <w:tcW w:w="1180" w:type="dxa"/>
            <w:vAlign w:val="bottom"/>
            <w:tcBorders>
              <w:bottom w:val="single" w:sz="8" w:color="355989"/>
            </w:tcBorders>
            <w:gridSpan w:val="2"/>
          </w:tcPr>
          <w:p>
            <w:pPr>
              <w:jc w:val="right"/>
              <w:spacing w:after="0"/>
              <w:rPr>
                <w:sz w:val="20"/>
                <w:szCs w:val="20"/>
                <w:color w:val="auto"/>
              </w:rPr>
            </w:pPr>
            <w:r>
              <w:rPr>
                <w:rFonts w:ascii="Arial" w:cs="Arial" w:eastAsia="Arial" w:hAnsi="Arial"/>
                <w:sz w:val="13"/>
                <w:szCs w:val="13"/>
                <w:b w:val="1"/>
                <w:bCs w:val="1"/>
                <w:color w:val="355A89"/>
              </w:rPr>
              <w:t>Compensation ($)</w:t>
            </w:r>
          </w:p>
        </w:tc>
      </w:tr>
      <w:tr>
        <w:trPr>
          <w:trHeight w:val="297"/>
        </w:trPr>
        <w:tc>
          <w:tcPr>
            <w:tcW w:w="962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4"/>
                <w:szCs w:val="24"/>
                <w:color w:val="auto"/>
              </w:rPr>
            </w:pPr>
          </w:p>
        </w:tc>
        <w:tc>
          <w:tcPr>
            <w:tcW w:w="260" w:type="dxa"/>
            <w:vAlign w:val="bottom"/>
            <w:tcBorders>
              <w:bottom w:val="single" w:sz="8" w:color="355989"/>
            </w:tcBorders>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989"/>
            </w:tcBorders>
          </w:tcPr>
          <w:p>
            <w:pPr>
              <w:ind w:left="140"/>
              <w:spacing w:after="0" w:line="296" w:lineRule="exact"/>
              <w:rPr>
                <w:sz w:val="20"/>
                <w:szCs w:val="20"/>
                <w:color w:val="auto"/>
              </w:rPr>
            </w:pPr>
            <w:r>
              <w:rPr>
                <w:rFonts w:ascii="Arial" w:cs="Arial" w:eastAsia="Arial" w:hAnsi="Arial"/>
                <w:sz w:val="18"/>
                <w:szCs w:val="18"/>
                <w:color w:val="auto"/>
                <w:w w:val="96"/>
              </w:rPr>
              <w:t>51,415</w:t>
            </w:r>
            <w:r>
              <w:rPr>
                <w:rFonts w:ascii="Arial" w:cs="Arial" w:eastAsia="Arial" w:hAnsi="Arial"/>
                <w:sz w:val="29"/>
                <w:szCs w:val="29"/>
                <w:color w:val="auto"/>
                <w:w w:val="96"/>
                <w:vertAlign w:val="superscript"/>
              </w:rPr>
              <w:t>(a)</w:t>
            </w:r>
          </w:p>
        </w:tc>
      </w:tr>
      <w:tr>
        <w:trPr>
          <w:trHeight w:val="290"/>
        </w:trPr>
        <w:tc>
          <w:tcPr>
            <w:tcW w:w="962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4"/>
                <w:szCs w:val="24"/>
                <w:color w:val="auto"/>
              </w:rPr>
            </w:pPr>
          </w:p>
        </w:tc>
        <w:tc>
          <w:tcPr>
            <w:tcW w:w="260" w:type="dxa"/>
            <w:vAlign w:val="bottom"/>
            <w:tcBorders>
              <w:bottom w:val="single" w:sz="8" w:color="355989"/>
            </w:tcBorders>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989"/>
            </w:tcBorders>
          </w:tcPr>
          <w:p>
            <w:pPr>
              <w:ind w:left="140"/>
              <w:spacing w:after="0" w:line="291" w:lineRule="exact"/>
              <w:rPr>
                <w:sz w:val="20"/>
                <w:szCs w:val="20"/>
                <w:color w:val="auto"/>
              </w:rPr>
            </w:pPr>
            <w:r>
              <w:rPr>
                <w:rFonts w:ascii="Arial" w:cs="Arial" w:eastAsia="Arial" w:hAnsi="Arial"/>
                <w:sz w:val="18"/>
                <w:szCs w:val="18"/>
                <w:color w:val="auto"/>
                <w:w w:val="96"/>
              </w:rPr>
              <w:t>43,136</w:t>
            </w:r>
            <w:r>
              <w:rPr>
                <w:rFonts w:ascii="Arial" w:cs="Arial" w:eastAsia="Arial" w:hAnsi="Arial"/>
                <w:sz w:val="29"/>
                <w:szCs w:val="29"/>
                <w:color w:val="auto"/>
                <w:w w:val="96"/>
                <w:vertAlign w:val="superscript"/>
              </w:rPr>
              <w:t>(b)</w:t>
            </w:r>
          </w:p>
        </w:tc>
      </w:tr>
      <w:tr>
        <w:trPr>
          <w:trHeight w:val="290"/>
        </w:trPr>
        <w:tc>
          <w:tcPr>
            <w:tcW w:w="962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4"/>
                <w:szCs w:val="24"/>
                <w:color w:val="auto"/>
              </w:rPr>
            </w:pPr>
          </w:p>
        </w:tc>
        <w:tc>
          <w:tcPr>
            <w:tcW w:w="260" w:type="dxa"/>
            <w:vAlign w:val="bottom"/>
            <w:tcBorders>
              <w:bottom w:val="single" w:sz="8" w:color="355989"/>
            </w:tcBorders>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989"/>
            </w:tcBorders>
          </w:tcPr>
          <w:p>
            <w:pPr>
              <w:ind w:left="140"/>
              <w:spacing w:after="0" w:line="291" w:lineRule="exact"/>
              <w:rPr>
                <w:sz w:val="20"/>
                <w:szCs w:val="20"/>
                <w:color w:val="auto"/>
              </w:rPr>
            </w:pPr>
            <w:r>
              <w:rPr>
                <w:rFonts w:ascii="Arial" w:cs="Arial" w:eastAsia="Arial" w:hAnsi="Arial"/>
                <w:sz w:val="18"/>
                <w:szCs w:val="18"/>
                <w:color w:val="auto"/>
                <w:w w:val="97"/>
              </w:rPr>
              <w:t>11,400</w:t>
            </w:r>
            <w:r>
              <w:rPr>
                <w:rFonts w:ascii="Arial" w:cs="Arial" w:eastAsia="Arial" w:hAnsi="Arial"/>
                <w:sz w:val="29"/>
                <w:szCs w:val="29"/>
                <w:color w:val="auto"/>
                <w:w w:val="97"/>
                <w:vertAlign w:val="superscript"/>
              </w:rPr>
              <w:t>(c)</w:t>
            </w:r>
          </w:p>
        </w:tc>
      </w:tr>
      <w:tr>
        <w:trPr>
          <w:trHeight w:val="298"/>
        </w:trPr>
        <w:tc>
          <w:tcPr>
            <w:tcW w:w="9620" w:type="dxa"/>
            <w:vAlign w:val="bottom"/>
            <w:tcBorders>
              <w:bottom w:val="single" w:sz="8" w:color="3559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4"/>
                <w:szCs w:val="24"/>
                <w:color w:val="auto"/>
              </w:rPr>
            </w:pPr>
          </w:p>
        </w:tc>
        <w:tc>
          <w:tcPr>
            <w:tcW w:w="260" w:type="dxa"/>
            <w:vAlign w:val="bottom"/>
            <w:tcBorders>
              <w:bottom w:val="single" w:sz="8" w:color="355989"/>
            </w:tcBorders>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355989"/>
            </w:tcBorders>
          </w:tcPr>
          <w:p>
            <w:pPr>
              <w:ind w:left="140"/>
              <w:spacing w:after="0" w:line="291" w:lineRule="exact"/>
              <w:rPr>
                <w:sz w:val="20"/>
                <w:szCs w:val="20"/>
                <w:color w:val="auto"/>
              </w:rPr>
            </w:pPr>
            <w:r>
              <w:rPr>
                <w:rFonts w:ascii="Arial" w:cs="Arial" w:eastAsia="Arial" w:hAnsi="Arial"/>
                <w:sz w:val="18"/>
                <w:szCs w:val="18"/>
                <w:color w:val="auto"/>
                <w:w w:val="97"/>
              </w:rPr>
              <w:t>11,400</w:t>
            </w:r>
            <w:r>
              <w:rPr>
                <w:rFonts w:ascii="Arial" w:cs="Arial" w:eastAsia="Arial" w:hAnsi="Arial"/>
                <w:sz w:val="29"/>
                <w:szCs w:val="29"/>
                <w:color w:val="auto"/>
                <w:w w:val="97"/>
                <w:vertAlign w:val="superscript"/>
              </w:rPr>
              <w:t>(c)</w:t>
            </w:r>
          </w:p>
        </w:tc>
      </w:tr>
    </w:tbl>
    <w:p>
      <w:pPr>
        <w:spacing w:after="0" w:line="242" w:lineRule="exact"/>
        <w:rPr>
          <w:sz w:val="20"/>
          <w:szCs w:val="20"/>
          <w:color w:val="auto"/>
        </w:rPr>
      </w:pPr>
    </w:p>
    <w:p>
      <w:pPr>
        <w:ind w:left="620" w:right="200" w:hanging="302"/>
        <w:spacing w:after="0" w:line="248" w:lineRule="auto"/>
        <w:tabs>
          <w:tab w:leader="none" w:pos="6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Represents (i) the Company’s matching contributions with respect to amounts earned by the named executive officer under our 401(k) plan ($11,400), (ii) leased car payments ($22,798) and (iii) life insurance premiums ($17,217). The Company’s 401(k) matching contributions are credited in the year subsequent to which employees make their contributions.</w:t>
      </w:r>
    </w:p>
    <w:p>
      <w:pPr>
        <w:spacing w:after="0" w:line="49" w:lineRule="exact"/>
        <w:rPr>
          <w:rFonts w:ascii="Arial" w:cs="Arial" w:eastAsia="Arial" w:hAnsi="Arial"/>
          <w:sz w:val="13"/>
          <w:szCs w:val="13"/>
          <w:color w:val="auto"/>
        </w:rPr>
      </w:pPr>
    </w:p>
    <w:p>
      <w:pPr>
        <w:ind w:left="620" w:right="320" w:hanging="302"/>
        <w:spacing w:after="0" w:line="258" w:lineRule="auto"/>
        <w:tabs>
          <w:tab w:leader="none" w:pos="6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Represents the Company’s matching contributions with respect to amounts earned by the named executive officer under our 401(k) plan ($11,400) and leased car payments ($31,736). The Company’s 401(k) matching contributions are credited in the year subsequent to which employees make their contributions.</w:t>
      </w:r>
    </w:p>
    <w:p>
      <w:pPr>
        <w:spacing w:after="0" w:line="43" w:lineRule="exact"/>
        <w:rPr>
          <w:rFonts w:ascii="Arial" w:cs="Arial" w:eastAsia="Arial" w:hAnsi="Arial"/>
          <w:sz w:val="13"/>
          <w:szCs w:val="13"/>
          <w:color w:val="auto"/>
        </w:rPr>
      </w:pPr>
    </w:p>
    <w:p>
      <w:pPr>
        <w:ind w:left="620" w:right="420" w:hanging="302"/>
        <w:spacing w:after="0" w:line="258" w:lineRule="auto"/>
        <w:tabs>
          <w:tab w:leader="none" w:pos="6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Represents the Company’s matching contributions with respect to amounts earned by the named executive officer under our 401(k) plan ($11,400). The Company’s 401(k) matching contributions are credited in the year subsequent to which employees make their contributions.</w:t>
      </w:r>
    </w:p>
    <w:p>
      <w:pPr>
        <w:spacing w:after="0" w:line="43" w:lineRule="exact"/>
        <w:rPr>
          <w:rFonts w:ascii="Arial" w:cs="Arial" w:eastAsia="Arial" w:hAnsi="Arial"/>
          <w:sz w:val="13"/>
          <w:szCs w:val="13"/>
          <w:color w:val="auto"/>
        </w:rPr>
      </w:pPr>
    </w:p>
    <w:p>
      <w:pPr>
        <w:ind w:left="320" w:hanging="312"/>
        <w:spacing w:after="0"/>
        <w:tabs>
          <w:tab w:leader="none" w:pos="3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time-based cash awards granted in 2017 that vested on December 31, 2020.</w:t>
      </w:r>
    </w:p>
    <w:p>
      <w:pPr>
        <w:spacing w:after="0" w:line="219"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2020 Grants of Plan-Based Awards</w:t>
      </w:r>
    </w:p>
    <w:p>
      <w:pPr>
        <w:spacing w:after="0" w:line="23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2020.</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All Other</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Stock</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55A89"/>
              </w:rPr>
              <w:t>Grant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Awards:</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55A89"/>
              </w:rPr>
              <w:t>Date Fair</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6"/>
            <w:vMerge w:val="restart"/>
          </w:tcPr>
          <w:p>
            <w:pPr>
              <w:jc w:val="right"/>
              <w:ind w:right="480"/>
              <w:spacing w:after="0"/>
              <w:rPr>
                <w:sz w:val="20"/>
                <w:szCs w:val="20"/>
                <w:color w:val="auto"/>
              </w:rPr>
            </w:pPr>
            <w:r>
              <w:rPr>
                <w:rFonts w:ascii="Arial" w:cs="Arial" w:eastAsia="Arial" w:hAnsi="Arial"/>
                <w:sz w:val="13"/>
                <w:szCs w:val="13"/>
                <w:b w:val="1"/>
                <w:bCs w:val="1"/>
                <w:color w:val="355A89"/>
              </w:rPr>
              <w:t>Estimated Possible Payouts Under</w:t>
            </w:r>
          </w:p>
        </w:tc>
        <w:tc>
          <w:tcPr>
            <w:tcW w:w="2220" w:type="dxa"/>
            <w:vAlign w:val="bottom"/>
            <w:gridSpan w:val="6"/>
            <w:vMerge w:val="restart"/>
          </w:tcPr>
          <w:p>
            <w:pPr>
              <w:jc w:val="center"/>
              <w:ind w:right="80"/>
              <w:spacing w:after="0"/>
              <w:rPr>
                <w:sz w:val="20"/>
                <w:szCs w:val="20"/>
                <w:color w:val="auto"/>
              </w:rPr>
            </w:pPr>
            <w:r>
              <w:rPr>
                <w:rFonts w:ascii="Arial" w:cs="Arial" w:eastAsia="Arial" w:hAnsi="Arial"/>
                <w:sz w:val="13"/>
                <w:szCs w:val="13"/>
                <w:b w:val="1"/>
                <w:bCs w:val="1"/>
                <w:color w:val="355A89"/>
                <w:w w:val="98"/>
              </w:rPr>
              <w:t>Estimated Future Payouts Under</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Number</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55A89"/>
              </w:rPr>
              <w:t>Value of</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2220" w:type="dxa"/>
            <w:vAlign w:val="bottom"/>
            <w:gridSpan w:val="6"/>
            <w:vMerge w:val="continue"/>
          </w:tcPr>
          <w:p>
            <w:pPr>
              <w:spacing w:after="0"/>
              <w:rPr>
                <w:sz w:val="5"/>
                <w:szCs w:val="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355A89"/>
              </w:rPr>
              <w:t>of Shares</w:t>
            </w:r>
          </w:p>
        </w:tc>
        <w:tc>
          <w:tcPr>
            <w:tcW w:w="12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355A89"/>
              </w:rPr>
              <w:t>Stock and</w:t>
            </w: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00" w:type="dxa"/>
            <w:vAlign w:val="bottom"/>
            <w:gridSpan w:val="5"/>
            <w:vMerge w:val="restart"/>
          </w:tcPr>
          <w:p>
            <w:pPr>
              <w:jc w:val="right"/>
              <w:ind w:right="341"/>
              <w:spacing w:after="0"/>
              <w:rPr>
                <w:sz w:val="20"/>
                <w:szCs w:val="20"/>
                <w:color w:val="auto"/>
              </w:rPr>
            </w:pPr>
            <w:r>
              <w:rPr>
                <w:rFonts w:ascii="Arial" w:cs="Arial" w:eastAsia="Arial" w:hAnsi="Arial"/>
                <w:sz w:val="13"/>
                <w:szCs w:val="13"/>
                <w:b w:val="1"/>
                <w:bCs w:val="1"/>
                <w:color w:val="355A89"/>
              </w:rPr>
              <w:t>Non-Equity Incentive Plan Awards</w:t>
            </w:r>
          </w:p>
        </w:tc>
        <w:tc>
          <w:tcPr>
            <w:tcW w:w="80" w:type="dxa"/>
            <w:vAlign w:val="bottom"/>
            <w:vMerge w:val="restart"/>
          </w:tcPr>
          <w:p>
            <w:pPr>
              <w:spacing w:after="0"/>
              <w:rPr>
                <w:sz w:val="7"/>
                <w:szCs w:val="7"/>
                <w:color w:val="auto"/>
              </w:rPr>
            </w:pPr>
          </w:p>
        </w:tc>
        <w:tc>
          <w:tcPr>
            <w:tcW w:w="21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355A89"/>
                <w:w w:val="97"/>
              </w:rPr>
              <w:t>Equity Incentive Plan Awards</w:t>
            </w:r>
          </w:p>
        </w:tc>
        <w:tc>
          <w:tcPr>
            <w:tcW w:w="80" w:type="dxa"/>
            <w:vAlign w:val="bottom"/>
            <w:vMerge w:val="restart"/>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00" w:type="dxa"/>
            <w:vAlign w:val="bottom"/>
            <w:tcBorders>
              <w:bottom w:val="single" w:sz="8" w:color="355A89"/>
            </w:tcBorders>
            <w:gridSpan w:val="5"/>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140" w:type="dxa"/>
            <w:vAlign w:val="bottom"/>
            <w:tcBorders>
              <w:bottom w:val="single" w:sz="8" w:color="355A89"/>
            </w:tcBorders>
            <w:gridSpan w:val="5"/>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tcPr>
          <w:p>
            <w:pPr>
              <w:jc w:val="right"/>
              <w:ind w:right="80"/>
              <w:spacing w:after="0" w:line="118" w:lineRule="exact"/>
              <w:rPr>
                <w:sz w:val="20"/>
                <w:szCs w:val="20"/>
                <w:color w:val="auto"/>
              </w:rPr>
            </w:pPr>
            <w:r>
              <w:rPr>
                <w:rFonts w:ascii="Arial" w:cs="Arial" w:eastAsia="Arial" w:hAnsi="Arial"/>
                <w:sz w:val="13"/>
                <w:szCs w:val="13"/>
                <w:b w:val="1"/>
                <w:bCs w:val="1"/>
                <w:color w:val="355A89"/>
              </w:rPr>
              <w:t>of Stock</w:t>
            </w:r>
          </w:p>
        </w:tc>
        <w:tc>
          <w:tcPr>
            <w:tcW w:w="120" w:type="dxa"/>
            <w:vAlign w:val="bottom"/>
          </w:tcPr>
          <w:p>
            <w:pPr>
              <w:spacing w:after="0"/>
              <w:rPr>
                <w:sz w:val="10"/>
                <w:szCs w:val="10"/>
                <w:color w:val="auto"/>
              </w:rPr>
            </w:pPr>
          </w:p>
        </w:tc>
        <w:tc>
          <w:tcPr>
            <w:tcW w:w="680" w:type="dxa"/>
            <w:vAlign w:val="bottom"/>
          </w:tcPr>
          <w:p>
            <w:pPr>
              <w:jc w:val="right"/>
              <w:spacing w:after="0" w:line="118" w:lineRule="exact"/>
              <w:rPr>
                <w:sz w:val="20"/>
                <w:szCs w:val="20"/>
                <w:color w:val="auto"/>
              </w:rPr>
            </w:pPr>
            <w:r>
              <w:rPr>
                <w:rFonts w:ascii="Arial" w:cs="Arial" w:eastAsia="Arial" w:hAnsi="Arial"/>
                <w:sz w:val="13"/>
                <w:szCs w:val="13"/>
                <w:b w:val="1"/>
                <w:bCs w:val="1"/>
                <w:color w:val="355A89"/>
              </w:rPr>
              <w:t>Option</w:t>
            </w: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Approval</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Threshold</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Target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Maximum</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w w:val="98"/>
              </w:rPr>
              <w:t>Threshold</w:t>
            </w:r>
          </w:p>
        </w:tc>
        <w:tc>
          <w:tcPr>
            <w:tcW w:w="720" w:type="dxa"/>
            <w:vAlign w:val="bottom"/>
            <w:gridSpan w:val="2"/>
          </w:tcPr>
          <w:p>
            <w:pPr>
              <w:ind w:left="260"/>
              <w:spacing w:after="0"/>
              <w:rPr>
                <w:sz w:val="20"/>
                <w:szCs w:val="20"/>
                <w:color w:val="auto"/>
              </w:rPr>
            </w:pPr>
            <w:r>
              <w:rPr>
                <w:rFonts w:ascii="Arial" w:cs="Arial" w:eastAsia="Arial" w:hAnsi="Arial"/>
                <w:sz w:val="13"/>
                <w:szCs w:val="13"/>
                <w:b w:val="1"/>
                <w:bCs w:val="1"/>
                <w:color w:val="355A89"/>
              </w:rPr>
              <w:t>Target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355A89"/>
              </w:rPr>
              <w:t>Maximum</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or Units</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55A89"/>
              </w:rPr>
              <w:t>Awards</w:t>
            </w:r>
          </w:p>
        </w:tc>
        <w:tc>
          <w:tcPr>
            <w:tcW w:w="0" w:type="dxa"/>
            <w:vAlign w:val="bottom"/>
          </w:tcPr>
          <w:p>
            <w:pPr>
              <w:spacing w:after="0"/>
              <w:rPr>
                <w:sz w:val="1"/>
                <w:szCs w:val="1"/>
                <w:color w:val="auto"/>
              </w:rPr>
            </w:pPr>
          </w:p>
        </w:tc>
      </w:tr>
      <w:tr>
        <w:trPr>
          <w:trHeight w:val="199"/>
        </w:trPr>
        <w:tc>
          <w:tcPr>
            <w:tcW w:w="27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355A89"/>
              </w:rPr>
              <w:t>Grant Date</w:t>
            </w: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Date</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355A89"/>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55A89"/>
              </w:rPr>
              <w:t>($)</w:t>
            </w:r>
          </w:p>
        </w:tc>
        <w:tc>
          <w:tcPr>
            <w:tcW w:w="0" w:type="dxa"/>
            <w:vAlign w:val="bottom"/>
          </w:tcPr>
          <w:p>
            <w:pPr>
              <w:spacing w:after="0"/>
              <w:rPr>
                <w:sz w:val="1"/>
                <w:szCs w:val="1"/>
                <w:color w:val="auto"/>
              </w:rPr>
            </w:pPr>
          </w:p>
        </w:tc>
      </w:tr>
      <w:tr>
        <w:trPr>
          <w:trHeight w:val="297"/>
        </w:trPr>
        <w:tc>
          <w:tcPr>
            <w:tcW w:w="2700" w:type="dxa"/>
            <w:vAlign w:val="bottom"/>
            <w:tcBorders>
              <w:top w:val="single" w:sz="8" w:color="355A89"/>
            </w:tcBorders>
          </w:tcPr>
          <w:p>
            <w:pPr>
              <w:spacing w:after="0"/>
              <w:rPr>
                <w:sz w:val="20"/>
                <w:szCs w:val="20"/>
                <w:color w:val="auto"/>
              </w:rPr>
            </w:pPr>
            <w:r>
              <w:rPr>
                <w:rFonts w:ascii="Arial" w:cs="Arial" w:eastAsia="Arial" w:hAnsi="Arial"/>
                <w:sz w:val="16"/>
                <w:szCs w:val="16"/>
                <w:color w:val="auto"/>
              </w:rPr>
              <w:t>Marc Holliday</w:t>
            </w:r>
          </w:p>
        </w:tc>
        <w:tc>
          <w:tcPr>
            <w:tcW w:w="80" w:type="dxa"/>
            <w:vAlign w:val="bottom"/>
          </w:tcPr>
          <w:p>
            <w:pPr>
              <w:spacing w:after="0"/>
              <w:rPr>
                <w:sz w:val="24"/>
                <w:szCs w:val="24"/>
                <w:color w:val="auto"/>
              </w:rPr>
            </w:pPr>
          </w:p>
        </w:tc>
        <w:tc>
          <w:tcPr>
            <w:tcW w:w="80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7"/>
                <w:shd w:val="clear" w:color="auto" w:fill="C0C4D7"/>
              </w:rPr>
              <w:t>01/18/2020</w:t>
            </w:r>
          </w:p>
        </w:tc>
        <w:tc>
          <w:tcPr>
            <w:tcW w:w="80" w:type="dxa"/>
            <w:vAlign w:val="bottom"/>
          </w:tcPr>
          <w:p>
            <w:pPr>
              <w:spacing w:after="0"/>
              <w:rPr>
                <w:sz w:val="24"/>
                <w:szCs w:val="24"/>
                <w:color w:val="auto"/>
              </w:rPr>
            </w:pPr>
          </w:p>
        </w:tc>
        <w:tc>
          <w:tcPr>
            <w:tcW w:w="78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4"/>
                <w:shd w:val="clear" w:color="auto" w:fill="C0C4D7"/>
              </w:rPr>
              <w:t>01/18/2020</w:t>
            </w:r>
          </w:p>
        </w:tc>
        <w:tc>
          <w:tcPr>
            <w:tcW w:w="80" w:type="dxa"/>
            <w:vAlign w:val="bottom"/>
          </w:tcPr>
          <w:p>
            <w:pPr>
              <w:spacing w:after="0"/>
              <w:rPr>
                <w:sz w:val="24"/>
                <w:szCs w:val="24"/>
                <w:color w:val="auto"/>
              </w:rPr>
            </w:pPr>
          </w:p>
        </w:tc>
        <w:tc>
          <w:tcPr>
            <w:tcW w:w="82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4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4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00" w:type="dxa"/>
            <w:vAlign w:val="bottom"/>
            <w:tcBorders>
              <w:top w:val="single" w:sz="8" w:color="355A89"/>
              <w:bottom w:val="single" w:sz="8" w:color="8089AD"/>
            </w:tcBorders>
            <w:shd w:val="clear" w:color="auto" w:fill="C0C4D7"/>
          </w:tcPr>
          <w:p>
            <w:pPr>
              <w:ind w:left="5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4"/>
                <w:szCs w:val="24"/>
                <w:color w:val="auto"/>
              </w:rPr>
            </w:pPr>
          </w:p>
        </w:tc>
        <w:tc>
          <w:tcPr>
            <w:tcW w:w="640" w:type="dxa"/>
            <w:vAlign w:val="bottom"/>
            <w:tcBorders>
              <w:top w:val="single" w:sz="8" w:color="355A89"/>
              <w:bottom w:val="single" w:sz="8" w:color="8089AD"/>
            </w:tcBorders>
            <w:shd w:val="clear" w:color="auto" w:fill="C0C4D7"/>
          </w:tcPr>
          <w:p>
            <w:pPr>
              <w:jc w:val="right"/>
              <w:spacing w:after="0" w:line="297" w:lineRule="exact"/>
              <w:rPr>
                <w:sz w:val="20"/>
                <w:szCs w:val="20"/>
                <w:color w:val="auto"/>
              </w:rPr>
            </w:pPr>
            <w:r>
              <w:rPr>
                <w:rFonts w:ascii="Arial" w:cs="Arial" w:eastAsia="Arial" w:hAnsi="Arial"/>
                <w:sz w:val="16"/>
                <w:szCs w:val="16"/>
                <w:color w:val="auto"/>
                <w:w w:val="88"/>
                <w:shd w:val="clear" w:color="auto" w:fill="C0C4D7"/>
              </w:rPr>
              <w:t>49,294</w:t>
            </w:r>
            <w:r>
              <w:rPr>
                <w:rFonts w:ascii="Arial" w:cs="Arial" w:eastAsia="Arial" w:hAnsi="Arial"/>
                <w:sz w:val="26"/>
                <w:szCs w:val="26"/>
                <w:color w:val="auto"/>
                <w:w w:val="88"/>
                <w:vertAlign w:val="superscript"/>
                <w:shd w:val="clear" w:color="auto" w:fill="C0C4D7"/>
              </w:rPr>
              <w:t>(1)</w:t>
            </w:r>
          </w:p>
        </w:tc>
        <w:tc>
          <w:tcPr>
            <w:tcW w:w="80" w:type="dxa"/>
            <w:vAlign w:val="bottom"/>
          </w:tcPr>
          <w:p>
            <w:pPr>
              <w:spacing w:after="0"/>
              <w:rPr>
                <w:sz w:val="24"/>
                <w:szCs w:val="24"/>
                <w:color w:val="auto"/>
              </w:rPr>
            </w:pPr>
          </w:p>
        </w:tc>
        <w:tc>
          <w:tcPr>
            <w:tcW w:w="12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w:t>
            </w:r>
          </w:p>
        </w:tc>
        <w:tc>
          <w:tcPr>
            <w:tcW w:w="68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2"/>
                <w:shd w:val="clear" w:color="auto" w:fill="C0C4D7"/>
              </w:rPr>
              <w:t>4,074,642</w:t>
            </w:r>
          </w:p>
        </w:tc>
        <w:tc>
          <w:tcPr>
            <w:tcW w:w="0" w:type="dxa"/>
            <w:vAlign w:val="bottom"/>
          </w:tcPr>
          <w:p>
            <w:pPr>
              <w:spacing w:after="0"/>
              <w:rPr>
                <w:sz w:val="1"/>
                <w:szCs w:val="1"/>
                <w:color w:val="auto"/>
              </w:rPr>
            </w:pPr>
          </w:p>
        </w:tc>
      </w:tr>
      <w:tr>
        <w:trPr>
          <w:trHeight w:val="29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01/18/2020 01/18/2020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80" w:type="dxa"/>
            <w:vAlign w:val="bottom"/>
            <w:gridSpan w:val="6"/>
          </w:tcPr>
          <w:p>
            <w:pPr>
              <w:jc w:val="right"/>
              <w:ind w:right="80"/>
              <w:spacing w:after="0" w:line="291" w:lineRule="exact"/>
              <w:rPr>
                <w:sz w:val="20"/>
                <w:szCs w:val="20"/>
                <w:color w:val="auto"/>
              </w:rPr>
            </w:pPr>
            <w:r>
              <w:rPr>
                <w:rFonts w:ascii="Arial" w:cs="Arial" w:eastAsia="Arial" w:hAnsi="Arial"/>
                <w:sz w:val="16"/>
                <w:szCs w:val="16"/>
                <w:color w:val="auto"/>
              </w:rPr>
              <w:t>— 38,512</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82,157</w:t>
            </w:r>
            <w:r>
              <w:rPr>
                <w:rFonts w:ascii="Arial" w:cs="Arial" w:eastAsia="Arial" w:hAnsi="Arial"/>
                <w:sz w:val="26"/>
                <w:szCs w:val="26"/>
                <w:color w:val="auto"/>
                <w:vertAlign w:val="superscript"/>
              </w:rPr>
              <w:t>(2)</w:t>
            </w:r>
          </w:p>
        </w:tc>
        <w:tc>
          <w:tcPr>
            <w:tcW w:w="780" w:type="dxa"/>
            <w:vAlign w:val="bottom"/>
            <w:gridSpan w:val="2"/>
          </w:tcPr>
          <w:p>
            <w:pPr>
              <w:jc w:val="right"/>
              <w:ind w:right="60"/>
              <w:spacing w:after="0" w:line="291" w:lineRule="exact"/>
              <w:rPr>
                <w:sz w:val="20"/>
                <w:szCs w:val="20"/>
                <w:color w:val="auto"/>
              </w:rPr>
            </w:pPr>
            <w:r>
              <w:rPr>
                <w:rFonts w:ascii="Arial" w:cs="Arial" w:eastAsia="Arial" w:hAnsi="Arial"/>
                <w:sz w:val="16"/>
                <w:szCs w:val="16"/>
                <w:color w:val="auto"/>
                <w:w w:val="88"/>
              </w:rPr>
              <w:t>184,853</w:t>
            </w:r>
            <w:r>
              <w:rPr>
                <w:rFonts w:ascii="Arial" w:cs="Arial" w:eastAsia="Arial" w:hAnsi="Arial"/>
                <w:sz w:val="26"/>
                <w:szCs w:val="26"/>
                <w:color w:val="auto"/>
                <w:w w:val="88"/>
                <w:vertAlign w:val="superscript"/>
              </w:rPr>
              <w:t>(2)</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7,586,073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680" w:type="dxa"/>
            <w:vAlign w:val="bottom"/>
            <w:shd w:val="clear" w:color="auto" w:fill="80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12/11/2020 01/08/2020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gridSpan w:val="4"/>
          </w:tcPr>
          <w:p>
            <w:pPr>
              <w:jc w:val="right"/>
              <w:ind w:right="80"/>
              <w:spacing w:after="0" w:line="291" w:lineRule="exact"/>
              <w:rPr>
                <w:sz w:val="20"/>
                <w:szCs w:val="20"/>
                <w:color w:val="auto"/>
              </w:rPr>
            </w:pPr>
            <w:r>
              <w:rPr>
                <w:rFonts w:ascii="Arial" w:cs="Arial" w:eastAsia="Arial" w:hAnsi="Arial"/>
                <w:sz w:val="16"/>
                <w:szCs w:val="16"/>
                <w:color w:val="auto"/>
              </w:rPr>
              <w:t>— 20,475</w:t>
            </w:r>
            <w:r>
              <w:rPr>
                <w:rFonts w:ascii="Arial" w:cs="Arial" w:eastAsia="Arial" w:hAnsi="Arial"/>
                <w:sz w:val="26"/>
                <w:szCs w:val="26"/>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982,595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680" w:type="dxa"/>
            <w:vAlign w:val="bottom"/>
            <w:shd w:val="clear" w:color="auto" w:fill="80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24"/>
                <w:szCs w:val="24"/>
                <w:color w:val="auto"/>
              </w:rPr>
            </w:pPr>
          </w:p>
        </w:tc>
        <w:tc>
          <w:tcPr>
            <w:tcW w:w="1760" w:type="dxa"/>
            <w:vAlign w:val="bottom"/>
            <w:gridSpan w:val="4"/>
          </w:tcPr>
          <w:p>
            <w:pPr>
              <w:jc w:val="right"/>
              <w:ind w:right="80"/>
              <w:spacing w:after="0" w:line="291" w:lineRule="exact"/>
              <w:rPr>
                <w:sz w:val="20"/>
                <w:szCs w:val="20"/>
                <w:color w:val="auto"/>
              </w:rPr>
            </w:pPr>
            <w:r>
              <w:rPr>
                <w:rFonts w:ascii="Arial" w:cs="Arial" w:eastAsia="Arial" w:hAnsi="Arial"/>
                <w:sz w:val="16"/>
                <w:szCs w:val="16"/>
                <w:color w:val="auto"/>
              </w:rPr>
              <w:t>N/A $625,000</w:t>
            </w:r>
            <w:r>
              <w:rPr>
                <w:rFonts w:ascii="Arial" w:cs="Arial" w:eastAsia="Arial" w:hAnsi="Arial"/>
                <w:sz w:val="26"/>
                <w:szCs w:val="26"/>
                <w:color w:val="auto"/>
                <w:vertAlign w:val="superscript"/>
              </w:rPr>
              <w:t>(4)</w:t>
            </w:r>
          </w:p>
        </w:tc>
        <w:tc>
          <w:tcPr>
            <w:tcW w:w="1040" w:type="dxa"/>
            <w:vAlign w:val="bottom"/>
            <w:gridSpan w:val="2"/>
          </w:tcPr>
          <w:p>
            <w:pPr>
              <w:jc w:val="right"/>
              <w:ind w:right="80"/>
              <w:spacing w:after="0" w:line="291" w:lineRule="exact"/>
              <w:rPr>
                <w:sz w:val="20"/>
                <w:szCs w:val="20"/>
                <w:color w:val="auto"/>
              </w:rPr>
            </w:pPr>
            <w:r>
              <w:rPr>
                <w:rFonts w:ascii="Arial" w:cs="Arial" w:eastAsia="Arial" w:hAnsi="Arial"/>
                <w:sz w:val="16"/>
                <w:szCs w:val="16"/>
                <w:color w:val="auto"/>
                <w:w w:val="92"/>
              </w:rPr>
              <w:t>$2,500,000</w:t>
            </w:r>
            <w:r>
              <w:rPr>
                <w:rFonts w:ascii="Arial" w:cs="Arial" w:eastAsia="Arial" w:hAnsi="Arial"/>
                <w:sz w:val="26"/>
                <w:szCs w:val="26"/>
                <w:color w:val="auto"/>
                <w:w w:val="92"/>
                <w:vertAlign w:val="superscript"/>
              </w:rPr>
              <w:t>(4)</w:t>
            </w:r>
          </w:p>
        </w:tc>
        <w:tc>
          <w:tcPr>
            <w:tcW w:w="1040" w:type="dxa"/>
            <w:vAlign w:val="bottom"/>
            <w:gridSpan w:val="2"/>
          </w:tcPr>
          <w:p>
            <w:pPr>
              <w:jc w:val="right"/>
              <w:ind w:right="80"/>
              <w:spacing w:after="0" w:line="291" w:lineRule="exact"/>
              <w:rPr>
                <w:sz w:val="20"/>
                <w:szCs w:val="20"/>
                <w:color w:val="auto"/>
              </w:rPr>
            </w:pPr>
            <w:r>
              <w:rPr>
                <w:rFonts w:ascii="Arial" w:cs="Arial" w:eastAsia="Arial" w:hAnsi="Arial"/>
                <w:sz w:val="16"/>
                <w:szCs w:val="16"/>
                <w:color w:val="auto"/>
                <w:w w:val="92"/>
              </w:rPr>
              <w:t>$3,750,000</w:t>
            </w:r>
            <w:r>
              <w:rPr>
                <w:rFonts w:ascii="Arial" w:cs="Arial" w:eastAsia="Arial" w:hAnsi="Arial"/>
                <w:sz w:val="26"/>
                <w:szCs w:val="26"/>
                <w:color w:val="auto"/>
                <w:w w:val="92"/>
                <w:vertAlign w:val="superscript"/>
              </w:rPr>
              <w:t>(4)</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2700" w:type="dxa"/>
            <w:vAlign w:val="bottom"/>
            <w:tcBorders>
              <w:top w:val="single" w:sz="8" w:color="8089AD"/>
            </w:tcBorders>
          </w:tcPr>
          <w:p>
            <w:pPr>
              <w:spacing w:after="0"/>
              <w:rPr>
                <w:sz w:val="20"/>
                <w:szCs w:val="20"/>
                <w:color w:val="auto"/>
              </w:rPr>
            </w:pPr>
            <w:r>
              <w:rPr>
                <w:rFonts w:ascii="Arial" w:cs="Arial" w:eastAsia="Arial" w:hAnsi="Arial"/>
                <w:sz w:val="16"/>
                <w:szCs w:val="16"/>
                <w:color w:val="auto"/>
              </w:rPr>
              <w:t>Andrew Mathias</w:t>
            </w:r>
          </w:p>
        </w:tc>
        <w:tc>
          <w:tcPr>
            <w:tcW w:w="80" w:type="dxa"/>
            <w:vAlign w:val="bottom"/>
          </w:tcPr>
          <w:p>
            <w:pPr>
              <w:spacing w:after="0"/>
              <w:rPr>
                <w:sz w:val="24"/>
                <w:szCs w:val="24"/>
                <w:color w:val="auto"/>
              </w:rPr>
            </w:pPr>
          </w:p>
        </w:tc>
        <w:tc>
          <w:tcPr>
            <w:tcW w:w="80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7"/>
                <w:shd w:val="clear" w:color="auto" w:fill="C0C4D7"/>
              </w:rPr>
              <w:t>01/18/2020</w:t>
            </w:r>
          </w:p>
        </w:tc>
        <w:tc>
          <w:tcPr>
            <w:tcW w:w="80" w:type="dxa"/>
            <w:vAlign w:val="bottom"/>
          </w:tcPr>
          <w:p>
            <w:pPr>
              <w:spacing w:after="0"/>
              <w:rPr>
                <w:sz w:val="24"/>
                <w:szCs w:val="24"/>
                <w:color w:val="auto"/>
              </w:rPr>
            </w:pPr>
          </w:p>
        </w:tc>
        <w:tc>
          <w:tcPr>
            <w:tcW w:w="78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4"/>
                <w:shd w:val="clear" w:color="auto" w:fill="C0C4D7"/>
              </w:rPr>
              <w:t>01/18/2020</w:t>
            </w:r>
          </w:p>
        </w:tc>
        <w:tc>
          <w:tcPr>
            <w:tcW w:w="80" w:type="dxa"/>
            <w:vAlign w:val="bottom"/>
          </w:tcPr>
          <w:p>
            <w:pPr>
              <w:spacing w:after="0"/>
              <w:rPr>
                <w:sz w:val="24"/>
                <w:szCs w:val="24"/>
                <w:color w:val="auto"/>
              </w:rPr>
            </w:pPr>
          </w:p>
        </w:tc>
        <w:tc>
          <w:tcPr>
            <w:tcW w:w="8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00" w:type="dxa"/>
            <w:vAlign w:val="bottom"/>
            <w:tcBorders>
              <w:top w:val="single" w:sz="8" w:color="8089AD"/>
              <w:bottom w:val="single" w:sz="8" w:color="8089AD"/>
            </w:tcBorders>
            <w:shd w:val="clear" w:color="auto" w:fill="C0C4D7"/>
          </w:tcPr>
          <w:p>
            <w:pPr>
              <w:ind w:left="5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4"/>
                <w:szCs w:val="24"/>
                <w:color w:val="auto"/>
              </w:rPr>
            </w:pPr>
          </w:p>
        </w:tc>
        <w:tc>
          <w:tcPr>
            <w:tcW w:w="640" w:type="dxa"/>
            <w:vAlign w:val="bottom"/>
            <w:tcBorders>
              <w:top w:val="single" w:sz="8" w:color="8089AD"/>
              <w:bottom w:val="single" w:sz="8" w:color="8089AD"/>
            </w:tcBorders>
            <w:shd w:val="clear" w:color="auto" w:fill="C0C4D7"/>
          </w:tcPr>
          <w:p>
            <w:pPr>
              <w:jc w:val="right"/>
              <w:spacing w:after="0" w:line="291" w:lineRule="exact"/>
              <w:rPr>
                <w:sz w:val="20"/>
                <w:szCs w:val="20"/>
                <w:color w:val="auto"/>
              </w:rPr>
            </w:pPr>
            <w:r>
              <w:rPr>
                <w:rFonts w:ascii="Arial" w:cs="Arial" w:eastAsia="Arial" w:hAnsi="Arial"/>
                <w:sz w:val="16"/>
                <w:szCs w:val="16"/>
                <w:color w:val="auto"/>
                <w:w w:val="88"/>
                <w:shd w:val="clear" w:color="auto" w:fill="C0C4D7"/>
              </w:rPr>
              <w:t>38,340</w:t>
            </w:r>
            <w:r>
              <w:rPr>
                <w:rFonts w:ascii="Arial" w:cs="Arial" w:eastAsia="Arial" w:hAnsi="Arial"/>
                <w:sz w:val="26"/>
                <w:szCs w:val="26"/>
                <w:color w:val="auto"/>
                <w:w w:val="88"/>
                <w:vertAlign w:val="superscript"/>
                <w:shd w:val="clear" w:color="auto" w:fill="C0C4D7"/>
              </w:rPr>
              <w:t>(5)</w:t>
            </w:r>
          </w:p>
        </w:tc>
        <w:tc>
          <w:tcPr>
            <w:tcW w:w="80" w:type="dxa"/>
            <w:vAlign w:val="bottom"/>
          </w:tcPr>
          <w:p>
            <w:pPr>
              <w:spacing w:after="0"/>
              <w:rPr>
                <w:sz w:val="24"/>
                <w:szCs w:val="24"/>
                <w:color w:val="auto"/>
              </w:rPr>
            </w:pPr>
          </w:p>
        </w:tc>
        <w:tc>
          <w:tcPr>
            <w:tcW w:w="1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w:t>
            </w:r>
          </w:p>
        </w:tc>
        <w:tc>
          <w:tcPr>
            <w:tcW w:w="68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2"/>
                <w:shd w:val="clear" w:color="auto" w:fill="C0C4D7"/>
              </w:rPr>
              <w:t>3,169,184</w:t>
            </w:r>
          </w:p>
        </w:tc>
        <w:tc>
          <w:tcPr>
            <w:tcW w:w="0" w:type="dxa"/>
            <w:vAlign w:val="bottom"/>
          </w:tcPr>
          <w:p>
            <w:pPr>
              <w:spacing w:after="0"/>
              <w:rPr>
                <w:sz w:val="1"/>
                <w:szCs w:val="1"/>
                <w:color w:val="auto"/>
              </w:rPr>
            </w:pPr>
          </w:p>
        </w:tc>
      </w:tr>
      <w:tr>
        <w:trPr>
          <w:trHeight w:val="291"/>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01/18/2020 01/18/2020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80" w:type="dxa"/>
            <w:vAlign w:val="bottom"/>
            <w:gridSpan w:val="6"/>
          </w:tcPr>
          <w:p>
            <w:pPr>
              <w:jc w:val="right"/>
              <w:ind w:right="80"/>
              <w:spacing w:after="0" w:line="291" w:lineRule="exact"/>
              <w:rPr>
                <w:sz w:val="20"/>
                <w:szCs w:val="20"/>
                <w:color w:val="auto"/>
              </w:rPr>
            </w:pPr>
            <w:r>
              <w:rPr>
                <w:rFonts w:ascii="Arial" w:cs="Arial" w:eastAsia="Arial" w:hAnsi="Arial"/>
                <w:sz w:val="16"/>
                <w:szCs w:val="16"/>
                <w:color w:val="auto"/>
              </w:rPr>
              <w:t>— 30,809</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65,725</w:t>
            </w:r>
            <w:r>
              <w:rPr>
                <w:rFonts w:ascii="Arial" w:cs="Arial" w:eastAsia="Arial" w:hAnsi="Arial"/>
                <w:sz w:val="26"/>
                <w:szCs w:val="26"/>
                <w:color w:val="auto"/>
                <w:vertAlign w:val="superscript"/>
              </w:rPr>
              <w:t>(2)</w:t>
            </w:r>
          </w:p>
        </w:tc>
        <w:tc>
          <w:tcPr>
            <w:tcW w:w="780" w:type="dxa"/>
            <w:vAlign w:val="bottom"/>
            <w:gridSpan w:val="2"/>
          </w:tcPr>
          <w:p>
            <w:pPr>
              <w:jc w:val="right"/>
              <w:ind w:right="60"/>
              <w:spacing w:after="0" w:line="291" w:lineRule="exact"/>
              <w:rPr>
                <w:sz w:val="20"/>
                <w:szCs w:val="20"/>
                <w:color w:val="auto"/>
              </w:rPr>
            </w:pPr>
            <w:r>
              <w:rPr>
                <w:rFonts w:ascii="Arial" w:cs="Arial" w:eastAsia="Arial" w:hAnsi="Arial"/>
                <w:sz w:val="16"/>
                <w:szCs w:val="16"/>
                <w:color w:val="auto"/>
                <w:w w:val="88"/>
              </w:rPr>
              <w:t>147,882</w:t>
            </w:r>
            <w:r>
              <w:rPr>
                <w:rFonts w:ascii="Arial" w:cs="Arial" w:eastAsia="Arial" w:hAnsi="Arial"/>
                <w:sz w:val="26"/>
                <w:szCs w:val="26"/>
                <w:color w:val="auto"/>
                <w:w w:val="88"/>
                <w:vertAlign w:val="superscript"/>
              </w:rPr>
              <w:t>(2)</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6,068,878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680" w:type="dxa"/>
            <w:vAlign w:val="bottom"/>
            <w:shd w:val="clear" w:color="auto" w:fill="80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02/03/2020 02/03/2020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line="291" w:lineRule="exact"/>
              <w:rPr>
                <w:sz w:val="20"/>
                <w:szCs w:val="20"/>
                <w:color w:val="auto"/>
              </w:rPr>
            </w:pPr>
            <w:r>
              <w:rPr>
                <w:rFonts w:ascii="Arial" w:cs="Arial" w:eastAsia="Arial" w:hAnsi="Arial"/>
                <w:sz w:val="16"/>
                <w:szCs w:val="16"/>
                <w:color w:val="auto"/>
              </w:rPr>
              <w:t>470</w:t>
            </w:r>
            <w:r>
              <w:rPr>
                <w:rFonts w:ascii="Arial" w:cs="Arial" w:eastAsia="Arial" w:hAnsi="Arial"/>
                <w:sz w:val="26"/>
                <w:szCs w:val="26"/>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35,744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680" w:type="dxa"/>
            <w:vAlign w:val="bottom"/>
            <w:shd w:val="clear" w:color="auto" w:fill="80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12/11/2020 01/08/2020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gridSpan w:val="4"/>
          </w:tcPr>
          <w:p>
            <w:pPr>
              <w:jc w:val="right"/>
              <w:ind w:right="80"/>
              <w:spacing w:after="0" w:line="291" w:lineRule="exact"/>
              <w:rPr>
                <w:sz w:val="20"/>
                <w:szCs w:val="20"/>
                <w:color w:val="auto"/>
              </w:rPr>
            </w:pPr>
            <w:r>
              <w:rPr>
                <w:rFonts w:ascii="Arial" w:cs="Arial" w:eastAsia="Arial" w:hAnsi="Arial"/>
                <w:sz w:val="16"/>
                <w:szCs w:val="16"/>
                <w:color w:val="auto"/>
              </w:rPr>
              <w:t>— 27,231</w:t>
            </w:r>
            <w:r>
              <w:rPr>
                <w:rFonts w:ascii="Arial" w:cs="Arial" w:eastAsia="Arial" w:hAnsi="Arial"/>
                <w:sz w:val="26"/>
                <w:szCs w:val="26"/>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1,306,816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680" w:type="dxa"/>
            <w:vAlign w:val="bottom"/>
            <w:shd w:val="clear" w:color="auto" w:fill="80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24"/>
                <w:szCs w:val="24"/>
                <w:color w:val="auto"/>
              </w:rPr>
            </w:pPr>
          </w:p>
        </w:tc>
        <w:tc>
          <w:tcPr>
            <w:tcW w:w="1760" w:type="dxa"/>
            <w:vAlign w:val="bottom"/>
            <w:gridSpan w:val="4"/>
          </w:tcPr>
          <w:p>
            <w:pPr>
              <w:jc w:val="right"/>
              <w:ind w:right="80"/>
              <w:spacing w:after="0" w:line="291" w:lineRule="exact"/>
              <w:rPr>
                <w:sz w:val="20"/>
                <w:szCs w:val="20"/>
                <w:color w:val="auto"/>
              </w:rPr>
            </w:pPr>
            <w:r>
              <w:rPr>
                <w:rFonts w:ascii="Arial" w:cs="Arial" w:eastAsia="Arial" w:hAnsi="Arial"/>
                <w:sz w:val="16"/>
                <w:szCs w:val="16"/>
                <w:color w:val="auto"/>
              </w:rPr>
              <w:t>N/A $475,000</w:t>
            </w:r>
            <w:r>
              <w:rPr>
                <w:rFonts w:ascii="Arial" w:cs="Arial" w:eastAsia="Arial" w:hAnsi="Arial"/>
                <w:sz w:val="26"/>
                <w:szCs w:val="26"/>
                <w:color w:val="auto"/>
                <w:vertAlign w:val="superscript"/>
              </w:rPr>
              <w:t>(4)</w:t>
            </w:r>
          </w:p>
        </w:tc>
        <w:tc>
          <w:tcPr>
            <w:tcW w:w="1040" w:type="dxa"/>
            <w:vAlign w:val="bottom"/>
            <w:gridSpan w:val="2"/>
          </w:tcPr>
          <w:p>
            <w:pPr>
              <w:jc w:val="right"/>
              <w:ind w:right="80"/>
              <w:spacing w:after="0" w:line="291" w:lineRule="exact"/>
              <w:rPr>
                <w:sz w:val="20"/>
                <w:szCs w:val="20"/>
                <w:color w:val="auto"/>
              </w:rPr>
            </w:pPr>
            <w:r>
              <w:rPr>
                <w:rFonts w:ascii="Arial" w:cs="Arial" w:eastAsia="Arial" w:hAnsi="Arial"/>
                <w:sz w:val="16"/>
                <w:szCs w:val="16"/>
                <w:color w:val="auto"/>
                <w:w w:val="92"/>
              </w:rPr>
              <w:t>$1,662,500</w:t>
            </w:r>
            <w:r>
              <w:rPr>
                <w:rFonts w:ascii="Arial" w:cs="Arial" w:eastAsia="Arial" w:hAnsi="Arial"/>
                <w:sz w:val="26"/>
                <w:szCs w:val="26"/>
                <w:color w:val="auto"/>
                <w:w w:val="92"/>
                <w:vertAlign w:val="superscript"/>
              </w:rPr>
              <w:t>(4)</w:t>
            </w:r>
          </w:p>
        </w:tc>
        <w:tc>
          <w:tcPr>
            <w:tcW w:w="1040" w:type="dxa"/>
            <w:vAlign w:val="bottom"/>
            <w:gridSpan w:val="2"/>
          </w:tcPr>
          <w:p>
            <w:pPr>
              <w:jc w:val="right"/>
              <w:ind w:right="80"/>
              <w:spacing w:after="0" w:line="291" w:lineRule="exact"/>
              <w:rPr>
                <w:sz w:val="20"/>
                <w:szCs w:val="20"/>
                <w:color w:val="auto"/>
              </w:rPr>
            </w:pPr>
            <w:r>
              <w:rPr>
                <w:rFonts w:ascii="Arial" w:cs="Arial" w:eastAsia="Arial" w:hAnsi="Arial"/>
                <w:sz w:val="16"/>
                <w:szCs w:val="16"/>
                <w:color w:val="auto"/>
                <w:w w:val="92"/>
              </w:rPr>
              <w:t>$2,375,000</w:t>
            </w:r>
            <w:r>
              <w:rPr>
                <w:rFonts w:ascii="Arial" w:cs="Arial" w:eastAsia="Arial" w:hAnsi="Arial"/>
                <w:sz w:val="26"/>
                <w:szCs w:val="26"/>
                <w:color w:val="auto"/>
                <w:w w:val="92"/>
                <w:vertAlign w:val="superscript"/>
              </w:rPr>
              <w:t>(4)</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00" w:type="dxa"/>
            <w:vAlign w:val="bottom"/>
            <w:tcBorders>
              <w:top w:val="single" w:sz="8" w:color="8089AD"/>
            </w:tcBorders>
          </w:tcPr>
          <w:p>
            <w:pPr>
              <w:spacing w:after="0" w:line="169" w:lineRule="exact"/>
              <w:rPr>
                <w:sz w:val="20"/>
                <w:szCs w:val="20"/>
                <w:color w:val="auto"/>
              </w:rPr>
            </w:pPr>
            <w:r>
              <w:rPr>
                <w:rFonts w:ascii="Arial" w:cs="Arial" w:eastAsia="Arial" w:hAnsi="Arial"/>
                <w:sz w:val="16"/>
                <w:szCs w:val="16"/>
                <w:color w:val="auto"/>
              </w:rPr>
              <w:t>Matthew J.</w:t>
            </w:r>
          </w:p>
        </w:tc>
        <w:tc>
          <w:tcPr>
            <w:tcW w:w="80" w:type="dxa"/>
            <w:vAlign w:val="bottom"/>
          </w:tcPr>
          <w:p>
            <w:pPr>
              <w:spacing w:after="0"/>
              <w:rPr>
                <w:sz w:val="14"/>
                <w:szCs w:val="14"/>
                <w:color w:val="auto"/>
              </w:rPr>
            </w:pPr>
          </w:p>
        </w:tc>
        <w:tc>
          <w:tcPr>
            <w:tcW w:w="80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w w:val="97"/>
                <w:shd w:val="clear" w:color="auto" w:fill="C0C4D7"/>
              </w:rPr>
              <w:t>01/18/2020</w:t>
            </w:r>
          </w:p>
        </w:tc>
        <w:tc>
          <w:tcPr>
            <w:tcW w:w="80" w:type="dxa"/>
            <w:vAlign w:val="bottom"/>
          </w:tcPr>
          <w:p>
            <w:pPr>
              <w:spacing w:after="0"/>
              <w:rPr>
                <w:sz w:val="14"/>
                <w:szCs w:val="14"/>
                <w:color w:val="auto"/>
              </w:rPr>
            </w:pPr>
          </w:p>
        </w:tc>
        <w:tc>
          <w:tcPr>
            <w:tcW w:w="78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w w:val="94"/>
                <w:shd w:val="clear" w:color="auto" w:fill="C0C4D7"/>
              </w:rPr>
              <w:t>01/18/2020</w:t>
            </w:r>
          </w:p>
        </w:tc>
        <w:tc>
          <w:tcPr>
            <w:tcW w:w="80" w:type="dxa"/>
            <w:vAlign w:val="bottom"/>
          </w:tcPr>
          <w:p>
            <w:pPr>
              <w:spacing w:after="0"/>
              <w:rPr>
                <w:sz w:val="14"/>
                <w:szCs w:val="14"/>
                <w:color w:val="auto"/>
              </w:rPr>
            </w:pPr>
          </w:p>
        </w:tc>
        <w:tc>
          <w:tcPr>
            <w:tcW w:w="82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6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6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4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64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00" w:type="dxa"/>
            <w:vAlign w:val="bottom"/>
            <w:tcBorders>
              <w:top w:val="single" w:sz="8" w:color="8089AD"/>
            </w:tcBorders>
            <w:vMerge w:val="restart"/>
            <w:shd w:val="clear" w:color="auto" w:fill="C0C4D7"/>
          </w:tcPr>
          <w:p>
            <w:pPr>
              <w:ind w:left="5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4"/>
                <w:szCs w:val="14"/>
                <w:color w:val="auto"/>
              </w:rPr>
            </w:pPr>
          </w:p>
        </w:tc>
        <w:tc>
          <w:tcPr>
            <w:tcW w:w="640" w:type="dxa"/>
            <w:vAlign w:val="bottom"/>
            <w:tcBorders>
              <w:top w:val="single" w:sz="8" w:color="8089AD"/>
            </w:tcBorders>
            <w:shd w:val="clear" w:color="auto" w:fill="C0C4D7"/>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8089AD"/>
            </w:tcBorders>
            <w:vMerge w:val="restart"/>
            <w:shd w:val="clear" w:color="auto" w:fill="C0C4D7"/>
          </w:tcPr>
          <w:p>
            <w:pPr>
              <w:jc w:val="right"/>
              <w:spacing w:after="0"/>
              <w:rPr>
                <w:sz w:val="20"/>
                <w:szCs w:val="20"/>
                <w:color w:val="auto"/>
              </w:rPr>
            </w:pPr>
            <w:r>
              <w:rPr>
                <w:rFonts w:ascii="Arial" w:cs="Arial" w:eastAsia="Arial" w:hAnsi="Arial"/>
                <w:sz w:val="16"/>
                <w:szCs w:val="16"/>
                <w:color w:val="auto"/>
              </w:rPr>
              <w:t>742,463</w:t>
            </w:r>
          </w:p>
        </w:tc>
        <w:tc>
          <w:tcPr>
            <w:tcW w:w="0" w:type="dxa"/>
            <w:vAlign w:val="bottom"/>
          </w:tcPr>
          <w:p>
            <w:pPr>
              <w:spacing w:after="0"/>
              <w:rPr>
                <w:sz w:val="1"/>
                <w:szCs w:val="1"/>
                <w:color w:val="auto"/>
              </w:rPr>
            </w:pPr>
          </w:p>
        </w:tc>
      </w:tr>
      <w:tr>
        <w:trPr>
          <w:trHeight w:val="122"/>
        </w:trPr>
        <w:tc>
          <w:tcPr>
            <w:tcW w:w="2780" w:type="dxa"/>
            <w:vAlign w:val="bottom"/>
            <w:gridSpan w:val="2"/>
            <w:vMerge w:val="restart"/>
          </w:tcPr>
          <w:p>
            <w:pPr>
              <w:spacing w:after="0"/>
              <w:rPr>
                <w:sz w:val="20"/>
                <w:szCs w:val="20"/>
                <w:color w:val="auto"/>
              </w:rPr>
            </w:pPr>
            <w:r>
              <w:rPr>
                <w:rFonts w:ascii="Arial" w:cs="Arial" w:eastAsia="Arial" w:hAnsi="Arial"/>
                <w:sz w:val="16"/>
                <w:szCs w:val="16"/>
                <w:color w:val="auto"/>
              </w:rPr>
              <w:t>DiLiberto</w:t>
            </w:r>
          </w:p>
        </w:tc>
        <w:tc>
          <w:tcPr>
            <w:tcW w:w="80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8089AD"/>
            </w:tcBorders>
            <w:vMerge w:val="continue"/>
            <w:shd w:val="clear" w:color="auto" w:fill="C0C4D7"/>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8089AD"/>
            </w:tcBorders>
            <w:shd w:val="clear" w:color="auto" w:fill="C0C4D7"/>
          </w:tcPr>
          <w:p>
            <w:pPr>
              <w:jc w:val="right"/>
              <w:ind w:right="66"/>
              <w:spacing w:after="0" w:line="122" w:lineRule="exact"/>
              <w:rPr>
                <w:sz w:val="20"/>
                <w:szCs w:val="20"/>
                <w:color w:val="auto"/>
              </w:rPr>
            </w:pPr>
            <w:r>
              <w:rPr>
                <w:rFonts w:ascii="Arial" w:cs="Arial" w:eastAsia="Arial" w:hAnsi="Arial"/>
                <w:sz w:val="14"/>
                <w:szCs w:val="14"/>
                <w:color w:val="auto"/>
              </w:rPr>
              <w:t>9,864</w:t>
            </w:r>
          </w:p>
        </w:tc>
        <w:tc>
          <w:tcPr>
            <w:tcW w:w="80" w:type="dxa"/>
            <w:vAlign w:val="bottom"/>
          </w:tcPr>
          <w:p>
            <w:pPr>
              <w:spacing w:after="0"/>
              <w:rPr>
                <w:sz w:val="10"/>
                <w:szCs w:val="10"/>
                <w:color w:val="auto"/>
              </w:rPr>
            </w:pPr>
          </w:p>
        </w:tc>
        <w:tc>
          <w:tcPr>
            <w:tcW w:w="120" w:type="dxa"/>
            <w:vAlign w:val="bottom"/>
            <w:tcBorders>
              <w:bottom w:val="single" w:sz="8" w:color="8089AD"/>
            </w:tcBorders>
            <w:vMerge w:val="continue"/>
            <w:shd w:val="clear" w:color="auto" w:fill="C0C4D7"/>
          </w:tcPr>
          <w:p>
            <w:pPr>
              <w:spacing w:after="0"/>
              <w:rPr>
                <w:sz w:val="10"/>
                <w:szCs w:val="10"/>
                <w:color w:val="auto"/>
              </w:rPr>
            </w:pPr>
          </w:p>
        </w:tc>
        <w:tc>
          <w:tcPr>
            <w:tcW w:w="680" w:type="dxa"/>
            <w:vAlign w:val="bottom"/>
            <w:tcBorders>
              <w:bottom w:val="single" w:sz="8" w:color="8089AD"/>
            </w:tcBorders>
            <w:vMerge w:val="continue"/>
            <w:shd w:val="clear" w:color="auto" w:fill="C0C4D7"/>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780" w:type="dxa"/>
            <w:vAlign w:val="bottom"/>
            <w:gridSpan w:val="2"/>
            <w:vMerge w:val="continue"/>
          </w:tcPr>
          <w:p>
            <w:pPr>
              <w:spacing w:after="0"/>
              <w:rPr>
                <w:sz w:val="13"/>
                <w:szCs w:val="13"/>
                <w:color w:val="auto"/>
              </w:rPr>
            </w:pPr>
          </w:p>
        </w:tc>
        <w:tc>
          <w:tcPr>
            <w:tcW w:w="174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w w:val="99"/>
              </w:rPr>
              <w:t>01/18/2020 01/18/2020</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gridSpan w:val="4"/>
            <w:vMerge w:val="restart"/>
          </w:tcPr>
          <w:p>
            <w:pPr>
              <w:jc w:val="right"/>
              <w:ind w:right="80"/>
              <w:spacing w:after="0" w:line="291" w:lineRule="exact"/>
              <w:rPr>
                <w:sz w:val="20"/>
                <w:szCs w:val="20"/>
                <w:color w:val="auto"/>
              </w:rPr>
            </w:pPr>
            <w:r>
              <w:rPr>
                <w:rFonts w:ascii="Arial" w:cs="Arial" w:eastAsia="Arial" w:hAnsi="Arial"/>
                <w:sz w:val="16"/>
                <w:szCs w:val="16"/>
                <w:color w:val="auto"/>
              </w:rPr>
              <w:t>—  2,852</w:t>
            </w:r>
            <w:r>
              <w:rPr>
                <w:rFonts w:ascii="Arial" w:cs="Arial" w:eastAsia="Arial" w:hAnsi="Arial"/>
                <w:sz w:val="26"/>
                <w:szCs w:val="26"/>
                <w:color w:val="auto"/>
                <w:vertAlign w:val="superscript"/>
              </w:rPr>
              <w:t>(2)</w:t>
            </w:r>
          </w:p>
        </w:tc>
        <w:tc>
          <w:tcPr>
            <w:tcW w:w="720" w:type="dxa"/>
            <w:vAlign w:val="bottom"/>
            <w:gridSpan w:val="2"/>
            <w:vMerge w:val="restart"/>
          </w:tcPr>
          <w:p>
            <w:pPr>
              <w:jc w:val="right"/>
              <w:ind w:right="80"/>
              <w:spacing w:after="0" w:line="291" w:lineRule="exact"/>
              <w:rPr>
                <w:sz w:val="20"/>
                <w:szCs w:val="20"/>
                <w:color w:val="auto"/>
              </w:rPr>
            </w:pPr>
            <w:r>
              <w:rPr>
                <w:rFonts w:ascii="Arial" w:cs="Arial" w:eastAsia="Arial" w:hAnsi="Arial"/>
                <w:sz w:val="16"/>
                <w:szCs w:val="16"/>
                <w:color w:val="auto"/>
              </w:rPr>
              <w:t>6,085</w:t>
            </w:r>
            <w:r>
              <w:rPr>
                <w:rFonts w:ascii="Arial" w:cs="Arial" w:eastAsia="Arial" w:hAnsi="Arial"/>
                <w:sz w:val="26"/>
                <w:szCs w:val="26"/>
                <w:color w:val="auto"/>
                <w:vertAlign w:val="superscript"/>
              </w:rPr>
              <w:t>(2)</w:t>
            </w:r>
          </w:p>
        </w:tc>
        <w:tc>
          <w:tcPr>
            <w:tcW w:w="780" w:type="dxa"/>
            <w:vAlign w:val="bottom"/>
            <w:gridSpan w:val="2"/>
            <w:vMerge w:val="restart"/>
          </w:tcPr>
          <w:p>
            <w:pPr>
              <w:jc w:val="right"/>
              <w:ind w:right="60"/>
              <w:spacing w:after="0" w:line="291" w:lineRule="exact"/>
              <w:rPr>
                <w:sz w:val="20"/>
                <w:szCs w:val="20"/>
                <w:color w:val="auto"/>
              </w:rPr>
            </w:pPr>
            <w:r>
              <w:rPr>
                <w:rFonts w:ascii="Arial" w:cs="Arial" w:eastAsia="Arial" w:hAnsi="Arial"/>
                <w:sz w:val="16"/>
                <w:szCs w:val="16"/>
                <w:color w:val="auto"/>
                <w:w w:val="99"/>
              </w:rPr>
              <w:t>13,692</w:t>
            </w:r>
            <w:r>
              <w:rPr>
                <w:rFonts w:ascii="Arial" w:cs="Arial" w:eastAsia="Arial" w:hAnsi="Arial"/>
                <w:sz w:val="26"/>
                <w:szCs w:val="26"/>
                <w:color w:val="auto"/>
                <w:w w:val="99"/>
                <w:vertAlign w:val="superscript"/>
              </w:rPr>
              <w:t>(2)</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594,035</w:t>
            </w:r>
          </w:p>
        </w:tc>
        <w:tc>
          <w:tcPr>
            <w:tcW w:w="0" w:type="dxa"/>
            <w:vAlign w:val="bottom"/>
          </w:tcPr>
          <w:p>
            <w:pPr>
              <w:spacing w:after="0"/>
              <w:rPr>
                <w:sz w:val="1"/>
                <w:szCs w:val="1"/>
                <w:color w:val="auto"/>
              </w:rPr>
            </w:pPr>
          </w:p>
        </w:tc>
      </w:tr>
      <w:tr>
        <w:trPr>
          <w:trHeight w:val="141"/>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700" w:type="dxa"/>
            <w:vAlign w:val="bottom"/>
            <w:tcBorders>
              <w:top w:val="single" w:sz="8" w:color="8089AD"/>
            </w:tcBorders>
          </w:tcPr>
          <w:p>
            <w:pPr>
              <w:spacing w:after="0"/>
              <w:rPr>
                <w:sz w:val="20"/>
                <w:szCs w:val="20"/>
                <w:color w:val="auto"/>
              </w:rPr>
            </w:pPr>
            <w:r>
              <w:rPr>
                <w:rFonts w:ascii="Arial" w:cs="Arial" w:eastAsia="Arial" w:hAnsi="Arial"/>
                <w:sz w:val="16"/>
                <w:szCs w:val="16"/>
                <w:color w:val="auto"/>
              </w:rPr>
              <w:t>Andrew S. Levine</w:t>
            </w:r>
          </w:p>
        </w:tc>
        <w:tc>
          <w:tcPr>
            <w:tcW w:w="80" w:type="dxa"/>
            <w:vAlign w:val="bottom"/>
          </w:tcPr>
          <w:p>
            <w:pPr>
              <w:spacing w:after="0"/>
              <w:rPr>
                <w:sz w:val="24"/>
                <w:szCs w:val="24"/>
                <w:color w:val="auto"/>
              </w:rPr>
            </w:pPr>
          </w:p>
        </w:tc>
        <w:tc>
          <w:tcPr>
            <w:tcW w:w="80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7"/>
                <w:shd w:val="clear" w:color="auto" w:fill="C0C4D7"/>
              </w:rPr>
              <w:t>01/18/2020</w:t>
            </w:r>
          </w:p>
        </w:tc>
        <w:tc>
          <w:tcPr>
            <w:tcW w:w="80" w:type="dxa"/>
            <w:vAlign w:val="bottom"/>
          </w:tcPr>
          <w:p>
            <w:pPr>
              <w:spacing w:after="0"/>
              <w:rPr>
                <w:sz w:val="24"/>
                <w:szCs w:val="24"/>
                <w:color w:val="auto"/>
              </w:rPr>
            </w:pPr>
          </w:p>
        </w:tc>
        <w:tc>
          <w:tcPr>
            <w:tcW w:w="78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4"/>
                <w:shd w:val="clear" w:color="auto" w:fill="C0C4D7"/>
              </w:rPr>
              <w:t>01/18/2020</w:t>
            </w:r>
          </w:p>
        </w:tc>
        <w:tc>
          <w:tcPr>
            <w:tcW w:w="80" w:type="dxa"/>
            <w:vAlign w:val="bottom"/>
          </w:tcPr>
          <w:p>
            <w:pPr>
              <w:spacing w:after="0"/>
              <w:rPr>
                <w:sz w:val="24"/>
                <w:szCs w:val="24"/>
                <w:color w:val="auto"/>
              </w:rPr>
            </w:pPr>
          </w:p>
        </w:tc>
        <w:tc>
          <w:tcPr>
            <w:tcW w:w="8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6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6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00" w:type="dxa"/>
            <w:vAlign w:val="bottom"/>
            <w:tcBorders>
              <w:top w:val="single" w:sz="8" w:color="8089AD"/>
              <w:bottom w:val="single" w:sz="8" w:color="8089AD"/>
            </w:tcBorders>
            <w:shd w:val="clear" w:color="auto" w:fill="C0C4D7"/>
          </w:tcPr>
          <w:p>
            <w:pPr>
              <w:ind w:left="5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24"/>
                <w:szCs w:val="24"/>
                <w:color w:val="auto"/>
              </w:rPr>
            </w:pPr>
          </w:p>
        </w:tc>
        <w:tc>
          <w:tcPr>
            <w:tcW w:w="640" w:type="dxa"/>
            <w:vAlign w:val="bottom"/>
            <w:tcBorders>
              <w:top w:val="single" w:sz="8" w:color="8089AD"/>
              <w:bottom w:val="single" w:sz="8" w:color="8089AD"/>
            </w:tcBorders>
            <w:shd w:val="clear" w:color="auto" w:fill="C0C4D7"/>
          </w:tcPr>
          <w:p>
            <w:pPr>
              <w:jc w:val="right"/>
              <w:spacing w:after="0" w:line="291" w:lineRule="exact"/>
              <w:rPr>
                <w:sz w:val="20"/>
                <w:szCs w:val="20"/>
                <w:color w:val="auto"/>
              </w:rPr>
            </w:pPr>
            <w:r>
              <w:rPr>
                <w:rFonts w:ascii="Arial" w:cs="Arial" w:eastAsia="Arial" w:hAnsi="Arial"/>
                <w:sz w:val="16"/>
                <w:szCs w:val="16"/>
                <w:color w:val="auto"/>
                <w:w w:val="88"/>
                <w:shd w:val="clear" w:color="auto" w:fill="C0C4D7"/>
              </w:rPr>
              <w:t>14,240</w:t>
            </w:r>
            <w:r>
              <w:rPr>
                <w:rFonts w:ascii="Arial" w:cs="Arial" w:eastAsia="Arial" w:hAnsi="Arial"/>
                <w:sz w:val="26"/>
                <w:szCs w:val="26"/>
                <w:color w:val="auto"/>
                <w:w w:val="88"/>
                <w:vertAlign w:val="superscript"/>
                <w:shd w:val="clear" w:color="auto" w:fill="C0C4D7"/>
              </w:rPr>
              <w:t>(7)</w:t>
            </w:r>
          </w:p>
        </w:tc>
        <w:tc>
          <w:tcPr>
            <w:tcW w:w="80" w:type="dxa"/>
            <w:vAlign w:val="bottom"/>
          </w:tcPr>
          <w:p>
            <w:pPr>
              <w:spacing w:after="0"/>
              <w:rPr>
                <w:sz w:val="24"/>
                <w:szCs w:val="24"/>
                <w:color w:val="auto"/>
              </w:rPr>
            </w:pPr>
          </w:p>
        </w:tc>
        <w:tc>
          <w:tcPr>
            <w:tcW w:w="1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shd w:val="clear" w:color="auto" w:fill="C0C4D7"/>
              </w:rPr>
              <w:t>$</w:t>
            </w:r>
          </w:p>
        </w:tc>
        <w:tc>
          <w:tcPr>
            <w:tcW w:w="68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6"/>
                <w:szCs w:val="16"/>
                <w:color w:val="auto"/>
                <w:w w:val="92"/>
                <w:shd w:val="clear" w:color="auto" w:fill="C0C4D7"/>
              </w:rPr>
              <w:t>1,138,203</w:t>
            </w:r>
          </w:p>
        </w:tc>
        <w:tc>
          <w:tcPr>
            <w:tcW w:w="0" w:type="dxa"/>
            <w:vAlign w:val="bottom"/>
          </w:tcPr>
          <w:p>
            <w:pPr>
              <w:spacing w:after="0"/>
              <w:rPr>
                <w:sz w:val="1"/>
                <w:szCs w:val="1"/>
                <w:color w:val="auto"/>
              </w:rPr>
            </w:pPr>
          </w:p>
        </w:tc>
      </w:tr>
      <w:tr>
        <w:trPr>
          <w:trHeight w:val="29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01/18/2020 01/18/2020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gridSpan w:val="4"/>
          </w:tcPr>
          <w:p>
            <w:pPr>
              <w:jc w:val="right"/>
              <w:ind w:right="80"/>
              <w:spacing w:after="0" w:line="291" w:lineRule="exact"/>
              <w:rPr>
                <w:sz w:val="20"/>
                <w:szCs w:val="20"/>
                <w:color w:val="auto"/>
              </w:rPr>
            </w:pPr>
            <w:r>
              <w:rPr>
                <w:rFonts w:ascii="Arial" w:cs="Arial" w:eastAsia="Arial" w:hAnsi="Arial"/>
                <w:sz w:val="16"/>
                <w:szCs w:val="16"/>
                <w:color w:val="auto"/>
              </w:rPr>
              <w:t>— 12,878</w:t>
            </w:r>
            <w:r>
              <w:rPr>
                <w:rFonts w:ascii="Arial" w:cs="Arial" w:eastAsia="Arial" w:hAnsi="Arial"/>
                <w:sz w:val="26"/>
                <w:szCs w:val="26"/>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969,327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8089A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680" w:type="dxa"/>
            <w:vAlign w:val="bottom"/>
            <w:shd w:val="clear" w:color="auto" w:fill="8089A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01/18/2020 01/18/2020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line="291" w:lineRule="exact"/>
              <w:rPr>
                <w:sz w:val="20"/>
                <w:szCs w:val="20"/>
                <w:color w:val="auto"/>
              </w:rPr>
            </w:pPr>
            <w:r>
              <w:rPr>
                <w:rFonts w:ascii="Arial" w:cs="Arial" w:eastAsia="Arial" w:hAnsi="Arial"/>
                <w:sz w:val="16"/>
                <w:szCs w:val="16"/>
                <w:color w:val="auto"/>
              </w:rPr>
              <w:t>2,852</w:t>
            </w:r>
            <w:r>
              <w:rPr>
                <w:rFonts w:ascii="Arial" w:cs="Arial" w:eastAsia="Arial" w:hAnsi="Arial"/>
                <w:sz w:val="26"/>
                <w:szCs w:val="26"/>
                <w:color w:val="auto"/>
                <w:vertAlign w:val="superscript"/>
              </w:rPr>
              <w:t>(2)</w:t>
            </w:r>
          </w:p>
        </w:tc>
        <w:tc>
          <w:tcPr>
            <w:tcW w:w="720" w:type="dxa"/>
            <w:vAlign w:val="bottom"/>
            <w:gridSpan w:val="2"/>
          </w:tcPr>
          <w:p>
            <w:pPr>
              <w:jc w:val="right"/>
              <w:ind w:right="80"/>
              <w:spacing w:after="0" w:line="291" w:lineRule="exact"/>
              <w:rPr>
                <w:sz w:val="20"/>
                <w:szCs w:val="20"/>
                <w:color w:val="auto"/>
              </w:rPr>
            </w:pPr>
            <w:r>
              <w:rPr>
                <w:rFonts w:ascii="Arial" w:cs="Arial" w:eastAsia="Arial" w:hAnsi="Arial"/>
                <w:sz w:val="16"/>
                <w:szCs w:val="16"/>
                <w:color w:val="auto"/>
              </w:rPr>
              <w:t>6,085</w:t>
            </w:r>
            <w:r>
              <w:rPr>
                <w:rFonts w:ascii="Arial" w:cs="Arial" w:eastAsia="Arial" w:hAnsi="Arial"/>
                <w:sz w:val="26"/>
                <w:szCs w:val="26"/>
                <w:color w:val="auto"/>
                <w:vertAlign w:val="superscript"/>
              </w:rPr>
              <w:t>(2)</w:t>
            </w:r>
          </w:p>
        </w:tc>
        <w:tc>
          <w:tcPr>
            <w:tcW w:w="780" w:type="dxa"/>
            <w:vAlign w:val="bottom"/>
            <w:gridSpan w:val="2"/>
          </w:tcPr>
          <w:p>
            <w:pPr>
              <w:jc w:val="right"/>
              <w:ind w:right="60"/>
              <w:spacing w:after="0" w:line="291" w:lineRule="exact"/>
              <w:rPr>
                <w:sz w:val="20"/>
                <w:szCs w:val="20"/>
                <w:color w:val="auto"/>
              </w:rPr>
            </w:pPr>
            <w:r>
              <w:rPr>
                <w:rFonts w:ascii="Arial" w:cs="Arial" w:eastAsia="Arial" w:hAnsi="Arial"/>
                <w:sz w:val="16"/>
                <w:szCs w:val="16"/>
                <w:color w:val="auto"/>
                <w:w w:val="99"/>
              </w:rPr>
              <w:t>13,692</w:t>
            </w:r>
            <w:r>
              <w:rPr>
                <w:rFonts w:ascii="Arial" w:cs="Arial" w:eastAsia="Arial" w:hAnsi="Arial"/>
                <w:sz w:val="26"/>
                <w:szCs w:val="26"/>
                <w:color w:val="auto"/>
                <w:w w:val="99"/>
                <w:vertAlign w:val="superscript"/>
              </w:rPr>
              <w:t>(2)</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594,035</w:t>
            </w:r>
          </w:p>
        </w:tc>
        <w:tc>
          <w:tcPr>
            <w:tcW w:w="0" w:type="dxa"/>
            <w:vAlign w:val="bottom"/>
          </w:tcPr>
          <w:p>
            <w:pPr>
              <w:spacing w:after="0"/>
              <w:rPr>
                <w:sz w:val="1"/>
                <w:szCs w:val="1"/>
                <w:color w:val="auto"/>
              </w:rPr>
            </w:pPr>
          </w:p>
        </w:tc>
      </w:tr>
      <w:tr>
        <w:trPr>
          <w:trHeight w:val="27"/>
        </w:trPr>
        <w:tc>
          <w:tcPr>
            <w:tcW w:w="270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355A89"/>
          </w:tcPr>
          <w:p>
            <w:pPr>
              <w:spacing w:after="0"/>
              <w:rPr>
                <w:sz w:val="2"/>
                <w:szCs w:val="2"/>
                <w:color w:val="auto"/>
              </w:rPr>
            </w:pPr>
          </w:p>
        </w:tc>
        <w:tc>
          <w:tcPr>
            <w:tcW w:w="680" w:type="dxa"/>
            <w:vAlign w:val="bottom"/>
            <w:shd w:val="clear" w:color="auto" w:fill="355A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20" w:right="420" w:hanging="312"/>
        <w:spacing w:after="0" w:line="258" w:lineRule="auto"/>
        <w:tabs>
          <w:tab w:leader="none" w:pos="3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grant of LTIP units was awarded in connection with Mr. Holliday’s employment agreement, with equal installments vesting on each of January 1, 2021, January 1, 2022 and January 1, 2023, subject to continued employment.</w:t>
      </w:r>
    </w:p>
    <w:p>
      <w:pPr>
        <w:spacing w:after="0" w:line="43" w:lineRule="exact"/>
        <w:rPr>
          <w:rFonts w:ascii="Arial" w:cs="Arial" w:eastAsia="Arial" w:hAnsi="Arial"/>
          <w:sz w:val="13"/>
          <w:szCs w:val="13"/>
          <w:color w:val="auto"/>
        </w:rPr>
      </w:pPr>
    </w:p>
    <w:p>
      <w:pPr>
        <w:ind w:left="320" w:right="160" w:hanging="312"/>
        <w:spacing w:after="0" w:line="258" w:lineRule="auto"/>
        <w:tabs>
          <w:tab w:leader="none" w:pos="3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LTIP units granted as 2020 annual performance-based equity awards that were subject to performance-based vesting hurdles. One-half of the LTIP units were eligible to be earned based on the Company’s achievement during 2020 of the operating performance metrics set forth below:</w:t>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3"/>
                <w:szCs w:val="13"/>
                <w:b w:val="1"/>
                <w:bCs w:val="1"/>
                <w:color w:val="355A89"/>
              </w:rPr>
              <w:t>Manhattan Office</w:t>
            </w: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20"/>
                <w:szCs w:val="20"/>
                <w:color w:val="auto"/>
              </w:rPr>
            </w:pPr>
            <w:r>
              <w:rPr>
                <w:rFonts w:ascii="Arial" w:cs="Arial" w:eastAsia="Arial" w:hAnsi="Arial"/>
                <w:sz w:val="13"/>
                <w:szCs w:val="13"/>
                <w:b w:val="1"/>
                <w:bCs w:val="1"/>
                <w:color w:val="355A89"/>
              </w:rPr>
              <w:t>Percentage of</w:t>
            </w:r>
          </w:p>
        </w:tc>
      </w:tr>
      <w:tr>
        <w:trPr>
          <w:trHeight w:val="148"/>
        </w:trPr>
        <w:tc>
          <w:tcPr>
            <w:tcW w:w="3580" w:type="dxa"/>
            <w:vAlign w:val="bottom"/>
          </w:tcPr>
          <w:p>
            <w:pPr>
              <w:spacing w:after="0"/>
              <w:rPr>
                <w:sz w:val="12"/>
                <w:szCs w:val="12"/>
                <w:color w:val="auto"/>
              </w:rPr>
            </w:pPr>
          </w:p>
        </w:tc>
        <w:tc>
          <w:tcPr>
            <w:tcW w:w="1880" w:type="dxa"/>
            <w:vAlign w:val="bottom"/>
            <w:gridSpan w:val="3"/>
          </w:tcPr>
          <w:p>
            <w:pPr>
              <w:ind w:left="160"/>
              <w:spacing w:after="0"/>
              <w:rPr>
                <w:sz w:val="20"/>
                <w:szCs w:val="20"/>
                <w:color w:val="auto"/>
              </w:rPr>
            </w:pPr>
            <w:r>
              <w:rPr>
                <w:rFonts w:ascii="Arial" w:cs="Arial" w:eastAsia="Arial" w:hAnsi="Arial"/>
                <w:sz w:val="13"/>
                <w:szCs w:val="13"/>
                <w:b w:val="1"/>
                <w:bCs w:val="1"/>
                <w:color w:val="355A89"/>
              </w:rPr>
              <w:t>Funds Available for</w:t>
            </w: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355A89"/>
              </w:rPr>
              <w:t>Debt / EBITDA</w:t>
            </w:r>
          </w:p>
        </w:tc>
        <w:tc>
          <w:tcPr>
            <w:tcW w:w="1240" w:type="dxa"/>
            <w:vAlign w:val="bottom"/>
          </w:tcPr>
          <w:p>
            <w:pPr>
              <w:spacing w:after="0"/>
              <w:rPr>
                <w:sz w:val="20"/>
                <w:szCs w:val="20"/>
                <w:color w:val="auto"/>
              </w:rPr>
            </w:pPr>
            <w:r>
              <w:rPr>
                <w:rFonts w:ascii="Arial" w:cs="Arial" w:eastAsia="Arial" w:hAnsi="Arial"/>
                <w:sz w:val="13"/>
                <w:szCs w:val="13"/>
                <w:b w:val="1"/>
                <w:bCs w:val="1"/>
                <w:color w:val="355A89"/>
              </w:rPr>
              <w:t>Same-Store Leased</w:t>
            </w:r>
          </w:p>
        </w:tc>
        <w:tc>
          <w:tcPr>
            <w:tcW w:w="1980" w:type="dxa"/>
            <w:vAlign w:val="bottom"/>
            <w:gridSpan w:val="3"/>
          </w:tcPr>
          <w:p>
            <w:pPr>
              <w:ind w:left="160"/>
              <w:spacing w:after="0"/>
              <w:rPr>
                <w:sz w:val="20"/>
                <w:szCs w:val="20"/>
                <w:color w:val="auto"/>
              </w:rPr>
            </w:pPr>
            <w:r>
              <w:rPr>
                <w:rFonts w:ascii="Arial" w:cs="Arial" w:eastAsia="Arial" w:hAnsi="Arial"/>
                <w:sz w:val="13"/>
                <w:szCs w:val="13"/>
                <w:b w:val="1"/>
                <w:bCs w:val="1"/>
                <w:color w:val="355A89"/>
              </w:rPr>
              <w:t>Manhattan Office Leasing</w:t>
            </w:r>
          </w:p>
        </w:tc>
        <w:tc>
          <w:tcPr>
            <w:tcW w:w="1200" w:type="dxa"/>
            <w:vAlign w:val="bottom"/>
          </w:tcPr>
          <w:p>
            <w:pPr>
              <w:spacing w:after="0"/>
              <w:rPr>
                <w:sz w:val="20"/>
                <w:szCs w:val="20"/>
                <w:color w:val="auto"/>
              </w:rPr>
            </w:pPr>
            <w:r>
              <w:rPr>
                <w:rFonts w:ascii="Arial" w:cs="Arial" w:eastAsia="Arial" w:hAnsi="Arial"/>
                <w:sz w:val="13"/>
                <w:szCs w:val="13"/>
                <w:b w:val="1"/>
                <w:bCs w:val="1"/>
                <w:color w:val="355A89"/>
              </w:rPr>
              <w:t>Target Operational</w:t>
            </w:r>
          </w:p>
        </w:tc>
      </w:tr>
      <w:tr>
        <w:trPr>
          <w:trHeight w:val="148"/>
        </w:trPr>
        <w:tc>
          <w:tcPr>
            <w:tcW w:w="3580" w:type="dxa"/>
            <w:vAlign w:val="bottom"/>
          </w:tcPr>
          <w:p>
            <w:pPr>
              <w:spacing w:after="0"/>
              <w:rPr>
                <w:sz w:val="12"/>
                <w:szCs w:val="12"/>
                <w:color w:val="auto"/>
              </w:rPr>
            </w:pPr>
          </w:p>
        </w:tc>
        <w:tc>
          <w:tcPr>
            <w:tcW w:w="1880" w:type="dxa"/>
            <w:vAlign w:val="bottom"/>
            <w:gridSpan w:val="3"/>
          </w:tcPr>
          <w:p>
            <w:pPr>
              <w:ind w:left="160"/>
              <w:spacing w:after="0"/>
              <w:rPr>
                <w:sz w:val="20"/>
                <w:szCs w:val="20"/>
                <w:color w:val="auto"/>
              </w:rPr>
            </w:pPr>
            <w:r>
              <w:rPr>
                <w:rFonts w:ascii="Arial" w:cs="Arial" w:eastAsia="Arial" w:hAnsi="Arial"/>
                <w:sz w:val="13"/>
                <w:szCs w:val="13"/>
                <w:b w:val="1"/>
                <w:bCs w:val="1"/>
                <w:color w:val="355A89"/>
              </w:rPr>
              <w:t>Distribution (in millions)</w:t>
            </w: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355A89"/>
              </w:rPr>
              <w:t>Ratio</w:t>
            </w:r>
          </w:p>
        </w:tc>
        <w:tc>
          <w:tcPr>
            <w:tcW w:w="1240" w:type="dxa"/>
            <w:vAlign w:val="bottom"/>
          </w:tcPr>
          <w:p>
            <w:pPr>
              <w:spacing w:after="0"/>
              <w:rPr>
                <w:sz w:val="20"/>
                <w:szCs w:val="20"/>
                <w:color w:val="auto"/>
              </w:rPr>
            </w:pPr>
            <w:r>
              <w:rPr>
                <w:rFonts w:ascii="Arial" w:cs="Arial" w:eastAsia="Arial" w:hAnsi="Arial"/>
                <w:sz w:val="13"/>
                <w:szCs w:val="13"/>
                <w:b w:val="1"/>
                <w:bCs w:val="1"/>
                <w:color w:val="355A89"/>
              </w:rPr>
              <w:t>Occupancy</w:t>
            </w:r>
          </w:p>
        </w:tc>
        <w:tc>
          <w:tcPr>
            <w:tcW w:w="1980" w:type="dxa"/>
            <w:vAlign w:val="bottom"/>
            <w:gridSpan w:val="3"/>
          </w:tcPr>
          <w:p>
            <w:pPr>
              <w:ind w:left="160"/>
              <w:spacing w:after="0"/>
              <w:rPr>
                <w:sz w:val="20"/>
                <w:szCs w:val="20"/>
                <w:color w:val="auto"/>
              </w:rPr>
            </w:pPr>
            <w:r>
              <w:rPr>
                <w:rFonts w:ascii="Arial" w:cs="Arial" w:eastAsia="Arial" w:hAnsi="Arial"/>
                <w:sz w:val="13"/>
                <w:szCs w:val="13"/>
                <w:b w:val="1"/>
                <w:bCs w:val="1"/>
                <w:color w:val="355A89"/>
              </w:rPr>
              <w:t>Volume (in millions)</w:t>
            </w:r>
          </w:p>
        </w:tc>
        <w:tc>
          <w:tcPr>
            <w:tcW w:w="1200" w:type="dxa"/>
            <w:vAlign w:val="bottom"/>
          </w:tcPr>
          <w:p>
            <w:pPr>
              <w:spacing w:after="0"/>
              <w:rPr>
                <w:sz w:val="20"/>
                <w:szCs w:val="20"/>
                <w:color w:val="auto"/>
              </w:rPr>
            </w:pPr>
            <w:r>
              <w:rPr>
                <w:rFonts w:ascii="Arial" w:cs="Arial" w:eastAsia="Arial" w:hAnsi="Arial"/>
                <w:sz w:val="13"/>
                <w:szCs w:val="13"/>
                <w:b w:val="1"/>
                <w:bCs w:val="1"/>
                <w:color w:val="355A89"/>
              </w:rPr>
              <w:t>Amount Initially</w:t>
            </w:r>
          </w:p>
        </w:tc>
      </w:tr>
      <w:tr>
        <w:trPr>
          <w:trHeight w:val="185"/>
        </w:trPr>
        <w:tc>
          <w:tcPr>
            <w:tcW w:w="3580" w:type="dxa"/>
            <w:vAlign w:val="bottom"/>
          </w:tcPr>
          <w:p>
            <w:pPr>
              <w:spacing w:after="0"/>
              <w:rPr>
                <w:sz w:val="20"/>
                <w:szCs w:val="20"/>
                <w:color w:val="auto"/>
              </w:rPr>
            </w:pPr>
            <w:r>
              <w:rPr>
                <w:rFonts w:ascii="Arial" w:cs="Arial" w:eastAsia="Arial" w:hAnsi="Arial"/>
                <w:sz w:val="13"/>
                <w:szCs w:val="13"/>
                <w:b w:val="1"/>
                <w:bCs w:val="1"/>
                <w:color w:val="auto"/>
              </w:rPr>
              <w:t>Level</w:t>
            </w:r>
          </w:p>
        </w:tc>
        <w:tc>
          <w:tcPr>
            <w:tcW w:w="1880" w:type="dxa"/>
            <w:vAlign w:val="bottom"/>
            <w:gridSpan w:val="3"/>
          </w:tcPr>
          <w:p>
            <w:pPr>
              <w:ind w:left="160"/>
              <w:spacing w:after="0"/>
              <w:rPr>
                <w:sz w:val="20"/>
                <w:szCs w:val="20"/>
                <w:color w:val="auto"/>
              </w:rPr>
            </w:pPr>
            <w:r>
              <w:rPr>
                <w:rFonts w:ascii="Arial" w:cs="Arial" w:eastAsia="Arial" w:hAnsi="Arial"/>
                <w:sz w:val="13"/>
                <w:szCs w:val="13"/>
                <w:b w:val="1"/>
                <w:bCs w:val="1"/>
                <w:color w:val="355A89"/>
              </w:rPr>
              <w:t>(25% wgt.)</w:t>
            </w: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355A89"/>
              </w:rPr>
              <w:t>(25% wgt.)</w:t>
            </w:r>
          </w:p>
        </w:tc>
        <w:tc>
          <w:tcPr>
            <w:tcW w:w="1240" w:type="dxa"/>
            <w:vAlign w:val="bottom"/>
          </w:tcPr>
          <w:p>
            <w:pPr>
              <w:spacing w:after="0"/>
              <w:rPr>
                <w:sz w:val="20"/>
                <w:szCs w:val="20"/>
                <w:color w:val="auto"/>
              </w:rPr>
            </w:pPr>
            <w:r>
              <w:rPr>
                <w:rFonts w:ascii="Arial" w:cs="Arial" w:eastAsia="Arial" w:hAnsi="Arial"/>
                <w:sz w:val="13"/>
                <w:szCs w:val="13"/>
                <w:b w:val="1"/>
                <w:bCs w:val="1"/>
                <w:color w:val="355A89"/>
              </w:rPr>
              <w:t>(25% wgt.)</w:t>
            </w:r>
          </w:p>
        </w:tc>
        <w:tc>
          <w:tcPr>
            <w:tcW w:w="1980" w:type="dxa"/>
            <w:vAlign w:val="bottom"/>
            <w:gridSpan w:val="3"/>
          </w:tcPr>
          <w:p>
            <w:pPr>
              <w:ind w:left="160"/>
              <w:spacing w:after="0"/>
              <w:rPr>
                <w:sz w:val="20"/>
                <w:szCs w:val="20"/>
                <w:color w:val="auto"/>
              </w:rPr>
            </w:pPr>
            <w:r>
              <w:rPr>
                <w:rFonts w:ascii="Arial" w:cs="Arial" w:eastAsia="Arial" w:hAnsi="Arial"/>
                <w:sz w:val="13"/>
                <w:szCs w:val="13"/>
                <w:b w:val="1"/>
                <w:bCs w:val="1"/>
                <w:color w:val="355A89"/>
              </w:rPr>
              <w:t>(25% wgt.)</w:t>
            </w:r>
          </w:p>
        </w:tc>
        <w:tc>
          <w:tcPr>
            <w:tcW w:w="1200" w:type="dxa"/>
            <w:vAlign w:val="bottom"/>
          </w:tcPr>
          <w:p>
            <w:pPr>
              <w:spacing w:after="0"/>
              <w:rPr>
                <w:sz w:val="20"/>
                <w:szCs w:val="20"/>
                <w:color w:val="auto"/>
              </w:rPr>
            </w:pPr>
            <w:r>
              <w:rPr>
                <w:rFonts w:ascii="Arial" w:cs="Arial" w:eastAsia="Arial" w:hAnsi="Arial"/>
                <w:sz w:val="13"/>
                <w:szCs w:val="13"/>
                <w:b w:val="1"/>
                <w:bCs w:val="1"/>
                <w:color w:val="355A89"/>
              </w:rPr>
              <w:t>Earned</w:t>
            </w:r>
          </w:p>
        </w:tc>
      </w:tr>
      <w:tr>
        <w:trPr>
          <w:trHeight w:val="21"/>
        </w:trPr>
        <w:tc>
          <w:tcPr>
            <w:tcW w:w="35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8089AD"/>
          </w:tcPr>
          <w:p>
            <w:pPr>
              <w:spacing w:after="0" w:line="20" w:lineRule="exact"/>
              <w:rPr>
                <w:sz w:val="1"/>
                <w:szCs w:val="1"/>
                <w:color w:val="auto"/>
              </w:rPr>
            </w:pP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Threshold</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7.70x</w:t>
            </w:r>
          </w:p>
        </w:tc>
        <w:tc>
          <w:tcPr>
            <w:tcW w:w="1240" w:type="dxa"/>
            <w:vAlign w:val="bottom"/>
          </w:tcPr>
          <w:p>
            <w:pPr>
              <w:spacing w:after="0"/>
              <w:rPr>
                <w:sz w:val="20"/>
                <w:szCs w:val="20"/>
                <w:color w:val="auto"/>
              </w:rPr>
            </w:pPr>
            <w:r>
              <w:rPr>
                <w:rFonts w:ascii="Arial" w:cs="Arial" w:eastAsia="Arial" w:hAnsi="Arial"/>
                <w:sz w:val="18"/>
                <w:szCs w:val="18"/>
                <w:color w:val="auto"/>
              </w:rPr>
              <w:t>95.70%</w:t>
            </w:r>
          </w:p>
        </w:tc>
        <w:tc>
          <w:tcPr>
            <w:tcW w:w="1980" w:type="dxa"/>
            <w:vAlign w:val="bottom"/>
            <w:gridSpan w:val="3"/>
          </w:tcPr>
          <w:p>
            <w:pPr>
              <w:ind w:left="160"/>
              <w:spacing w:after="0"/>
              <w:rPr>
                <w:sz w:val="20"/>
                <w:szCs w:val="20"/>
                <w:color w:val="auto"/>
              </w:rPr>
            </w:pPr>
            <w:r>
              <w:rPr>
                <w:rFonts w:ascii="Arial" w:cs="Arial" w:eastAsia="Arial" w:hAnsi="Arial"/>
                <w:sz w:val="18"/>
                <w:szCs w:val="18"/>
                <w:color w:val="auto"/>
              </w:rPr>
              <w:t>1.3 square feet</w:t>
            </w:r>
          </w:p>
        </w:tc>
        <w:tc>
          <w:tcPr>
            <w:tcW w:w="1200" w:type="dxa"/>
            <w:vAlign w:val="bottom"/>
          </w:tcPr>
          <w:p>
            <w:pPr>
              <w:spacing w:after="0"/>
              <w:rPr>
                <w:sz w:val="20"/>
                <w:szCs w:val="20"/>
                <w:color w:val="auto"/>
              </w:rPr>
            </w:pPr>
            <w:r>
              <w:rPr>
                <w:rFonts w:ascii="Arial" w:cs="Arial" w:eastAsia="Arial" w:hAnsi="Arial"/>
                <w:sz w:val="18"/>
                <w:szCs w:val="18"/>
                <w:color w:val="auto"/>
              </w:rPr>
              <w:t>50%</w:t>
            </w:r>
          </w:p>
        </w:tc>
      </w:tr>
      <w:tr>
        <w:trPr>
          <w:trHeight w:val="21"/>
        </w:trPr>
        <w:tc>
          <w:tcPr>
            <w:tcW w:w="35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8089AD"/>
          </w:tcPr>
          <w:p>
            <w:pPr>
              <w:spacing w:after="0" w:line="20" w:lineRule="exact"/>
              <w:rPr>
                <w:sz w:val="1"/>
                <w:szCs w:val="1"/>
                <w:color w:val="auto"/>
              </w:rPr>
            </w:pP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Target</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7.45x</w:t>
            </w:r>
          </w:p>
        </w:tc>
        <w:tc>
          <w:tcPr>
            <w:tcW w:w="1240" w:type="dxa"/>
            <w:vAlign w:val="bottom"/>
          </w:tcPr>
          <w:p>
            <w:pPr>
              <w:spacing w:after="0"/>
              <w:rPr>
                <w:sz w:val="20"/>
                <w:szCs w:val="20"/>
                <w:color w:val="auto"/>
              </w:rPr>
            </w:pPr>
            <w:r>
              <w:rPr>
                <w:rFonts w:ascii="Arial" w:cs="Arial" w:eastAsia="Arial" w:hAnsi="Arial"/>
                <w:sz w:val="18"/>
                <w:szCs w:val="18"/>
                <w:color w:val="auto"/>
              </w:rPr>
              <w:t>96.00%</w:t>
            </w:r>
          </w:p>
        </w:tc>
        <w:tc>
          <w:tcPr>
            <w:tcW w:w="1980" w:type="dxa"/>
            <w:vAlign w:val="bottom"/>
            <w:gridSpan w:val="3"/>
          </w:tcPr>
          <w:p>
            <w:pPr>
              <w:ind w:left="160"/>
              <w:spacing w:after="0"/>
              <w:rPr>
                <w:sz w:val="20"/>
                <w:szCs w:val="20"/>
                <w:color w:val="auto"/>
              </w:rPr>
            </w:pPr>
            <w:r>
              <w:rPr>
                <w:rFonts w:ascii="Arial" w:cs="Arial" w:eastAsia="Arial" w:hAnsi="Arial"/>
                <w:sz w:val="18"/>
                <w:szCs w:val="18"/>
                <w:color w:val="auto"/>
              </w:rPr>
              <w:t>1.5 square feet</w:t>
            </w:r>
          </w:p>
        </w:tc>
        <w:tc>
          <w:tcPr>
            <w:tcW w:w="1200" w:type="dxa"/>
            <w:vAlign w:val="bottom"/>
          </w:tcPr>
          <w:p>
            <w:pPr>
              <w:spacing w:after="0"/>
              <w:rPr>
                <w:sz w:val="20"/>
                <w:szCs w:val="20"/>
                <w:color w:val="auto"/>
              </w:rPr>
            </w:pPr>
            <w:r>
              <w:rPr>
                <w:rFonts w:ascii="Arial" w:cs="Arial" w:eastAsia="Arial" w:hAnsi="Arial"/>
                <w:sz w:val="18"/>
                <w:szCs w:val="18"/>
                <w:color w:val="auto"/>
              </w:rPr>
              <w:t>100%</w:t>
            </w:r>
          </w:p>
        </w:tc>
      </w:tr>
      <w:tr>
        <w:trPr>
          <w:trHeight w:val="21"/>
        </w:trPr>
        <w:tc>
          <w:tcPr>
            <w:tcW w:w="35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8089AD"/>
          </w:tcPr>
          <w:p>
            <w:pPr>
              <w:spacing w:after="0" w:line="20" w:lineRule="exact"/>
              <w:rPr>
                <w:sz w:val="1"/>
                <w:szCs w:val="1"/>
                <w:color w:val="auto"/>
              </w:rPr>
            </w:pP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Maximum</w:t>
            </w: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rPr>
              <w:t>≥$390</w:t>
            </w:r>
          </w:p>
        </w:tc>
        <w:tc>
          <w:tcPr>
            <w:tcW w:w="1080" w:type="dxa"/>
            <w:vAlign w:val="bottom"/>
            <w:gridSpan w:val="2"/>
          </w:tcPr>
          <w:p>
            <w:pPr>
              <w:spacing w:after="0"/>
              <w:rPr>
                <w:sz w:val="20"/>
                <w:szCs w:val="20"/>
                <w:color w:val="auto"/>
              </w:rPr>
            </w:pPr>
            <w:r>
              <w:rPr>
                <w:rFonts w:ascii="Arial" w:cs="Arial" w:eastAsia="Arial" w:hAnsi="Arial"/>
                <w:sz w:val="18"/>
                <w:szCs w:val="18"/>
                <w:color w:val="auto"/>
              </w:rPr>
              <w:t>≤7.20x</w:t>
            </w:r>
          </w:p>
        </w:tc>
        <w:tc>
          <w:tcPr>
            <w:tcW w:w="1240" w:type="dxa"/>
            <w:vAlign w:val="bottom"/>
          </w:tcPr>
          <w:p>
            <w:pPr>
              <w:spacing w:after="0"/>
              <w:rPr>
                <w:sz w:val="20"/>
                <w:szCs w:val="20"/>
                <w:color w:val="auto"/>
              </w:rPr>
            </w:pPr>
            <w:r>
              <w:rPr>
                <w:rFonts w:ascii="Arial" w:cs="Arial" w:eastAsia="Arial" w:hAnsi="Arial"/>
                <w:sz w:val="18"/>
                <w:szCs w:val="18"/>
                <w:color w:val="auto"/>
              </w:rPr>
              <w:t>≥96.30%</w:t>
            </w:r>
          </w:p>
        </w:tc>
        <w:tc>
          <w:tcPr>
            <w:tcW w:w="1980" w:type="dxa"/>
            <w:vAlign w:val="bottom"/>
            <w:gridSpan w:val="3"/>
          </w:tcPr>
          <w:p>
            <w:pPr>
              <w:ind w:left="160"/>
              <w:spacing w:after="0"/>
              <w:rPr>
                <w:sz w:val="20"/>
                <w:szCs w:val="20"/>
                <w:color w:val="auto"/>
              </w:rPr>
            </w:pPr>
            <w:r>
              <w:rPr>
                <w:rFonts w:ascii="Arial" w:cs="Arial" w:eastAsia="Arial" w:hAnsi="Arial"/>
                <w:sz w:val="18"/>
                <w:szCs w:val="18"/>
                <w:color w:val="auto"/>
              </w:rPr>
              <w:t>≥1.7 square feet</w:t>
            </w:r>
          </w:p>
        </w:tc>
        <w:tc>
          <w:tcPr>
            <w:tcW w:w="1200" w:type="dxa"/>
            <w:vAlign w:val="bottom"/>
          </w:tcPr>
          <w:p>
            <w:pPr>
              <w:spacing w:after="0"/>
              <w:rPr>
                <w:sz w:val="20"/>
                <w:szCs w:val="20"/>
                <w:color w:val="auto"/>
              </w:rPr>
            </w:pPr>
            <w:r>
              <w:rPr>
                <w:rFonts w:ascii="Arial" w:cs="Arial" w:eastAsia="Arial" w:hAnsi="Arial"/>
                <w:sz w:val="18"/>
                <w:szCs w:val="18"/>
                <w:color w:val="auto"/>
              </w:rPr>
              <w:t>200%</w:t>
            </w:r>
          </w:p>
        </w:tc>
      </w:tr>
      <w:tr>
        <w:trPr>
          <w:trHeight w:val="21"/>
        </w:trPr>
        <w:tc>
          <w:tcPr>
            <w:tcW w:w="35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8089AD"/>
          </w:tcPr>
          <w:p>
            <w:pPr>
              <w:spacing w:after="0" w:line="20" w:lineRule="exact"/>
              <w:rPr>
                <w:sz w:val="1"/>
                <w:szCs w:val="1"/>
                <w:color w:val="auto"/>
              </w:rPr>
            </w:pPr>
          </w:p>
        </w:tc>
      </w:tr>
    </w:tbl>
    <w:p>
      <w:pPr>
        <w:spacing w:after="0" w:line="67" w:lineRule="exact"/>
        <w:rPr>
          <w:sz w:val="20"/>
          <w:szCs w:val="20"/>
          <w:color w:val="auto"/>
        </w:rPr>
      </w:pPr>
    </w:p>
    <w:p>
      <w:pPr>
        <w:ind w:left="280" w:right="120"/>
        <w:spacing w:after="0" w:line="258" w:lineRule="auto"/>
        <w:rPr>
          <w:sz w:val="20"/>
          <w:szCs w:val="20"/>
          <w:color w:val="auto"/>
        </w:rPr>
      </w:pPr>
      <w:r>
        <w:rPr>
          <w:rFonts w:ascii="Arial" w:cs="Arial" w:eastAsia="Arial" w:hAnsi="Arial"/>
          <w:sz w:val="13"/>
          <w:szCs w:val="13"/>
          <w:color w:val="auto"/>
        </w:rPr>
        <w:t>The number of LTIP units initially earned based on the foregoing operating performance metrics is subject to a further modifier upwards by up to 12.5% if our absolute TSR is equal to or greater than 7.5% over a three-year period ending December 31, 2022, or downwards of not more than 12.5% if our absolute TSR is 3.5% or below over such period.</w:t>
      </w:r>
    </w:p>
    <w:p>
      <w:pPr>
        <w:spacing w:after="0" w:line="57" w:lineRule="exact"/>
        <w:rPr>
          <w:sz w:val="20"/>
          <w:szCs w:val="20"/>
          <w:color w:val="auto"/>
        </w:rPr>
      </w:pPr>
    </w:p>
    <w:p>
      <w:pPr>
        <w:ind w:left="280"/>
        <w:spacing w:after="0" w:line="242" w:lineRule="auto"/>
        <w:rPr>
          <w:sz w:val="20"/>
          <w:szCs w:val="20"/>
          <w:color w:val="auto"/>
        </w:rPr>
      </w:pPr>
      <w:r>
        <w:rPr>
          <w:rFonts w:ascii="Arial" w:cs="Arial" w:eastAsia="Arial" w:hAnsi="Arial"/>
          <w:sz w:val="13"/>
          <w:szCs w:val="13"/>
          <w:color w:val="auto"/>
        </w:rPr>
        <w:t>The remaining one-half of the LTIP units are eligible to be earned based on the Company’s relative TSR over a three-year period beginning January 1, 2020 and ending December 31, 2022, with 33.3% of such LTIP units eligible to be earned upon the achievement of relative TSR in the top 67-33% of the SNL Office REIT Index and 16.7% of such LTIP units eligible to be earned upon the achievement of relative TSR in the top 67-33% of a group of NYC peer companies, which performance corresponds, in each case, to be between 50-225% of the eligible LTIP units being earned. “Threshold” performance equals relative TSR in the top 67% of the SNL Office REIT Index or NYC peer group, as applicable. “Target” performance equals relative TSR in the top 50% of the SNL Office REIT Index or NYC peer group, as applicable. “Maximum” performance equals relative TSR in the top 33% of the SNL Office REIT Index or NYC peer group, as applicable. None of these LTIP units will vest if threshold performance of the relative performance hurdle is not achieved.</w:t>
      </w:r>
    </w:p>
    <w:p>
      <w:pPr>
        <w:spacing w:after="0" w:line="54" w:lineRule="exact"/>
        <w:rPr>
          <w:sz w:val="20"/>
          <w:szCs w:val="20"/>
          <w:color w:val="auto"/>
        </w:rPr>
      </w:pPr>
    </w:p>
    <w:p>
      <w:pPr>
        <w:ind w:left="280"/>
        <w:spacing w:after="0" w:line="243" w:lineRule="auto"/>
        <w:rPr>
          <w:sz w:val="20"/>
          <w:szCs w:val="20"/>
          <w:color w:val="auto"/>
        </w:rPr>
      </w:pPr>
      <w:r>
        <w:rPr>
          <w:rFonts w:ascii="Arial" w:cs="Arial" w:eastAsia="Arial" w:hAnsi="Arial"/>
          <w:sz w:val="13"/>
          <w:szCs w:val="13"/>
          <w:color w:val="auto"/>
        </w:rPr>
        <w:t>The amount shown in the “Threshold” column of the 2020 Grants of Plan-Based Awards table reflects the total number of LTIP units that would be earned at threshold performance with respect to both the operating performance metrics and the relative TSR metric, after giving effect to the maximum downward modifier. The amount shown in the “Maximum” column reflects the total number of LTIP units that would be earned at maximum performance with respect to both the operating performance metrics and the relative TSR metric, after giving effect to the maximum upward modifier. See “—Compensation Discussion and Analysis—2020 Pay Outcomes—2020 Performance-Based Equity Awards” for a description of these awards and the Company’s estimated performance as of December 31, 2020.</w:t>
      </w:r>
    </w:p>
    <w:p>
      <w:pPr>
        <w:spacing w:after="0" w:line="206" w:lineRule="exact"/>
        <w:rPr>
          <w:sz w:val="20"/>
          <w:szCs w:val="20"/>
          <w:color w:val="auto"/>
        </w:rPr>
      </w:pPr>
    </w:p>
    <w:p>
      <w:pPr>
        <w:ind w:left="300" w:hanging="292"/>
        <w:spacing w:after="0"/>
        <w:tabs>
          <w:tab w:leader="none" w:pos="300" w:val="left"/>
        </w:tabs>
        <w:numPr>
          <w:ilvl w:val="0"/>
          <w:numId w:val="109"/>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208" w:lineRule="exact"/>
        <w:rPr>
          <w:sz w:val="20"/>
          <w:szCs w:val="20"/>
          <w:color w:val="auto"/>
        </w:rPr>
      </w:pPr>
    </w:p>
    <w:p>
      <w:pPr>
        <w:ind w:left="320" w:right="160"/>
        <w:spacing w:after="0" w:line="248" w:lineRule="auto"/>
        <w:rPr>
          <w:sz w:val="20"/>
          <w:szCs w:val="20"/>
          <w:color w:val="auto"/>
        </w:rPr>
      </w:pPr>
      <w:r>
        <w:rPr>
          <w:rFonts w:ascii="Arial" w:cs="Arial" w:eastAsia="Arial" w:hAnsi="Arial"/>
          <w:sz w:val="13"/>
          <w:szCs w:val="13"/>
          <w:color w:val="auto"/>
        </w:rPr>
        <w:t>In each case, the LTIP units deemed to be earned, if any, will vest on December 31, 2021, subject to continued employment. The LTIP units granted to Messrs. Holliday and Mathias were granted pursuant to their respective employment agreements and are subject to a two-year restriction on transfer from the vesting date. The LTIP units granted to Messrs. DiLiberto and Levine were pursuant to our 2019 annual performance-based equity award program and are subject to a one-year restriction on transfer from the vesting date.</w:t>
      </w:r>
    </w:p>
    <w:p>
      <w:pPr>
        <w:spacing w:after="0" w:line="50"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This grant of LTIP units vested immediately upon grant, but remains subject to a three-year restriction on transfer from the date of grant.</w:t>
      </w:r>
    </w:p>
    <w:p>
      <w:pPr>
        <w:spacing w:after="0" w:line="66" w:lineRule="exact"/>
        <w:rPr>
          <w:rFonts w:ascii="Arial" w:cs="Arial" w:eastAsia="Arial" w:hAnsi="Arial"/>
          <w:sz w:val="13"/>
          <w:szCs w:val="13"/>
          <w:color w:val="auto"/>
        </w:rPr>
      </w:pPr>
    </w:p>
    <w:p>
      <w:pPr>
        <w:ind w:left="320" w:right="220" w:hanging="312"/>
        <w:spacing w:after="0" w:line="258" w:lineRule="auto"/>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Represents cash payouts that were possible pursuant to the formulaic component of our annual cash bonus program for 2020. See “Compensation Discussion and Analysis—2020 Pay Outcomes—Annual Cash Bonus (Formulaic - CEO and President)” for a description of these awards.</w:t>
      </w:r>
    </w:p>
    <w:p>
      <w:pPr>
        <w:spacing w:after="0" w:line="43" w:lineRule="exact"/>
        <w:rPr>
          <w:rFonts w:ascii="Arial" w:cs="Arial" w:eastAsia="Arial" w:hAnsi="Arial"/>
          <w:sz w:val="13"/>
          <w:szCs w:val="13"/>
          <w:color w:val="auto"/>
        </w:rPr>
      </w:pPr>
    </w:p>
    <w:p>
      <w:pPr>
        <w:ind w:left="320" w:right="420" w:hanging="312"/>
        <w:spacing w:after="0" w:line="258" w:lineRule="auto"/>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This grant of LTIP units was awarded in connection with Mr. Mathias’s employment agreement, with equal installments vesting on each of January 1, 2021, January 1, 2022 and January 1, 2023, subject to continued employment.</w:t>
      </w:r>
    </w:p>
    <w:p>
      <w:pPr>
        <w:spacing w:after="0" w:line="43" w:lineRule="exact"/>
        <w:rPr>
          <w:rFonts w:ascii="Arial" w:cs="Arial" w:eastAsia="Arial" w:hAnsi="Arial"/>
          <w:sz w:val="13"/>
          <w:szCs w:val="13"/>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Represents LTIP units granted in connection with an adjustment to Mr. Mathias’s 2019 bonus due to actual 2018 performance exceeding estimated 2018 performance.</w:t>
      </w:r>
    </w:p>
    <w:p>
      <w:pPr>
        <w:spacing w:after="0" w:line="66" w:lineRule="exact"/>
        <w:rPr>
          <w:rFonts w:ascii="Arial" w:cs="Arial" w:eastAsia="Arial" w:hAnsi="Arial"/>
          <w:sz w:val="13"/>
          <w:szCs w:val="13"/>
          <w:color w:val="auto"/>
        </w:rPr>
      </w:pPr>
    </w:p>
    <w:p>
      <w:pPr>
        <w:ind w:left="320" w:right="40" w:hanging="312"/>
        <w:spacing w:after="0" w:line="258" w:lineRule="auto"/>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This grant of LTIP units was awarded in connection with Mr. Levine’s employment agreement, with equal installments vesting on each of January 1, 2021 and January 1, 2022, subject to continued employment.</w:t>
      </w:r>
    </w:p>
    <w:p>
      <w:pPr>
        <w:spacing w:after="0" w:line="1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Grants of all equity awards were made pursuant to the Fourth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p>
    <w:p>
      <w:pPr>
        <w:spacing w:after="0" w:line="20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See “Potential Payments Upon Termination or Change in Control” below, for a discussion regarding potential acceleration of the equity awards and a description of the material terms of each named executive officer’s employment agreement.</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Outstanding Equity Awards at Fiscal Year-End 2020</w:t>
      </w:r>
    </w:p>
    <w:p>
      <w:pPr>
        <w:spacing w:after="0" w:line="23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following table sets forth certain information with respect to outstanding equity awards held by each named executive officer at the fiscal year ended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6"/>
          </w:tcPr>
          <w:p>
            <w:pPr>
              <w:ind w:left="420"/>
              <w:spacing w:after="0"/>
              <w:rPr>
                <w:sz w:val="20"/>
                <w:szCs w:val="20"/>
                <w:color w:val="auto"/>
              </w:rPr>
            </w:pPr>
            <w:r>
              <w:rPr>
                <w:rFonts w:ascii="Arial" w:cs="Arial" w:eastAsia="Arial" w:hAnsi="Arial"/>
                <w:sz w:val="13"/>
                <w:szCs w:val="13"/>
                <w:b w:val="1"/>
                <w:bCs w:val="1"/>
                <w:color w:val="355A89"/>
              </w:rPr>
              <w:t>Option Awards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4"/>
          </w:tcPr>
          <w:p>
            <w:pPr>
              <w:ind w:left="520"/>
              <w:spacing w:after="0"/>
              <w:rPr>
                <w:sz w:val="20"/>
                <w:szCs w:val="20"/>
                <w:color w:val="auto"/>
              </w:rPr>
            </w:pPr>
            <w:r>
              <w:rPr>
                <w:rFonts w:ascii="Arial" w:cs="Arial" w:eastAsia="Arial" w:hAnsi="Arial"/>
                <w:sz w:val="13"/>
                <w:szCs w:val="13"/>
                <w:b w:val="1"/>
                <w:bCs w:val="1"/>
                <w:color w:val="355A89"/>
              </w:rPr>
              <w:t>Stock Awards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48"/>
        </w:trPr>
        <w:tc>
          <w:tcPr>
            <w:tcW w:w="3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355A89"/>
            </w:tcBorders>
          </w:tcPr>
          <w:p>
            <w:pPr>
              <w:spacing w:after="0"/>
              <w:rPr>
                <w:sz w:val="4"/>
                <w:szCs w:val="4"/>
                <w:color w:val="auto"/>
              </w:rPr>
            </w:pPr>
          </w:p>
        </w:tc>
        <w:tc>
          <w:tcPr>
            <w:tcW w:w="120" w:type="dxa"/>
            <w:vAlign w:val="bottom"/>
            <w:tcBorders>
              <w:bottom w:val="single" w:sz="8" w:color="355A89"/>
            </w:tcBorders>
          </w:tcPr>
          <w:p>
            <w:pPr>
              <w:spacing w:after="0"/>
              <w:rPr>
                <w:sz w:val="4"/>
                <w:szCs w:val="4"/>
                <w:color w:val="auto"/>
              </w:rPr>
            </w:pPr>
          </w:p>
        </w:tc>
        <w:tc>
          <w:tcPr>
            <w:tcW w:w="920" w:type="dxa"/>
            <w:vAlign w:val="bottom"/>
            <w:tcBorders>
              <w:bottom w:val="single" w:sz="8" w:color="355A89"/>
            </w:tcBorders>
          </w:tcPr>
          <w:p>
            <w:pPr>
              <w:spacing w:after="0"/>
              <w:rPr>
                <w:sz w:val="4"/>
                <w:szCs w:val="4"/>
                <w:color w:val="auto"/>
              </w:rPr>
            </w:pPr>
          </w:p>
        </w:tc>
        <w:tc>
          <w:tcPr>
            <w:tcW w:w="40" w:type="dxa"/>
            <w:vAlign w:val="bottom"/>
            <w:tcBorders>
              <w:bottom w:val="single" w:sz="8" w:color="355A89"/>
            </w:tcBorders>
          </w:tcPr>
          <w:p>
            <w:pPr>
              <w:spacing w:after="0"/>
              <w:rPr>
                <w:sz w:val="4"/>
                <w:szCs w:val="4"/>
                <w:color w:val="auto"/>
              </w:rPr>
            </w:pPr>
          </w:p>
        </w:tc>
        <w:tc>
          <w:tcPr>
            <w:tcW w:w="60" w:type="dxa"/>
            <w:vAlign w:val="bottom"/>
            <w:tcBorders>
              <w:bottom w:val="single" w:sz="8" w:color="355A89"/>
            </w:tcBorders>
          </w:tcPr>
          <w:p>
            <w:pPr>
              <w:spacing w:after="0"/>
              <w:rPr>
                <w:sz w:val="4"/>
                <w:szCs w:val="4"/>
                <w:color w:val="auto"/>
              </w:rPr>
            </w:pPr>
          </w:p>
        </w:tc>
        <w:tc>
          <w:tcPr>
            <w:tcW w:w="160" w:type="dxa"/>
            <w:vAlign w:val="bottom"/>
            <w:tcBorders>
              <w:bottom w:val="single" w:sz="8" w:color="355A89"/>
            </w:tcBorders>
          </w:tcPr>
          <w:p>
            <w:pPr>
              <w:spacing w:after="0"/>
              <w:rPr>
                <w:sz w:val="4"/>
                <w:szCs w:val="4"/>
                <w:color w:val="auto"/>
              </w:rPr>
            </w:pPr>
          </w:p>
        </w:tc>
        <w:tc>
          <w:tcPr>
            <w:tcW w:w="540" w:type="dxa"/>
            <w:vAlign w:val="bottom"/>
            <w:tcBorders>
              <w:bottom w:val="single" w:sz="8" w:color="355A89"/>
            </w:tcBorders>
          </w:tcPr>
          <w:p>
            <w:pPr>
              <w:spacing w:after="0"/>
              <w:rPr>
                <w:sz w:val="4"/>
                <w:szCs w:val="4"/>
                <w:color w:val="auto"/>
              </w:rPr>
            </w:pPr>
          </w:p>
        </w:tc>
        <w:tc>
          <w:tcPr>
            <w:tcW w:w="100" w:type="dxa"/>
            <w:vAlign w:val="bottom"/>
            <w:tcBorders>
              <w:bottom w:val="single" w:sz="8" w:color="355A89"/>
            </w:tcBorders>
          </w:tcPr>
          <w:p>
            <w:pPr>
              <w:spacing w:after="0"/>
              <w:rPr>
                <w:sz w:val="4"/>
                <w:szCs w:val="4"/>
                <w:color w:val="auto"/>
              </w:rPr>
            </w:pPr>
          </w:p>
        </w:tc>
        <w:tc>
          <w:tcPr>
            <w:tcW w:w="900" w:type="dxa"/>
            <w:vAlign w:val="bottom"/>
            <w:tcBorders>
              <w:bottom w:val="single" w:sz="8" w:color="355A89"/>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355A89"/>
            </w:tcBorders>
          </w:tcPr>
          <w:p>
            <w:pPr>
              <w:spacing w:after="0"/>
              <w:rPr>
                <w:sz w:val="4"/>
                <w:szCs w:val="4"/>
                <w:color w:val="auto"/>
              </w:rPr>
            </w:pPr>
          </w:p>
        </w:tc>
        <w:tc>
          <w:tcPr>
            <w:tcW w:w="100" w:type="dxa"/>
            <w:vAlign w:val="bottom"/>
            <w:tcBorders>
              <w:bottom w:val="single" w:sz="8" w:color="355A89"/>
            </w:tcBorders>
          </w:tcPr>
          <w:p>
            <w:pPr>
              <w:spacing w:after="0"/>
              <w:rPr>
                <w:sz w:val="4"/>
                <w:szCs w:val="4"/>
                <w:color w:val="auto"/>
              </w:rPr>
            </w:pPr>
          </w:p>
        </w:tc>
        <w:tc>
          <w:tcPr>
            <w:tcW w:w="120" w:type="dxa"/>
            <w:vAlign w:val="bottom"/>
            <w:tcBorders>
              <w:bottom w:val="single" w:sz="8" w:color="355A89"/>
            </w:tcBorders>
          </w:tcPr>
          <w:p>
            <w:pPr>
              <w:spacing w:after="0"/>
              <w:rPr>
                <w:sz w:val="4"/>
                <w:szCs w:val="4"/>
                <w:color w:val="auto"/>
              </w:rPr>
            </w:pPr>
          </w:p>
        </w:tc>
        <w:tc>
          <w:tcPr>
            <w:tcW w:w="780" w:type="dxa"/>
            <w:vAlign w:val="bottom"/>
            <w:tcBorders>
              <w:bottom w:val="single" w:sz="8" w:color="355A89"/>
            </w:tcBorders>
          </w:tcPr>
          <w:p>
            <w:pPr>
              <w:spacing w:after="0"/>
              <w:rPr>
                <w:sz w:val="4"/>
                <w:szCs w:val="4"/>
                <w:color w:val="auto"/>
              </w:rPr>
            </w:pPr>
          </w:p>
        </w:tc>
        <w:tc>
          <w:tcPr>
            <w:tcW w:w="100" w:type="dxa"/>
            <w:vAlign w:val="bottom"/>
            <w:tcBorders>
              <w:bottom w:val="single" w:sz="8" w:color="355A89"/>
            </w:tcBorders>
          </w:tcPr>
          <w:p>
            <w:pPr>
              <w:spacing w:after="0"/>
              <w:rPr>
                <w:sz w:val="4"/>
                <w:szCs w:val="4"/>
                <w:color w:val="auto"/>
              </w:rPr>
            </w:pPr>
          </w:p>
        </w:tc>
        <w:tc>
          <w:tcPr>
            <w:tcW w:w="880" w:type="dxa"/>
            <w:vAlign w:val="bottom"/>
            <w:tcBorders>
              <w:bottom w:val="single" w:sz="8" w:color="355A89"/>
            </w:tcBorders>
          </w:tcPr>
          <w:p>
            <w:pPr>
              <w:spacing w:after="0"/>
              <w:rPr>
                <w:sz w:val="4"/>
                <w:szCs w:val="4"/>
                <w:color w:val="auto"/>
              </w:rPr>
            </w:pPr>
          </w:p>
        </w:tc>
        <w:tc>
          <w:tcPr>
            <w:tcW w:w="100" w:type="dxa"/>
            <w:vAlign w:val="bottom"/>
            <w:tcBorders>
              <w:bottom w:val="single" w:sz="8" w:color="355A89"/>
            </w:tcBorders>
          </w:tcPr>
          <w:p>
            <w:pPr>
              <w:spacing w:after="0"/>
              <w:rPr>
                <w:sz w:val="4"/>
                <w:szCs w:val="4"/>
                <w:color w:val="auto"/>
              </w:rPr>
            </w:pPr>
          </w:p>
        </w:tc>
        <w:tc>
          <w:tcPr>
            <w:tcW w:w="120" w:type="dxa"/>
            <w:vAlign w:val="bottom"/>
            <w:tcBorders>
              <w:bottom w:val="single" w:sz="8" w:color="355A89"/>
            </w:tcBorders>
          </w:tcPr>
          <w:p>
            <w:pPr>
              <w:spacing w:after="0"/>
              <w:rPr>
                <w:sz w:val="4"/>
                <w:szCs w:val="4"/>
                <w:color w:val="auto"/>
              </w:rPr>
            </w:pPr>
          </w:p>
        </w:tc>
        <w:tc>
          <w:tcPr>
            <w:tcW w:w="920" w:type="dxa"/>
            <w:vAlign w:val="bottom"/>
            <w:tcBorders>
              <w:bottom w:val="single" w:sz="8" w:color="355A89"/>
            </w:tcBorders>
          </w:tcPr>
          <w:p>
            <w:pPr>
              <w:spacing w:after="0"/>
              <w:rPr>
                <w:sz w:val="4"/>
                <w:szCs w:val="4"/>
                <w:color w:val="auto"/>
              </w:rPr>
            </w:pPr>
          </w:p>
        </w:tc>
      </w:tr>
      <w:tr>
        <w:trPr>
          <w:trHeight w:val="15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Equity</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Equity</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Incentive</w:t>
            </w: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Incentive</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Plan Awards:</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Plan Awards:</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Market</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Number of</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or Payout</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Market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Unearned</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Value of</w:t>
            </w:r>
          </w:p>
        </w:tc>
      </w:tr>
      <w:tr>
        <w:trPr>
          <w:trHeight w:val="179"/>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55A89"/>
              </w:rPr>
              <w:t>Number of</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355A89"/>
              </w:rPr>
              <w:t>Number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Number</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Value of</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Shares, Units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Unearned</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55A89"/>
              </w:rPr>
              <w:t>Securities</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355A89"/>
              </w:rPr>
              <w:t>Securities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of Shares</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Shares or</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or Other</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Shares or</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55A89"/>
              </w:rPr>
              <w:t>Underlying</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355A89"/>
              </w:rPr>
              <w:t>Underlying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Option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or Units of</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Units of</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Rights That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Units or Other</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55A89"/>
              </w:rPr>
              <w:t>Unexercised</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355A89"/>
              </w:rPr>
              <w:t>Unexercised</w:t>
            </w:r>
          </w:p>
        </w:tc>
        <w:tc>
          <w:tcPr>
            <w:tcW w:w="6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355A89"/>
              </w:rPr>
              <w:t>Exercise</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Option</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Stock That</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Stock That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Have Not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Rights that</w:t>
            </w: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55A89"/>
              </w:rPr>
              <w:t>Options (#)</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355A89"/>
              </w:rPr>
              <w:t>Options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Price</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Expiration</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Have Not</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Have Not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Vested</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355A89"/>
              </w:rPr>
              <w:t>Have Not</w:t>
            </w:r>
          </w:p>
        </w:tc>
      </w:tr>
      <w:tr>
        <w:trPr>
          <w:trHeight w:val="210"/>
        </w:trPr>
        <w:tc>
          <w:tcPr>
            <w:tcW w:w="35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355A89"/>
              </w:rPr>
              <w:t>Exercisable</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355A89"/>
              </w:rPr>
              <w:t>Unexercisable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355A89"/>
              </w:rPr>
              <w:t>Date</w:t>
            </w:r>
          </w:p>
        </w:tc>
        <w:tc>
          <w:tcPr>
            <w:tcW w:w="840" w:type="dxa"/>
            <w:vAlign w:val="bottom"/>
            <w:gridSpan w:val="2"/>
          </w:tcPr>
          <w:p>
            <w:pPr>
              <w:jc w:val="right"/>
              <w:ind w:right="100"/>
              <w:spacing w:after="0" w:line="203" w:lineRule="exact"/>
              <w:rPr>
                <w:sz w:val="20"/>
                <w:szCs w:val="20"/>
                <w:color w:val="auto"/>
              </w:rPr>
            </w:pPr>
            <w:r>
              <w:rPr>
                <w:rFonts w:ascii="Arial" w:cs="Arial" w:eastAsia="Arial" w:hAnsi="Arial"/>
                <w:sz w:val="13"/>
                <w:szCs w:val="13"/>
                <w:b w:val="1"/>
                <w:bCs w:val="1"/>
                <w:color w:val="355A89"/>
                <w:w w:val="94"/>
              </w:rPr>
              <w:t>Vested(#)</w:t>
            </w:r>
            <w:r>
              <w:rPr>
                <w:rFonts w:ascii="Arial" w:cs="Arial" w:eastAsia="Arial" w:hAnsi="Arial"/>
                <w:sz w:val="22"/>
                <w:szCs w:val="22"/>
                <w:b w:val="1"/>
                <w:bCs w:val="1"/>
                <w:color w:val="355A89"/>
                <w:w w:val="94"/>
                <w:vertAlign w:val="superscript"/>
              </w:rPr>
              <w:t>(1)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3"/>
                <w:szCs w:val="13"/>
                <w:b w:val="1"/>
                <w:bCs w:val="1"/>
                <w:color w:val="355A89"/>
              </w:rPr>
              <w:t>Vested</w:t>
            </w:r>
            <w:r>
              <w:rPr>
                <w:rFonts w:ascii="Arial" w:cs="Arial" w:eastAsia="Arial" w:hAnsi="Arial"/>
                <w:sz w:val="22"/>
                <w:szCs w:val="22"/>
                <w:b w:val="1"/>
                <w:bCs w:val="1"/>
                <w:color w:val="355A89"/>
                <w:vertAlign w:val="superscript"/>
              </w:rPr>
              <w:t>(2)</w:t>
            </w:r>
          </w:p>
        </w:tc>
        <w:tc>
          <w:tcPr>
            <w:tcW w:w="980" w:type="dxa"/>
            <w:vAlign w:val="bottom"/>
            <w:gridSpan w:val="2"/>
          </w:tcPr>
          <w:p>
            <w:pPr>
              <w:jc w:val="right"/>
              <w:ind w:right="100"/>
              <w:spacing w:after="0" w:line="203" w:lineRule="exact"/>
              <w:rPr>
                <w:sz w:val="20"/>
                <w:szCs w:val="20"/>
                <w:color w:val="auto"/>
              </w:rPr>
            </w:pPr>
            <w:r>
              <w:rPr>
                <w:rFonts w:ascii="Arial" w:cs="Arial" w:eastAsia="Arial" w:hAnsi="Arial"/>
                <w:sz w:val="13"/>
                <w:szCs w:val="13"/>
                <w:b w:val="1"/>
                <w:bCs w:val="1"/>
                <w:color w:val="355A89"/>
              </w:rPr>
              <w:t>(#)</w:t>
            </w:r>
            <w:r>
              <w:rPr>
                <w:rFonts w:ascii="Arial" w:cs="Arial" w:eastAsia="Arial" w:hAnsi="Arial"/>
                <w:sz w:val="22"/>
                <w:szCs w:val="22"/>
                <w:b w:val="1"/>
                <w:bCs w:val="1"/>
                <w:color w:val="355A89"/>
                <w:vertAlign w:val="superscript"/>
              </w:rPr>
              <w:t>(3)</w:t>
            </w:r>
          </w:p>
        </w:tc>
        <w:tc>
          <w:tcPr>
            <w:tcW w:w="120" w:type="dxa"/>
            <w:vAlign w:val="bottom"/>
          </w:tcPr>
          <w:p>
            <w:pPr>
              <w:spacing w:after="0"/>
              <w:rPr>
                <w:sz w:val="18"/>
                <w:szCs w:val="18"/>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3"/>
                <w:szCs w:val="13"/>
                <w:b w:val="1"/>
                <w:bCs w:val="1"/>
                <w:color w:val="355A89"/>
              </w:rPr>
              <w:t>Vested</w:t>
            </w:r>
            <w:r>
              <w:rPr>
                <w:rFonts w:ascii="Arial" w:cs="Arial" w:eastAsia="Arial" w:hAnsi="Arial"/>
                <w:sz w:val="22"/>
                <w:szCs w:val="22"/>
                <w:b w:val="1"/>
                <w:bCs w:val="1"/>
                <w:color w:val="355A89"/>
                <w:vertAlign w:val="superscript"/>
              </w:rPr>
              <w:t>(2)</w:t>
            </w:r>
          </w:p>
        </w:tc>
      </w:tr>
      <w:tr>
        <w:trPr>
          <w:trHeight w:val="236"/>
        </w:trPr>
        <w:tc>
          <w:tcPr>
            <w:tcW w:w="3540" w:type="dxa"/>
            <w:vAlign w:val="bottom"/>
            <w:tcBorders>
              <w:top w:val="single" w:sz="8" w:color="355A89"/>
            </w:tcBorders>
          </w:tcPr>
          <w:p>
            <w:pPr>
              <w:spacing w:after="0"/>
              <w:rPr>
                <w:sz w:val="20"/>
                <w:szCs w:val="20"/>
                <w:color w:val="auto"/>
              </w:rPr>
            </w:pPr>
            <w:r>
              <w:rPr>
                <w:rFonts w:ascii="Arial" w:cs="Arial" w:eastAsia="Arial" w:hAnsi="Arial"/>
                <w:sz w:val="18"/>
                <w:szCs w:val="18"/>
                <w:color w:val="auto"/>
              </w:rPr>
              <w:t>Marc Holliday</w:t>
            </w:r>
          </w:p>
        </w:tc>
        <w:tc>
          <w:tcPr>
            <w:tcW w:w="100" w:type="dxa"/>
            <w:vAlign w:val="bottom"/>
          </w:tcPr>
          <w:p>
            <w:pPr>
              <w:spacing w:after="0"/>
              <w:rPr>
                <w:sz w:val="20"/>
                <w:szCs w:val="20"/>
                <w:color w:val="auto"/>
              </w:rPr>
            </w:pPr>
          </w:p>
        </w:tc>
        <w:tc>
          <w:tcPr>
            <w:tcW w:w="80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0"/>
                <w:szCs w:val="20"/>
                <w:color w:val="auto"/>
              </w:rPr>
            </w:pPr>
          </w:p>
        </w:tc>
        <w:tc>
          <w:tcPr>
            <w:tcW w:w="920" w:type="dxa"/>
            <w:vAlign w:val="bottom"/>
            <w:tcBorders>
              <w:top w:val="single" w:sz="8" w:color="355A89"/>
              <w:bottom w:val="single" w:sz="8" w:color="8089AD"/>
            </w:tcBorders>
            <w:shd w:val="clear" w:color="auto" w:fill="C0C4D7"/>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20"/>
                <w:szCs w:val="20"/>
                <w:color w:val="auto"/>
              </w:rPr>
            </w:pPr>
          </w:p>
        </w:tc>
        <w:tc>
          <w:tcPr>
            <w:tcW w:w="90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7"/>
                <w:shd w:val="clear" w:color="auto" w:fill="C0C4D7"/>
              </w:rPr>
              <w:t>01/02/2023</w:t>
            </w:r>
          </w:p>
        </w:tc>
        <w:tc>
          <w:tcPr>
            <w:tcW w:w="100" w:type="dxa"/>
            <w:vAlign w:val="bottom"/>
          </w:tcPr>
          <w:p>
            <w:pPr>
              <w:spacing w:after="0"/>
              <w:rPr>
                <w:sz w:val="20"/>
                <w:szCs w:val="20"/>
                <w:color w:val="auto"/>
              </w:rPr>
            </w:pPr>
          </w:p>
        </w:tc>
        <w:tc>
          <w:tcPr>
            <w:tcW w:w="74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151,318</w:t>
            </w:r>
          </w:p>
        </w:tc>
        <w:tc>
          <w:tcPr>
            <w:tcW w:w="100" w:type="dxa"/>
            <w:vAlign w:val="bottom"/>
          </w:tcPr>
          <w:p>
            <w:pPr>
              <w:spacing w:after="0"/>
              <w:rPr>
                <w:sz w:val="20"/>
                <w:szCs w:val="20"/>
                <w:color w:val="auto"/>
              </w:rPr>
            </w:pPr>
          </w:p>
        </w:tc>
        <w:tc>
          <w:tcPr>
            <w:tcW w:w="900" w:type="dxa"/>
            <w:vAlign w:val="bottom"/>
            <w:tcBorders>
              <w:top w:val="single" w:sz="8" w:color="355A89"/>
              <w:bottom w:val="single" w:sz="8" w:color="8089AD"/>
            </w:tcBorders>
            <w:gridSpan w:val="2"/>
            <w:shd w:val="clear" w:color="auto" w:fill="C0C4D7"/>
          </w:tcPr>
          <w:p>
            <w:pPr>
              <w:jc w:val="right"/>
              <w:spacing w:after="0"/>
              <w:rPr>
                <w:sz w:val="20"/>
                <w:szCs w:val="20"/>
                <w:color w:val="auto"/>
              </w:rPr>
            </w:pPr>
            <w:r>
              <w:rPr>
                <w:rFonts w:ascii="Arial" w:cs="Arial" w:eastAsia="Arial" w:hAnsi="Arial"/>
                <w:sz w:val="18"/>
                <w:szCs w:val="18"/>
                <w:color w:val="auto"/>
                <w:w w:val="97"/>
                <w:shd w:val="clear" w:color="auto" w:fill="C0C4D7"/>
              </w:rPr>
              <w:t>$9,278,820</w:t>
            </w:r>
          </w:p>
        </w:tc>
        <w:tc>
          <w:tcPr>
            <w:tcW w:w="100" w:type="dxa"/>
            <w:vAlign w:val="bottom"/>
          </w:tcPr>
          <w:p>
            <w:pPr>
              <w:spacing w:after="0"/>
              <w:rPr>
                <w:sz w:val="20"/>
                <w:szCs w:val="20"/>
                <w:color w:val="auto"/>
              </w:rPr>
            </w:pPr>
          </w:p>
        </w:tc>
        <w:tc>
          <w:tcPr>
            <w:tcW w:w="88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81,239</w:t>
            </w:r>
          </w:p>
        </w:tc>
        <w:tc>
          <w:tcPr>
            <w:tcW w:w="100" w:type="dxa"/>
            <w:vAlign w:val="bottom"/>
          </w:tcPr>
          <w:p>
            <w:pPr>
              <w:spacing w:after="0"/>
              <w:rPr>
                <w:sz w:val="20"/>
                <w:szCs w:val="20"/>
                <w:color w:val="auto"/>
              </w:rPr>
            </w:pPr>
          </w:p>
        </w:tc>
        <w:tc>
          <w:tcPr>
            <w:tcW w:w="12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79"/>
                <w:shd w:val="clear" w:color="auto" w:fill="C0C4D7"/>
              </w:rPr>
              <w:t>$</w:t>
            </w:r>
          </w:p>
        </w:tc>
        <w:tc>
          <w:tcPr>
            <w:tcW w:w="920" w:type="dxa"/>
            <w:vAlign w:val="bottom"/>
            <w:tcBorders>
              <w:top w:val="single" w:sz="8" w:color="355A89"/>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shd w:val="clear" w:color="auto" w:fill="C0C4D7"/>
              </w:rPr>
              <w:t>4,981,575</w:t>
            </w:r>
          </w:p>
        </w:tc>
      </w:tr>
      <w:tr>
        <w:trPr>
          <w:trHeight w:val="235"/>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52,500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99.86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06/17/2021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8089AD"/>
          </w:tcPr>
          <w:p>
            <w:pPr>
              <w:spacing w:after="0" w:line="20" w:lineRule="exact"/>
              <w:rPr>
                <w:sz w:val="1"/>
                <w:szCs w:val="1"/>
                <w:color w:val="auto"/>
              </w:rPr>
            </w:pPr>
          </w:p>
        </w:tc>
        <w:tc>
          <w:tcPr>
            <w:tcW w:w="5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r>
      <w:tr>
        <w:trPr>
          <w:trHeight w:val="235"/>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52,500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99.86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06/17/2026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8089AD"/>
          </w:tcPr>
          <w:p>
            <w:pPr>
              <w:spacing w:after="0" w:line="20" w:lineRule="exact"/>
              <w:rPr>
                <w:sz w:val="1"/>
                <w:szCs w:val="1"/>
                <w:color w:val="auto"/>
              </w:rPr>
            </w:pPr>
          </w:p>
        </w:tc>
        <w:tc>
          <w:tcPr>
            <w:tcW w:w="5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r>
      <w:tr>
        <w:trPr>
          <w:trHeight w:val="235"/>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52,500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105.73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06/17/2022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8089AD"/>
          </w:tcPr>
          <w:p>
            <w:pPr>
              <w:spacing w:after="0" w:line="20" w:lineRule="exact"/>
              <w:rPr>
                <w:sz w:val="1"/>
                <w:szCs w:val="1"/>
                <w:color w:val="auto"/>
              </w:rPr>
            </w:pPr>
          </w:p>
        </w:tc>
        <w:tc>
          <w:tcPr>
            <w:tcW w:w="5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r>
      <w:tr>
        <w:trPr>
          <w:trHeight w:val="237"/>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52,500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105.73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06/17/2027</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3540" w:type="dxa"/>
            <w:vAlign w:val="bottom"/>
            <w:tcBorders>
              <w:top w:val="single" w:sz="8" w:color="8089AD"/>
              <w:bottom w:val="single" w:sz="8" w:color="8089AD"/>
            </w:tcBorders>
          </w:tcPr>
          <w:p>
            <w:pPr>
              <w:spacing w:after="0"/>
              <w:rPr>
                <w:sz w:val="20"/>
                <w:szCs w:val="20"/>
                <w:color w:val="auto"/>
              </w:rPr>
            </w:pPr>
            <w:r>
              <w:rPr>
                <w:rFonts w:ascii="Arial" w:cs="Arial" w:eastAsia="Arial" w:hAnsi="Arial"/>
                <w:sz w:val="18"/>
                <w:szCs w:val="18"/>
                <w:color w:val="auto"/>
              </w:rPr>
              <w:t>Andrew Mathias</w:t>
            </w:r>
          </w:p>
        </w:tc>
        <w:tc>
          <w:tcPr>
            <w:tcW w:w="100" w:type="dxa"/>
            <w:vAlign w:val="bottom"/>
          </w:tcPr>
          <w:p>
            <w:pPr>
              <w:spacing w:after="0"/>
              <w:rPr>
                <w:sz w:val="20"/>
                <w:szCs w:val="20"/>
                <w:color w:val="auto"/>
              </w:rPr>
            </w:pPr>
          </w:p>
        </w:tc>
        <w:tc>
          <w:tcPr>
            <w:tcW w:w="800" w:type="dxa"/>
            <w:vAlign w:val="bottom"/>
            <w:tcBorders>
              <w:top w:val="single" w:sz="8" w:color="8089AD"/>
              <w:bottom w:val="single" w:sz="8" w:color="8089AD"/>
            </w:tcBorders>
            <w:shd w:val="clear" w:color="auto" w:fill="C0C4D7"/>
          </w:tcPr>
          <w:p>
            <w:pPr>
              <w:ind w:left="280"/>
              <w:spacing w:after="0"/>
              <w:rPr>
                <w:sz w:val="20"/>
                <w:szCs w:val="20"/>
                <w:color w:val="auto"/>
              </w:rPr>
            </w:pPr>
            <w:r>
              <w:rPr>
                <w:rFonts w:ascii="Arial" w:cs="Arial" w:eastAsia="Arial" w:hAnsi="Arial"/>
                <w:sz w:val="18"/>
                <w:szCs w:val="18"/>
                <w:color w:val="auto"/>
                <w:w w:val="90"/>
              </w:rPr>
              <w:t>65,000</w:t>
            </w:r>
          </w:p>
        </w:tc>
        <w:tc>
          <w:tcPr>
            <w:tcW w:w="120" w:type="dxa"/>
            <w:vAlign w:val="bottom"/>
          </w:tcPr>
          <w:p>
            <w:pPr>
              <w:spacing w:after="0"/>
              <w:rPr>
                <w:sz w:val="20"/>
                <w:szCs w:val="20"/>
                <w:color w:val="auto"/>
              </w:rPr>
            </w:pPr>
          </w:p>
        </w:tc>
        <w:tc>
          <w:tcPr>
            <w:tcW w:w="9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79"/>
                <w:shd w:val="clear" w:color="auto" w:fill="C0C4D7"/>
              </w:rPr>
              <w:t>$</w:t>
            </w:r>
          </w:p>
        </w:tc>
        <w:tc>
          <w:tcPr>
            <w:tcW w:w="5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shd w:val="clear" w:color="auto" w:fill="C0C4D7"/>
              </w:rPr>
              <w:t>91.43</w:t>
            </w:r>
          </w:p>
        </w:tc>
        <w:tc>
          <w:tcPr>
            <w:tcW w:w="100" w:type="dxa"/>
            <w:vAlign w:val="bottom"/>
          </w:tcPr>
          <w:p>
            <w:pPr>
              <w:spacing w:after="0"/>
              <w:rPr>
                <w:sz w:val="20"/>
                <w:szCs w:val="20"/>
                <w:color w:val="auto"/>
              </w:rPr>
            </w:pPr>
          </w:p>
        </w:tc>
        <w:tc>
          <w:tcPr>
            <w:tcW w:w="90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7"/>
              </w:rPr>
              <w:t>11/08/2023</w:t>
            </w:r>
          </w:p>
        </w:tc>
        <w:tc>
          <w:tcPr>
            <w:tcW w:w="100" w:type="dxa"/>
            <w:vAlign w:val="bottom"/>
          </w:tcPr>
          <w:p>
            <w:pPr>
              <w:spacing w:after="0"/>
              <w:rPr>
                <w:sz w:val="20"/>
                <w:szCs w:val="20"/>
                <w:color w:val="auto"/>
              </w:rPr>
            </w:pPr>
          </w:p>
        </w:tc>
        <w:tc>
          <w:tcPr>
            <w:tcW w:w="7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119,959</w:t>
            </w:r>
          </w:p>
        </w:tc>
        <w:tc>
          <w:tcPr>
            <w:tcW w:w="100" w:type="dxa"/>
            <w:vAlign w:val="bottom"/>
          </w:tcPr>
          <w:p>
            <w:pPr>
              <w:spacing w:after="0"/>
              <w:rPr>
                <w:sz w:val="20"/>
                <w:szCs w:val="20"/>
                <w:color w:val="auto"/>
              </w:rPr>
            </w:pPr>
          </w:p>
        </w:tc>
        <w:tc>
          <w:tcPr>
            <w:tcW w:w="1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9"/>
                <w:shd w:val="clear" w:color="auto" w:fill="C0C4D7"/>
              </w:rPr>
              <w:t>$</w:t>
            </w:r>
          </w:p>
        </w:tc>
        <w:tc>
          <w:tcPr>
            <w:tcW w:w="78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4"/>
                <w:shd w:val="clear" w:color="auto" w:fill="C0C4D7"/>
              </w:rPr>
              <w:t>7,355,886</w:t>
            </w:r>
          </w:p>
        </w:tc>
        <w:tc>
          <w:tcPr>
            <w:tcW w:w="100" w:type="dxa"/>
            <w:vAlign w:val="bottom"/>
          </w:tcPr>
          <w:p>
            <w:pPr>
              <w:spacing w:after="0"/>
              <w:rPr>
                <w:sz w:val="20"/>
                <w:szCs w:val="20"/>
                <w:color w:val="auto"/>
              </w:rPr>
            </w:pPr>
          </w:p>
        </w:tc>
        <w:tc>
          <w:tcPr>
            <w:tcW w:w="88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62,686</w:t>
            </w:r>
          </w:p>
        </w:tc>
        <w:tc>
          <w:tcPr>
            <w:tcW w:w="100" w:type="dxa"/>
            <w:vAlign w:val="bottom"/>
          </w:tcPr>
          <w:p>
            <w:pPr>
              <w:spacing w:after="0"/>
              <w:rPr>
                <w:sz w:val="20"/>
                <w:szCs w:val="20"/>
                <w:color w:val="auto"/>
              </w:rPr>
            </w:pPr>
          </w:p>
        </w:tc>
        <w:tc>
          <w:tcPr>
            <w:tcW w:w="1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79"/>
                <w:shd w:val="clear" w:color="auto" w:fill="C0C4D7"/>
              </w:rPr>
              <w:t>$</w:t>
            </w:r>
          </w:p>
        </w:tc>
        <w:tc>
          <w:tcPr>
            <w:tcW w:w="9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shd w:val="clear" w:color="auto" w:fill="C0C4D7"/>
              </w:rPr>
              <w:t>3,843,906</w:t>
            </w:r>
          </w:p>
        </w:tc>
      </w:tr>
      <w:tr>
        <w:trPr>
          <w:trHeight w:val="311"/>
        </w:trPr>
        <w:tc>
          <w:tcPr>
            <w:tcW w:w="3640" w:type="dxa"/>
            <w:vAlign w:val="bottom"/>
            <w:gridSpan w:val="2"/>
          </w:tcPr>
          <w:p>
            <w:pPr>
              <w:spacing w:after="0"/>
              <w:rPr>
                <w:sz w:val="20"/>
                <w:szCs w:val="20"/>
                <w:color w:val="auto"/>
              </w:rPr>
            </w:pPr>
            <w:r>
              <w:rPr>
                <w:rFonts w:ascii="Arial" w:cs="Arial" w:eastAsia="Arial" w:hAnsi="Arial"/>
                <w:sz w:val="18"/>
                <w:szCs w:val="18"/>
                <w:color w:val="auto"/>
              </w:rPr>
              <w:t>Matthew J. DiLiberto</w:t>
            </w:r>
          </w:p>
        </w:tc>
        <w:tc>
          <w:tcPr>
            <w:tcW w:w="800" w:type="dxa"/>
            <w:vAlign w:val="bottom"/>
            <w:tcBorders>
              <w:bottom w:val="single" w:sz="8" w:color="8089AD"/>
            </w:tcBorders>
            <w:shd w:val="clear" w:color="auto" w:fill="C0C4D7"/>
          </w:tcPr>
          <w:p>
            <w:pPr>
              <w:ind w:left="280"/>
              <w:spacing w:after="0"/>
              <w:rPr>
                <w:sz w:val="20"/>
                <w:szCs w:val="20"/>
                <w:color w:val="auto"/>
              </w:rPr>
            </w:pPr>
            <w:r>
              <w:rPr>
                <w:rFonts w:ascii="Arial" w:cs="Arial" w:eastAsia="Arial" w:hAnsi="Arial"/>
                <w:sz w:val="18"/>
                <w:szCs w:val="18"/>
                <w:color w:val="auto"/>
                <w:w w:val="90"/>
              </w:rPr>
              <w:t>10,000</w:t>
            </w:r>
          </w:p>
        </w:tc>
        <w:tc>
          <w:tcPr>
            <w:tcW w:w="120" w:type="dxa"/>
            <w:vAlign w:val="bottom"/>
          </w:tcPr>
          <w:p>
            <w:pPr>
              <w:spacing w:after="0"/>
              <w:rPr>
                <w:sz w:val="24"/>
                <w:szCs w:val="24"/>
                <w:color w:val="auto"/>
              </w:rPr>
            </w:pPr>
          </w:p>
        </w:tc>
        <w:tc>
          <w:tcPr>
            <w:tcW w:w="920" w:type="dxa"/>
            <w:vAlign w:val="bottom"/>
            <w:tcBorders>
              <w:bottom w:val="single" w:sz="8" w:color="8089AD"/>
            </w:tcBorders>
            <w:shd w:val="clear" w:color="auto" w:fill="C0C4D7"/>
          </w:tcPr>
          <w:p>
            <w:pPr>
              <w:jc w:val="right"/>
              <w:spacing w:after="0" w:line="310" w:lineRule="exact"/>
              <w:rPr>
                <w:sz w:val="20"/>
                <w:szCs w:val="20"/>
                <w:color w:val="auto"/>
              </w:rPr>
            </w:pPr>
            <w:r>
              <w:rPr>
                <w:rFonts w:ascii="Arial" w:cs="Arial" w:eastAsia="Arial" w:hAnsi="Arial"/>
                <w:sz w:val="18"/>
                <w:szCs w:val="18"/>
                <w:color w:val="auto"/>
              </w:rPr>
              <w:t>5,000</w:t>
            </w:r>
            <w:r>
              <w:rPr>
                <w:rFonts w:ascii="Arial" w:cs="Arial" w:eastAsia="Arial" w:hAnsi="Arial"/>
                <w:sz w:val="29"/>
                <w:szCs w:val="29"/>
                <w:color w:val="auto"/>
                <w:vertAlign w:val="superscript"/>
              </w:rPr>
              <w:t>(4)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4"/>
                <w:shd w:val="clear" w:color="auto" w:fill="C0C4D7"/>
              </w:rPr>
              <w:t>106.05</w:t>
            </w:r>
          </w:p>
        </w:tc>
        <w:tc>
          <w:tcPr>
            <w:tcW w:w="100" w:type="dxa"/>
            <w:vAlign w:val="bottom"/>
          </w:tcPr>
          <w:p>
            <w:pPr>
              <w:spacing w:after="0"/>
              <w:rPr>
                <w:sz w:val="24"/>
                <w:szCs w:val="24"/>
                <w:color w:val="auto"/>
              </w:rPr>
            </w:pPr>
          </w:p>
        </w:tc>
        <w:tc>
          <w:tcPr>
            <w:tcW w:w="90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7"/>
              </w:rPr>
              <w:t>01/11/2022</w:t>
            </w:r>
          </w:p>
        </w:tc>
        <w:tc>
          <w:tcPr>
            <w:tcW w:w="100" w:type="dxa"/>
            <w:vAlign w:val="bottom"/>
          </w:tcPr>
          <w:p>
            <w:pPr>
              <w:spacing w:after="0"/>
              <w:rPr>
                <w:sz w:val="24"/>
                <w:szCs w:val="24"/>
                <w:color w:val="auto"/>
              </w:rPr>
            </w:pPr>
          </w:p>
        </w:tc>
        <w:tc>
          <w:tcPr>
            <w:tcW w:w="74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4"/>
                <w:szCs w:val="24"/>
                <w:color w:val="auto"/>
              </w:rPr>
            </w:pPr>
          </w:p>
        </w:tc>
        <w:tc>
          <w:tcPr>
            <w:tcW w:w="12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4"/>
                <w:shd w:val="clear" w:color="auto" w:fill="C0C4D7"/>
              </w:rPr>
              <w:t>1,014,049</w:t>
            </w:r>
          </w:p>
        </w:tc>
        <w:tc>
          <w:tcPr>
            <w:tcW w:w="100" w:type="dxa"/>
            <w:vAlign w:val="bottom"/>
          </w:tcPr>
          <w:p>
            <w:pPr>
              <w:spacing w:after="0"/>
              <w:rPr>
                <w:sz w:val="24"/>
                <w:szCs w:val="24"/>
                <w:color w:val="auto"/>
              </w:rPr>
            </w:pPr>
          </w:p>
        </w:tc>
        <w:tc>
          <w:tcPr>
            <w:tcW w:w="88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4"/>
                <w:szCs w:val="24"/>
                <w:color w:val="auto"/>
              </w:rPr>
            </w:pPr>
          </w:p>
        </w:tc>
        <w:tc>
          <w:tcPr>
            <w:tcW w:w="12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368,962</w:t>
            </w:r>
          </w:p>
        </w:tc>
      </w:tr>
      <w:tr>
        <w:trPr>
          <w:trHeight w:val="30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40"/>
              <w:spacing w:after="0" w:line="303" w:lineRule="exact"/>
              <w:rPr>
                <w:sz w:val="20"/>
                <w:szCs w:val="20"/>
                <w:color w:val="auto"/>
              </w:rPr>
            </w:pPr>
            <w:r>
              <w:rPr>
                <w:rFonts w:ascii="Arial" w:cs="Arial" w:eastAsia="Arial" w:hAnsi="Arial"/>
                <w:sz w:val="18"/>
                <w:szCs w:val="18"/>
                <w:color w:val="auto"/>
              </w:rPr>
              <w:t>5,000</w:t>
            </w:r>
            <w:r>
              <w:rPr>
                <w:rFonts w:ascii="Arial" w:cs="Arial" w:eastAsia="Arial" w:hAnsi="Arial"/>
                <w:sz w:val="29"/>
                <w:szCs w:val="29"/>
                <w:color w:val="auto"/>
                <w:vertAlign w:val="superscript"/>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106.05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01/11/2027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Borders>
              <w:top w:val="single" w:sz="8" w:color="8089AD"/>
            </w:tcBorders>
          </w:tcPr>
          <w:p>
            <w:pPr>
              <w:spacing w:after="0"/>
              <w:rPr>
                <w:sz w:val="20"/>
                <w:szCs w:val="20"/>
                <w:color w:val="auto"/>
              </w:rPr>
            </w:pPr>
            <w:r>
              <w:rPr>
                <w:rFonts w:ascii="Arial" w:cs="Arial" w:eastAsia="Arial" w:hAnsi="Arial"/>
                <w:sz w:val="18"/>
                <w:szCs w:val="18"/>
                <w:color w:val="auto"/>
              </w:rPr>
              <w:t>Andrew S. Levine</w:t>
            </w:r>
          </w:p>
        </w:tc>
        <w:tc>
          <w:tcPr>
            <w:tcW w:w="100" w:type="dxa"/>
            <w:vAlign w:val="bottom"/>
          </w:tcPr>
          <w:p>
            <w:pPr>
              <w:spacing w:after="0"/>
              <w:rPr>
                <w:sz w:val="20"/>
                <w:szCs w:val="20"/>
                <w:color w:val="auto"/>
              </w:rPr>
            </w:pPr>
          </w:p>
        </w:tc>
        <w:tc>
          <w:tcPr>
            <w:tcW w:w="800" w:type="dxa"/>
            <w:vAlign w:val="bottom"/>
            <w:tcBorders>
              <w:top w:val="single" w:sz="8" w:color="8089AD"/>
              <w:bottom w:val="single" w:sz="8" w:color="8089AD"/>
            </w:tcBorders>
            <w:shd w:val="clear" w:color="auto" w:fill="C0C4D7"/>
          </w:tcPr>
          <w:p>
            <w:pPr>
              <w:ind w:left="280"/>
              <w:spacing w:after="0"/>
              <w:rPr>
                <w:sz w:val="20"/>
                <w:szCs w:val="20"/>
                <w:color w:val="auto"/>
              </w:rPr>
            </w:pPr>
            <w:r>
              <w:rPr>
                <w:rFonts w:ascii="Arial" w:cs="Arial" w:eastAsia="Arial" w:hAnsi="Arial"/>
                <w:sz w:val="18"/>
                <w:szCs w:val="18"/>
                <w:color w:val="auto"/>
                <w:w w:val="90"/>
              </w:rPr>
              <w:t>12,500</w:t>
            </w:r>
          </w:p>
        </w:tc>
        <w:tc>
          <w:tcPr>
            <w:tcW w:w="120" w:type="dxa"/>
            <w:vAlign w:val="bottom"/>
          </w:tcPr>
          <w:p>
            <w:pPr>
              <w:spacing w:after="0"/>
              <w:rPr>
                <w:sz w:val="20"/>
                <w:szCs w:val="20"/>
                <w:color w:val="auto"/>
              </w:rPr>
            </w:pPr>
          </w:p>
        </w:tc>
        <w:tc>
          <w:tcPr>
            <w:tcW w:w="9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79"/>
                <w:shd w:val="clear" w:color="auto" w:fill="C0C4D7"/>
              </w:rPr>
              <w:t>$</w:t>
            </w:r>
          </w:p>
        </w:tc>
        <w:tc>
          <w:tcPr>
            <w:tcW w:w="5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shd w:val="clear" w:color="auto" w:fill="C0C4D7"/>
              </w:rPr>
              <w:t>90.15</w:t>
            </w:r>
          </w:p>
        </w:tc>
        <w:tc>
          <w:tcPr>
            <w:tcW w:w="100" w:type="dxa"/>
            <w:vAlign w:val="bottom"/>
          </w:tcPr>
          <w:p>
            <w:pPr>
              <w:spacing w:after="0"/>
              <w:rPr>
                <w:sz w:val="20"/>
                <w:szCs w:val="20"/>
                <w:color w:val="auto"/>
              </w:rPr>
            </w:pPr>
          </w:p>
        </w:tc>
        <w:tc>
          <w:tcPr>
            <w:tcW w:w="90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97"/>
                <w:shd w:val="clear" w:color="auto" w:fill="C0C4D7"/>
              </w:rPr>
              <w:t>12/12/2023</w:t>
            </w:r>
          </w:p>
        </w:tc>
        <w:tc>
          <w:tcPr>
            <w:tcW w:w="100" w:type="dxa"/>
            <w:vAlign w:val="bottom"/>
          </w:tcPr>
          <w:p>
            <w:pPr>
              <w:spacing w:after="0"/>
              <w:rPr>
                <w:sz w:val="20"/>
                <w:szCs w:val="20"/>
                <w:color w:val="auto"/>
              </w:rPr>
            </w:pPr>
          </w:p>
        </w:tc>
        <w:tc>
          <w:tcPr>
            <w:tcW w:w="74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32,449</w:t>
            </w:r>
          </w:p>
        </w:tc>
        <w:tc>
          <w:tcPr>
            <w:tcW w:w="100" w:type="dxa"/>
            <w:vAlign w:val="bottom"/>
          </w:tcPr>
          <w:p>
            <w:pPr>
              <w:spacing w:after="0"/>
              <w:rPr>
                <w:sz w:val="20"/>
                <w:szCs w:val="20"/>
                <w:color w:val="auto"/>
              </w:rPr>
            </w:pPr>
          </w:p>
        </w:tc>
        <w:tc>
          <w:tcPr>
            <w:tcW w:w="900" w:type="dxa"/>
            <w:vAlign w:val="bottom"/>
            <w:tcBorders>
              <w:top w:val="single" w:sz="8" w:color="8089AD"/>
              <w:bottom w:val="single" w:sz="8" w:color="8089AD"/>
            </w:tcBorders>
            <w:gridSpan w:val="2"/>
            <w:shd w:val="clear" w:color="auto" w:fill="C0C4D7"/>
          </w:tcPr>
          <w:p>
            <w:pPr>
              <w:jc w:val="right"/>
              <w:spacing w:after="0"/>
              <w:rPr>
                <w:sz w:val="20"/>
                <w:szCs w:val="20"/>
                <w:color w:val="auto"/>
              </w:rPr>
            </w:pPr>
            <w:r>
              <w:rPr>
                <w:rFonts w:ascii="Arial" w:cs="Arial" w:eastAsia="Arial" w:hAnsi="Arial"/>
                <w:sz w:val="18"/>
                <w:szCs w:val="18"/>
                <w:color w:val="auto"/>
                <w:w w:val="97"/>
                <w:shd w:val="clear" w:color="auto" w:fill="C0C4D7"/>
              </w:rPr>
              <w:t>$1,989,773</w:t>
            </w:r>
          </w:p>
        </w:tc>
        <w:tc>
          <w:tcPr>
            <w:tcW w:w="100" w:type="dxa"/>
            <w:vAlign w:val="bottom"/>
          </w:tcPr>
          <w:p>
            <w:pPr>
              <w:spacing w:after="0"/>
              <w:rPr>
                <w:sz w:val="20"/>
                <w:szCs w:val="20"/>
                <w:color w:val="auto"/>
              </w:rPr>
            </w:pPr>
          </w:p>
        </w:tc>
        <w:tc>
          <w:tcPr>
            <w:tcW w:w="88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0"/>
                <w:szCs w:val="20"/>
                <w:color w:val="auto"/>
              </w:rPr>
            </w:pPr>
          </w:p>
        </w:tc>
        <w:tc>
          <w:tcPr>
            <w:tcW w:w="1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w w:val="79"/>
                <w:shd w:val="clear" w:color="auto" w:fill="C0C4D7"/>
              </w:rPr>
              <w:t>$</w:t>
            </w:r>
          </w:p>
        </w:tc>
        <w:tc>
          <w:tcPr>
            <w:tcW w:w="920" w:type="dxa"/>
            <w:vAlign w:val="bottom"/>
            <w:tcBorders>
              <w:top w:val="single" w:sz="8" w:color="8089AD"/>
              <w:bottom w:val="single" w:sz="8" w:color="8089AD"/>
            </w:tcBorders>
            <w:shd w:val="clear" w:color="auto" w:fill="C0C4D7"/>
          </w:tcPr>
          <w:p>
            <w:pPr>
              <w:jc w:val="right"/>
              <w:spacing w:after="0"/>
              <w:rPr>
                <w:sz w:val="20"/>
                <w:szCs w:val="20"/>
                <w:color w:val="auto"/>
              </w:rPr>
            </w:pPr>
            <w:r>
              <w:rPr>
                <w:rFonts w:ascii="Arial" w:cs="Arial" w:eastAsia="Arial" w:hAnsi="Arial"/>
                <w:sz w:val="18"/>
                <w:szCs w:val="18"/>
                <w:color w:val="auto"/>
                <w:shd w:val="clear" w:color="auto" w:fill="C0C4D7"/>
              </w:rPr>
              <w:t>368,962</w:t>
            </w:r>
          </w:p>
        </w:tc>
      </w:tr>
      <w:tr>
        <w:trPr>
          <w:trHeight w:val="310"/>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40"/>
              <w:spacing w:after="0" w:line="310" w:lineRule="exact"/>
              <w:rPr>
                <w:sz w:val="20"/>
                <w:szCs w:val="20"/>
                <w:color w:val="auto"/>
              </w:rPr>
            </w:pPr>
            <w:r>
              <w:rPr>
                <w:rFonts w:ascii="Arial" w:cs="Arial" w:eastAsia="Arial" w:hAnsi="Arial"/>
                <w:sz w:val="18"/>
                <w:szCs w:val="18"/>
                <w:color w:val="auto"/>
              </w:rPr>
              <w:t>5,000</w:t>
            </w:r>
            <w:r>
              <w:rPr>
                <w:rFonts w:ascii="Arial" w:cs="Arial" w:eastAsia="Arial" w:hAnsi="Arial"/>
                <w:sz w:val="29"/>
                <w:szCs w:val="29"/>
                <w:color w:val="auto"/>
                <w:vertAlign w:val="superscript"/>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106.05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01/11/2022</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8089A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8089AD"/>
          </w:tcPr>
          <w:p>
            <w:pPr>
              <w:spacing w:after="0" w:line="20" w:lineRule="exact"/>
              <w:rPr>
                <w:sz w:val="1"/>
                <w:szCs w:val="1"/>
                <w:color w:val="auto"/>
              </w:rPr>
            </w:pPr>
          </w:p>
        </w:tc>
        <w:tc>
          <w:tcPr>
            <w:tcW w:w="5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7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8089AD"/>
          </w:tcPr>
          <w:p>
            <w:pPr>
              <w:spacing w:after="0" w:line="20" w:lineRule="exact"/>
              <w:rPr>
                <w:sz w:val="1"/>
                <w:szCs w:val="1"/>
                <w:color w:val="auto"/>
              </w:rPr>
            </w:pPr>
          </w:p>
        </w:tc>
        <w:tc>
          <w:tcPr>
            <w:tcW w:w="920" w:type="dxa"/>
            <w:vAlign w:val="bottom"/>
            <w:shd w:val="clear" w:color="auto" w:fill="8089AD"/>
          </w:tcPr>
          <w:p>
            <w:pPr>
              <w:spacing w:after="0" w:line="20" w:lineRule="exact"/>
              <w:rPr>
                <w:sz w:val="1"/>
                <w:szCs w:val="1"/>
                <w:color w:val="auto"/>
              </w:rPr>
            </w:pPr>
          </w:p>
        </w:tc>
      </w:tr>
      <w:tr>
        <w:trPr>
          <w:trHeight w:val="30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40"/>
              <w:spacing w:after="0" w:line="303" w:lineRule="exact"/>
              <w:rPr>
                <w:sz w:val="20"/>
                <w:szCs w:val="20"/>
                <w:color w:val="auto"/>
              </w:rPr>
            </w:pPr>
            <w:r>
              <w:rPr>
                <w:rFonts w:ascii="Arial" w:cs="Arial" w:eastAsia="Arial" w:hAnsi="Arial"/>
                <w:sz w:val="18"/>
                <w:szCs w:val="18"/>
                <w:color w:val="auto"/>
              </w:rPr>
              <w:t>5,000</w:t>
            </w:r>
            <w:r>
              <w:rPr>
                <w:rFonts w:ascii="Arial" w:cs="Arial" w:eastAsia="Arial" w:hAnsi="Arial"/>
                <w:sz w:val="29"/>
                <w:szCs w:val="29"/>
                <w:color w:val="auto"/>
                <w:vertAlign w:val="superscript"/>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106.05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01/11/2027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355A89"/>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355A89"/>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355A89"/>
          </w:tcPr>
          <w:p>
            <w:pPr>
              <w:spacing w:after="0"/>
              <w:rPr>
                <w:sz w:val="2"/>
                <w:szCs w:val="2"/>
                <w:color w:val="auto"/>
              </w:rPr>
            </w:pPr>
          </w:p>
        </w:tc>
        <w:tc>
          <w:tcPr>
            <w:tcW w:w="54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55A89"/>
          </w:tcPr>
          <w:p>
            <w:pPr>
              <w:spacing w:after="0"/>
              <w:rPr>
                <w:sz w:val="2"/>
                <w:szCs w:val="2"/>
                <w:color w:val="auto"/>
              </w:rPr>
            </w:pPr>
          </w:p>
        </w:tc>
        <w:tc>
          <w:tcPr>
            <w:tcW w:w="78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55A89"/>
          </w:tcPr>
          <w:p>
            <w:pPr>
              <w:spacing w:after="0"/>
              <w:rPr>
                <w:sz w:val="2"/>
                <w:szCs w:val="2"/>
                <w:color w:val="auto"/>
              </w:rPr>
            </w:pPr>
          </w:p>
        </w:tc>
        <w:tc>
          <w:tcPr>
            <w:tcW w:w="920" w:type="dxa"/>
            <w:vAlign w:val="bottom"/>
            <w:shd w:val="clear" w:color="auto" w:fill="355A89"/>
          </w:tcPr>
          <w:p>
            <w:pPr>
              <w:spacing w:after="0"/>
              <w:rPr>
                <w:sz w:val="2"/>
                <w:szCs w:val="2"/>
                <w:color w:val="auto"/>
              </w:rPr>
            </w:pPr>
          </w:p>
        </w:tc>
      </w:tr>
    </w:tbl>
    <w:p>
      <w:pPr>
        <w:spacing w:after="0" w:line="242"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each of our named executive officers, includes the following:</w:t>
      </w:r>
    </w:p>
    <w:p>
      <w:pPr>
        <w:spacing w:after="0" w:line="226"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2020</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2019</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2020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2019</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Performance-</w:t>
            </w:r>
          </w:p>
        </w:tc>
      </w:tr>
      <w:tr>
        <w:trPr>
          <w:trHeight w:val="149"/>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Operational</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Operational</w:t>
            </w:r>
          </w:p>
        </w:tc>
        <w:tc>
          <w:tcPr>
            <w:tcW w:w="196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355A89"/>
              </w:rPr>
              <w:t>Time-Based   Time-Based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Based</w:t>
            </w: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Performance-</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Performance-</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Employment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Employment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Employment</w:t>
            </w: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Based LTIP</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355A89"/>
              </w:rPr>
              <w:t>Based LTIP</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Agreement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Agreement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Agreement</w:t>
            </w:r>
          </w:p>
        </w:tc>
      </w:tr>
      <w:tr>
        <w:trPr>
          <w:trHeight w:val="203"/>
        </w:trPr>
        <w:tc>
          <w:tcPr>
            <w:tcW w:w="588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line="203" w:lineRule="exact"/>
              <w:rPr>
                <w:sz w:val="20"/>
                <w:szCs w:val="20"/>
                <w:color w:val="auto"/>
              </w:rPr>
            </w:pPr>
            <w:r>
              <w:rPr>
                <w:rFonts w:ascii="Arial" w:cs="Arial" w:eastAsia="Arial" w:hAnsi="Arial"/>
                <w:sz w:val="13"/>
                <w:szCs w:val="13"/>
                <w:b w:val="1"/>
                <w:bCs w:val="1"/>
                <w:color w:val="355A89"/>
              </w:rPr>
              <w:t>Units</w:t>
            </w:r>
            <w:r>
              <w:rPr>
                <w:rFonts w:ascii="Arial" w:cs="Arial" w:eastAsia="Arial" w:hAnsi="Arial"/>
                <w:sz w:val="22"/>
                <w:szCs w:val="22"/>
                <w:b w:val="1"/>
                <w:bCs w:val="1"/>
                <w:color w:val="355A89"/>
                <w:vertAlign w:val="superscript"/>
              </w:rPr>
              <w:t>(a)</w:t>
            </w: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13"/>
                <w:szCs w:val="13"/>
                <w:b w:val="1"/>
                <w:bCs w:val="1"/>
                <w:color w:val="355A89"/>
              </w:rPr>
              <w:t>Units</w:t>
            </w:r>
            <w:r>
              <w:rPr>
                <w:rFonts w:ascii="Arial" w:cs="Arial" w:eastAsia="Arial" w:hAnsi="Arial"/>
                <w:sz w:val="22"/>
                <w:szCs w:val="22"/>
                <w:b w:val="1"/>
                <w:bCs w:val="1"/>
                <w:color w:val="355A89"/>
                <w:vertAlign w:val="superscript"/>
              </w:rPr>
              <w:t>(b)</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LTIP Units</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LTIP Units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LTIP Units</w:t>
            </w:r>
          </w:p>
        </w:tc>
      </w:tr>
      <w:tr>
        <w:trPr>
          <w:trHeight w:val="27"/>
        </w:trPr>
        <w:tc>
          <w:tcPr>
            <w:tcW w:w="58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355A89"/>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355A89"/>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A89"/>
          </w:tcPr>
          <w:p>
            <w:pPr>
              <w:spacing w:after="0"/>
              <w:rPr>
                <w:sz w:val="2"/>
                <w:szCs w:val="2"/>
                <w:color w:val="auto"/>
              </w:rPr>
            </w:pPr>
          </w:p>
        </w:tc>
      </w:tr>
      <w:tr>
        <w:trPr>
          <w:trHeight w:val="310"/>
        </w:trPr>
        <w:tc>
          <w:tcPr>
            <w:tcW w:w="58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41,494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60,530</w:t>
            </w:r>
          </w:p>
        </w:tc>
        <w:tc>
          <w:tcPr>
            <w:tcW w:w="98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49,294</w:t>
            </w:r>
            <w:r>
              <w:rPr>
                <w:rFonts w:ascii="Arial" w:cs="Arial" w:eastAsia="Arial" w:hAnsi="Arial"/>
                <w:sz w:val="29"/>
                <w:szCs w:val="29"/>
                <w:color w:val="auto"/>
                <w:vertAlign w:val="superscript"/>
              </w:rPr>
              <w:t>(c)</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r>
      <w:tr>
        <w:trPr>
          <w:trHeight w:val="304"/>
        </w:trPr>
        <w:tc>
          <w:tcPr>
            <w:tcW w:w="58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33,196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48,423</w:t>
            </w:r>
          </w:p>
        </w:tc>
        <w:tc>
          <w:tcPr>
            <w:tcW w:w="98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38,340</w:t>
            </w:r>
            <w:r>
              <w:rPr>
                <w:rFonts w:ascii="Arial" w:cs="Arial" w:eastAsia="Arial" w:hAnsi="Arial"/>
                <w:sz w:val="29"/>
                <w:szCs w:val="29"/>
                <w:color w:val="auto"/>
                <w:vertAlign w:val="superscript"/>
              </w:rPr>
              <w:t>(c)</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r>
      <w:tr>
        <w:trPr>
          <w:trHeight w:val="304"/>
        </w:trPr>
        <w:tc>
          <w:tcPr>
            <w:tcW w:w="588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3,074</w:t>
            </w:r>
          </w:p>
        </w:tc>
        <w:tc>
          <w:tcPr>
            <w:tcW w:w="860" w:type="dxa"/>
            <w:vAlign w:val="bottom"/>
          </w:tcPr>
          <w:p>
            <w:pPr>
              <w:jc w:val="right"/>
              <w:spacing w:after="0"/>
              <w:rPr>
                <w:sz w:val="20"/>
                <w:szCs w:val="20"/>
                <w:color w:val="auto"/>
              </w:rPr>
            </w:pPr>
            <w:r>
              <w:rPr>
                <w:rFonts w:ascii="Arial" w:cs="Arial" w:eastAsia="Arial" w:hAnsi="Arial"/>
                <w:sz w:val="18"/>
                <w:szCs w:val="18"/>
                <w:color w:val="auto"/>
              </w:rPr>
              <w:t>4,484</w:t>
            </w:r>
          </w:p>
        </w:tc>
        <w:tc>
          <w:tcPr>
            <w:tcW w:w="180" w:type="dxa"/>
            <w:vAlign w:val="bottom"/>
          </w:tcPr>
          <w:p>
            <w:pPr>
              <w:spacing w:after="0"/>
              <w:rPr>
                <w:sz w:val="24"/>
                <w:szCs w:val="24"/>
                <w:color w:val="auto"/>
              </w:rPr>
            </w:pPr>
          </w:p>
        </w:tc>
        <w:tc>
          <w:tcPr>
            <w:tcW w:w="98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5,000</w:t>
            </w:r>
            <w:r>
              <w:rPr>
                <w:rFonts w:ascii="Arial" w:cs="Arial" w:eastAsia="Arial" w:hAnsi="Arial"/>
                <w:sz w:val="29"/>
                <w:szCs w:val="29"/>
                <w:color w:val="auto"/>
                <w:vertAlign w:val="superscript"/>
              </w:rPr>
              <w:t>(d)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line="303" w:lineRule="exact"/>
              <w:rPr>
                <w:sz w:val="20"/>
                <w:szCs w:val="20"/>
                <w:color w:val="auto"/>
              </w:rPr>
            </w:pPr>
            <w:r>
              <w:rPr>
                <w:rFonts w:ascii="Arial" w:cs="Arial" w:eastAsia="Arial" w:hAnsi="Arial"/>
                <w:sz w:val="18"/>
                <w:szCs w:val="18"/>
                <w:color w:val="auto"/>
              </w:rPr>
              <w:t>3,979</w:t>
            </w:r>
            <w:r>
              <w:rPr>
                <w:rFonts w:ascii="Arial" w:cs="Arial" w:eastAsia="Arial" w:hAnsi="Arial"/>
                <w:sz w:val="29"/>
                <w:szCs w:val="29"/>
                <w:color w:val="auto"/>
                <w:vertAlign w:val="superscript"/>
              </w:rPr>
              <w:t>(e)</w:t>
            </w:r>
          </w:p>
        </w:tc>
      </w:tr>
      <w:tr>
        <w:trPr>
          <w:trHeight w:val="20"/>
        </w:trPr>
        <w:tc>
          <w:tcPr>
            <w:tcW w:w="58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80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r>
      <w:tr>
        <w:trPr>
          <w:trHeight w:val="304"/>
        </w:trPr>
        <w:tc>
          <w:tcPr>
            <w:tcW w:w="588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3,074</w:t>
            </w:r>
          </w:p>
        </w:tc>
        <w:tc>
          <w:tcPr>
            <w:tcW w:w="860" w:type="dxa"/>
            <w:vAlign w:val="bottom"/>
          </w:tcPr>
          <w:p>
            <w:pPr>
              <w:jc w:val="right"/>
              <w:spacing w:after="0"/>
              <w:rPr>
                <w:sz w:val="20"/>
                <w:szCs w:val="20"/>
                <w:color w:val="auto"/>
              </w:rPr>
            </w:pPr>
            <w:r>
              <w:rPr>
                <w:rFonts w:ascii="Arial" w:cs="Arial" w:eastAsia="Arial" w:hAnsi="Arial"/>
                <w:sz w:val="18"/>
                <w:szCs w:val="18"/>
                <w:color w:val="auto"/>
              </w:rPr>
              <w:t>4,484</w:t>
            </w:r>
          </w:p>
        </w:tc>
        <w:tc>
          <w:tcPr>
            <w:tcW w:w="180" w:type="dxa"/>
            <w:vAlign w:val="bottom"/>
          </w:tcPr>
          <w:p>
            <w:pPr>
              <w:spacing w:after="0"/>
              <w:rPr>
                <w:sz w:val="24"/>
                <w:szCs w:val="24"/>
                <w:color w:val="auto"/>
              </w:rPr>
            </w:pPr>
          </w:p>
        </w:tc>
        <w:tc>
          <w:tcPr>
            <w:tcW w:w="98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14,240</w:t>
            </w:r>
            <w:r>
              <w:rPr>
                <w:rFonts w:ascii="Arial" w:cs="Arial" w:eastAsia="Arial" w:hAnsi="Arial"/>
                <w:sz w:val="29"/>
                <w:szCs w:val="29"/>
                <w:color w:val="auto"/>
                <w:vertAlign w:val="superscript"/>
              </w:rPr>
              <w:t>(f)</w:t>
            </w:r>
          </w:p>
        </w:tc>
        <w:tc>
          <w:tcPr>
            <w:tcW w:w="98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10,651</w:t>
            </w:r>
            <w:r>
              <w:rPr>
                <w:rFonts w:ascii="Arial" w:cs="Arial" w:eastAsia="Arial" w:hAnsi="Arial"/>
                <w:sz w:val="29"/>
                <w:szCs w:val="29"/>
                <w:color w:val="auto"/>
                <w:vertAlign w:val="superscript"/>
              </w:rPr>
              <w:t>(g)</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355A89"/>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355A89"/>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A89"/>
          </w:tcPr>
          <w:p>
            <w:pPr>
              <w:spacing w:after="0"/>
              <w:rPr>
                <w:sz w:val="2"/>
                <w:szCs w:val="2"/>
                <w:color w:val="auto"/>
              </w:rPr>
            </w:pPr>
          </w:p>
        </w:tc>
      </w:tr>
    </w:tbl>
    <w:p>
      <w:pPr>
        <w:spacing w:after="0" w:line="242" w:lineRule="exact"/>
        <w:rPr>
          <w:sz w:val="20"/>
          <w:szCs w:val="20"/>
          <w:color w:val="auto"/>
        </w:rPr>
      </w:pPr>
    </w:p>
    <w:p>
      <w:pPr>
        <w:ind w:left="580" w:right="40" w:hanging="302"/>
        <w:spacing w:after="0" w:line="245" w:lineRule="auto"/>
        <w:tabs>
          <w:tab w:leader="none" w:pos="5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Represents the number of LTIP units that were earned for 2020 operational performance that are not subject to forfeiture regardless of our absolute TSR performance over the three-year period ending December 31, 2022. The LTIP units will vest 100% for Messrs. Holliday and Mathias on December 31, 2022, and 50% on each of December 31, 2022 and December 31, 2023 for Messrs. DiLiberto and Levine, subject, in each case, to continued employment. See “—Compensation Discussion and Analysis—2020 Pay Outcomes —2020 Performance-Based Equity Awards” for a description of these awards.</w:t>
      </w:r>
    </w:p>
    <w:p>
      <w:pPr>
        <w:spacing w:after="0" w:line="51" w:lineRule="exact"/>
        <w:rPr>
          <w:rFonts w:ascii="Arial" w:cs="Arial" w:eastAsia="Arial" w:hAnsi="Arial"/>
          <w:sz w:val="13"/>
          <w:szCs w:val="13"/>
          <w:color w:val="auto"/>
        </w:rPr>
      </w:pPr>
    </w:p>
    <w:p>
      <w:pPr>
        <w:jc w:val="both"/>
        <w:ind w:left="580" w:right="220" w:hanging="302"/>
        <w:spacing w:after="0" w:line="248" w:lineRule="auto"/>
        <w:tabs>
          <w:tab w:leader="none" w:pos="5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Represents the number of LTIP units that were earned for 2019 operational performance that are not subject to forfeiture regardless of our absolute TSR performance over the three-year period ending December 31, 2021. The LTIP units will vest 100% for Messrs. Holliday and Mathias on December 31, 2021, and 50% on each of December 31, 2021 and December 31, 2022 for Messrs. DiLiberto and Levine, subject, in each case, to continued employment.</w:t>
      </w:r>
    </w:p>
    <w:p>
      <w:pPr>
        <w:spacing w:after="0" w:line="49" w:lineRule="exact"/>
        <w:rPr>
          <w:rFonts w:ascii="Arial" w:cs="Arial" w:eastAsia="Arial" w:hAnsi="Arial"/>
          <w:sz w:val="13"/>
          <w:szCs w:val="13"/>
          <w:color w:val="auto"/>
        </w:rPr>
      </w:pPr>
    </w:p>
    <w:p>
      <w:pPr>
        <w:ind w:left="580" w:right="100" w:hanging="302"/>
        <w:spacing w:after="0" w:line="258" w:lineRule="auto"/>
        <w:tabs>
          <w:tab w:leader="none" w:pos="5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Represents LTIP units that vested one-third on January 1, 2021 and LTIP units that are scheduled to vest one-third on January 1, 2022 and one-third on January 1, 2023, subject to continued employment.</w:t>
      </w:r>
    </w:p>
    <w:p>
      <w:pPr>
        <w:spacing w:after="0" w:line="43" w:lineRule="exact"/>
        <w:rPr>
          <w:rFonts w:ascii="Arial" w:cs="Arial" w:eastAsia="Arial" w:hAnsi="Arial"/>
          <w:sz w:val="13"/>
          <w:szCs w:val="13"/>
          <w:color w:val="auto"/>
        </w:rPr>
      </w:pPr>
    </w:p>
    <w:p>
      <w:pPr>
        <w:ind w:left="580" w:hanging="302"/>
        <w:spacing w:after="0"/>
        <w:tabs>
          <w:tab w:leader="none" w:pos="5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Represents LTIP units that vested on January 1, 2021.</w:t>
      </w:r>
    </w:p>
    <w:p>
      <w:pPr>
        <w:spacing w:after="0" w:line="66" w:lineRule="exact"/>
        <w:rPr>
          <w:rFonts w:ascii="Arial" w:cs="Arial" w:eastAsia="Arial" w:hAnsi="Arial"/>
          <w:sz w:val="13"/>
          <w:szCs w:val="13"/>
          <w:color w:val="auto"/>
        </w:rPr>
      </w:pPr>
    </w:p>
    <w:p>
      <w:pPr>
        <w:ind w:left="580" w:hanging="302"/>
        <w:spacing w:after="0"/>
        <w:tabs>
          <w:tab w:leader="none" w:pos="5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Represents LTIP units that vested in 2021 based on 2020 performance.</w:t>
      </w:r>
    </w:p>
    <w:p>
      <w:pPr>
        <w:spacing w:after="0" w:line="66" w:lineRule="exact"/>
        <w:rPr>
          <w:rFonts w:ascii="Arial" w:cs="Arial" w:eastAsia="Arial" w:hAnsi="Arial"/>
          <w:sz w:val="13"/>
          <w:szCs w:val="13"/>
          <w:color w:val="auto"/>
        </w:rPr>
      </w:pPr>
    </w:p>
    <w:p>
      <w:pPr>
        <w:ind w:left="580" w:hanging="302"/>
        <w:spacing w:after="0"/>
        <w:tabs>
          <w:tab w:leader="none" w:pos="5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Represents 7,120 LTIP units that vested on January 1, 2021 and 7,120 LTIP units scheduled to vest on January 1, 2022, subject to continued employment.</w:t>
      </w:r>
    </w:p>
    <w:p>
      <w:pPr>
        <w:spacing w:after="0" w:line="66" w:lineRule="exact"/>
        <w:rPr>
          <w:rFonts w:ascii="Arial" w:cs="Arial" w:eastAsia="Arial" w:hAnsi="Arial"/>
          <w:sz w:val="13"/>
          <w:szCs w:val="13"/>
          <w:color w:val="auto"/>
        </w:rPr>
      </w:pPr>
    </w:p>
    <w:p>
      <w:pPr>
        <w:ind w:left="580" w:hanging="302"/>
        <w:spacing w:after="0"/>
        <w:tabs>
          <w:tab w:leader="none" w:pos="5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Represents 5,325 LTIP units that vested on January 1, 2021 and 5,326 LTIP units scheduled to vest on January 1, 2022, subject to continued employment.</w:t>
      </w:r>
    </w:p>
    <w:p>
      <w:pPr>
        <w:spacing w:after="0" w:line="66" w:lineRule="exact"/>
        <w:rPr>
          <w:rFonts w:ascii="Arial" w:cs="Arial" w:eastAsia="Arial" w:hAnsi="Arial"/>
          <w:sz w:val="13"/>
          <w:szCs w:val="13"/>
          <w:color w:val="auto"/>
        </w:rPr>
      </w:pPr>
    </w:p>
    <w:p>
      <w:pPr>
        <w:ind w:left="320" w:right="160" w:hanging="312"/>
        <w:spacing w:after="0" w:line="258" w:lineRule="auto"/>
        <w:tabs>
          <w:tab w:leader="none" w:pos="3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a price of $61.32 per share/unit, which was the closing price on the NYSE of one share of our common stock on December 31, 2020. Assumes that the value of LTIP units on a per unit basis is equal to the per share value of our common stock.</w:t>
      </w:r>
    </w:p>
    <w:p>
      <w:pPr>
        <w:spacing w:after="0" w:line="195" w:lineRule="exact"/>
        <w:rPr>
          <w:sz w:val="20"/>
          <w:szCs w:val="20"/>
          <w:color w:val="auto"/>
        </w:rPr>
      </w:pPr>
    </w:p>
    <w:p>
      <w:pPr>
        <w:ind w:left="300" w:hanging="292"/>
        <w:spacing w:after="0"/>
        <w:tabs>
          <w:tab w:leader="none" w:pos="300" w:val="left"/>
        </w:tabs>
        <w:numPr>
          <w:ilvl w:val="0"/>
          <w:numId w:val="114"/>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208"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For each of our named executive officers includes the following:</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8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2020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2019</w:t>
            </w:r>
          </w:p>
        </w:tc>
      </w:tr>
      <w:tr>
        <w:trPr>
          <w:trHeight w:val="148"/>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Performance-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Performance-</w:t>
            </w:r>
          </w:p>
        </w:tc>
      </w:tr>
      <w:tr>
        <w:trPr>
          <w:trHeight w:val="157"/>
        </w:trPr>
        <w:tc>
          <w:tcPr>
            <w:tcW w:w="8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Based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355A89"/>
              </w:rPr>
              <w:t>Based LTIP</w:t>
            </w:r>
          </w:p>
        </w:tc>
      </w:tr>
      <w:tr>
        <w:trPr>
          <w:trHeight w:val="224"/>
        </w:trPr>
        <w:tc>
          <w:tcPr>
            <w:tcW w:w="8880" w:type="dxa"/>
            <w:vAlign w:val="bottom"/>
          </w:tcPr>
          <w:p>
            <w:pPr>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line="224" w:lineRule="exact"/>
              <w:rPr>
                <w:sz w:val="20"/>
                <w:szCs w:val="20"/>
                <w:color w:val="auto"/>
              </w:rPr>
            </w:pPr>
            <w:r>
              <w:rPr>
                <w:rFonts w:ascii="Arial" w:cs="Arial" w:eastAsia="Arial" w:hAnsi="Arial"/>
                <w:sz w:val="13"/>
                <w:szCs w:val="13"/>
                <w:b w:val="1"/>
                <w:bCs w:val="1"/>
                <w:color w:val="355A89"/>
              </w:rPr>
              <w:t>LTIP Units</w:t>
            </w:r>
            <w:r>
              <w:rPr>
                <w:rFonts w:ascii="Arial" w:cs="Arial" w:eastAsia="Arial" w:hAnsi="Arial"/>
                <w:sz w:val="22"/>
                <w:szCs w:val="22"/>
                <w:b w:val="1"/>
                <w:bCs w:val="1"/>
                <w:color w:val="355A89"/>
                <w:vertAlign w:val="superscript"/>
              </w:rPr>
              <w:t>(a)</w:t>
            </w:r>
          </w:p>
        </w:tc>
        <w:tc>
          <w:tcPr>
            <w:tcW w:w="880" w:type="dxa"/>
            <w:vAlign w:val="bottom"/>
          </w:tcPr>
          <w:p>
            <w:pPr>
              <w:jc w:val="right"/>
              <w:spacing w:after="0" w:line="224" w:lineRule="exact"/>
              <w:rPr>
                <w:sz w:val="20"/>
                <w:szCs w:val="20"/>
                <w:color w:val="auto"/>
              </w:rPr>
            </w:pPr>
            <w:r>
              <w:rPr>
                <w:rFonts w:ascii="Arial" w:cs="Arial" w:eastAsia="Arial" w:hAnsi="Arial"/>
                <w:sz w:val="13"/>
                <w:szCs w:val="13"/>
                <w:b w:val="1"/>
                <w:bCs w:val="1"/>
                <w:color w:val="355A89"/>
              </w:rPr>
              <w:t>Units</w:t>
            </w:r>
            <w:r>
              <w:rPr>
                <w:rFonts w:ascii="Arial" w:cs="Arial" w:eastAsia="Arial" w:hAnsi="Arial"/>
                <w:sz w:val="22"/>
                <w:szCs w:val="22"/>
                <w:b w:val="1"/>
                <w:bCs w:val="1"/>
                <w:color w:val="355A89"/>
                <w:vertAlign w:val="superscript"/>
              </w:rPr>
              <w:t>(b)</w:t>
            </w:r>
          </w:p>
        </w:tc>
      </w:tr>
      <w:tr>
        <w:trPr>
          <w:trHeight w:val="27"/>
        </w:trPr>
        <w:tc>
          <w:tcPr>
            <w:tcW w:w="88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A89"/>
          </w:tcPr>
          <w:p>
            <w:pPr>
              <w:spacing w:after="0"/>
              <w:rPr>
                <w:sz w:val="2"/>
                <w:szCs w:val="2"/>
                <w:color w:val="auto"/>
              </w:rPr>
            </w:pPr>
          </w:p>
        </w:tc>
      </w:tr>
      <w:tr>
        <w:trPr>
          <w:trHeight w:val="235"/>
        </w:trPr>
        <w:tc>
          <w:tcPr>
            <w:tcW w:w="88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58,195</w:t>
            </w:r>
          </w:p>
        </w:tc>
        <w:tc>
          <w:tcPr>
            <w:tcW w:w="880" w:type="dxa"/>
            <w:vAlign w:val="bottom"/>
          </w:tcPr>
          <w:p>
            <w:pPr>
              <w:jc w:val="right"/>
              <w:spacing w:after="0"/>
              <w:rPr>
                <w:sz w:val="20"/>
                <w:szCs w:val="20"/>
                <w:color w:val="auto"/>
              </w:rPr>
            </w:pPr>
            <w:r>
              <w:rPr>
                <w:rFonts w:ascii="Arial" w:cs="Arial" w:eastAsia="Arial" w:hAnsi="Arial"/>
                <w:sz w:val="18"/>
                <w:szCs w:val="18"/>
                <w:color w:val="auto"/>
              </w:rPr>
              <w:t>23,044</w:t>
            </w:r>
          </w:p>
        </w:tc>
      </w:tr>
      <w:tr>
        <w:trPr>
          <w:trHeight w:val="21"/>
        </w:trPr>
        <w:tc>
          <w:tcPr>
            <w:tcW w:w="88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8089AD"/>
          </w:tcPr>
          <w:p>
            <w:pPr>
              <w:spacing w:after="0" w:line="20" w:lineRule="exact"/>
              <w:rPr>
                <w:sz w:val="1"/>
                <w:szCs w:val="1"/>
                <w:color w:val="auto"/>
              </w:rPr>
            </w:pPr>
          </w:p>
        </w:tc>
      </w:tr>
      <w:tr>
        <w:trPr>
          <w:trHeight w:val="237"/>
        </w:trPr>
        <w:tc>
          <w:tcPr>
            <w:tcW w:w="88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46,555</w:t>
            </w:r>
          </w:p>
        </w:tc>
        <w:tc>
          <w:tcPr>
            <w:tcW w:w="880" w:type="dxa"/>
            <w:vAlign w:val="bottom"/>
          </w:tcPr>
          <w:p>
            <w:pPr>
              <w:jc w:val="right"/>
              <w:spacing w:after="0"/>
              <w:rPr>
                <w:sz w:val="20"/>
                <w:szCs w:val="20"/>
                <w:color w:val="auto"/>
              </w:rPr>
            </w:pPr>
            <w:r>
              <w:rPr>
                <w:rFonts w:ascii="Arial" w:cs="Arial" w:eastAsia="Arial" w:hAnsi="Arial"/>
                <w:sz w:val="18"/>
                <w:szCs w:val="18"/>
                <w:color w:val="auto"/>
              </w:rPr>
              <w:t>16,131</w:t>
            </w:r>
          </w:p>
        </w:tc>
      </w:tr>
      <w:tr>
        <w:trPr>
          <w:trHeight w:val="236"/>
        </w:trPr>
        <w:tc>
          <w:tcPr>
            <w:tcW w:w="8880" w:type="dxa"/>
            <w:vAlign w:val="bottom"/>
            <w:tcBorders>
              <w:top w:val="single" w:sz="8" w:color="8089AD"/>
              <w:bottom w:val="single" w:sz="8" w:color="8089AD"/>
            </w:tcBorders>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880" w:type="dxa"/>
            <w:vAlign w:val="bottom"/>
            <w:tcBorders>
              <w:top w:val="single" w:sz="8" w:color="8089AD"/>
              <w:bottom w:val="single" w:sz="8" w:color="8089AD"/>
            </w:tcBorders>
          </w:tcPr>
          <w:p>
            <w:pPr>
              <w:jc w:val="right"/>
              <w:spacing w:after="0"/>
              <w:rPr>
                <w:sz w:val="20"/>
                <w:szCs w:val="20"/>
                <w:color w:val="auto"/>
              </w:rPr>
            </w:pPr>
            <w:r>
              <w:rPr>
                <w:rFonts w:ascii="Arial" w:cs="Arial" w:eastAsia="Arial" w:hAnsi="Arial"/>
                <w:sz w:val="18"/>
                <w:szCs w:val="18"/>
                <w:color w:val="auto"/>
              </w:rPr>
              <w:t>4,310</w:t>
            </w:r>
          </w:p>
        </w:tc>
        <w:tc>
          <w:tcPr>
            <w:tcW w:w="160" w:type="dxa"/>
            <w:vAlign w:val="bottom"/>
          </w:tcPr>
          <w:p>
            <w:pPr>
              <w:spacing w:after="0"/>
              <w:rPr>
                <w:sz w:val="20"/>
                <w:szCs w:val="20"/>
                <w:color w:val="auto"/>
              </w:rPr>
            </w:pPr>
          </w:p>
        </w:tc>
        <w:tc>
          <w:tcPr>
            <w:tcW w:w="880" w:type="dxa"/>
            <w:vAlign w:val="bottom"/>
            <w:tcBorders>
              <w:top w:val="single" w:sz="8" w:color="8089AD"/>
              <w:bottom w:val="single" w:sz="8" w:color="8089AD"/>
            </w:tcBorders>
          </w:tcPr>
          <w:p>
            <w:pPr>
              <w:jc w:val="right"/>
              <w:spacing w:after="0"/>
              <w:rPr>
                <w:sz w:val="20"/>
                <w:szCs w:val="20"/>
                <w:color w:val="auto"/>
              </w:rPr>
            </w:pPr>
            <w:r>
              <w:rPr>
                <w:rFonts w:ascii="Arial" w:cs="Arial" w:eastAsia="Arial" w:hAnsi="Arial"/>
                <w:sz w:val="18"/>
                <w:szCs w:val="18"/>
                <w:color w:val="auto"/>
              </w:rPr>
              <w:t>1,707</w:t>
            </w:r>
          </w:p>
        </w:tc>
      </w:tr>
      <w:tr>
        <w:trPr>
          <w:trHeight w:val="250"/>
        </w:trPr>
        <w:tc>
          <w:tcPr>
            <w:tcW w:w="8880" w:type="dxa"/>
            <w:vAlign w:val="bottom"/>
            <w:tcBorders>
              <w:bottom w:val="single" w:sz="8" w:color="355A89"/>
            </w:tcBorders>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1"/>
                <w:szCs w:val="21"/>
                <w:color w:val="auto"/>
              </w:rPr>
            </w:pPr>
          </w:p>
        </w:tc>
        <w:tc>
          <w:tcPr>
            <w:tcW w:w="88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4,310</w:t>
            </w:r>
          </w:p>
        </w:tc>
        <w:tc>
          <w:tcPr>
            <w:tcW w:w="160" w:type="dxa"/>
            <w:vAlign w:val="bottom"/>
          </w:tcPr>
          <w:p>
            <w:pPr>
              <w:spacing w:after="0"/>
              <w:rPr>
                <w:sz w:val="21"/>
                <w:szCs w:val="21"/>
                <w:color w:val="auto"/>
              </w:rPr>
            </w:pPr>
          </w:p>
        </w:tc>
        <w:tc>
          <w:tcPr>
            <w:tcW w:w="880" w:type="dxa"/>
            <w:vAlign w:val="bottom"/>
            <w:tcBorders>
              <w:bottom w:val="single" w:sz="8" w:color="355A89"/>
            </w:tcBorders>
          </w:tcPr>
          <w:p>
            <w:pPr>
              <w:jc w:val="right"/>
              <w:spacing w:after="0"/>
              <w:rPr>
                <w:sz w:val="20"/>
                <w:szCs w:val="20"/>
                <w:color w:val="auto"/>
              </w:rPr>
            </w:pPr>
            <w:r>
              <w:rPr>
                <w:rFonts w:ascii="Arial" w:cs="Arial" w:eastAsia="Arial" w:hAnsi="Arial"/>
                <w:sz w:val="18"/>
                <w:szCs w:val="18"/>
                <w:color w:val="auto"/>
              </w:rPr>
              <w:t>1,707</w:t>
            </w:r>
          </w:p>
        </w:tc>
      </w:tr>
    </w:tbl>
    <w:p>
      <w:pPr>
        <w:spacing w:after="0" w:line="242" w:lineRule="exact"/>
        <w:rPr>
          <w:sz w:val="20"/>
          <w:szCs w:val="20"/>
          <w:color w:val="auto"/>
        </w:rPr>
      </w:pPr>
    </w:p>
    <w:p>
      <w:pPr>
        <w:ind w:left="580" w:right="100" w:hanging="302"/>
        <w:spacing w:after="0" w:line="248" w:lineRule="auto"/>
        <w:tabs>
          <w:tab w:leader="none" w:pos="58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Represents the sum of the LTIP units that would be earned if (i) the “threshold” performance goal was achieved with respect to the portion of the LTIP units eligible to be earned based on absolute TSR, (ii) the “target” performance goal was achieved with respect to the portion of the LTIP units eligible to be earned based on TSR relative to the SNL Office REIT Index and (iii) the “maximum” performance goal was achieved with respect to the portion of the LTIP units eligible to be earned based on TSR relative to NYC peers.</w:t>
      </w:r>
    </w:p>
    <w:p>
      <w:pPr>
        <w:spacing w:after="0" w:line="49" w:lineRule="exact"/>
        <w:rPr>
          <w:rFonts w:ascii="Arial" w:cs="Arial" w:eastAsia="Arial" w:hAnsi="Arial"/>
          <w:sz w:val="13"/>
          <w:szCs w:val="13"/>
          <w:color w:val="auto"/>
        </w:rPr>
      </w:pPr>
    </w:p>
    <w:p>
      <w:pPr>
        <w:ind w:left="580" w:right="20"/>
        <w:spacing w:after="0" w:line="242" w:lineRule="auto"/>
        <w:rPr>
          <w:rFonts w:ascii="Arial" w:cs="Arial" w:eastAsia="Arial" w:hAnsi="Arial"/>
          <w:sz w:val="13"/>
          <w:szCs w:val="13"/>
          <w:color w:val="auto"/>
        </w:rPr>
      </w:pPr>
      <w:r>
        <w:rPr>
          <w:rFonts w:ascii="Arial" w:cs="Arial" w:eastAsia="Arial" w:hAnsi="Arial"/>
          <w:sz w:val="13"/>
          <w:szCs w:val="13"/>
          <w:color w:val="auto"/>
        </w:rPr>
        <w:t>If our absolute and relative TSR performance for the three-year performance period applicable to these awards continues to be the same as we experienced from the beginning of the performance period through December 31, 2020, our named executive officers will earn under these awards (i) none of the LTIP units eligible to be earned based on the absolute TSR modifier, (ii) 56.47% of the LTIP units eligible to be earned based on TSR relative to the SNL Office REIT Index and (iii) all of the LTIP units eligible to be earned based on TSR relative to NYC peers. Earned LTIP units will vest 100% for Messrs. Holliday and Mathias on December 31, 2021, and 50% on each of December 31, 2021 and December 31, 2022 for Messrs. DiLiberto and Levine, subject, in each case, to continued employment. See “ —Compensation Discussion and Analysis—2020 Pay Outcomes— 2020 Performance-Based Equity Awards” for a description of these awards.</w:t>
      </w:r>
    </w:p>
    <w:p>
      <w:pPr>
        <w:spacing w:after="0" w:line="54" w:lineRule="exact"/>
        <w:rPr>
          <w:rFonts w:ascii="Arial" w:cs="Arial" w:eastAsia="Arial" w:hAnsi="Arial"/>
          <w:sz w:val="13"/>
          <w:szCs w:val="13"/>
          <w:color w:val="auto"/>
        </w:rPr>
      </w:pPr>
    </w:p>
    <w:p>
      <w:pPr>
        <w:ind w:left="580" w:right="180" w:hanging="302"/>
        <w:spacing w:after="0" w:line="258" w:lineRule="auto"/>
        <w:tabs>
          <w:tab w:leader="none" w:pos="58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Represents the sum of the LTIP units that would be earned if (i) the “threshold” performance goal was achieved with respect to the portion of the LTIP units eligible to be earned based on absolute TSR and (ii) the “threshold” performance goal was achieved with respect to the portion of the LTIP units eligible to be earned based on relative TSR.</w:t>
      </w:r>
    </w:p>
    <w:p>
      <w:pPr>
        <w:spacing w:after="0" w:line="43" w:lineRule="exact"/>
        <w:rPr>
          <w:rFonts w:ascii="Arial" w:cs="Arial" w:eastAsia="Arial" w:hAnsi="Arial"/>
          <w:sz w:val="13"/>
          <w:szCs w:val="13"/>
          <w:color w:val="auto"/>
        </w:rPr>
      </w:pPr>
    </w:p>
    <w:p>
      <w:pPr>
        <w:ind w:left="580" w:right="20"/>
        <w:spacing w:after="0" w:line="241" w:lineRule="auto"/>
        <w:rPr>
          <w:rFonts w:ascii="Arial" w:cs="Arial" w:eastAsia="Arial" w:hAnsi="Arial"/>
          <w:sz w:val="13"/>
          <w:szCs w:val="13"/>
          <w:color w:val="auto"/>
        </w:rPr>
      </w:pPr>
      <w:r>
        <w:rPr>
          <w:rFonts w:ascii="Arial" w:cs="Arial" w:eastAsia="Arial" w:hAnsi="Arial"/>
          <w:sz w:val="13"/>
          <w:szCs w:val="13"/>
          <w:color w:val="auto"/>
        </w:rPr>
        <w:t>If our absolute and relative TSR performance for the three-year performance period applicable to these awards continues to be the same as we experienced from the beginning of the performance period through December 31, 2020, our named executive officers will earn under these awards (i) none of the LTIP units eligible to be earned based on the absolute TSR modifier and (ii) none of the LTIP units eligible to be earned based on TSR relative to the SNL Office REIT Index. Earned LTIP units will vest 100% for Messrs. Holliday and Mathias on December 31, 2021, and 50% on each of December 31, 2021 and December 31, 2022 for Messrs. DiLiberto and Levine, subject, in each case, to continued employment. The terms of these awards are identical to the terms of our performance-based awards granted for 2020, except that the relative component of the award may be earned solely based on our performance relative to the SNL Office REIT Index (50% of the total award) rather than based on our performance relative to both the SNL Office REIT Index (33.33% of the total award) and a group of NYC Peers (16.67% of the total award). See “ —Compensation Discussion and Analysis—2020 Pay Outcomes— 2020 Performance-Based Equity Awards” for a description of the 2020 awards.</w:t>
      </w:r>
    </w:p>
    <w:p>
      <w:pPr>
        <w:spacing w:after="0" w:line="54" w:lineRule="exact"/>
        <w:rPr>
          <w:rFonts w:ascii="Arial" w:cs="Arial" w:eastAsia="Arial" w:hAnsi="Arial"/>
          <w:sz w:val="13"/>
          <w:szCs w:val="13"/>
          <w:color w:val="auto"/>
        </w:rPr>
      </w:pPr>
    </w:p>
    <w:p>
      <w:pPr>
        <w:ind w:left="320" w:right="120" w:hanging="312"/>
        <w:spacing w:after="0" w:line="242" w:lineRule="auto"/>
        <w:tabs>
          <w:tab w:leader="none" w:pos="3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Reflects an award of 15,000 Class O LTIP units with a mandatory conversion date that is 5 years after the date of grant and an award of 15,000 Class O LTIP units with a mandatory conversion date that is 10 years after the date of grant, each of which vested pro-rata over a three-year period on January 1, 2018, 2019 and 2020, respectively. The conversion threshold for the Class O LTIP units, which is equivalent to the exercise price for a stock option, was determined by reference to the fair market value under our Fourth Amended and Restated 2005 Stock Option and Incentive Plan of one share of our common stock, meaning, in this instance, the closing stock price of one share of our common stock on the NYSE on January 10, 2017, the last preceding trading date prior to the grant date. See “—Compensation Discussion and Analysis—Other Compensation Policies and Information—Other Matters— LTIP units and Class O LTIP units” for a description of Class O LTIP units.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2020 Option Exercises and Stock Vested</w:t>
      </w:r>
    </w:p>
    <w:p>
      <w:pPr>
        <w:spacing w:after="0" w:line="233"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355A89"/>
              </w:rPr>
              <w:t>Option Awards</w:t>
            </w:r>
          </w:p>
        </w:tc>
        <w:tc>
          <w:tcPr>
            <w:tcW w:w="214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355A89"/>
              </w:rPr>
              <w:t>Stock Awards</w:t>
            </w:r>
          </w:p>
        </w:tc>
      </w:tr>
      <w:tr>
        <w:trPr>
          <w:trHeight w:val="48"/>
        </w:trPr>
        <w:tc>
          <w:tcPr>
            <w:tcW w:w="6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355A89"/>
            </w:tcBorders>
            <w:gridSpan w:val="2"/>
          </w:tcPr>
          <w:p>
            <w:pPr>
              <w:spacing w:after="0"/>
              <w:rPr>
                <w:sz w:val="4"/>
                <w:szCs w:val="4"/>
                <w:color w:val="auto"/>
              </w:rPr>
            </w:pPr>
          </w:p>
        </w:tc>
        <w:tc>
          <w:tcPr>
            <w:tcW w:w="76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355A89"/>
            </w:tcBorders>
            <w:gridSpan w:val="2"/>
          </w:tcPr>
          <w:p>
            <w:pPr>
              <w:spacing w:after="0"/>
              <w:rPr>
                <w:sz w:val="4"/>
                <w:szCs w:val="4"/>
                <w:color w:val="auto"/>
              </w:rPr>
            </w:pPr>
          </w:p>
        </w:tc>
        <w:tc>
          <w:tcPr>
            <w:tcW w:w="900" w:type="dxa"/>
            <w:vAlign w:val="bottom"/>
            <w:tcBorders>
              <w:bottom w:val="single" w:sz="8" w:color="355A89"/>
            </w:tcBorders>
          </w:tcPr>
          <w:p>
            <w:pPr>
              <w:spacing w:after="0"/>
              <w:rPr>
                <w:sz w:val="4"/>
                <w:szCs w:val="4"/>
                <w:color w:val="auto"/>
              </w:rPr>
            </w:pPr>
          </w:p>
        </w:tc>
      </w:tr>
      <w:tr>
        <w:trPr>
          <w:trHeight w:val="189"/>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Number of</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Value</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Number of</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A89"/>
              </w:rPr>
              <w:t>Value</w:t>
            </w:r>
          </w:p>
        </w:tc>
      </w:tr>
      <w:tr>
        <w:trPr>
          <w:trHeight w:val="148"/>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Shares Acquired</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Realized on</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Shares Acquired</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A89"/>
              </w:rPr>
              <w:t>Realized on</w:t>
            </w:r>
          </w:p>
        </w:tc>
      </w:tr>
      <w:tr>
        <w:trPr>
          <w:trHeight w:val="203"/>
        </w:trPr>
        <w:tc>
          <w:tcPr>
            <w:tcW w:w="67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on Exercise (#)</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Vesting ($)</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on Vesting (#)</w:t>
            </w:r>
          </w:p>
        </w:tc>
        <w:tc>
          <w:tcPr>
            <w:tcW w:w="900" w:type="dxa"/>
            <w:vAlign w:val="bottom"/>
          </w:tcPr>
          <w:p>
            <w:pPr>
              <w:jc w:val="right"/>
              <w:spacing w:after="0" w:line="203" w:lineRule="exact"/>
              <w:rPr>
                <w:sz w:val="20"/>
                <w:szCs w:val="20"/>
                <w:color w:val="auto"/>
              </w:rPr>
            </w:pPr>
            <w:r>
              <w:rPr>
                <w:rFonts w:ascii="Arial" w:cs="Arial" w:eastAsia="Arial" w:hAnsi="Arial"/>
                <w:sz w:val="13"/>
                <w:szCs w:val="13"/>
                <w:b w:val="1"/>
                <w:bCs w:val="1"/>
                <w:color w:val="355A89"/>
              </w:rPr>
              <w:t>Vesting</w:t>
            </w:r>
            <w:r>
              <w:rPr>
                <w:rFonts w:ascii="Arial" w:cs="Arial" w:eastAsia="Arial" w:hAnsi="Arial"/>
                <w:sz w:val="22"/>
                <w:szCs w:val="22"/>
                <w:b w:val="1"/>
                <w:bCs w:val="1"/>
                <w:color w:val="355A89"/>
                <w:vertAlign w:val="superscript"/>
              </w:rPr>
              <w:t>(1)</w:t>
            </w:r>
            <w:r>
              <w:rPr>
                <w:rFonts w:ascii="Arial" w:cs="Arial" w:eastAsia="Arial" w:hAnsi="Arial"/>
                <w:sz w:val="13"/>
                <w:szCs w:val="13"/>
                <w:b w:val="1"/>
                <w:bCs w:val="1"/>
                <w:color w:val="355A89"/>
              </w:rPr>
              <w:t xml:space="preserve"> ($)</w:t>
            </w:r>
          </w:p>
        </w:tc>
      </w:tr>
      <w:tr>
        <w:trPr>
          <w:trHeight w:val="27"/>
        </w:trPr>
        <w:tc>
          <w:tcPr>
            <w:tcW w:w="67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355A89"/>
          </w:tcPr>
          <w:p>
            <w:pPr>
              <w:spacing w:after="0"/>
              <w:rPr>
                <w:sz w:val="2"/>
                <w:szCs w:val="2"/>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20,475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$1,249,999</w:t>
            </w:r>
          </w:p>
        </w:tc>
      </w:tr>
      <w:tr>
        <w:trPr>
          <w:trHeight w:val="21"/>
        </w:trPr>
        <w:tc>
          <w:tcPr>
            <w:tcW w:w="67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27,701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$1,705,777</w:t>
            </w:r>
          </w:p>
        </w:tc>
      </w:tr>
      <w:tr>
        <w:trPr>
          <w:trHeight w:val="21"/>
        </w:trPr>
        <w:tc>
          <w:tcPr>
            <w:tcW w:w="67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19,412</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$1,777,262</w:t>
            </w:r>
          </w:p>
        </w:tc>
      </w:tr>
      <w:tr>
        <w:trPr>
          <w:trHeight w:val="21"/>
        </w:trPr>
        <w:tc>
          <w:tcPr>
            <w:tcW w:w="67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80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8089AD"/>
          </w:tcPr>
          <w:p>
            <w:pPr>
              <w:spacing w:after="0" w:line="20" w:lineRule="exact"/>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18,203</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$1,664,250</w:t>
            </w:r>
          </w:p>
        </w:tc>
      </w:tr>
      <w:tr>
        <w:trPr>
          <w:trHeight w:val="35"/>
        </w:trPr>
        <w:tc>
          <w:tcPr>
            <w:tcW w:w="678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shd w:val="clear" w:color="auto" w:fill="355A89"/>
          </w:tcPr>
          <w:p>
            <w:pPr>
              <w:spacing w:after="0"/>
              <w:rPr>
                <w:sz w:val="3"/>
                <w:szCs w:val="3"/>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3"/>
          <w:szCs w:val="13"/>
          <w:color w:val="auto"/>
        </w:rPr>
        <w:t>(1)</w:t>
        <w:tab/>
        <w:t>Amounts reflect the market value of the stock on the day the stock vested.</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2020 Nonqualified Deferred Compensation</w:t>
      </w:r>
    </w:p>
    <w:p>
      <w:pPr>
        <w:spacing w:after="0" w:line="23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following table sets forth certain information regarding non-tax qualified compensation deferred during the year ended December 31, 2020.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Under our new employment agreements with our Named Executive Officers, we eliminated nonqualified deferred compensation.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Executive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Registrant</w:t>
            </w:r>
          </w:p>
        </w:tc>
        <w:tc>
          <w:tcPr>
            <w:tcW w:w="22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Aggregate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Aggregate</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355A89"/>
              </w:rPr>
              <w:t>Aggregate</w:t>
            </w: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Contributions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Contributions</w:t>
            </w:r>
          </w:p>
        </w:tc>
        <w:tc>
          <w:tcPr>
            <w:tcW w:w="22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355A89"/>
              </w:rPr>
              <w:t>Earnings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Withdrawals/</w:t>
            </w:r>
          </w:p>
        </w:tc>
        <w:tc>
          <w:tcPr>
            <w:tcW w:w="1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355A89"/>
              </w:rPr>
              <w:t>Balance</w:t>
            </w:r>
          </w:p>
        </w:tc>
      </w:tr>
      <w:tr>
        <w:trPr>
          <w:trHeight w:val="203"/>
        </w:trPr>
        <w:tc>
          <w:tcPr>
            <w:tcW w:w="4580" w:type="dxa"/>
            <w:vAlign w:val="bottom"/>
          </w:tcPr>
          <w:p>
            <w:pPr>
              <w:spacing w:after="0"/>
              <w:rPr>
                <w:sz w:val="20"/>
                <w:szCs w:val="20"/>
                <w:color w:val="auto"/>
              </w:rPr>
            </w:pPr>
            <w:r>
              <w:rPr>
                <w:rFonts w:ascii="Arial" w:cs="Arial" w:eastAsia="Arial" w:hAnsi="Arial"/>
                <w:sz w:val="13"/>
                <w:szCs w:val="13"/>
                <w:b w:val="1"/>
                <w:bCs w:val="1"/>
                <w:color w:val="355A89"/>
              </w:rPr>
              <w:t>Executive</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in Last FY ($)</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in Last FY ($)</w:t>
            </w:r>
          </w:p>
        </w:tc>
        <w:tc>
          <w:tcPr>
            <w:tcW w:w="220" w:type="dxa"/>
            <w:vAlign w:val="bottom"/>
          </w:tcPr>
          <w:p>
            <w:pPr>
              <w:spacing w:after="0"/>
              <w:rPr>
                <w:sz w:val="17"/>
                <w:szCs w:val="17"/>
                <w:color w:val="auto"/>
              </w:rPr>
            </w:pPr>
          </w:p>
        </w:tc>
        <w:tc>
          <w:tcPr>
            <w:tcW w:w="1340" w:type="dxa"/>
            <w:vAlign w:val="bottom"/>
            <w:gridSpan w:val="2"/>
          </w:tcPr>
          <w:p>
            <w:pPr>
              <w:jc w:val="right"/>
              <w:ind w:right="80"/>
              <w:spacing w:after="0" w:line="203" w:lineRule="exact"/>
              <w:rPr>
                <w:sz w:val="20"/>
                <w:szCs w:val="20"/>
                <w:color w:val="auto"/>
              </w:rPr>
            </w:pPr>
            <w:r>
              <w:rPr>
                <w:rFonts w:ascii="Arial" w:cs="Arial" w:eastAsia="Arial" w:hAnsi="Arial"/>
                <w:sz w:val="13"/>
                <w:szCs w:val="13"/>
                <w:b w:val="1"/>
                <w:bCs w:val="1"/>
                <w:color w:val="355A89"/>
              </w:rPr>
              <w:t>in Last FY ($)</w:t>
            </w:r>
            <w:r>
              <w:rPr>
                <w:rFonts w:ascii="Arial" w:cs="Arial" w:eastAsia="Arial" w:hAnsi="Arial"/>
                <w:sz w:val="22"/>
                <w:szCs w:val="22"/>
                <w:b w:val="1"/>
                <w:bCs w:val="1"/>
                <w:color w:val="355A89"/>
                <w:vertAlign w:val="superscript"/>
              </w:rPr>
              <w:t>(1)(2)</w:t>
            </w:r>
          </w:p>
        </w:tc>
        <w:tc>
          <w:tcPr>
            <w:tcW w:w="80" w:type="dxa"/>
            <w:vAlign w:val="bottom"/>
          </w:tcPr>
          <w:p>
            <w:pPr>
              <w:spacing w:after="0"/>
              <w:rPr>
                <w:sz w:val="17"/>
                <w:szCs w:val="17"/>
                <w:color w:val="auto"/>
              </w:rPr>
            </w:pPr>
          </w:p>
        </w:tc>
        <w:tc>
          <w:tcPr>
            <w:tcW w:w="1360" w:type="dxa"/>
            <w:vAlign w:val="bottom"/>
            <w:gridSpan w:val="3"/>
          </w:tcPr>
          <w:p>
            <w:pPr>
              <w:jc w:val="right"/>
              <w:ind w:right="160"/>
              <w:spacing w:after="0" w:line="203" w:lineRule="exact"/>
              <w:rPr>
                <w:sz w:val="20"/>
                <w:szCs w:val="20"/>
                <w:color w:val="auto"/>
              </w:rPr>
            </w:pPr>
            <w:r>
              <w:rPr>
                <w:rFonts w:ascii="Arial" w:cs="Arial" w:eastAsia="Arial" w:hAnsi="Arial"/>
                <w:sz w:val="13"/>
                <w:szCs w:val="13"/>
                <w:b w:val="1"/>
                <w:bCs w:val="1"/>
                <w:color w:val="355A89"/>
              </w:rPr>
              <w:t>Distributions ($)</w:t>
            </w:r>
            <w:r>
              <w:rPr>
                <w:rFonts w:ascii="Arial" w:cs="Arial" w:eastAsia="Arial" w:hAnsi="Arial"/>
                <w:sz w:val="22"/>
                <w:szCs w:val="22"/>
                <w:b w:val="1"/>
                <w:bCs w:val="1"/>
                <w:color w:val="355A89"/>
                <w:vertAlign w:val="superscript"/>
              </w:rPr>
              <w:t>(3)</w:t>
            </w:r>
          </w:p>
        </w:tc>
        <w:tc>
          <w:tcPr>
            <w:tcW w:w="1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3"/>
                <w:szCs w:val="13"/>
                <w:b w:val="1"/>
                <w:bCs w:val="1"/>
                <w:color w:val="355A89"/>
                <w:w w:val="98"/>
              </w:rPr>
              <w:t>at Last FYE ($)</w:t>
            </w:r>
            <w:r>
              <w:rPr>
                <w:rFonts w:ascii="Arial" w:cs="Arial" w:eastAsia="Arial" w:hAnsi="Arial"/>
                <w:sz w:val="22"/>
                <w:szCs w:val="22"/>
                <w:b w:val="1"/>
                <w:bCs w:val="1"/>
                <w:color w:val="355A89"/>
                <w:w w:val="98"/>
                <w:vertAlign w:val="superscript"/>
              </w:rPr>
              <w:t>(1)(4)</w:t>
            </w:r>
          </w:p>
        </w:tc>
      </w:tr>
      <w:tr>
        <w:trPr>
          <w:trHeight w:val="27"/>
        </w:trPr>
        <w:tc>
          <w:tcPr>
            <w:tcW w:w="45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1260" w:type="dxa"/>
            <w:vAlign w:val="bottom"/>
            <w:shd w:val="clear" w:color="auto" w:fill="355A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96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55A89"/>
          </w:tcPr>
          <w:p>
            <w:pPr>
              <w:spacing w:after="0"/>
              <w:rPr>
                <w:sz w:val="2"/>
                <w:szCs w:val="2"/>
                <w:color w:val="auto"/>
              </w:rPr>
            </w:pPr>
          </w:p>
        </w:tc>
        <w:tc>
          <w:tcPr>
            <w:tcW w:w="1260" w:type="dxa"/>
            <w:vAlign w:val="bottom"/>
            <w:shd w:val="clear" w:color="auto" w:fill="355A89"/>
          </w:tcPr>
          <w:p>
            <w:pPr>
              <w:spacing w:after="0"/>
              <w:rPr>
                <w:sz w:val="2"/>
                <w:szCs w:val="2"/>
                <w:color w:val="auto"/>
              </w:rPr>
            </w:pP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Marc Holliday</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(1,661,556)</w:t>
            </w:r>
          </w:p>
        </w:tc>
        <w:tc>
          <w:tcPr>
            <w:tcW w:w="80" w:type="dxa"/>
            <w:vAlign w:val="bottom"/>
          </w:tcPr>
          <w:p>
            <w:pPr>
              <w:spacing w:after="0"/>
              <w:rPr>
                <w:sz w:val="20"/>
                <w:szCs w:val="20"/>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215,256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3,765,906</w:t>
            </w:r>
          </w:p>
        </w:tc>
      </w:tr>
      <w:tr>
        <w:trPr>
          <w:trHeight w:val="21"/>
        </w:trPr>
        <w:tc>
          <w:tcPr>
            <w:tcW w:w="4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1260" w:type="dxa"/>
            <w:vAlign w:val="bottom"/>
            <w:shd w:val="clear" w:color="auto" w:fill="355A8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55A89"/>
          </w:tcPr>
          <w:p>
            <w:pPr>
              <w:spacing w:after="0" w:line="20" w:lineRule="exact"/>
              <w:rPr>
                <w:sz w:val="1"/>
                <w:szCs w:val="1"/>
                <w:color w:val="auto"/>
              </w:rPr>
            </w:pPr>
          </w:p>
        </w:tc>
        <w:tc>
          <w:tcPr>
            <w:tcW w:w="1260" w:type="dxa"/>
            <w:vAlign w:val="bottom"/>
            <w:shd w:val="clear" w:color="auto" w:fill="355A89"/>
          </w:tcPr>
          <w:p>
            <w:pPr>
              <w:spacing w:after="0" w:line="20" w:lineRule="exact"/>
              <w:rPr>
                <w:sz w:val="1"/>
                <w:szCs w:val="1"/>
                <w:color w:val="auto"/>
              </w:rPr>
            </w:pP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Andrew Mathias</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(1,035,476)</w:t>
            </w:r>
          </w:p>
        </w:tc>
        <w:tc>
          <w:tcPr>
            <w:tcW w:w="80" w:type="dxa"/>
            <w:vAlign w:val="bottom"/>
          </w:tcPr>
          <w:p>
            <w:pPr>
              <w:spacing w:after="0"/>
              <w:rPr>
                <w:sz w:val="20"/>
                <w:szCs w:val="20"/>
                <w:color w:val="auto"/>
              </w:rPr>
            </w:pPr>
          </w:p>
        </w:tc>
        <w:tc>
          <w:tcPr>
            <w:tcW w:w="32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134,147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2,346,900</w:t>
            </w:r>
          </w:p>
        </w:tc>
      </w:tr>
      <w:tr>
        <w:trPr>
          <w:trHeight w:val="21"/>
        </w:trPr>
        <w:tc>
          <w:tcPr>
            <w:tcW w:w="4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1260" w:type="dxa"/>
            <w:vAlign w:val="bottom"/>
            <w:shd w:val="clear" w:color="auto" w:fill="355A8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55A89"/>
          </w:tcPr>
          <w:p>
            <w:pPr>
              <w:spacing w:after="0" w:line="20" w:lineRule="exact"/>
              <w:rPr>
                <w:sz w:val="1"/>
                <w:szCs w:val="1"/>
                <w:color w:val="auto"/>
              </w:rPr>
            </w:pPr>
          </w:p>
        </w:tc>
        <w:tc>
          <w:tcPr>
            <w:tcW w:w="1260" w:type="dxa"/>
            <w:vAlign w:val="bottom"/>
            <w:shd w:val="clear" w:color="auto" w:fill="355A89"/>
          </w:tcPr>
          <w:p>
            <w:pPr>
              <w:spacing w:after="0" w:line="20" w:lineRule="exact"/>
              <w:rPr>
                <w:sz w:val="1"/>
                <w:szCs w:val="1"/>
                <w:color w:val="auto"/>
              </w:rPr>
            </w:pP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Matthew J. DiLiberto</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1260" w:type="dxa"/>
            <w:vAlign w:val="bottom"/>
            <w:shd w:val="clear" w:color="auto" w:fill="355A8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355A89"/>
          </w:tcPr>
          <w:p>
            <w:pPr>
              <w:spacing w:after="0" w:line="20" w:lineRule="exact"/>
              <w:rPr>
                <w:sz w:val="1"/>
                <w:szCs w:val="1"/>
                <w:color w:val="auto"/>
              </w:rPr>
            </w:pPr>
          </w:p>
        </w:tc>
        <w:tc>
          <w:tcPr>
            <w:tcW w:w="1260" w:type="dxa"/>
            <w:vAlign w:val="bottom"/>
            <w:shd w:val="clear" w:color="auto" w:fill="355A89"/>
          </w:tcPr>
          <w:p>
            <w:pPr>
              <w:spacing w:after="0" w:line="20" w:lineRule="exact"/>
              <w:rPr>
                <w:sz w:val="1"/>
                <w:szCs w:val="1"/>
                <w:color w:val="auto"/>
              </w:rPr>
            </w:pP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Andrew S. Levine</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
        </w:trPr>
        <w:tc>
          <w:tcPr>
            <w:tcW w:w="458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shd w:val="clear" w:color="auto" w:fill="355A89"/>
          </w:tcPr>
          <w:p>
            <w:pPr>
              <w:spacing w:after="0"/>
              <w:rPr>
                <w:sz w:val="3"/>
                <w:szCs w:val="3"/>
                <w:color w:val="auto"/>
              </w:rPr>
            </w:pPr>
          </w:p>
        </w:tc>
        <w:tc>
          <w:tcPr>
            <w:tcW w:w="1260" w:type="dxa"/>
            <w:vAlign w:val="bottom"/>
            <w:shd w:val="clear" w:color="auto" w:fill="355A89"/>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shd w:val="clear" w:color="auto" w:fill="355A89"/>
          </w:tcPr>
          <w:p>
            <w:pPr>
              <w:spacing w:after="0"/>
              <w:rPr>
                <w:sz w:val="3"/>
                <w:szCs w:val="3"/>
                <w:color w:val="auto"/>
              </w:rPr>
            </w:pPr>
          </w:p>
        </w:tc>
        <w:tc>
          <w:tcPr>
            <w:tcW w:w="960" w:type="dxa"/>
            <w:vAlign w:val="bottom"/>
            <w:shd w:val="clear" w:color="auto" w:fill="355A89"/>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shd w:val="clear" w:color="auto" w:fill="355A89"/>
          </w:tcPr>
          <w:p>
            <w:pPr>
              <w:spacing w:after="0"/>
              <w:rPr>
                <w:sz w:val="3"/>
                <w:szCs w:val="3"/>
                <w:color w:val="auto"/>
              </w:rPr>
            </w:pPr>
          </w:p>
        </w:tc>
        <w:tc>
          <w:tcPr>
            <w:tcW w:w="1260" w:type="dxa"/>
            <w:vAlign w:val="bottom"/>
            <w:shd w:val="clear" w:color="auto" w:fill="355A89"/>
          </w:tcPr>
          <w:p>
            <w:pPr>
              <w:spacing w:after="0"/>
              <w:rPr>
                <w:sz w:val="3"/>
                <w:szCs w:val="3"/>
                <w:color w:val="auto"/>
              </w:rPr>
            </w:pPr>
          </w:p>
        </w:tc>
      </w:tr>
    </w:tbl>
    <w:p>
      <w:pPr>
        <w:spacing w:after="0" w:line="107" w:lineRule="exact"/>
        <w:rPr>
          <w:sz w:val="20"/>
          <w:szCs w:val="20"/>
          <w:color w:val="auto"/>
        </w:rPr>
      </w:pPr>
    </w:p>
    <w:p>
      <w:pPr>
        <w:ind w:left="320" w:right="200" w:hanging="312"/>
        <w:spacing w:after="0" w:line="245" w:lineRule="auto"/>
        <w:tabs>
          <w:tab w:leader="none" w:pos="3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p>
      <w:pPr>
        <w:spacing w:after="0" w:line="51" w:lineRule="exact"/>
        <w:rPr>
          <w:rFonts w:ascii="Arial" w:cs="Arial" w:eastAsia="Arial" w:hAnsi="Arial"/>
          <w:sz w:val="13"/>
          <w:szCs w:val="13"/>
          <w:color w:val="auto"/>
        </w:rPr>
      </w:pPr>
    </w:p>
    <w:p>
      <w:pPr>
        <w:jc w:val="both"/>
        <w:ind w:left="320" w:right="280" w:hanging="312"/>
        <w:spacing w:after="0" w:line="248" w:lineRule="auto"/>
        <w:tabs>
          <w:tab w:leader="none" w:pos="3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amounts in this column represent the increase or decrease in value of vested notional units from December 31, 2019 through December 31, 2020, as calculated based on the closing stock price on the NYSE of one share of our common stock on December 31, 2019 compared to the closing stock price on the NYSE of one share of our common stock on December 31, 2020, plus the aggregate value of dividend equivalent rights paid with respect to all vested and unvested notional units held by each executive during 2020.</w:t>
      </w:r>
    </w:p>
    <w:p>
      <w:pPr>
        <w:spacing w:after="0" w:line="49" w:lineRule="exact"/>
        <w:rPr>
          <w:rFonts w:ascii="Arial" w:cs="Arial" w:eastAsia="Arial" w:hAnsi="Arial"/>
          <w:sz w:val="13"/>
          <w:szCs w:val="13"/>
          <w:color w:val="auto"/>
        </w:rPr>
      </w:pPr>
    </w:p>
    <w:p>
      <w:pPr>
        <w:ind w:left="320" w:hanging="312"/>
        <w:spacing w:after="0"/>
        <w:tabs>
          <w:tab w:leader="none" w:pos="3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Represents the aggregate value of dividend equivalent rights paid with respect to all vested and unvested notional units held by each executive during 2020.</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Based on a per share price of $61.32, which was the closing stock price on the NYSE of one share of our common stock on December 31, 2020.</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Potential Payments Upon Termination or Change in Control</w:t>
      </w:r>
    </w:p>
    <w:p>
      <w:pPr>
        <w:spacing w:after="0" w:line="23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The discussion below describes these contractual arrangements in greater detail.</w:t>
      </w:r>
    </w:p>
    <w:p>
      <w:pPr>
        <w:spacing w:after="0" w:line="20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During 2018, we entered into new employment agreements with each of Messrs. Holliday, Mathias and Levine that became effective in 2019 upon the expiration of the terms of each of their then current employment agreements. These agreements reflect the Committee’s significant restructuring of our named executive officers’ compensation that was established in response to feedback that we received during stockholder engagement meetings. Mr. DiLiberto’s current employment agreement and his agreement that was in effect during 2020 are generally consistent with our other executives’ current employment agreement, though do differ in some respects, as set forth below.</w:t>
      </w:r>
    </w:p>
    <w:p>
      <w:pPr>
        <w:spacing w:after="0" w:line="211" w:lineRule="exact"/>
        <w:rPr>
          <w:sz w:val="20"/>
          <w:szCs w:val="20"/>
          <w:color w:val="auto"/>
        </w:rPr>
      </w:pPr>
    </w:p>
    <w:p>
      <w:pPr>
        <w:ind w:left="300" w:hanging="292"/>
        <w:spacing w:after="0"/>
        <w:tabs>
          <w:tab w:leader="none" w:pos="300" w:val="left"/>
        </w:tabs>
        <w:numPr>
          <w:ilvl w:val="0"/>
          <w:numId w:val="119"/>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4B6794"/>
        </w:rPr>
        <w:t>Employment Agreements</w:t>
      </w:r>
    </w:p>
    <w:p>
      <w:pPr>
        <w:spacing w:after="0" w:line="235"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During 2020, we had employment agreements with all of our named executive officers. All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 The table below summarizes the material terms of our employment agreements with our named executive officers, as in effect during 2020, and the employment agreement with Mr. DiLiberto entered into in February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355A89"/>
              </w:rPr>
              <w:t>Marc Holliday</w:t>
            </w:r>
          </w:p>
        </w:tc>
        <w:tc>
          <w:tcPr>
            <w:tcW w:w="1740" w:type="dxa"/>
            <w:vAlign w:val="bottom"/>
            <w:gridSpan w:val="2"/>
          </w:tcPr>
          <w:p>
            <w:pPr>
              <w:ind w:left="280"/>
              <w:spacing w:after="0"/>
              <w:rPr>
                <w:sz w:val="20"/>
                <w:szCs w:val="20"/>
                <w:color w:val="auto"/>
              </w:rPr>
            </w:pPr>
            <w:r>
              <w:rPr>
                <w:rFonts w:ascii="Arial" w:cs="Arial" w:eastAsia="Arial" w:hAnsi="Arial"/>
                <w:sz w:val="13"/>
                <w:szCs w:val="13"/>
                <w:b w:val="1"/>
                <w:bCs w:val="1"/>
                <w:color w:val="355A89"/>
              </w:rPr>
              <w:t>Andrew Mathias</w:t>
            </w:r>
          </w:p>
        </w:tc>
        <w:tc>
          <w:tcPr>
            <w:tcW w:w="1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Matthew J. DiLiberto</w:t>
            </w:r>
          </w:p>
        </w:tc>
        <w:tc>
          <w:tcPr>
            <w:tcW w:w="1420" w:type="dxa"/>
            <w:vAlign w:val="bottom"/>
          </w:tcPr>
          <w:p>
            <w:pPr>
              <w:jc w:val="right"/>
              <w:ind w:right="55"/>
              <w:spacing w:after="0"/>
              <w:rPr>
                <w:sz w:val="20"/>
                <w:szCs w:val="20"/>
                <w:color w:val="auto"/>
              </w:rPr>
            </w:pPr>
            <w:r>
              <w:rPr>
                <w:rFonts w:ascii="Arial" w:cs="Arial" w:eastAsia="Arial" w:hAnsi="Arial"/>
                <w:sz w:val="13"/>
                <w:szCs w:val="13"/>
                <w:b w:val="1"/>
                <w:bCs w:val="1"/>
                <w:color w:val="355A89"/>
              </w:rPr>
              <w:t>Andrew S. Levine</w:t>
            </w:r>
          </w:p>
        </w:tc>
        <w:tc>
          <w:tcPr>
            <w:tcW w:w="0" w:type="dxa"/>
            <w:vAlign w:val="bottom"/>
          </w:tcPr>
          <w:p>
            <w:pPr>
              <w:spacing w:after="0"/>
              <w:rPr>
                <w:sz w:val="1"/>
                <w:szCs w:val="1"/>
                <w:color w:val="auto"/>
              </w:rPr>
            </w:pPr>
          </w:p>
        </w:tc>
      </w:tr>
      <w:tr>
        <w:trPr>
          <w:trHeight w:val="48"/>
        </w:trPr>
        <w:tc>
          <w:tcPr>
            <w:tcW w:w="472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Borders>
              <w:bottom w:val="single" w:sz="8" w:color="355A89"/>
            </w:tcBorders>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Borders>
              <w:bottom w:val="single" w:sz="8" w:color="355A89"/>
            </w:tcBorders>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4720" w:type="dxa"/>
            <w:vAlign w:val="bottom"/>
          </w:tcPr>
          <w:p>
            <w:pPr>
              <w:spacing w:after="0" w:line="310" w:lineRule="exact"/>
              <w:rPr>
                <w:sz w:val="20"/>
                <w:szCs w:val="20"/>
                <w:color w:val="auto"/>
              </w:rPr>
            </w:pPr>
            <w:r>
              <w:rPr>
                <w:rFonts w:ascii="Arial" w:cs="Arial" w:eastAsia="Arial" w:hAnsi="Arial"/>
                <w:sz w:val="18"/>
                <w:szCs w:val="18"/>
                <w:b w:val="1"/>
                <w:bCs w:val="1"/>
                <w:color w:val="auto"/>
              </w:rPr>
              <w:t>Term</w:t>
            </w:r>
            <w:r>
              <w:rPr>
                <w:rFonts w:ascii="Arial" w:cs="Arial" w:eastAsia="Arial" w:hAnsi="Arial"/>
                <w:sz w:val="29"/>
                <w:szCs w:val="29"/>
                <w:b w:val="1"/>
                <w:bCs w:val="1"/>
                <w:color w:val="auto"/>
                <w:vertAlign w:val="superscript"/>
              </w:rPr>
              <w:t>(1)</w:t>
            </w:r>
          </w:p>
        </w:tc>
        <w:tc>
          <w:tcPr>
            <w:tcW w:w="160" w:type="dxa"/>
            <w:vAlign w:val="bottom"/>
          </w:tcPr>
          <w:p>
            <w:pPr>
              <w:spacing w:after="0"/>
              <w:rPr>
                <w:sz w:val="24"/>
                <w:szCs w:val="24"/>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1/18/19 – 1/17/22</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1/1/19 – 12/31/21</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1/1/21 – 1/1/23</w:t>
            </w:r>
          </w:p>
        </w:tc>
        <w:tc>
          <w:tcPr>
            <w:tcW w:w="1420" w:type="dxa"/>
            <w:vAlign w:val="bottom"/>
          </w:tcPr>
          <w:p>
            <w:pPr>
              <w:jc w:val="right"/>
              <w:spacing w:after="0"/>
              <w:rPr>
                <w:sz w:val="20"/>
                <w:szCs w:val="20"/>
                <w:color w:val="auto"/>
              </w:rPr>
            </w:pPr>
            <w:r>
              <w:rPr>
                <w:rFonts w:ascii="Arial" w:cs="Arial" w:eastAsia="Arial" w:hAnsi="Arial"/>
                <w:sz w:val="18"/>
                <w:szCs w:val="18"/>
                <w:color w:val="auto"/>
              </w:rPr>
              <w:t>1/1/19 – 1/1/22</w:t>
            </w:r>
          </w:p>
        </w:tc>
        <w:tc>
          <w:tcPr>
            <w:tcW w:w="0" w:type="dxa"/>
            <w:vAlign w:val="bottom"/>
          </w:tcPr>
          <w:p>
            <w:pPr>
              <w:spacing w:after="0"/>
              <w:rPr>
                <w:sz w:val="1"/>
                <w:szCs w:val="1"/>
                <w:color w:val="auto"/>
              </w:rPr>
            </w:pPr>
          </w:p>
        </w:tc>
      </w:tr>
      <w:tr>
        <w:trPr>
          <w:trHeight w:val="20"/>
        </w:trPr>
        <w:tc>
          <w:tcPr>
            <w:tcW w:w="4720" w:type="dxa"/>
            <w:vAlign w:val="bottom"/>
            <w:shd w:val="clear" w:color="auto" w:fill="355A89"/>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5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720" w:type="dxa"/>
            <w:vAlign w:val="bottom"/>
          </w:tcPr>
          <w:p>
            <w:pPr>
              <w:spacing w:after="0"/>
              <w:rPr>
                <w:sz w:val="20"/>
                <w:szCs w:val="20"/>
                <w:color w:val="auto"/>
              </w:rPr>
            </w:pPr>
            <w:r>
              <w:rPr>
                <w:rFonts w:ascii="Arial" w:cs="Arial" w:eastAsia="Arial" w:hAnsi="Arial"/>
                <w:sz w:val="18"/>
                <w:szCs w:val="18"/>
                <w:b w:val="1"/>
                <w:bCs w:val="1"/>
                <w:color w:val="auto"/>
              </w:rPr>
              <w:t>Annual Salary</w:t>
            </w:r>
          </w:p>
        </w:tc>
        <w:tc>
          <w:tcPr>
            <w:tcW w:w="160" w:type="dxa"/>
            <w:vAlign w:val="bottom"/>
            <w:vMerge w:val="continue"/>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$1.25M</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$950K</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$575K</w:t>
            </w:r>
          </w:p>
        </w:tc>
        <w:tc>
          <w:tcPr>
            <w:tcW w:w="1420" w:type="dxa"/>
            <w:vAlign w:val="bottom"/>
          </w:tcPr>
          <w:p>
            <w:pPr>
              <w:jc w:val="right"/>
              <w:spacing w:after="0"/>
              <w:rPr>
                <w:sz w:val="20"/>
                <w:szCs w:val="20"/>
                <w:color w:val="auto"/>
              </w:rPr>
            </w:pPr>
            <w:r>
              <w:rPr>
                <w:rFonts w:ascii="Arial" w:cs="Arial" w:eastAsia="Arial" w:hAnsi="Arial"/>
                <w:sz w:val="18"/>
                <w:szCs w:val="18"/>
                <w:color w:val="auto"/>
              </w:rPr>
              <w:t>$580K</w:t>
            </w:r>
          </w:p>
        </w:tc>
        <w:tc>
          <w:tcPr>
            <w:tcW w:w="0" w:type="dxa"/>
            <w:vAlign w:val="bottom"/>
          </w:tcPr>
          <w:p>
            <w:pPr>
              <w:spacing w:after="0"/>
              <w:rPr>
                <w:sz w:val="1"/>
                <w:szCs w:val="1"/>
                <w:color w:val="auto"/>
              </w:rPr>
            </w:pPr>
          </w:p>
        </w:tc>
      </w:tr>
      <w:tr>
        <w:trPr>
          <w:trHeight w:val="20"/>
        </w:trPr>
        <w:tc>
          <w:tcPr>
            <w:tcW w:w="47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20" w:type="dxa"/>
            <w:vAlign w:val="bottom"/>
          </w:tcPr>
          <w:p>
            <w:pPr>
              <w:spacing w:after="0" w:line="326" w:lineRule="exact"/>
              <w:rPr>
                <w:sz w:val="20"/>
                <w:szCs w:val="20"/>
                <w:color w:val="auto"/>
              </w:rPr>
            </w:pPr>
            <w:r>
              <w:rPr>
                <w:rFonts w:ascii="Arial" w:cs="Arial" w:eastAsia="Arial" w:hAnsi="Arial"/>
                <w:sz w:val="18"/>
                <w:szCs w:val="18"/>
                <w:b w:val="1"/>
                <w:bCs w:val="1"/>
                <w:color w:val="auto"/>
              </w:rPr>
              <w:t>Formulaic Annual Cash Bonus</w:t>
            </w:r>
            <w:r>
              <w:rPr>
                <w:rFonts w:ascii="Arial" w:cs="Arial" w:eastAsia="Arial" w:hAnsi="Arial"/>
                <w:sz w:val="29"/>
                <w:szCs w:val="29"/>
                <w:b w:val="1"/>
                <w:bCs w:val="1"/>
                <w:color w:val="auto"/>
                <w:vertAlign w:val="superscript"/>
              </w:rPr>
              <w:t>(2)</w:t>
            </w: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50-300%</w:t>
            </w: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50-250%</w:t>
            </w:r>
          </w:p>
        </w:tc>
        <w:tc>
          <w:tcPr>
            <w:tcW w:w="16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2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9"/>
        </w:trPr>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base salary</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base salary</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720" w:type="dxa"/>
            <w:vAlign w:val="bottom"/>
          </w:tcPr>
          <w:p>
            <w:pPr>
              <w:spacing w:after="0"/>
              <w:rPr>
                <w:sz w:val="20"/>
                <w:szCs w:val="20"/>
                <w:color w:val="auto"/>
              </w:rPr>
            </w:pPr>
            <w:r>
              <w:rPr>
                <w:rFonts w:ascii="Arial" w:cs="Arial" w:eastAsia="Arial" w:hAnsi="Arial"/>
                <w:sz w:val="18"/>
                <w:szCs w:val="18"/>
                <w:b w:val="1"/>
                <w:bCs w:val="1"/>
                <w:color w:val="auto"/>
              </w:rPr>
              <w:t>Performance-Based LTIP Units</w:t>
            </w:r>
          </w:p>
        </w:tc>
        <w:tc>
          <w:tcPr>
            <w:tcW w:w="160" w:type="dxa"/>
            <w:vAlign w:val="bottom"/>
          </w:tcPr>
          <w:p>
            <w:pPr>
              <w:spacing w:after="0"/>
              <w:rPr>
                <w:sz w:val="24"/>
                <w:szCs w:val="24"/>
                <w:color w:val="auto"/>
              </w:rPr>
            </w:pPr>
          </w:p>
        </w:tc>
        <w:tc>
          <w:tcPr>
            <w:tcW w:w="172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$7.5M (Target)</w:t>
            </w:r>
            <w:r>
              <w:rPr>
                <w:rFonts w:ascii="Arial" w:cs="Arial" w:eastAsia="Arial" w:hAnsi="Arial"/>
                <w:sz w:val="29"/>
                <w:szCs w:val="29"/>
                <w:color w:val="auto"/>
                <w:vertAlign w:val="superscript"/>
              </w:rPr>
              <w:t>(3)</w:t>
            </w:r>
          </w:p>
        </w:tc>
        <w:tc>
          <w:tcPr>
            <w:tcW w:w="174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$6.0M (Target)</w:t>
            </w:r>
            <w:r>
              <w:rPr>
                <w:rFonts w:ascii="Arial" w:cs="Arial" w:eastAsia="Arial" w:hAnsi="Arial"/>
                <w:sz w:val="29"/>
                <w:szCs w:val="29"/>
                <w:color w:val="auto"/>
                <w:vertAlign w:val="superscript"/>
              </w:rPr>
              <w:t>(3)</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2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
        </w:trPr>
        <w:tc>
          <w:tcPr>
            <w:tcW w:w="47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20" w:type="dxa"/>
            <w:vAlign w:val="bottom"/>
          </w:tcPr>
          <w:p>
            <w:pPr>
              <w:spacing w:after="0"/>
              <w:rPr>
                <w:sz w:val="20"/>
                <w:szCs w:val="20"/>
                <w:color w:val="auto"/>
              </w:rPr>
            </w:pPr>
            <w:r>
              <w:rPr>
                <w:rFonts w:ascii="Arial" w:cs="Arial" w:eastAsia="Arial" w:hAnsi="Arial"/>
                <w:sz w:val="18"/>
                <w:szCs w:val="18"/>
                <w:b w:val="1"/>
                <w:bCs w:val="1"/>
                <w:color w:val="auto"/>
              </w:rPr>
              <w:t>Time-Based LTIP Units</w:t>
            </w:r>
          </w:p>
        </w:tc>
        <w:tc>
          <w:tcPr>
            <w:tcW w:w="160" w:type="dxa"/>
            <w:vAlign w:val="bottom"/>
          </w:tcPr>
          <w:p>
            <w:pPr>
              <w:spacing w:after="0"/>
              <w:rPr>
                <w:sz w:val="24"/>
                <w:szCs w:val="24"/>
                <w:color w:val="auto"/>
              </w:rPr>
            </w:pPr>
          </w:p>
        </w:tc>
        <w:tc>
          <w:tcPr>
            <w:tcW w:w="172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$4.5M (Target)</w:t>
            </w:r>
            <w:r>
              <w:rPr>
                <w:rFonts w:ascii="Arial" w:cs="Arial" w:eastAsia="Arial" w:hAnsi="Arial"/>
                <w:sz w:val="29"/>
                <w:szCs w:val="29"/>
                <w:color w:val="auto"/>
                <w:vertAlign w:val="superscript"/>
              </w:rPr>
              <w:t>(4)</w:t>
            </w:r>
          </w:p>
        </w:tc>
        <w:tc>
          <w:tcPr>
            <w:tcW w:w="174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$3.5M (Target)</w:t>
            </w:r>
            <w:r>
              <w:rPr>
                <w:rFonts w:ascii="Arial" w:cs="Arial" w:eastAsia="Arial" w:hAnsi="Arial"/>
                <w:sz w:val="29"/>
                <w:szCs w:val="29"/>
                <w:color w:val="auto"/>
                <w:vertAlign w:val="superscript"/>
              </w:rPr>
              <w:t>(4)</w:t>
            </w:r>
          </w:p>
        </w:tc>
        <w:tc>
          <w:tcPr>
            <w:tcW w:w="1480" w:type="dxa"/>
            <w:vAlign w:val="bottom"/>
            <w:gridSpan w:val="2"/>
          </w:tcPr>
          <w:p>
            <w:pPr>
              <w:jc w:val="right"/>
              <w:ind w:right="160"/>
              <w:spacing w:after="0" w:line="303" w:lineRule="exact"/>
              <w:rPr>
                <w:sz w:val="20"/>
                <w:szCs w:val="20"/>
                <w:color w:val="auto"/>
              </w:rPr>
            </w:pPr>
            <w:r>
              <w:rPr>
                <w:rFonts w:ascii="Arial" w:cs="Arial" w:eastAsia="Arial" w:hAnsi="Arial"/>
                <w:sz w:val="18"/>
                <w:szCs w:val="18"/>
                <w:color w:val="auto"/>
              </w:rPr>
              <w:t>31,020</w:t>
            </w:r>
            <w:r>
              <w:rPr>
                <w:rFonts w:ascii="Arial" w:cs="Arial" w:eastAsia="Arial" w:hAnsi="Arial"/>
                <w:sz w:val="29"/>
                <w:szCs w:val="29"/>
                <w:color w:val="auto"/>
                <w:vertAlign w:val="superscript"/>
              </w:rPr>
              <w:t>(5)</w:t>
            </w:r>
          </w:p>
        </w:tc>
        <w:tc>
          <w:tcPr>
            <w:tcW w:w="1420" w:type="dxa"/>
            <w:vAlign w:val="bottom"/>
          </w:tcPr>
          <w:p>
            <w:pPr>
              <w:jc w:val="right"/>
              <w:spacing w:after="0" w:line="303" w:lineRule="exact"/>
              <w:rPr>
                <w:sz w:val="20"/>
                <w:szCs w:val="20"/>
                <w:color w:val="auto"/>
              </w:rPr>
            </w:pPr>
            <w:r>
              <w:rPr>
                <w:rFonts w:ascii="Arial" w:cs="Arial" w:eastAsia="Arial" w:hAnsi="Arial"/>
                <w:sz w:val="18"/>
                <w:szCs w:val="18"/>
                <w:color w:val="auto"/>
                <w:w w:val="98"/>
              </w:rPr>
              <w:t>$1.3M (Target)</w:t>
            </w:r>
            <w:r>
              <w:rPr>
                <w:rFonts w:ascii="Arial" w:cs="Arial" w:eastAsia="Arial" w:hAnsi="Arial"/>
                <w:sz w:val="29"/>
                <w:szCs w:val="29"/>
                <w:color w:val="auto"/>
                <w:w w:val="98"/>
                <w:vertAlign w:val="superscript"/>
              </w:rPr>
              <w:t>(4)</w:t>
            </w:r>
          </w:p>
        </w:tc>
        <w:tc>
          <w:tcPr>
            <w:tcW w:w="0" w:type="dxa"/>
            <w:vAlign w:val="bottom"/>
          </w:tcPr>
          <w:p>
            <w:pPr>
              <w:spacing w:after="0"/>
              <w:rPr>
                <w:sz w:val="1"/>
                <w:szCs w:val="1"/>
                <w:color w:val="auto"/>
              </w:rPr>
            </w:pPr>
          </w:p>
        </w:tc>
      </w:tr>
      <w:tr>
        <w:trPr>
          <w:trHeight w:val="20"/>
        </w:trPr>
        <w:tc>
          <w:tcPr>
            <w:tcW w:w="4720" w:type="dxa"/>
            <w:vAlign w:val="bottom"/>
            <w:shd w:val="clear" w:color="auto" w:fill="355A89"/>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56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355A8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20" w:type="dxa"/>
            <w:vAlign w:val="bottom"/>
          </w:tcPr>
          <w:p>
            <w:pPr>
              <w:spacing w:after="0"/>
              <w:rPr>
                <w:sz w:val="20"/>
                <w:szCs w:val="20"/>
                <w:color w:val="auto"/>
              </w:rPr>
            </w:pPr>
            <w:r>
              <w:rPr>
                <w:rFonts w:ascii="Arial" w:cs="Arial" w:eastAsia="Arial" w:hAnsi="Arial"/>
                <w:sz w:val="18"/>
                <w:szCs w:val="18"/>
                <w:b w:val="1"/>
                <w:bCs w:val="1"/>
                <w:color w:val="auto"/>
              </w:rPr>
              <w:t>Other Benefits</w:t>
            </w:r>
          </w:p>
        </w:tc>
        <w:tc>
          <w:tcPr>
            <w:tcW w:w="160" w:type="dxa"/>
            <w:vAlign w:val="bottom"/>
            <w:vMerge w:val="continue"/>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$10M of</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42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life insurance</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(without Change-in-Control)</w:t>
      </w:r>
      <w:r>
        <w:rPr>
          <w:rFonts w:ascii="Arial" w:cs="Arial" w:eastAsia="Arial" w:hAnsi="Arial"/>
          <w:sz w:val="28"/>
          <w:szCs w:val="28"/>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99148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41"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355A89"/>
        </w:rPr>
        <w:t>Holliday/Mathias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2283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If the executive’s employment is terminated by us without Cause or by the executive for Good Reason during the term, the executive will be entitled to the following payments or benefits, subject to the effectiveness of a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403733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37330" cy="17145"/>
                    </a:xfrm>
                    <a:prstGeom prst="rect">
                      <a:avLst/>
                    </a:prstGeom>
                    <a:noFill/>
                  </pic:spPr>
                </pic:pic>
              </a:graphicData>
            </a:graphic>
          </wp:anchor>
        </w:drawing>
      </w:r>
    </w:p>
    <w:p>
      <w:pPr>
        <w:spacing w:after="0" w:line="218" w:lineRule="exact"/>
        <w:rPr>
          <w:sz w:val="20"/>
          <w:szCs w:val="20"/>
          <w:color w:val="auto"/>
        </w:rPr>
      </w:pPr>
    </w:p>
    <w:p>
      <w:pPr>
        <w:ind w:left="480"/>
        <w:spacing w:after="0"/>
        <w:tabs>
          <w:tab w:leader="none" w:pos="4340" w:val="left"/>
        </w:tabs>
        <w:rPr>
          <w:sz w:val="20"/>
          <w:szCs w:val="20"/>
          <w:color w:val="auto"/>
        </w:rPr>
      </w:pPr>
      <w:r>
        <w:rPr>
          <w:rFonts w:ascii="Arial" w:cs="Arial" w:eastAsia="Arial" w:hAnsi="Arial"/>
          <w:sz w:val="13"/>
          <w:szCs w:val="13"/>
          <w:b w:val="1"/>
          <w:bCs w:val="1"/>
          <w:color w:val="355A89"/>
        </w:rPr>
        <w:t>DiLiberto</w:t>
      </w:r>
      <w:r>
        <w:rPr>
          <w:sz w:val="20"/>
          <w:szCs w:val="20"/>
          <w:color w:val="auto"/>
        </w:rPr>
        <w:tab/>
      </w:r>
      <w:r>
        <w:rPr>
          <w:rFonts w:ascii="Arial" w:cs="Arial" w:eastAsia="Arial" w:hAnsi="Arial"/>
          <w:sz w:val="13"/>
          <w:szCs w:val="13"/>
          <w:b w:val="1"/>
          <w:bCs w:val="1"/>
          <w:color w:val="355A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27305</wp:posOffset>
            </wp:positionV>
            <wp:extent cx="470598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4160" w:space="720"/>
            <w:col w:w="6360"/>
          </w:cols>
          <w:pgMar w:left="320" w:top="121" w:right="339" w:bottom="1440" w:gutter="0" w:footer="0" w:header="0"/>
          <w:type w:val="continuous"/>
        </w:sectPr>
      </w:pPr>
    </w:p>
    <w:p>
      <w:pPr>
        <w:ind w:left="540" w:right="220" w:hanging="253"/>
        <w:spacing w:after="0" w:line="241" w:lineRule="auto"/>
        <w:tabs>
          <w:tab w:leader="none" w:pos="517" w:val="left"/>
        </w:tabs>
        <w:numPr>
          <w:ilvl w:val="0"/>
          <w:numId w:val="120"/>
        </w:numPr>
        <w:rPr>
          <w:rFonts w:ascii="Arial" w:cs="Arial" w:eastAsia="Arial" w:hAnsi="Arial"/>
          <w:sz w:val="17"/>
          <w:szCs w:val="17"/>
          <w:color w:val="355A89"/>
        </w:rPr>
      </w:pPr>
      <w:r>
        <w:rPr>
          <w:rFonts w:ascii="Arial" w:cs="Arial" w:eastAsia="Arial" w:hAnsi="Arial"/>
          <w:sz w:val="18"/>
          <w:szCs w:val="18"/>
          <w:color w:val="auto"/>
        </w:rPr>
        <w:t>2.0x / 1.5x the sum of base salary, maximum formulaic bonus and target value of annual time-based equity award</w:t>
      </w:r>
    </w:p>
    <w:p>
      <w:pPr>
        <w:spacing w:after="0" w:line="59" w:lineRule="exact"/>
        <w:rPr>
          <w:rFonts w:ascii="Arial" w:cs="Arial" w:eastAsia="Arial" w:hAnsi="Arial"/>
          <w:sz w:val="17"/>
          <w:szCs w:val="17"/>
          <w:color w:val="355A89"/>
        </w:rPr>
      </w:pPr>
    </w:p>
    <w:p>
      <w:pPr>
        <w:ind w:left="540" w:right="180" w:hanging="253"/>
        <w:spacing w:after="0" w:line="244" w:lineRule="auto"/>
        <w:tabs>
          <w:tab w:leader="none" w:pos="517" w:val="left"/>
        </w:tabs>
        <w:numPr>
          <w:ilvl w:val="0"/>
          <w:numId w:val="120"/>
        </w:numPr>
        <w:rPr>
          <w:rFonts w:ascii="Arial" w:cs="Arial" w:eastAsia="Arial" w:hAnsi="Arial"/>
          <w:sz w:val="17"/>
          <w:szCs w:val="17"/>
          <w:color w:val="355A89"/>
        </w:rPr>
      </w:pPr>
      <w:r>
        <w:rPr>
          <w:rFonts w:ascii="Arial" w:cs="Arial" w:eastAsia="Arial" w:hAnsi="Arial"/>
          <w:sz w:val="18"/>
          <w:szCs w:val="18"/>
          <w:color w:val="auto"/>
        </w:rPr>
        <w:t>Pro-rata bonus and pro-rata portion of target value of annual time-based award for partial year</w:t>
      </w:r>
    </w:p>
    <w:p>
      <w:pPr>
        <w:spacing w:after="0" w:line="70" w:lineRule="exact"/>
        <w:rPr>
          <w:rFonts w:ascii="Arial" w:cs="Arial" w:eastAsia="Arial" w:hAnsi="Arial"/>
          <w:sz w:val="17"/>
          <w:szCs w:val="17"/>
          <w:color w:val="355A89"/>
        </w:rPr>
      </w:pPr>
    </w:p>
    <w:p>
      <w:pPr>
        <w:ind w:left="540" w:right="80" w:hanging="253"/>
        <w:spacing w:after="0" w:line="254" w:lineRule="auto"/>
        <w:tabs>
          <w:tab w:leader="none" w:pos="517" w:val="left"/>
        </w:tabs>
        <w:numPr>
          <w:ilvl w:val="0"/>
          <w:numId w:val="120"/>
        </w:numPr>
        <w:rPr>
          <w:rFonts w:ascii="Arial" w:cs="Arial" w:eastAsia="Arial" w:hAnsi="Arial"/>
          <w:sz w:val="17"/>
          <w:szCs w:val="17"/>
          <w:color w:val="355A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A89"/>
        </w:rPr>
      </w:pPr>
    </w:p>
    <w:p>
      <w:pPr>
        <w:ind w:left="520" w:hanging="233"/>
        <w:spacing w:after="0"/>
        <w:tabs>
          <w:tab w:leader="none" w:pos="520" w:val="left"/>
        </w:tabs>
        <w:numPr>
          <w:ilvl w:val="0"/>
          <w:numId w:val="120"/>
        </w:numPr>
        <w:rPr>
          <w:rFonts w:ascii="Arial" w:cs="Arial" w:eastAsia="Arial" w:hAnsi="Arial"/>
          <w:sz w:val="16"/>
          <w:szCs w:val="16"/>
          <w:color w:val="355A89"/>
        </w:rPr>
      </w:pPr>
      <w:r>
        <w:rPr>
          <w:rFonts w:ascii="Arial" w:cs="Arial" w:eastAsia="Arial" w:hAnsi="Arial"/>
          <w:sz w:val="16"/>
          <w:szCs w:val="16"/>
          <w:color w:val="auto"/>
        </w:rPr>
        <w:t>Class O LTIP unit/option exercise period</w:t>
      </w:r>
    </w:p>
    <w:p>
      <w:pPr>
        <w:spacing w:after="0" w:line="32" w:lineRule="exact"/>
        <w:rPr>
          <w:sz w:val="20"/>
          <w:szCs w:val="20"/>
          <w:color w:val="auto"/>
        </w:rPr>
      </w:pPr>
    </w:p>
    <w:p>
      <w:pPr>
        <w:ind w:left="540" w:right="64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540" w:right="200" w:hanging="253"/>
        <w:spacing w:after="0" w:line="254" w:lineRule="auto"/>
        <w:tabs>
          <w:tab w:leader="none" w:pos="517" w:val="left"/>
        </w:tabs>
        <w:numPr>
          <w:ilvl w:val="0"/>
          <w:numId w:val="121"/>
        </w:numPr>
        <w:rPr>
          <w:rFonts w:ascii="Arial" w:cs="Arial" w:eastAsia="Arial" w:hAnsi="Arial"/>
          <w:sz w:val="17"/>
          <w:szCs w:val="17"/>
          <w:color w:val="355A89"/>
        </w:rPr>
      </w:pPr>
      <w:r>
        <w:rPr>
          <w:rFonts w:ascii="Arial" w:cs="Arial" w:eastAsia="Arial" w:hAnsi="Arial"/>
          <w:sz w:val="18"/>
          <w:szCs w:val="18"/>
          <w:color w:val="auto"/>
        </w:rPr>
        <w:t>24 / 18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3228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2" w:right="520" w:hanging="252"/>
        <w:spacing w:after="0" w:line="233" w:lineRule="auto"/>
        <w:tabs>
          <w:tab w:leader="none" w:pos="230" w:val="left"/>
        </w:tabs>
        <w:numPr>
          <w:ilvl w:val="0"/>
          <w:numId w:val="122"/>
        </w:numPr>
        <w:rPr>
          <w:rFonts w:ascii="Arial" w:cs="Arial" w:eastAsia="Arial" w:hAnsi="Arial"/>
          <w:sz w:val="17"/>
          <w:szCs w:val="17"/>
          <w:color w:val="355A89"/>
        </w:rPr>
      </w:pPr>
      <w:r>
        <w:rPr>
          <w:rFonts w:ascii="Arial" w:cs="Arial" w:eastAsia="Arial" w:hAnsi="Arial"/>
          <w:sz w:val="18"/>
          <w:szCs w:val="18"/>
          <w:color w:val="auto"/>
        </w:rPr>
        <w:t>1x current annual base salary and average annual bonus</w:t>
      </w:r>
      <w:r>
        <w:rPr>
          <w:rFonts w:ascii="Arial" w:cs="Arial" w:eastAsia="Arial" w:hAnsi="Arial"/>
          <w:sz w:val="29"/>
          <w:szCs w:val="29"/>
          <w:color w:val="auto"/>
          <w:vertAlign w:val="superscript"/>
        </w:rPr>
        <w:t>(7)</w:t>
      </w:r>
    </w:p>
    <w:p>
      <w:pPr>
        <w:spacing w:after="0" w:line="1" w:lineRule="exact"/>
        <w:rPr>
          <w:rFonts w:ascii="Arial" w:cs="Arial" w:eastAsia="Arial" w:hAnsi="Arial"/>
          <w:sz w:val="17"/>
          <w:szCs w:val="17"/>
          <w:color w:val="355A89"/>
        </w:rPr>
      </w:pPr>
    </w:p>
    <w:p>
      <w:pPr>
        <w:ind w:left="252" w:right="60" w:hanging="252"/>
        <w:spacing w:after="0" w:line="249" w:lineRule="auto"/>
        <w:tabs>
          <w:tab w:leader="none" w:pos="230" w:val="left"/>
        </w:tabs>
        <w:numPr>
          <w:ilvl w:val="0"/>
          <w:numId w:val="122"/>
        </w:numPr>
        <w:rPr>
          <w:rFonts w:ascii="Arial" w:cs="Arial" w:eastAsia="Arial" w:hAnsi="Arial"/>
          <w:sz w:val="17"/>
          <w:szCs w:val="17"/>
          <w:color w:val="355A89"/>
        </w:rPr>
      </w:pPr>
      <w:r>
        <w:rPr>
          <w:rFonts w:ascii="Arial" w:cs="Arial" w:eastAsia="Arial" w:hAnsi="Arial"/>
          <w:sz w:val="17"/>
          <w:szCs w:val="17"/>
          <w:color w:val="auto"/>
        </w:rPr>
        <w:t>Pro-rata bonus for partial year (if termination prior to June 30, otherwise full amount of average annual bonus)</w:t>
      </w:r>
      <w:r>
        <w:rPr>
          <w:rFonts w:ascii="Arial" w:cs="Arial" w:eastAsia="Arial" w:hAnsi="Arial"/>
          <w:sz w:val="28"/>
          <w:szCs w:val="28"/>
          <w:color w:val="auto"/>
          <w:vertAlign w:val="superscript"/>
        </w:rPr>
        <w:t>(8)</w:t>
      </w:r>
    </w:p>
    <w:p>
      <w:pPr>
        <w:spacing w:after="0" w:line="2" w:lineRule="exact"/>
        <w:rPr>
          <w:rFonts w:ascii="Arial" w:cs="Arial" w:eastAsia="Arial" w:hAnsi="Arial"/>
          <w:sz w:val="17"/>
          <w:szCs w:val="17"/>
          <w:color w:val="355A89"/>
        </w:rPr>
      </w:pPr>
    </w:p>
    <w:p>
      <w:pPr>
        <w:ind w:left="252" w:hanging="252"/>
        <w:spacing w:after="0" w:line="244" w:lineRule="auto"/>
        <w:tabs>
          <w:tab w:leader="none" w:pos="230" w:val="left"/>
        </w:tabs>
        <w:numPr>
          <w:ilvl w:val="0"/>
          <w:numId w:val="122"/>
        </w:numPr>
        <w:rPr>
          <w:rFonts w:ascii="Arial" w:cs="Arial" w:eastAsia="Arial" w:hAnsi="Arial"/>
          <w:sz w:val="17"/>
          <w:szCs w:val="17"/>
          <w:color w:val="355A89"/>
        </w:rPr>
      </w:pPr>
      <w:r>
        <w:rPr>
          <w:rFonts w:ascii="Arial" w:cs="Arial" w:eastAsia="Arial" w:hAnsi="Arial"/>
          <w:sz w:val="18"/>
          <w:szCs w:val="18"/>
          <w:color w:val="auto"/>
        </w:rPr>
        <w:t>Acceleration of all unvested equity awards (other than annual performance-based awards)</w:t>
      </w:r>
    </w:p>
    <w:p>
      <w:pPr>
        <w:spacing w:after="0" w:line="57" w:lineRule="exact"/>
        <w:rPr>
          <w:rFonts w:ascii="Arial" w:cs="Arial" w:eastAsia="Arial" w:hAnsi="Arial"/>
          <w:sz w:val="17"/>
          <w:szCs w:val="17"/>
          <w:color w:val="355A89"/>
        </w:rPr>
      </w:pPr>
    </w:p>
    <w:p>
      <w:pPr>
        <w:ind w:left="232" w:hanging="232"/>
        <w:spacing w:after="0"/>
        <w:tabs>
          <w:tab w:leader="none" w:pos="232" w:val="left"/>
        </w:tabs>
        <w:numPr>
          <w:ilvl w:val="0"/>
          <w:numId w:val="122"/>
        </w:numPr>
        <w:rPr>
          <w:rFonts w:ascii="Arial" w:cs="Arial" w:eastAsia="Arial" w:hAnsi="Arial"/>
          <w:sz w:val="17"/>
          <w:szCs w:val="17"/>
          <w:color w:val="355A89"/>
        </w:rPr>
      </w:pPr>
      <w:r>
        <w:rPr>
          <w:rFonts w:ascii="Arial" w:cs="Arial" w:eastAsia="Arial" w:hAnsi="Arial"/>
          <w:sz w:val="18"/>
          <w:szCs w:val="18"/>
          <w:color w:val="auto"/>
        </w:rPr>
        <w:t>Option exercise period extended to</w:t>
      </w:r>
    </w:p>
    <w:p>
      <w:pPr>
        <w:spacing w:after="0" w:line="9" w:lineRule="exact"/>
        <w:rPr>
          <w:sz w:val="20"/>
          <w:szCs w:val="20"/>
          <w:color w:val="auto"/>
        </w:rPr>
      </w:pPr>
    </w:p>
    <w:p>
      <w:pPr>
        <w:ind w:left="252" w:right="900"/>
        <w:spacing w:after="0" w:line="201" w:lineRule="auto"/>
        <w:rPr>
          <w:sz w:val="20"/>
          <w:szCs w:val="20"/>
          <w:color w:val="auto"/>
        </w:rPr>
      </w:pPr>
      <w:r>
        <w:rPr>
          <w:rFonts w:ascii="Arial" w:cs="Arial" w:eastAsia="Arial" w:hAnsi="Arial"/>
          <w:sz w:val="18"/>
          <w:szCs w:val="18"/>
          <w:color w:val="auto"/>
        </w:rPr>
        <w:t>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252" w:right="480" w:hanging="252"/>
        <w:spacing w:after="0" w:line="254" w:lineRule="auto"/>
        <w:tabs>
          <w:tab w:leader="none" w:pos="230" w:val="left"/>
        </w:tabs>
        <w:numPr>
          <w:ilvl w:val="0"/>
          <w:numId w:val="123"/>
        </w:numPr>
        <w:rPr>
          <w:rFonts w:ascii="Arial" w:cs="Arial" w:eastAsia="Arial" w:hAnsi="Arial"/>
          <w:sz w:val="17"/>
          <w:szCs w:val="17"/>
          <w:color w:val="355A89"/>
        </w:rPr>
      </w:pPr>
      <w:r>
        <w:rPr>
          <w:rFonts w:ascii="Arial" w:cs="Arial" w:eastAsia="Arial" w:hAnsi="Arial"/>
          <w:sz w:val="18"/>
          <w:szCs w:val="18"/>
          <w:color w:val="auto"/>
        </w:rPr>
        <w:t>12 months of benefit continuation /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139700</wp:posOffset>
            </wp:positionV>
            <wp:extent cx="23317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8" w:right="220" w:hanging="258"/>
        <w:spacing w:after="0" w:line="312" w:lineRule="auto"/>
        <w:tabs>
          <w:tab w:leader="none" w:pos="236" w:val="left"/>
        </w:tabs>
        <w:numPr>
          <w:ilvl w:val="0"/>
          <w:numId w:val="124"/>
        </w:numPr>
        <w:rPr>
          <w:rFonts w:ascii="Arial" w:cs="Arial" w:eastAsia="Arial" w:hAnsi="Arial"/>
          <w:sz w:val="16"/>
          <w:szCs w:val="16"/>
          <w:color w:val="355A89"/>
        </w:rPr>
      </w:pPr>
      <w:r>
        <w:rPr>
          <w:rFonts w:ascii="Arial" w:cs="Arial" w:eastAsia="Arial" w:hAnsi="Arial"/>
          <w:sz w:val="16"/>
          <w:szCs w:val="16"/>
          <w:color w:val="auto"/>
        </w:rPr>
        <w:t>The sum of base salary and average annual bonus for prior two years</w:t>
      </w:r>
    </w:p>
    <w:p>
      <w:pPr>
        <w:spacing w:after="0" w:line="7" w:lineRule="exact"/>
        <w:rPr>
          <w:rFonts w:ascii="Arial" w:cs="Arial" w:eastAsia="Arial" w:hAnsi="Arial"/>
          <w:sz w:val="16"/>
          <w:szCs w:val="16"/>
          <w:color w:val="355A89"/>
        </w:rPr>
      </w:pPr>
    </w:p>
    <w:p>
      <w:pPr>
        <w:ind w:left="258" w:right="120" w:hanging="258"/>
        <w:spacing w:after="0" w:line="241" w:lineRule="auto"/>
        <w:tabs>
          <w:tab w:leader="none" w:pos="236" w:val="left"/>
        </w:tabs>
        <w:numPr>
          <w:ilvl w:val="0"/>
          <w:numId w:val="124"/>
        </w:numPr>
        <w:rPr>
          <w:rFonts w:ascii="Arial" w:cs="Arial" w:eastAsia="Arial" w:hAnsi="Arial"/>
          <w:sz w:val="17"/>
          <w:szCs w:val="17"/>
          <w:color w:val="355A89"/>
        </w:rPr>
      </w:pPr>
      <w:r>
        <w:rPr>
          <w:rFonts w:ascii="Arial" w:cs="Arial" w:eastAsia="Arial" w:hAnsi="Arial"/>
          <w:sz w:val="18"/>
          <w:szCs w:val="18"/>
          <w:color w:val="auto"/>
        </w:rPr>
        <w:t>The target value of the annual time-based equity awards to be granted in January 2020 and 2021, to the extent not yet granted</w:t>
      </w:r>
    </w:p>
    <w:p>
      <w:pPr>
        <w:spacing w:after="0" w:line="73" w:lineRule="exact"/>
        <w:rPr>
          <w:rFonts w:ascii="Arial" w:cs="Arial" w:eastAsia="Arial" w:hAnsi="Arial"/>
          <w:sz w:val="17"/>
          <w:szCs w:val="17"/>
          <w:color w:val="355A89"/>
        </w:rPr>
      </w:pPr>
    </w:p>
    <w:p>
      <w:pPr>
        <w:ind w:left="238" w:hanging="238"/>
        <w:spacing w:after="0"/>
        <w:tabs>
          <w:tab w:leader="none" w:pos="238" w:val="left"/>
        </w:tabs>
        <w:numPr>
          <w:ilvl w:val="0"/>
          <w:numId w:val="124"/>
        </w:numPr>
        <w:rPr>
          <w:rFonts w:ascii="Arial" w:cs="Arial" w:eastAsia="Arial" w:hAnsi="Arial"/>
          <w:sz w:val="17"/>
          <w:szCs w:val="17"/>
          <w:color w:val="355A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A89"/>
        </w:rPr>
      </w:pPr>
    </w:p>
    <w:p>
      <w:pPr>
        <w:ind w:left="258" w:right="480" w:hanging="258"/>
        <w:spacing w:after="0" w:line="254" w:lineRule="auto"/>
        <w:tabs>
          <w:tab w:leader="none" w:pos="236" w:val="left"/>
        </w:tabs>
        <w:numPr>
          <w:ilvl w:val="0"/>
          <w:numId w:val="124"/>
        </w:numPr>
        <w:rPr>
          <w:rFonts w:ascii="Arial" w:cs="Arial" w:eastAsia="Arial" w:hAnsi="Arial"/>
          <w:sz w:val="17"/>
          <w:szCs w:val="17"/>
          <w:color w:val="355A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A89"/>
        </w:rPr>
      </w:pPr>
    </w:p>
    <w:p>
      <w:pPr>
        <w:ind w:left="238" w:hanging="238"/>
        <w:spacing w:after="0"/>
        <w:tabs>
          <w:tab w:leader="none" w:pos="238" w:val="left"/>
        </w:tabs>
        <w:numPr>
          <w:ilvl w:val="0"/>
          <w:numId w:val="124"/>
        </w:numPr>
        <w:rPr>
          <w:rFonts w:ascii="Arial" w:cs="Arial" w:eastAsia="Arial" w:hAnsi="Arial"/>
          <w:sz w:val="17"/>
          <w:szCs w:val="17"/>
          <w:color w:val="355A89"/>
        </w:rPr>
      </w:pPr>
      <w:r>
        <w:rPr>
          <w:rFonts w:ascii="Arial" w:cs="Arial" w:eastAsia="Arial" w:hAnsi="Arial"/>
          <w:sz w:val="18"/>
          <w:szCs w:val="18"/>
          <w:color w:val="auto"/>
        </w:rPr>
        <w:t>Class O LTIP unit/option exercise</w:t>
      </w:r>
    </w:p>
    <w:p>
      <w:pPr>
        <w:spacing w:after="0" w:line="9" w:lineRule="exact"/>
        <w:rPr>
          <w:sz w:val="20"/>
          <w:szCs w:val="20"/>
          <w:color w:val="auto"/>
        </w:rPr>
      </w:pPr>
    </w:p>
    <w:p>
      <w:pPr>
        <w:ind w:left="258" w:right="40"/>
        <w:spacing w:after="0" w:line="201" w:lineRule="auto"/>
        <w:rPr>
          <w:sz w:val="20"/>
          <w:szCs w:val="20"/>
          <w:color w:val="auto"/>
        </w:rPr>
      </w:pPr>
      <w:r>
        <w:rPr>
          <w:rFonts w:ascii="Arial" w:cs="Arial" w:eastAsia="Arial" w:hAnsi="Arial"/>
          <w:sz w:val="18"/>
          <w:szCs w:val="18"/>
          <w:color w:val="auto"/>
        </w:rPr>
        <w:t>period 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74" w:lineRule="exact"/>
        <w:rPr>
          <w:sz w:val="20"/>
          <w:szCs w:val="20"/>
          <w:color w:val="auto"/>
        </w:rPr>
      </w:pPr>
    </w:p>
    <w:p>
      <w:pPr>
        <w:ind w:left="258" w:right="480" w:hanging="258"/>
        <w:spacing w:after="0" w:line="254" w:lineRule="auto"/>
        <w:tabs>
          <w:tab w:leader="none" w:pos="236" w:val="left"/>
        </w:tabs>
        <w:numPr>
          <w:ilvl w:val="0"/>
          <w:numId w:val="125"/>
        </w:numPr>
        <w:rPr>
          <w:rFonts w:ascii="Arial" w:cs="Arial" w:eastAsia="Arial" w:hAnsi="Arial"/>
          <w:sz w:val="17"/>
          <w:szCs w:val="17"/>
          <w:color w:val="355A89"/>
        </w:rPr>
      </w:pPr>
      <w:r>
        <w:rPr>
          <w:rFonts w:ascii="Arial" w:cs="Arial" w:eastAsia="Arial" w:hAnsi="Arial"/>
          <w:sz w:val="18"/>
          <w:szCs w:val="18"/>
          <w:color w:val="auto"/>
        </w:rPr>
        <w:t>12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2540</wp:posOffset>
            </wp:positionV>
            <wp:extent cx="22713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3">
            <w:col w:w="3660" w:space="448"/>
            <w:col w:w="3392" w:space="442"/>
            <w:col w:w="3298"/>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Severance Benefits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(Change-in-Control)</w:t>
      </w:r>
      <w:r>
        <w:rPr>
          <w:rFonts w:ascii="Arial" w:cs="Arial" w:eastAsia="Arial" w:hAnsi="Arial"/>
          <w:sz w:val="28"/>
          <w:szCs w:val="28"/>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232283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If the executive’s employment is terminated by us without Cause or by the executive for Good Reason in connection with or within 18 months after a Change-in-Control during the term, the executive will be entitled to the following payments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70598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059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7420"/>
          </w:cols>
          <w:pgMar w:left="320" w:top="121" w:right="339" w:bottom="1440" w:gutter="0" w:footer="0" w:header="0"/>
          <w:type w:val="continuous"/>
        </w:sectPr>
      </w:pPr>
    </w:p>
    <w:p>
      <w:pPr>
        <w:spacing w:after="0" w:line="69"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355A89"/>
        </w:rPr>
        <w:t>Holliday/Mathias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2283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80" w:lineRule="exact"/>
        <w:rPr>
          <w:sz w:val="20"/>
          <w:szCs w:val="20"/>
          <w:color w:val="auto"/>
        </w:rPr>
      </w:pPr>
    </w:p>
    <w:p>
      <w:pPr>
        <w:ind w:left="540" w:right="160" w:hanging="253"/>
        <w:spacing w:after="0" w:line="241" w:lineRule="auto"/>
        <w:tabs>
          <w:tab w:leader="none" w:pos="517" w:val="left"/>
        </w:tabs>
        <w:numPr>
          <w:ilvl w:val="0"/>
          <w:numId w:val="126"/>
        </w:numPr>
        <w:rPr>
          <w:rFonts w:ascii="Arial" w:cs="Arial" w:eastAsia="Arial" w:hAnsi="Arial"/>
          <w:sz w:val="17"/>
          <w:szCs w:val="17"/>
          <w:color w:val="355A89"/>
        </w:rPr>
      </w:pPr>
      <w:r>
        <w:rPr>
          <w:rFonts w:ascii="Arial" w:cs="Arial" w:eastAsia="Arial" w:hAnsi="Arial"/>
          <w:sz w:val="18"/>
          <w:szCs w:val="18"/>
          <w:color w:val="auto"/>
        </w:rPr>
        <w:t>3.0x / 2.5x the sum of base salary, average annual bonus for prior two years and target value of annual time-based award</w:t>
      </w:r>
    </w:p>
    <w:p>
      <w:pPr>
        <w:spacing w:after="0" w:line="59" w:lineRule="exact"/>
        <w:rPr>
          <w:rFonts w:ascii="Arial" w:cs="Arial" w:eastAsia="Arial" w:hAnsi="Arial"/>
          <w:sz w:val="17"/>
          <w:szCs w:val="17"/>
          <w:color w:val="355A89"/>
        </w:rPr>
      </w:pPr>
    </w:p>
    <w:p>
      <w:pPr>
        <w:ind w:left="540" w:right="180" w:hanging="253"/>
        <w:spacing w:after="0" w:line="244" w:lineRule="auto"/>
        <w:tabs>
          <w:tab w:leader="none" w:pos="517" w:val="left"/>
        </w:tabs>
        <w:numPr>
          <w:ilvl w:val="0"/>
          <w:numId w:val="126"/>
        </w:numPr>
        <w:rPr>
          <w:rFonts w:ascii="Arial" w:cs="Arial" w:eastAsia="Arial" w:hAnsi="Arial"/>
          <w:sz w:val="17"/>
          <w:szCs w:val="17"/>
          <w:color w:val="355A89"/>
        </w:rPr>
      </w:pPr>
      <w:r>
        <w:rPr>
          <w:rFonts w:ascii="Arial" w:cs="Arial" w:eastAsia="Arial" w:hAnsi="Arial"/>
          <w:sz w:val="18"/>
          <w:szCs w:val="18"/>
          <w:color w:val="auto"/>
        </w:rPr>
        <w:t>Pro-rata bonus and pro-rata portion of target value of annual time-based award for partial year</w:t>
      </w:r>
    </w:p>
    <w:p>
      <w:pPr>
        <w:spacing w:after="0" w:line="70" w:lineRule="exact"/>
        <w:rPr>
          <w:rFonts w:ascii="Arial" w:cs="Arial" w:eastAsia="Arial" w:hAnsi="Arial"/>
          <w:sz w:val="17"/>
          <w:szCs w:val="17"/>
          <w:color w:val="355A89"/>
        </w:rPr>
      </w:pPr>
    </w:p>
    <w:p>
      <w:pPr>
        <w:ind w:left="540" w:right="80" w:hanging="253"/>
        <w:spacing w:after="0" w:line="254" w:lineRule="auto"/>
        <w:tabs>
          <w:tab w:leader="none" w:pos="517" w:val="left"/>
        </w:tabs>
        <w:numPr>
          <w:ilvl w:val="0"/>
          <w:numId w:val="126"/>
        </w:numPr>
        <w:rPr>
          <w:rFonts w:ascii="Arial" w:cs="Arial" w:eastAsia="Arial" w:hAnsi="Arial"/>
          <w:sz w:val="17"/>
          <w:szCs w:val="17"/>
          <w:color w:val="355A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A89"/>
        </w:rPr>
      </w:pPr>
    </w:p>
    <w:p>
      <w:pPr>
        <w:ind w:left="520" w:hanging="233"/>
        <w:spacing w:after="0"/>
        <w:tabs>
          <w:tab w:leader="none" w:pos="520" w:val="left"/>
        </w:tabs>
        <w:numPr>
          <w:ilvl w:val="0"/>
          <w:numId w:val="126"/>
        </w:numPr>
        <w:rPr>
          <w:rFonts w:ascii="Arial" w:cs="Arial" w:eastAsia="Arial" w:hAnsi="Arial"/>
          <w:sz w:val="16"/>
          <w:szCs w:val="16"/>
          <w:color w:val="355A89"/>
        </w:rPr>
      </w:pPr>
      <w:r>
        <w:rPr>
          <w:rFonts w:ascii="Arial" w:cs="Arial" w:eastAsia="Arial" w:hAnsi="Arial"/>
          <w:sz w:val="16"/>
          <w:szCs w:val="16"/>
          <w:color w:val="auto"/>
        </w:rPr>
        <w:t>Class O LTIP unit/option exercise period</w:t>
      </w:r>
    </w:p>
    <w:p>
      <w:pPr>
        <w:spacing w:after="0" w:line="32" w:lineRule="exact"/>
        <w:rPr>
          <w:sz w:val="20"/>
          <w:szCs w:val="20"/>
          <w:color w:val="auto"/>
        </w:rPr>
      </w:pPr>
    </w:p>
    <w:p>
      <w:pPr>
        <w:ind w:left="540" w:right="64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540" w:right="200" w:hanging="253"/>
        <w:spacing w:after="0" w:line="254" w:lineRule="auto"/>
        <w:tabs>
          <w:tab w:leader="none" w:pos="517" w:val="left"/>
        </w:tabs>
        <w:numPr>
          <w:ilvl w:val="0"/>
          <w:numId w:val="127"/>
        </w:numPr>
        <w:rPr>
          <w:rFonts w:ascii="Arial" w:cs="Arial" w:eastAsia="Arial" w:hAnsi="Arial"/>
          <w:sz w:val="17"/>
          <w:szCs w:val="17"/>
          <w:color w:val="355A89"/>
        </w:rPr>
      </w:pPr>
      <w:r>
        <w:rPr>
          <w:rFonts w:ascii="Arial" w:cs="Arial" w:eastAsia="Arial" w:hAnsi="Arial"/>
          <w:sz w:val="18"/>
          <w:szCs w:val="18"/>
          <w:color w:val="auto"/>
        </w:rPr>
        <w:t>36 / 30 months of benefit continuation payments</w:t>
      </w:r>
    </w:p>
    <w:p>
      <w:pPr>
        <w:spacing w:after="0" w:line="60" w:lineRule="exact"/>
        <w:rPr>
          <w:rFonts w:ascii="Arial" w:cs="Arial" w:eastAsia="Arial" w:hAnsi="Arial"/>
          <w:sz w:val="17"/>
          <w:szCs w:val="17"/>
          <w:color w:val="355A89"/>
        </w:rPr>
      </w:pPr>
    </w:p>
    <w:p>
      <w:pPr>
        <w:ind w:left="520" w:hanging="233"/>
        <w:spacing w:after="0"/>
        <w:tabs>
          <w:tab w:leader="none" w:pos="520" w:val="left"/>
        </w:tabs>
        <w:numPr>
          <w:ilvl w:val="0"/>
          <w:numId w:val="127"/>
        </w:numPr>
        <w:rPr>
          <w:rFonts w:ascii="Arial" w:cs="Arial" w:eastAsia="Arial" w:hAnsi="Arial"/>
          <w:sz w:val="17"/>
          <w:szCs w:val="17"/>
          <w:color w:val="355A89"/>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2283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1252"/>
        <w:spacing w:after="0"/>
        <w:rPr>
          <w:sz w:val="20"/>
          <w:szCs w:val="20"/>
          <w:color w:val="auto"/>
        </w:rPr>
      </w:pPr>
      <w:r>
        <w:rPr>
          <w:rFonts w:ascii="Arial" w:cs="Arial" w:eastAsia="Arial" w:hAnsi="Arial"/>
          <w:sz w:val="13"/>
          <w:szCs w:val="13"/>
          <w:b w:val="1"/>
          <w:bCs w:val="1"/>
          <w:color w:val="355A89"/>
        </w:rPr>
        <w:t>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27305</wp:posOffset>
            </wp:positionV>
            <wp:extent cx="23317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31720" cy="17145"/>
                    </a:xfrm>
                    <a:prstGeom prst="rect">
                      <a:avLst/>
                    </a:prstGeom>
                    <a:noFill/>
                  </pic:spPr>
                </pic:pic>
              </a:graphicData>
            </a:graphic>
          </wp:anchor>
        </w:drawing>
      </w:r>
    </w:p>
    <w:p>
      <w:pPr>
        <w:spacing w:after="0" w:line="80" w:lineRule="exact"/>
        <w:rPr>
          <w:sz w:val="20"/>
          <w:szCs w:val="20"/>
          <w:color w:val="auto"/>
        </w:rPr>
      </w:pPr>
    </w:p>
    <w:p>
      <w:pPr>
        <w:ind w:left="252" w:right="520" w:hanging="252"/>
        <w:spacing w:after="0" w:line="233" w:lineRule="auto"/>
        <w:tabs>
          <w:tab w:leader="none" w:pos="230" w:val="left"/>
        </w:tabs>
        <w:numPr>
          <w:ilvl w:val="0"/>
          <w:numId w:val="128"/>
        </w:numPr>
        <w:rPr>
          <w:rFonts w:ascii="Arial" w:cs="Arial" w:eastAsia="Arial" w:hAnsi="Arial"/>
          <w:sz w:val="17"/>
          <w:szCs w:val="17"/>
          <w:color w:val="355A89"/>
        </w:rPr>
      </w:pPr>
      <w:r>
        <w:rPr>
          <w:rFonts w:ascii="Arial" w:cs="Arial" w:eastAsia="Arial" w:hAnsi="Arial"/>
          <w:sz w:val="18"/>
          <w:szCs w:val="18"/>
          <w:color w:val="auto"/>
        </w:rPr>
        <w:t>2x current annual base salary and average annual bonus</w:t>
      </w:r>
      <w:r>
        <w:rPr>
          <w:rFonts w:ascii="Arial" w:cs="Arial" w:eastAsia="Arial" w:hAnsi="Arial"/>
          <w:sz w:val="29"/>
          <w:szCs w:val="29"/>
          <w:color w:val="auto"/>
          <w:vertAlign w:val="superscript"/>
        </w:rPr>
        <w:t>(7)</w:t>
      </w:r>
    </w:p>
    <w:p>
      <w:pPr>
        <w:spacing w:after="0" w:line="1" w:lineRule="exact"/>
        <w:rPr>
          <w:rFonts w:ascii="Arial" w:cs="Arial" w:eastAsia="Arial" w:hAnsi="Arial"/>
          <w:sz w:val="17"/>
          <w:szCs w:val="17"/>
          <w:color w:val="355A89"/>
        </w:rPr>
      </w:pPr>
    </w:p>
    <w:p>
      <w:pPr>
        <w:ind w:left="252" w:right="60" w:hanging="252"/>
        <w:spacing w:after="0" w:line="249" w:lineRule="auto"/>
        <w:tabs>
          <w:tab w:leader="none" w:pos="230" w:val="left"/>
        </w:tabs>
        <w:numPr>
          <w:ilvl w:val="0"/>
          <w:numId w:val="128"/>
        </w:numPr>
        <w:rPr>
          <w:rFonts w:ascii="Arial" w:cs="Arial" w:eastAsia="Arial" w:hAnsi="Arial"/>
          <w:sz w:val="17"/>
          <w:szCs w:val="17"/>
          <w:color w:val="355A89"/>
        </w:rPr>
      </w:pPr>
      <w:r>
        <w:rPr>
          <w:rFonts w:ascii="Arial" w:cs="Arial" w:eastAsia="Arial" w:hAnsi="Arial"/>
          <w:sz w:val="17"/>
          <w:szCs w:val="17"/>
          <w:color w:val="auto"/>
        </w:rPr>
        <w:t>Pro-rata bonus for partial year (if termination prior to June 30, otherwise full amount of average annual bonus)</w:t>
      </w:r>
      <w:r>
        <w:rPr>
          <w:rFonts w:ascii="Arial" w:cs="Arial" w:eastAsia="Arial" w:hAnsi="Arial"/>
          <w:sz w:val="28"/>
          <w:szCs w:val="28"/>
          <w:color w:val="auto"/>
          <w:vertAlign w:val="superscript"/>
        </w:rPr>
        <w:t>(8)</w:t>
      </w:r>
    </w:p>
    <w:p>
      <w:pPr>
        <w:spacing w:after="0" w:line="2" w:lineRule="exact"/>
        <w:rPr>
          <w:rFonts w:ascii="Arial" w:cs="Arial" w:eastAsia="Arial" w:hAnsi="Arial"/>
          <w:sz w:val="17"/>
          <w:szCs w:val="17"/>
          <w:color w:val="355A89"/>
        </w:rPr>
      </w:pPr>
    </w:p>
    <w:p>
      <w:pPr>
        <w:ind w:left="252" w:hanging="252"/>
        <w:spacing w:after="0" w:line="244" w:lineRule="auto"/>
        <w:tabs>
          <w:tab w:leader="none" w:pos="230" w:val="left"/>
        </w:tabs>
        <w:numPr>
          <w:ilvl w:val="0"/>
          <w:numId w:val="128"/>
        </w:numPr>
        <w:rPr>
          <w:rFonts w:ascii="Arial" w:cs="Arial" w:eastAsia="Arial" w:hAnsi="Arial"/>
          <w:sz w:val="17"/>
          <w:szCs w:val="17"/>
          <w:color w:val="355A89"/>
        </w:rPr>
      </w:pPr>
      <w:r>
        <w:rPr>
          <w:rFonts w:ascii="Arial" w:cs="Arial" w:eastAsia="Arial" w:hAnsi="Arial"/>
          <w:sz w:val="18"/>
          <w:szCs w:val="18"/>
          <w:color w:val="auto"/>
        </w:rPr>
        <w:t>Acceleration of all unvested equity awards (other than annual performance-based awards)</w:t>
      </w:r>
    </w:p>
    <w:p>
      <w:pPr>
        <w:spacing w:after="0" w:line="57" w:lineRule="exact"/>
        <w:rPr>
          <w:rFonts w:ascii="Arial" w:cs="Arial" w:eastAsia="Arial" w:hAnsi="Arial"/>
          <w:sz w:val="17"/>
          <w:szCs w:val="17"/>
          <w:color w:val="355A89"/>
        </w:rPr>
      </w:pPr>
    </w:p>
    <w:p>
      <w:pPr>
        <w:ind w:left="232" w:hanging="232"/>
        <w:spacing w:after="0"/>
        <w:tabs>
          <w:tab w:leader="none" w:pos="232" w:val="left"/>
        </w:tabs>
        <w:numPr>
          <w:ilvl w:val="0"/>
          <w:numId w:val="128"/>
        </w:numPr>
        <w:rPr>
          <w:rFonts w:ascii="Arial" w:cs="Arial" w:eastAsia="Arial" w:hAnsi="Arial"/>
          <w:sz w:val="17"/>
          <w:szCs w:val="17"/>
          <w:color w:val="355A89"/>
        </w:rPr>
      </w:pPr>
      <w:r>
        <w:rPr>
          <w:rFonts w:ascii="Arial" w:cs="Arial" w:eastAsia="Arial" w:hAnsi="Arial"/>
          <w:sz w:val="18"/>
          <w:szCs w:val="18"/>
          <w:color w:val="auto"/>
        </w:rPr>
        <w:t>Option exercise period extended to</w:t>
      </w:r>
    </w:p>
    <w:p>
      <w:pPr>
        <w:spacing w:after="0" w:line="9" w:lineRule="exact"/>
        <w:rPr>
          <w:sz w:val="20"/>
          <w:szCs w:val="20"/>
          <w:color w:val="auto"/>
        </w:rPr>
      </w:pPr>
    </w:p>
    <w:p>
      <w:pPr>
        <w:ind w:left="252" w:right="900"/>
        <w:spacing w:after="0" w:line="201" w:lineRule="auto"/>
        <w:rPr>
          <w:sz w:val="20"/>
          <w:szCs w:val="20"/>
          <w:color w:val="auto"/>
        </w:rPr>
      </w:pPr>
      <w:r>
        <w:rPr>
          <w:rFonts w:ascii="Arial" w:cs="Arial" w:eastAsia="Arial" w:hAnsi="Arial"/>
          <w:sz w:val="18"/>
          <w:szCs w:val="18"/>
          <w:color w:val="auto"/>
        </w:rPr>
        <w:t>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61" w:lineRule="exact"/>
        <w:rPr>
          <w:sz w:val="20"/>
          <w:szCs w:val="20"/>
          <w:color w:val="auto"/>
        </w:rPr>
      </w:pPr>
    </w:p>
    <w:p>
      <w:pPr>
        <w:ind w:left="252" w:right="480" w:hanging="252"/>
        <w:spacing w:after="0" w:line="254" w:lineRule="auto"/>
        <w:tabs>
          <w:tab w:leader="none" w:pos="230" w:val="left"/>
        </w:tabs>
        <w:numPr>
          <w:ilvl w:val="0"/>
          <w:numId w:val="129"/>
        </w:numPr>
        <w:rPr>
          <w:rFonts w:ascii="Arial" w:cs="Arial" w:eastAsia="Arial" w:hAnsi="Arial"/>
          <w:sz w:val="17"/>
          <w:szCs w:val="17"/>
          <w:color w:val="355A89"/>
        </w:rPr>
      </w:pPr>
      <w:r>
        <w:rPr>
          <w:rFonts w:ascii="Arial" w:cs="Arial" w:eastAsia="Arial" w:hAnsi="Arial"/>
          <w:sz w:val="18"/>
          <w:szCs w:val="18"/>
          <w:color w:val="auto"/>
        </w:rPr>
        <w:t>24 months of benefit continuation / payments</w:t>
      </w:r>
    </w:p>
    <w:p>
      <w:pPr>
        <w:spacing w:after="0" w:line="60" w:lineRule="exact"/>
        <w:rPr>
          <w:rFonts w:ascii="Arial" w:cs="Arial" w:eastAsia="Arial" w:hAnsi="Arial"/>
          <w:sz w:val="17"/>
          <w:szCs w:val="17"/>
          <w:color w:val="355A89"/>
        </w:rPr>
      </w:pPr>
    </w:p>
    <w:p>
      <w:pPr>
        <w:ind w:left="232" w:hanging="232"/>
        <w:spacing w:after="0"/>
        <w:tabs>
          <w:tab w:leader="none" w:pos="232" w:val="left"/>
        </w:tabs>
        <w:numPr>
          <w:ilvl w:val="0"/>
          <w:numId w:val="129"/>
        </w:numPr>
        <w:rPr>
          <w:rFonts w:ascii="Arial" w:cs="Arial" w:eastAsia="Arial" w:hAnsi="Arial"/>
          <w:sz w:val="17"/>
          <w:szCs w:val="17"/>
          <w:color w:val="355A89"/>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95250</wp:posOffset>
            </wp:positionV>
            <wp:extent cx="23317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317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355A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27305</wp:posOffset>
            </wp:positionV>
            <wp:extent cx="227139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71395" cy="17145"/>
                    </a:xfrm>
                    <a:prstGeom prst="rect">
                      <a:avLst/>
                    </a:prstGeom>
                    <a:noFill/>
                  </pic:spPr>
                </pic:pic>
              </a:graphicData>
            </a:graphic>
          </wp:anchor>
        </w:drawing>
      </w:r>
    </w:p>
    <w:p>
      <w:pPr>
        <w:spacing w:after="0" w:line="80" w:lineRule="exact"/>
        <w:rPr>
          <w:sz w:val="20"/>
          <w:szCs w:val="20"/>
          <w:color w:val="auto"/>
        </w:rPr>
      </w:pPr>
    </w:p>
    <w:p>
      <w:pPr>
        <w:ind w:left="260" w:right="40" w:hanging="258"/>
        <w:spacing w:after="0" w:line="312" w:lineRule="auto"/>
        <w:tabs>
          <w:tab w:leader="none" w:pos="237" w:val="left"/>
        </w:tabs>
        <w:numPr>
          <w:ilvl w:val="0"/>
          <w:numId w:val="130"/>
        </w:numPr>
        <w:rPr>
          <w:rFonts w:ascii="Arial" w:cs="Arial" w:eastAsia="Arial" w:hAnsi="Arial"/>
          <w:sz w:val="16"/>
          <w:szCs w:val="16"/>
          <w:color w:val="355A89"/>
        </w:rPr>
      </w:pPr>
      <w:r>
        <w:rPr>
          <w:rFonts w:ascii="Arial" w:cs="Arial" w:eastAsia="Arial" w:hAnsi="Arial"/>
          <w:sz w:val="16"/>
          <w:szCs w:val="16"/>
          <w:color w:val="auto"/>
        </w:rPr>
        <w:t>2x the sum of base salary and average annual bonus for prior two years</w:t>
      </w:r>
    </w:p>
    <w:p>
      <w:pPr>
        <w:spacing w:after="0" w:line="7" w:lineRule="exact"/>
        <w:rPr>
          <w:rFonts w:ascii="Arial" w:cs="Arial" w:eastAsia="Arial" w:hAnsi="Arial"/>
          <w:sz w:val="16"/>
          <w:szCs w:val="16"/>
          <w:color w:val="355A89"/>
        </w:rPr>
      </w:pPr>
    </w:p>
    <w:p>
      <w:pPr>
        <w:ind w:left="260" w:right="120" w:hanging="258"/>
        <w:spacing w:after="0" w:line="241" w:lineRule="auto"/>
        <w:tabs>
          <w:tab w:leader="none" w:pos="237" w:val="left"/>
        </w:tabs>
        <w:numPr>
          <w:ilvl w:val="0"/>
          <w:numId w:val="130"/>
        </w:numPr>
        <w:rPr>
          <w:rFonts w:ascii="Arial" w:cs="Arial" w:eastAsia="Arial" w:hAnsi="Arial"/>
          <w:sz w:val="17"/>
          <w:szCs w:val="17"/>
          <w:color w:val="355A89"/>
        </w:rPr>
      </w:pPr>
      <w:r>
        <w:rPr>
          <w:rFonts w:ascii="Arial" w:cs="Arial" w:eastAsia="Arial" w:hAnsi="Arial"/>
          <w:sz w:val="18"/>
          <w:szCs w:val="18"/>
          <w:color w:val="auto"/>
        </w:rPr>
        <w:t>The target value of the annual time-based equity awards to be granted in January 2020 and 2021, to the extent not yet granted</w:t>
      </w:r>
    </w:p>
    <w:p>
      <w:pPr>
        <w:spacing w:after="0" w:line="73" w:lineRule="exact"/>
        <w:rPr>
          <w:rFonts w:ascii="Arial" w:cs="Arial" w:eastAsia="Arial" w:hAnsi="Arial"/>
          <w:sz w:val="17"/>
          <w:szCs w:val="17"/>
          <w:color w:val="355A89"/>
        </w:rPr>
      </w:pPr>
    </w:p>
    <w:p>
      <w:pPr>
        <w:ind w:left="240" w:hanging="238"/>
        <w:spacing w:after="0"/>
        <w:tabs>
          <w:tab w:leader="none" w:pos="240" w:val="left"/>
        </w:tabs>
        <w:numPr>
          <w:ilvl w:val="0"/>
          <w:numId w:val="130"/>
        </w:numPr>
        <w:rPr>
          <w:rFonts w:ascii="Arial" w:cs="Arial" w:eastAsia="Arial" w:hAnsi="Arial"/>
          <w:sz w:val="17"/>
          <w:szCs w:val="17"/>
          <w:color w:val="355A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A89"/>
        </w:rPr>
      </w:pPr>
    </w:p>
    <w:p>
      <w:pPr>
        <w:ind w:left="260" w:right="480" w:hanging="258"/>
        <w:spacing w:after="0" w:line="254" w:lineRule="auto"/>
        <w:tabs>
          <w:tab w:leader="none" w:pos="237" w:val="left"/>
        </w:tabs>
        <w:numPr>
          <w:ilvl w:val="0"/>
          <w:numId w:val="130"/>
        </w:numPr>
        <w:rPr>
          <w:rFonts w:ascii="Arial" w:cs="Arial" w:eastAsia="Arial" w:hAnsi="Arial"/>
          <w:sz w:val="17"/>
          <w:szCs w:val="17"/>
          <w:color w:val="355A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A89"/>
        </w:rPr>
      </w:pPr>
    </w:p>
    <w:p>
      <w:pPr>
        <w:ind w:left="240" w:hanging="238"/>
        <w:spacing w:after="0"/>
        <w:tabs>
          <w:tab w:leader="none" w:pos="240" w:val="left"/>
        </w:tabs>
        <w:numPr>
          <w:ilvl w:val="0"/>
          <w:numId w:val="130"/>
        </w:numPr>
        <w:rPr>
          <w:rFonts w:ascii="Arial" w:cs="Arial" w:eastAsia="Arial" w:hAnsi="Arial"/>
          <w:sz w:val="17"/>
          <w:szCs w:val="17"/>
          <w:color w:val="355A89"/>
        </w:rPr>
      </w:pPr>
      <w:r>
        <w:rPr>
          <w:rFonts w:ascii="Arial" w:cs="Arial" w:eastAsia="Arial" w:hAnsi="Arial"/>
          <w:sz w:val="18"/>
          <w:szCs w:val="18"/>
          <w:color w:val="auto"/>
        </w:rPr>
        <w:t>Class O LTIP unit/option exercise</w:t>
      </w:r>
    </w:p>
    <w:p>
      <w:pPr>
        <w:spacing w:after="0" w:line="9" w:lineRule="exact"/>
        <w:rPr>
          <w:sz w:val="20"/>
          <w:szCs w:val="20"/>
          <w:color w:val="auto"/>
        </w:rPr>
      </w:pPr>
    </w:p>
    <w:p>
      <w:pPr>
        <w:ind w:left="260" w:right="40"/>
        <w:spacing w:after="0" w:line="201" w:lineRule="auto"/>
        <w:rPr>
          <w:sz w:val="20"/>
          <w:szCs w:val="20"/>
          <w:color w:val="auto"/>
        </w:rPr>
      </w:pPr>
      <w:r>
        <w:rPr>
          <w:rFonts w:ascii="Arial" w:cs="Arial" w:eastAsia="Arial" w:hAnsi="Arial"/>
          <w:sz w:val="18"/>
          <w:szCs w:val="18"/>
          <w:color w:val="auto"/>
        </w:rPr>
        <w:t>period 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74" w:lineRule="exact"/>
        <w:rPr>
          <w:sz w:val="20"/>
          <w:szCs w:val="20"/>
          <w:color w:val="auto"/>
        </w:rPr>
      </w:pPr>
    </w:p>
    <w:p>
      <w:pPr>
        <w:ind w:left="260" w:right="480" w:hanging="258"/>
        <w:spacing w:after="0" w:line="254" w:lineRule="auto"/>
        <w:tabs>
          <w:tab w:leader="none" w:pos="237" w:val="left"/>
        </w:tabs>
        <w:numPr>
          <w:ilvl w:val="0"/>
          <w:numId w:val="131"/>
        </w:numPr>
        <w:rPr>
          <w:rFonts w:ascii="Arial" w:cs="Arial" w:eastAsia="Arial" w:hAnsi="Arial"/>
          <w:sz w:val="17"/>
          <w:szCs w:val="17"/>
          <w:color w:val="355A89"/>
        </w:rPr>
      </w:pPr>
      <w:r>
        <w:rPr>
          <w:rFonts w:ascii="Arial" w:cs="Arial" w:eastAsia="Arial" w:hAnsi="Arial"/>
          <w:sz w:val="18"/>
          <w:szCs w:val="18"/>
          <w:color w:val="auto"/>
        </w:rPr>
        <w:t>24 months of benefit continuation payments</w:t>
      </w:r>
    </w:p>
    <w:p>
      <w:pPr>
        <w:spacing w:after="0" w:line="47" w:lineRule="exact"/>
        <w:rPr>
          <w:rFonts w:ascii="Arial" w:cs="Arial" w:eastAsia="Arial" w:hAnsi="Arial"/>
          <w:sz w:val="17"/>
          <w:szCs w:val="17"/>
          <w:color w:val="355A89"/>
        </w:rPr>
      </w:pPr>
    </w:p>
    <w:p>
      <w:pPr>
        <w:ind w:left="240" w:hanging="238"/>
        <w:spacing w:after="0"/>
        <w:tabs>
          <w:tab w:leader="none" w:pos="240" w:val="left"/>
        </w:tabs>
        <w:numPr>
          <w:ilvl w:val="0"/>
          <w:numId w:val="131"/>
        </w:numPr>
        <w:rPr>
          <w:rFonts w:ascii="Arial" w:cs="Arial" w:eastAsia="Arial" w:hAnsi="Arial"/>
          <w:sz w:val="17"/>
          <w:szCs w:val="17"/>
          <w:color w:val="355A89"/>
        </w:rPr>
      </w:pPr>
      <w:r>
        <w:rPr>
          <w:rFonts w:ascii="Arial" w:cs="Arial" w:eastAsia="Arial" w:hAnsi="Arial"/>
          <w:sz w:val="18"/>
          <w:szCs w:val="18"/>
          <w:color w:val="auto"/>
        </w:rPr>
        <w:t>Section 280G modified cut-back</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-33020</wp:posOffset>
            </wp:positionV>
            <wp:extent cx="227139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271395" cy="1714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3">
            <w:col w:w="3660" w:space="448"/>
            <w:col w:w="3392" w:space="440"/>
            <w:col w:w="3300"/>
          </w:cols>
          <w:pgMar w:left="320" w:top="121" w:right="339" w:bottom="1440" w:gutter="0" w:footer="0" w:header="0"/>
          <w:type w:val="continuous"/>
        </w:sect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355A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175704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57045"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Death/Disability</w:t>
      </w:r>
      <w:r>
        <w:rPr>
          <w:rFonts w:ascii="Arial" w:cs="Arial" w:eastAsia="Arial" w:hAnsi="Arial"/>
          <w:sz w:val="29"/>
          <w:szCs w:val="29"/>
          <w:b w:val="1"/>
          <w:bCs w:val="1"/>
          <w:color w:val="auto"/>
          <w:vertAlign w:val="superscript"/>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80"/>
        <w:spacing w:after="0"/>
        <w:tabs>
          <w:tab w:leader="none" w:pos="3620" w:val="left"/>
          <w:tab w:leader="none" w:pos="6380" w:val="left"/>
        </w:tabs>
        <w:rPr>
          <w:sz w:val="20"/>
          <w:szCs w:val="20"/>
          <w:color w:val="auto"/>
        </w:rPr>
      </w:pPr>
      <w:r>
        <w:rPr>
          <w:rFonts w:ascii="Arial" w:cs="Arial" w:eastAsia="Arial" w:hAnsi="Arial"/>
          <w:sz w:val="13"/>
          <w:szCs w:val="13"/>
          <w:b w:val="1"/>
          <w:bCs w:val="1"/>
          <w:color w:val="355A89"/>
        </w:rPr>
        <w:t>Marc Holliday</w:t>
      </w:r>
      <w:r>
        <w:rPr>
          <w:sz w:val="20"/>
          <w:szCs w:val="20"/>
          <w:color w:val="auto"/>
        </w:rPr>
        <w:tab/>
      </w:r>
      <w:r>
        <w:rPr>
          <w:rFonts w:ascii="Arial" w:cs="Arial" w:eastAsia="Arial" w:hAnsi="Arial"/>
          <w:sz w:val="13"/>
          <w:szCs w:val="13"/>
          <w:b w:val="1"/>
          <w:bCs w:val="1"/>
          <w:color w:val="355A89"/>
        </w:rPr>
        <w:t>Andrew Mathias</w:t>
      </w:r>
      <w:r>
        <w:rPr>
          <w:sz w:val="20"/>
          <w:szCs w:val="20"/>
          <w:color w:val="auto"/>
        </w:rPr>
        <w:tab/>
      </w:r>
      <w:r>
        <w:rPr>
          <w:rFonts w:ascii="Arial" w:cs="Arial" w:eastAsia="Arial" w:hAnsi="Arial"/>
          <w:sz w:val="13"/>
          <w:szCs w:val="13"/>
          <w:b w:val="1"/>
          <w:bCs w:val="1"/>
          <w:color w:val="355A89"/>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527177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8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If the executive’s employment is terminated by us upon death or disability during the term, the executive will be entitled to the following payments or benefits, subject (in the case of disability) to the effectiveness of a mutual release:</w:t>
      </w:r>
    </w:p>
    <w:p>
      <w:pPr>
        <w:spacing w:after="0" w:line="200" w:lineRule="exact"/>
        <w:rPr>
          <w:sz w:val="20"/>
          <w:szCs w:val="20"/>
          <w:color w:val="auto"/>
        </w:rPr>
      </w:pPr>
    </w:p>
    <w:p>
      <w:pPr>
        <w:sectPr>
          <w:pgSz w:w="11900" w:h="16838" w:orient="portrait"/>
          <w:cols w:equalWidth="0" w:num="2">
            <w:col w:w="2460" w:space="480"/>
            <w:col w:w="8300"/>
          </w:cols>
          <w:pgMar w:left="320" w:top="121" w:right="339" w:bottom="1440" w:gutter="0" w:footer="0" w:header="0"/>
        </w:sectPr>
      </w:pPr>
    </w:p>
    <w:p>
      <w:pPr>
        <w:spacing w:after="0" w:line="15" w:lineRule="exact"/>
        <w:rPr>
          <w:sz w:val="20"/>
          <w:szCs w:val="20"/>
          <w:color w:val="auto"/>
        </w:rPr>
      </w:pPr>
    </w:p>
    <w:p>
      <w:pPr>
        <w:ind w:left="4800"/>
        <w:spacing w:after="0"/>
        <w:tabs>
          <w:tab w:leader="none" w:pos="8900" w:val="left"/>
        </w:tabs>
        <w:rPr>
          <w:sz w:val="20"/>
          <w:szCs w:val="20"/>
          <w:color w:val="auto"/>
        </w:rPr>
      </w:pPr>
      <w:r>
        <w:rPr>
          <w:rFonts w:ascii="Arial" w:cs="Arial" w:eastAsia="Arial" w:hAnsi="Arial"/>
          <w:sz w:val="13"/>
          <w:szCs w:val="13"/>
          <w:b w:val="1"/>
          <w:bCs w:val="1"/>
          <w:color w:val="355A89"/>
        </w:rPr>
        <w:t>Death</w:t>
      </w:r>
      <w:r>
        <w:rPr>
          <w:sz w:val="20"/>
          <w:szCs w:val="20"/>
          <w:color w:val="auto"/>
        </w:rPr>
        <w:tab/>
      </w:r>
      <w:r>
        <w:rPr>
          <w:rFonts w:ascii="Arial" w:cs="Arial" w:eastAsia="Arial" w:hAnsi="Arial"/>
          <w:sz w:val="13"/>
          <w:szCs w:val="13"/>
          <w:b w:val="1"/>
          <w:bCs w:val="1"/>
          <w:color w:val="355A89"/>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27305</wp:posOffset>
            </wp:positionV>
            <wp:extent cx="527177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00" w:lineRule="exact"/>
        <w:rPr>
          <w:sz w:val="20"/>
          <w:szCs w:val="20"/>
          <w:color w:val="auto"/>
        </w:rPr>
      </w:pPr>
    </w:p>
    <w:p>
      <w:pPr>
        <w:ind w:left="3460" w:hanging="243"/>
        <w:spacing w:after="0"/>
        <w:tabs>
          <w:tab w:leader="none" w:pos="3460" w:val="left"/>
        </w:tabs>
        <w:numPr>
          <w:ilvl w:val="0"/>
          <w:numId w:val="132"/>
        </w:numPr>
        <w:rPr>
          <w:rFonts w:ascii="Arial" w:cs="Arial" w:eastAsia="Arial" w:hAnsi="Arial"/>
          <w:sz w:val="17"/>
          <w:szCs w:val="17"/>
          <w:color w:val="355A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A89"/>
        </w:rPr>
      </w:pPr>
    </w:p>
    <w:p>
      <w:pPr>
        <w:ind w:left="3480" w:right="380" w:hanging="263"/>
        <w:spacing w:after="0" w:line="290" w:lineRule="auto"/>
        <w:tabs>
          <w:tab w:leader="none" w:pos="3457" w:val="left"/>
        </w:tabs>
        <w:numPr>
          <w:ilvl w:val="0"/>
          <w:numId w:val="132"/>
        </w:numPr>
        <w:rPr>
          <w:rFonts w:ascii="Arial" w:cs="Arial" w:eastAsia="Arial" w:hAnsi="Arial"/>
          <w:sz w:val="16"/>
          <w:szCs w:val="16"/>
          <w:color w:val="355A89"/>
        </w:rPr>
      </w:pPr>
      <w:r>
        <w:rPr>
          <w:rFonts w:ascii="Arial" w:cs="Arial" w:eastAsia="Arial" w:hAnsi="Arial"/>
          <w:sz w:val="16"/>
          <w:szCs w:val="16"/>
          <w:color w:val="auto"/>
        </w:rPr>
        <w:t>Pro-rated target value of the annual time-based equity awards (for Levine upon termination prior to January 2021 grant)</w:t>
      </w:r>
    </w:p>
    <w:p>
      <w:pPr>
        <w:spacing w:after="0" w:line="35" w:lineRule="exact"/>
        <w:rPr>
          <w:rFonts w:ascii="Arial" w:cs="Arial" w:eastAsia="Arial" w:hAnsi="Arial"/>
          <w:sz w:val="16"/>
          <w:szCs w:val="16"/>
          <w:color w:val="355A89"/>
        </w:rPr>
      </w:pPr>
    </w:p>
    <w:p>
      <w:pPr>
        <w:ind w:left="3480" w:hanging="263"/>
        <w:spacing w:after="0" w:line="254" w:lineRule="auto"/>
        <w:tabs>
          <w:tab w:leader="none" w:pos="3457" w:val="left"/>
        </w:tabs>
        <w:numPr>
          <w:ilvl w:val="0"/>
          <w:numId w:val="132"/>
        </w:numPr>
        <w:rPr>
          <w:rFonts w:ascii="Arial" w:cs="Arial" w:eastAsia="Arial" w:hAnsi="Arial"/>
          <w:sz w:val="17"/>
          <w:szCs w:val="17"/>
          <w:color w:val="355A89"/>
        </w:rPr>
      </w:pPr>
      <w:r>
        <w:rPr>
          <w:rFonts w:ascii="Arial" w:cs="Arial" w:eastAsia="Arial" w:hAnsi="Arial"/>
          <w:sz w:val="18"/>
          <w:szCs w:val="18"/>
          <w:color w:val="auto"/>
        </w:rPr>
        <w:t>Acceleration of all unvested time-based equity awards</w:t>
      </w:r>
    </w:p>
    <w:p>
      <w:pPr>
        <w:spacing w:after="0" w:line="47" w:lineRule="exact"/>
        <w:rPr>
          <w:rFonts w:ascii="Arial" w:cs="Arial" w:eastAsia="Arial" w:hAnsi="Arial"/>
          <w:sz w:val="17"/>
          <w:szCs w:val="17"/>
          <w:color w:val="355A89"/>
        </w:rPr>
      </w:pPr>
    </w:p>
    <w:p>
      <w:pPr>
        <w:ind w:left="3460" w:hanging="243"/>
        <w:spacing w:after="0"/>
        <w:tabs>
          <w:tab w:leader="none" w:pos="3460" w:val="left"/>
        </w:tabs>
        <w:numPr>
          <w:ilvl w:val="0"/>
          <w:numId w:val="132"/>
        </w:numPr>
        <w:rPr>
          <w:rFonts w:ascii="Arial" w:cs="Arial" w:eastAsia="Arial" w:hAnsi="Arial"/>
          <w:sz w:val="17"/>
          <w:szCs w:val="17"/>
          <w:color w:val="355A89"/>
        </w:rPr>
      </w:pPr>
      <w:r>
        <w:rPr>
          <w:rFonts w:ascii="Arial" w:cs="Arial" w:eastAsia="Arial" w:hAnsi="Arial"/>
          <w:sz w:val="18"/>
          <w:szCs w:val="18"/>
          <w:color w:val="auto"/>
        </w:rPr>
        <w:t>Class O LTIP unit/option exercise period</w:t>
      </w:r>
    </w:p>
    <w:p>
      <w:pPr>
        <w:ind w:left="3480"/>
        <w:spacing w:after="0" w:line="18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termination</w:t>
      </w:r>
    </w:p>
    <w:p>
      <w:pPr>
        <w:spacing w:after="0" w:line="63" w:lineRule="exact"/>
        <w:rPr>
          <w:sz w:val="20"/>
          <w:szCs w:val="20"/>
          <w:color w:val="auto"/>
        </w:rPr>
      </w:pPr>
    </w:p>
    <w:p>
      <w:pPr>
        <w:ind w:left="3480" w:hanging="263"/>
        <w:spacing w:after="0" w:line="254" w:lineRule="auto"/>
        <w:tabs>
          <w:tab w:leader="none" w:pos="3457" w:val="left"/>
        </w:tabs>
        <w:numPr>
          <w:ilvl w:val="0"/>
          <w:numId w:val="133"/>
        </w:numPr>
        <w:rPr>
          <w:rFonts w:ascii="Arial" w:cs="Arial" w:eastAsia="Arial" w:hAnsi="Arial"/>
          <w:sz w:val="17"/>
          <w:szCs w:val="17"/>
          <w:color w:val="355A89"/>
        </w:rPr>
      </w:pPr>
      <w:r>
        <w:rPr>
          <w:rFonts w:ascii="Arial" w:cs="Arial" w:eastAsia="Arial" w:hAnsi="Arial"/>
          <w:sz w:val="18"/>
          <w:szCs w:val="18"/>
          <w:color w:val="auto"/>
        </w:rPr>
        <w:t>Payments/benefits to Mr. Holliday are reduced by life insurance benefit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64" w:right="160" w:hanging="264"/>
        <w:spacing w:after="0" w:line="241" w:lineRule="auto"/>
        <w:tabs>
          <w:tab w:leader="none" w:pos="241" w:val="left"/>
        </w:tabs>
        <w:numPr>
          <w:ilvl w:val="0"/>
          <w:numId w:val="134"/>
        </w:numPr>
        <w:rPr>
          <w:rFonts w:ascii="Arial" w:cs="Arial" w:eastAsia="Arial" w:hAnsi="Arial"/>
          <w:sz w:val="17"/>
          <w:szCs w:val="17"/>
          <w:color w:val="355A89"/>
        </w:rPr>
      </w:pPr>
      <w:r>
        <w:rPr>
          <w:rFonts w:ascii="Arial" w:cs="Arial" w:eastAsia="Arial" w:hAnsi="Arial"/>
          <w:sz w:val="18"/>
          <w:szCs w:val="18"/>
          <w:color w:val="auto"/>
        </w:rPr>
        <w:t>1x the sum of base salary, maximum formulaic bonus and target value of annual time-based equity award (for Holliday and Mathias)</w:t>
      </w:r>
    </w:p>
    <w:p>
      <w:pPr>
        <w:spacing w:after="0" w:line="59" w:lineRule="exact"/>
        <w:rPr>
          <w:rFonts w:ascii="Arial" w:cs="Arial" w:eastAsia="Arial" w:hAnsi="Arial"/>
          <w:sz w:val="17"/>
          <w:szCs w:val="17"/>
          <w:color w:val="355A89"/>
        </w:rPr>
      </w:pPr>
    </w:p>
    <w:p>
      <w:pPr>
        <w:ind w:left="264" w:right="40" w:hanging="264"/>
        <w:spacing w:after="0" w:line="316" w:lineRule="auto"/>
        <w:tabs>
          <w:tab w:leader="none" w:pos="241" w:val="left"/>
        </w:tabs>
        <w:numPr>
          <w:ilvl w:val="0"/>
          <w:numId w:val="134"/>
        </w:numPr>
        <w:rPr>
          <w:rFonts w:ascii="Arial" w:cs="Arial" w:eastAsia="Arial" w:hAnsi="Arial"/>
          <w:sz w:val="16"/>
          <w:szCs w:val="16"/>
          <w:color w:val="355A89"/>
        </w:rPr>
      </w:pPr>
      <w:r>
        <w:rPr>
          <w:rFonts w:ascii="Arial" w:cs="Arial" w:eastAsia="Arial" w:hAnsi="Arial"/>
          <w:sz w:val="16"/>
          <w:szCs w:val="16"/>
          <w:color w:val="auto"/>
        </w:rPr>
        <w:t>1x the sum of base salary and average annual bonus for prior two years (for Levine)</w:t>
      </w:r>
    </w:p>
    <w:p>
      <w:pPr>
        <w:spacing w:after="0" w:line="15" w:lineRule="exact"/>
        <w:rPr>
          <w:rFonts w:ascii="Arial" w:cs="Arial" w:eastAsia="Arial" w:hAnsi="Arial"/>
          <w:sz w:val="16"/>
          <w:szCs w:val="16"/>
          <w:color w:val="355A89"/>
        </w:rPr>
      </w:pPr>
    </w:p>
    <w:p>
      <w:pPr>
        <w:ind w:left="244" w:hanging="244"/>
        <w:spacing w:after="0"/>
        <w:tabs>
          <w:tab w:leader="none" w:pos="244" w:val="left"/>
        </w:tabs>
        <w:numPr>
          <w:ilvl w:val="0"/>
          <w:numId w:val="134"/>
        </w:numPr>
        <w:rPr>
          <w:rFonts w:ascii="Arial" w:cs="Arial" w:eastAsia="Arial" w:hAnsi="Arial"/>
          <w:sz w:val="17"/>
          <w:szCs w:val="17"/>
          <w:color w:val="355A89"/>
        </w:rPr>
      </w:pPr>
      <w:r>
        <w:rPr>
          <w:rFonts w:ascii="Arial" w:cs="Arial" w:eastAsia="Arial" w:hAnsi="Arial"/>
          <w:sz w:val="18"/>
          <w:szCs w:val="18"/>
          <w:color w:val="auto"/>
        </w:rPr>
        <w:t>Pro-rata bonus for partial year</w:t>
      </w:r>
    </w:p>
    <w:p>
      <w:pPr>
        <w:spacing w:after="0" w:line="76" w:lineRule="exact"/>
        <w:rPr>
          <w:rFonts w:ascii="Arial" w:cs="Arial" w:eastAsia="Arial" w:hAnsi="Arial"/>
          <w:sz w:val="17"/>
          <w:szCs w:val="17"/>
          <w:color w:val="355A89"/>
        </w:rPr>
      </w:pPr>
    </w:p>
    <w:p>
      <w:pPr>
        <w:ind w:left="264" w:right="300" w:hanging="264"/>
        <w:spacing w:after="0" w:line="290" w:lineRule="auto"/>
        <w:tabs>
          <w:tab w:leader="none" w:pos="241" w:val="left"/>
        </w:tabs>
        <w:numPr>
          <w:ilvl w:val="0"/>
          <w:numId w:val="134"/>
        </w:numPr>
        <w:rPr>
          <w:rFonts w:ascii="Arial" w:cs="Arial" w:eastAsia="Arial" w:hAnsi="Arial"/>
          <w:sz w:val="16"/>
          <w:szCs w:val="16"/>
          <w:color w:val="355A89"/>
        </w:rPr>
      </w:pPr>
      <w:r>
        <w:rPr>
          <w:rFonts w:ascii="Arial" w:cs="Arial" w:eastAsia="Arial" w:hAnsi="Arial"/>
          <w:sz w:val="16"/>
          <w:szCs w:val="16"/>
          <w:color w:val="auto"/>
        </w:rPr>
        <w:t>Pro-rated target value of the annual time-based equity awards (for Levine upon termination prior to January 2021 grant)</w:t>
      </w:r>
    </w:p>
    <w:p>
      <w:pPr>
        <w:spacing w:after="0" w:line="21" w:lineRule="exact"/>
        <w:rPr>
          <w:rFonts w:ascii="Arial" w:cs="Arial" w:eastAsia="Arial" w:hAnsi="Arial"/>
          <w:sz w:val="16"/>
          <w:szCs w:val="16"/>
          <w:color w:val="355A89"/>
        </w:rPr>
      </w:pPr>
    </w:p>
    <w:p>
      <w:pPr>
        <w:ind w:left="264" w:right="220" w:hanging="264"/>
        <w:spacing w:after="0" w:line="316" w:lineRule="auto"/>
        <w:tabs>
          <w:tab w:leader="none" w:pos="241" w:val="left"/>
        </w:tabs>
        <w:numPr>
          <w:ilvl w:val="0"/>
          <w:numId w:val="134"/>
        </w:numPr>
        <w:rPr>
          <w:rFonts w:ascii="Arial" w:cs="Arial" w:eastAsia="Arial" w:hAnsi="Arial"/>
          <w:sz w:val="16"/>
          <w:szCs w:val="16"/>
          <w:color w:val="355A89"/>
        </w:rPr>
      </w:pPr>
      <w:r>
        <w:rPr>
          <w:rFonts w:ascii="Arial" w:cs="Arial" w:eastAsia="Arial" w:hAnsi="Arial"/>
          <w:sz w:val="16"/>
          <w:szCs w:val="16"/>
          <w:color w:val="auto"/>
        </w:rPr>
        <w:t>Acceleration of all unvested equity awards (other than performance-based awards)</w:t>
      </w:r>
    </w:p>
    <w:p>
      <w:pPr>
        <w:spacing w:after="0" w:line="15" w:lineRule="exact"/>
        <w:rPr>
          <w:rFonts w:ascii="Arial" w:cs="Arial" w:eastAsia="Arial" w:hAnsi="Arial"/>
          <w:sz w:val="16"/>
          <w:szCs w:val="16"/>
          <w:color w:val="355A89"/>
        </w:rPr>
      </w:pPr>
    </w:p>
    <w:p>
      <w:pPr>
        <w:ind w:left="244" w:hanging="244"/>
        <w:spacing w:after="0"/>
        <w:tabs>
          <w:tab w:leader="none" w:pos="244" w:val="left"/>
        </w:tabs>
        <w:numPr>
          <w:ilvl w:val="0"/>
          <w:numId w:val="134"/>
        </w:numPr>
        <w:rPr>
          <w:rFonts w:ascii="Arial" w:cs="Arial" w:eastAsia="Arial" w:hAnsi="Arial"/>
          <w:sz w:val="17"/>
          <w:szCs w:val="17"/>
          <w:color w:val="355A89"/>
        </w:rPr>
      </w:pPr>
      <w:r>
        <w:rPr>
          <w:rFonts w:ascii="Arial" w:cs="Arial" w:eastAsia="Arial" w:hAnsi="Arial"/>
          <w:sz w:val="18"/>
          <w:szCs w:val="18"/>
          <w:color w:val="auto"/>
        </w:rPr>
        <w:t>Class O LTIP unit / option exercise period</w:t>
      </w:r>
    </w:p>
    <w:p>
      <w:pPr>
        <w:spacing w:after="0" w:line="9" w:lineRule="exact"/>
        <w:rPr>
          <w:sz w:val="20"/>
          <w:szCs w:val="20"/>
          <w:color w:val="auto"/>
        </w:rPr>
      </w:pPr>
    </w:p>
    <w:p>
      <w:pPr>
        <w:ind w:left="264" w:right="300"/>
        <w:spacing w:after="0" w:line="201" w:lineRule="auto"/>
        <w:rPr>
          <w:sz w:val="20"/>
          <w:szCs w:val="20"/>
          <w:color w:val="auto"/>
        </w:rPr>
      </w:pPr>
      <w:r>
        <w:rPr>
          <w:rFonts w:ascii="Arial" w:cs="Arial" w:eastAsia="Arial" w:hAnsi="Arial"/>
          <w:sz w:val="18"/>
          <w:szCs w:val="18"/>
          <w:color w:val="auto"/>
        </w:rPr>
        <w:t>extended to second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termination</w:t>
      </w:r>
    </w:p>
    <w:p>
      <w:pPr>
        <w:spacing w:after="0" w:line="53" w:lineRule="exact"/>
        <w:rPr>
          <w:sz w:val="20"/>
          <w:szCs w:val="20"/>
          <w:color w:val="auto"/>
        </w:rPr>
      </w:pPr>
    </w:p>
    <w:p>
      <w:pPr>
        <w:sectPr>
          <w:pgSz w:w="11900" w:h="16838" w:orient="portrait"/>
          <w:cols w:equalWidth="0" w:num="2">
            <w:col w:w="7040" w:space="456"/>
            <w:col w:w="3744"/>
          </w:cols>
          <w:pgMar w:left="320" w:top="121" w:right="339" w:bottom="1440" w:gutter="0" w:footer="0" w:header="0"/>
          <w:type w:val="continuous"/>
        </w:sectPr>
      </w:pPr>
    </w:p>
    <w:p>
      <w:pPr>
        <w:ind w:left="7500"/>
        <w:spacing w:after="0"/>
        <w:tabs>
          <w:tab w:leader="none" w:pos="7720" w:val="left"/>
        </w:tabs>
        <w:rPr>
          <w:sz w:val="20"/>
          <w:szCs w:val="20"/>
          <w:color w:val="auto"/>
        </w:rPr>
      </w:pPr>
      <w:r>
        <w:rPr>
          <w:rFonts w:ascii="Arial" w:cs="Arial" w:eastAsia="Arial" w:hAnsi="Arial"/>
          <w:sz w:val="17"/>
          <w:szCs w:val="17"/>
          <w:color w:val="355A89"/>
        </w:rPr>
        <w:t>●</w:t>
      </w:r>
      <w:r>
        <w:rPr>
          <w:sz w:val="20"/>
          <w:szCs w:val="20"/>
          <w:color w:val="auto"/>
        </w:rPr>
        <w:tab/>
      </w:r>
      <w:r>
        <w:rPr>
          <w:rFonts w:ascii="Arial" w:cs="Arial" w:eastAsia="Arial" w:hAnsi="Arial"/>
          <w:sz w:val="16"/>
          <w:szCs w:val="16"/>
          <w:color w:val="auto"/>
        </w:rPr>
        <w:t>36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33020</wp:posOffset>
            </wp:positionV>
            <wp:extent cx="527177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71770" cy="171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355A89"/>
            </w:tcBorders>
          </w:tcPr>
          <w:p>
            <w:pPr>
              <w:spacing w:after="0"/>
              <w:rPr>
                <w:sz w:val="17"/>
                <w:szCs w:val="17"/>
                <w:color w:val="auto"/>
              </w:rPr>
            </w:pPr>
          </w:p>
        </w:tc>
        <w:tc>
          <w:tcPr>
            <w:tcW w:w="160" w:type="dxa"/>
            <w:vAlign w:val="bottom"/>
            <w:tcBorders>
              <w:bottom w:val="single" w:sz="8" w:color="355A89"/>
            </w:tcBorders>
          </w:tcPr>
          <w:p>
            <w:pPr>
              <w:spacing w:after="0"/>
              <w:rPr>
                <w:sz w:val="17"/>
                <w:szCs w:val="17"/>
                <w:color w:val="auto"/>
              </w:rPr>
            </w:pPr>
          </w:p>
        </w:tc>
        <w:tc>
          <w:tcPr>
            <w:tcW w:w="3620" w:type="dxa"/>
            <w:vAlign w:val="bottom"/>
            <w:tcBorders>
              <w:bottom w:val="single" w:sz="8" w:color="355A89"/>
            </w:tcBorders>
            <w:gridSpan w:val="3"/>
          </w:tcPr>
          <w:p>
            <w:pPr>
              <w:ind w:left="2980"/>
              <w:spacing w:after="0"/>
              <w:rPr>
                <w:sz w:val="20"/>
                <w:szCs w:val="20"/>
                <w:color w:val="auto"/>
              </w:rPr>
            </w:pPr>
            <w:r>
              <w:rPr>
                <w:rFonts w:ascii="Arial" w:cs="Arial" w:eastAsia="Arial" w:hAnsi="Arial"/>
                <w:sz w:val="13"/>
                <w:szCs w:val="13"/>
                <w:b w:val="1"/>
                <w:bCs w:val="1"/>
                <w:color w:val="355A89"/>
              </w:rPr>
              <w:t>DiLiberto</w:t>
            </w:r>
          </w:p>
        </w:tc>
        <w:tc>
          <w:tcPr>
            <w:tcW w:w="80" w:type="dxa"/>
            <w:vAlign w:val="bottom"/>
            <w:tcBorders>
              <w:bottom w:val="single" w:sz="8" w:color="355A89"/>
            </w:tcBorders>
          </w:tcPr>
          <w:p>
            <w:pPr>
              <w:spacing w:after="0"/>
              <w:rPr>
                <w:sz w:val="17"/>
                <w:szCs w:val="17"/>
                <w:color w:val="auto"/>
              </w:rPr>
            </w:pPr>
          </w:p>
        </w:tc>
        <w:tc>
          <w:tcPr>
            <w:tcW w:w="160" w:type="dxa"/>
            <w:vAlign w:val="bottom"/>
            <w:tcBorders>
              <w:bottom w:val="single" w:sz="8" w:color="355A89"/>
            </w:tcBorders>
          </w:tcPr>
          <w:p>
            <w:pPr>
              <w:spacing w:after="0"/>
              <w:rPr>
                <w:sz w:val="17"/>
                <w:szCs w:val="17"/>
                <w:color w:val="auto"/>
              </w:rPr>
            </w:pPr>
          </w:p>
        </w:tc>
        <w:tc>
          <w:tcPr>
            <w:tcW w:w="1880" w:type="dxa"/>
            <w:vAlign w:val="bottom"/>
            <w:tcBorders>
              <w:bottom w:val="single" w:sz="8" w:color="355A89"/>
            </w:tcBorders>
          </w:tcPr>
          <w:p>
            <w:pPr>
              <w:spacing w:after="0"/>
              <w:rPr>
                <w:sz w:val="17"/>
                <w:szCs w:val="17"/>
                <w:color w:val="auto"/>
              </w:rPr>
            </w:pPr>
          </w:p>
        </w:tc>
        <w:tc>
          <w:tcPr>
            <w:tcW w:w="1680" w:type="dxa"/>
            <w:vAlign w:val="bottom"/>
            <w:tcBorders>
              <w:bottom w:val="single" w:sz="8" w:color="355A89"/>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355A89"/>
            </w:tcBorders>
          </w:tcPr>
          <w:p>
            <w:pPr>
              <w:spacing w:after="0"/>
              <w:rPr>
                <w:sz w:val="18"/>
                <w:szCs w:val="18"/>
                <w:color w:val="auto"/>
              </w:rPr>
            </w:pPr>
          </w:p>
        </w:tc>
        <w:tc>
          <w:tcPr>
            <w:tcW w:w="160" w:type="dxa"/>
            <w:vAlign w:val="bottom"/>
            <w:tcBorders>
              <w:bottom w:val="single" w:sz="8" w:color="355A89"/>
            </w:tcBorders>
          </w:tcPr>
          <w:p>
            <w:pPr>
              <w:spacing w:after="0"/>
              <w:rPr>
                <w:sz w:val="18"/>
                <w:szCs w:val="18"/>
                <w:color w:val="auto"/>
              </w:rPr>
            </w:pPr>
          </w:p>
        </w:tc>
        <w:tc>
          <w:tcPr>
            <w:tcW w:w="3240" w:type="dxa"/>
            <w:vAlign w:val="bottom"/>
            <w:tcBorders>
              <w:bottom w:val="single" w:sz="8" w:color="355A89"/>
            </w:tcBorders>
          </w:tcPr>
          <w:p>
            <w:pPr>
              <w:ind w:left="980"/>
              <w:spacing w:after="0"/>
              <w:rPr>
                <w:sz w:val="20"/>
                <w:szCs w:val="20"/>
                <w:color w:val="auto"/>
              </w:rPr>
            </w:pPr>
            <w:r>
              <w:rPr>
                <w:rFonts w:ascii="Arial" w:cs="Arial" w:eastAsia="Arial" w:hAnsi="Arial"/>
                <w:sz w:val="13"/>
                <w:szCs w:val="13"/>
                <w:b w:val="1"/>
                <w:bCs w:val="1"/>
                <w:color w:val="355A89"/>
              </w:rPr>
              <w:t>Death</w:t>
            </w:r>
          </w:p>
        </w:tc>
        <w:tc>
          <w:tcPr>
            <w:tcW w:w="160" w:type="dxa"/>
            <w:vAlign w:val="bottom"/>
          </w:tcPr>
          <w:p>
            <w:pPr>
              <w:spacing w:after="0"/>
              <w:rPr>
                <w:sz w:val="18"/>
                <w:szCs w:val="18"/>
                <w:color w:val="auto"/>
              </w:rPr>
            </w:pPr>
          </w:p>
        </w:tc>
        <w:tc>
          <w:tcPr>
            <w:tcW w:w="220" w:type="dxa"/>
            <w:vAlign w:val="bottom"/>
            <w:tcBorders>
              <w:bottom w:val="single" w:sz="8" w:color="355A89"/>
            </w:tcBorders>
          </w:tcPr>
          <w:p>
            <w:pPr>
              <w:spacing w:after="0"/>
              <w:rPr>
                <w:sz w:val="18"/>
                <w:szCs w:val="18"/>
                <w:color w:val="auto"/>
              </w:rPr>
            </w:pPr>
          </w:p>
        </w:tc>
        <w:tc>
          <w:tcPr>
            <w:tcW w:w="80" w:type="dxa"/>
            <w:vAlign w:val="bottom"/>
            <w:tcBorders>
              <w:bottom w:val="single" w:sz="8" w:color="355A89"/>
            </w:tcBorders>
          </w:tcPr>
          <w:p>
            <w:pPr>
              <w:spacing w:after="0"/>
              <w:rPr>
                <w:sz w:val="18"/>
                <w:szCs w:val="18"/>
                <w:color w:val="auto"/>
              </w:rPr>
            </w:pPr>
          </w:p>
        </w:tc>
        <w:tc>
          <w:tcPr>
            <w:tcW w:w="160" w:type="dxa"/>
            <w:vAlign w:val="bottom"/>
            <w:tcBorders>
              <w:bottom w:val="single" w:sz="8" w:color="355A89"/>
            </w:tcBorders>
          </w:tcPr>
          <w:p>
            <w:pPr>
              <w:spacing w:after="0"/>
              <w:rPr>
                <w:sz w:val="18"/>
                <w:szCs w:val="18"/>
                <w:color w:val="auto"/>
              </w:rPr>
            </w:pPr>
          </w:p>
        </w:tc>
        <w:tc>
          <w:tcPr>
            <w:tcW w:w="1880" w:type="dxa"/>
            <w:vAlign w:val="bottom"/>
            <w:tcBorders>
              <w:bottom w:val="single" w:sz="8" w:color="355A89"/>
            </w:tcBorders>
          </w:tcPr>
          <w:p>
            <w:pPr>
              <w:ind w:left="1240"/>
              <w:spacing w:after="0"/>
              <w:rPr>
                <w:sz w:val="20"/>
                <w:szCs w:val="20"/>
                <w:color w:val="auto"/>
              </w:rPr>
            </w:pPr>
            <w:r>
              <w:rPr>
                <w:rFonts w:ascii="Arial" w:cs="Arial" w:eastAsia="Arial" w:hAnsi="Arial"/>
                <w:sz w:val="13"/>
                <w:szCs w:val="13"/>
                <w:b w:val="1"/>
                <w:bCs w:val="1"/>
                <w:color w:val="355A89"/>
              </w:rPr>
              <w:t>Disability</w:t>
            </w:r>
          </w:p>
        </w:tc>
        <w:tc>
          <w:tcPr>
            <w:tcW w:w="1680" w:type="dxa"/>
            <w:vAlign w:val="bottom"/>
            <w:tcBorders>
              <w:bottom w:val="single" w:sz="8" w:color="355A89"/>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5"/>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Pro-rata bonus for partial year (if termination</w:t>
            </w:r>
          </w:p>
        </w:tc>
        <w:tc>
          <w:tcPr>
            <w:tcW w:w="240" w:type="dxa"/>
            <w:vAlign w:val="bottom"/>
            <w:gridSpan w:val="2"/>
          </w:tcPr>
          <w:p>
            <w:pPr>
              <w:ind w:left="60"/>
              <w:spacing w:after="0"/>
              <w:rPr>
                <w:sz w:val="20"/>
                <w:szCs w:val="20"/>
                <w:color w:val="auto"/>
              </w:rPr>
            </w:pPr>
            <w:r>
              <w:rPr>
                <w:rFonts w:ascii="Arial" w:cs="Arial" w:eastAsia="Arial" w:hAnsi="Arial"/>
                <w:sz w:val="17"/>
                <w:szCs w:val="17"/>
                <w:color w:val="355A89"/>
              </w:rPr>
              <w:t>●</w:t>
            </w:r>
          </w:p>
        </w:tc>
        <w:tc>
          <w:tcPr>
            <w:tcW w:w="3560" w:type="dxa"/>
            <w:vAlign w:val="bottom"/>
            <w:gridSpan w:val="2"/>
          </w:tcPr>
          <w:p>
            <w:pPr>
              <w:ind w:left="60"/>
              <w:spacing w:after="0" w:line="246" w:lineRule="exact"/>
              <w:rPr>
                <w:sz w:val="20"/>
                <w:szCs w:val="20"/>
                <w:color w:val="auto"/>
              </w:rPr>
            </w:pPr>
            <w:r>
              <w:rPr>
                <w:rFonts w:ascii="Arial" w:cs="Arial" w:eastAsia="Arial" w:hAnsi="Arial"/>
                <w:sz w:val="17"/>
                <w:szCs w:val="17"/>
                <w:color w:val="auto"/>
              </w:rPr>
              <w:t>1x current annual base salary and bonus</w:t>
            </w:r>
            <w:r>
              <w:rPr>
                <w:rFonts w:ascii="Arial" w:cs="Arial" w:eastAsia="Arial" w:hAnsi="Arial"/>
                <w:sz w:val="28"/>
                <w:szCs w:val="28"/>
                <w:color w:val="auto"/>
                <w:vertAlign w:val="superscript"/>
              </w:rPr>
              <w:t>(7)</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5"/>
          </w:tcPr>
          <w:p>
            <w:pPr>
              <w:ind w:left="540"/>
              <w:spacing w:after="0" w:line="202" w:lineRule="exact"/>
              <w:rPr>
                <w:sz w:val="20"/>
                <w:szCs w:val="20"/>
                <w:color w:val="auto"/>
              </w:rPr>
            </w:pPr>
            <w:r>
              <w:rPr>
                <w:rFonts w:ascii="Arial" w:cs="Arial" w:eastAsia="Arial" w:hAnsi="Arial"/>
                <w:sz w:val="18"/>
                <w:szCs w:val="18"/>
                <w:color w:val="auto"/>
              </w:rPr>
              <w:t>prior to June 30, otherwise full amount of</w:t>
            </w:r>
          </w:p>
        </w:tc>
        <w:tc>
          <w:tcPr>
            <w:tcW w:w="240" w:type="dxa"/>
            <w:vAlign w:val="bottom"/>
            <w:gridSpan w:val="2"/>
            <w:vMerge w:val="restart"/>
          </w:tcPr>
          <w:p>
            <w:pPr>
              <w:ind w:left="60"/>
              <w:spacing w:after="0"/>
              <w:rPr>
                <w:sz w:val="20"/>
                <w:szCs w:val="20"/>
                <w:color w:val="auto"/>
              </w:rPr>
            </w:pPr>
            <w:r>
              <w:rPr>
                <w:rFonts w:ascii="Arial" w:cs="Arial" w:eastAsia="Arial" w:hAnsi="Arial"/>
                <w:sz w:val="17"/>
                <w:szCs w:val="17"/>
                <w:color w:val="355A89"/>
              </w:rPr>
              <w:t>●</w:t>
            </w:r>
          </w:p>
        </w:tc>
        <w:tc>
          <w:tcPr>
            <w:tcW w:w="356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Pro-rata bonus for partial year (if termination</w:t>
            </w: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500" w:type="dxa"/>
            <w:vAlign w:val="bottom"/>
            <w:gridSpan w:val="5"/>
            <w:vMerge w:val="restart"/>
          </w:tcPr>
          <w:p>
            <w:pPr>
              <w:ind w:left="540"/>
              <w:spacing w:after="0" w:line="281" w:lineRule="exact"/>
              <w:rPr>
                <w:sz w:val="20"/>
                <w:szCs w:val="20"/>
                <w:color w:val="auto"/>
              </w:rPr>
            </w:pPr>
            <w:r>
              <w:rPr>
                <w:rFonts w:ascii="Arial" w:cs="Arial" w:eastAsia="Arial" w:hAnsi="Arial"/>
                <w:sz w:val="18"/>
                <w:szCs w:val="18"/>
                <w:color w:val="auto"/>
              </w:rPr>
              <w:t>average annual bonus)</w:t>
            </w:r>
            <w:r>
              <w:rPr>
                <w:rFonts w:ascii="Arial" w:cs="Arial" w:eastAsia="Arial" w:hAnsi="Arial"/>
                <w:sz w:val="29"/>
                <w:szCs w:val="29"/>
                <w:color w:val="auto"/>
                <w:vertAlign w:val="superscript"/>
              </w:rPr>
              <w:t>(8)</w:t>
            </w:r>
          </w:p>
        </w:tc>
        <w:tc>
          <w:tcPr>
            <w:tcW w:w="240" w:type="dxa"/>
            <w:vAlign w:val="bottom"/>
            <w:gridSpan w:val="2"/>
            <w:vMerge w:val="continue"/>
          </w:tcPr>
          <w:p>
            <w:pPr>
              <w:spacing w:after="0"/>
              <w:rPr>
                <w:sz w:val="10"/>
                <w:szCs w:val="10"/>
                <w:color w:val="auto"/>
              </w:rPr>
            </w:pPr>
          </w:p>
        </w:tc>
        <w:tc>
          <w:tcPr>
            <w:tcW w:w="3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gridSpan w:val="2"/>
            <w:vMerge w:val="restart"/>
          </w:tcPr>
          <w:p>
            <w:pPr>
              <w:ind w:left="80"/>
              <w:spacing w:after="0"/>
              <w:rPr>
                <w:sz w:val="20"/>
                <w:szCs w:val="20"/>
                <w:color w:val="auto"/>
              </w:rPr>
            </w:pPr>
            <w:r>
              <w:rPr>
                <w:rFonts w:ascii="Arial" w:cs="Arial" w:eastAsia="Arial" w:hAnsi="Arial"/>
                <w:sz w:val="18"/>
                <w:szCs w:val="18"/>
                <w:color w:val="auto"/>
              </w:rPr>
              <w:t>prior to June 30, otherwise full amount of</w:t>
            </w:r>
          </w:p>
        </w:tc>
        <w:tc>
          <w:tcPr>
            <w:tcW w:w="0" w:type="dxa"/>
            <w:vAlign w:val="bottom"/>
          </w:tcPr>
          <w:p>
            <w:pPr>
              <w:spacing w:after="0"/>
              <w:rPr>
                <w:sz w:val="1"/>
                <w:szCs w:val="1"/>
                <w:color w:val="auto"/>
              </w:rPr>
            </w:pPr>
          </w:p>
        </w:tc>
      </w:tr>
      <w:tr>
        <w:trPr>
          <w:trHeight w:val="43"/>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500" w:type="dxa"/>
            <w:vAlign w:val="bottom"/>
            <w:gridSpan w:val="5"/>
            <w:vMerge w:val="restart"/>
          </w:tcPr>
          <w:p>
            <w:pPr>
              <w:ind w:left="28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Partial acceleration of unvested equity awards</w:t>
            </w: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5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vMerge w:val="restart"/>
          </w:tcPr>
          <w:p>
            <w:pPr>
              <w:ind w:left="80"/>
              <w:spacing w:after="0"/>
              <w:rPr>
                <w:sz w:val="20"/>
                <w:szCs w:val="20"/>
                <w:color w:val="auto"/>
              </w:rPr>
            </w:pPr>
            <w:r>
              <w:rPr>
                <w:rFonts w:ascii="Arial" w:cs="Arial" w:eastAsia="Arial" w:hAnsi="Arial"/>
                <w:sz w:val="18"/>
                <w:szCs w:val="18"/>
                <w:color w:val="auto"/>
                <w:w w:val="96"/>
              </w:rPr>
              <w:t>average annual bonus)</w:t>
            </w:r>
          </w:p>
        </w:tc>
        <w:tc>
          <w:tcPr>
            <w:tcW w:w="1680" w:type="dxa"/>
            <w:vAlign w:val="bottom"/>
          </w:tcPr>
          <w:p>
            <w:pPr>
              <w:jc w:val="right"/>
              <w:ind w:right="1427"/>
              <w:spacing w:after="0"/>
              <w:rPr>
                <w:sz w:val="20"/>
                <w:szCs w:val="20"/>
                <w:color w:val="auto"/>
              </w:rPr>
            </w:pPr>
            <w:r>
              <w:rPr>
                <w:rFonts w:ascii="Arial" w:cs="Arial" w:eastAsia="Arial" w:hAnsi="Arial"/>
                <w:sz w:val="15"/>
                <w:szCs w:val="15"/>
                <w:color w:val="auto"/>
                <w:w w:val="87"/>
              </w:rPr>
              <w:t>(8)</w:t>
            </w: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00" w:type="dxa"/>
            <w:vAlign w:val="bottom"/>
            <w:gridSpan w:val="5"/>
            <w:vMerge w:val="restart"/>
          </w:tcPr>
          <w:p>
            <w:pPr>
              <w:ind w:left="540"/>
              <w:spacing w:after="0"/>
              <w:rPr>
                <w:sz w:val="20"/>
                <w:szCs w:val="20"/>
                <w:color w:val="auto"/>
              </w:rPr>
            </w:pPr>
            <w:r>
              <w:rPr>
                <w:rFonts w:ascii="Arial" w:cs="Arial" w:eastAsia="Arial" w:hAnsi="Arial"/>
                <w:sz w:val="18"/>
                <w:szCs w:val="18"/>
                <w:color w:val="auto"/>
              </w:rPr>
              <w:t>(other than annual performance-based</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00" w:type="dxa"/>
            <w:vAlign w:val="bottom"/>
            <w:gridSpan w:val="5"/>
            <w:vMerge w:val="continue"/>
          </w:tcPr>
          <w:p>
            <w:pPr>
              <w:spacing w:after="0"/>
              <w:rPr>
                <w:sz w:val="13"/>
                <w:szCs w:val="13"/>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7"/>
                <w:szCs w:val="17"/>
                <w:color w:val="355A89"/>
              </w:rPr>
              <w:t>●</w:t>
            </w:r>
          </w:p>
        </w:tc>
        <w:tc>
          <w:tcPr>
            <w:tcW w:w="3560" w:type="dxa"/>
            <w:vAlign w:val="bottom"/>
            <w:gridSpan w:val="2"/>
            <w:vMerge w:val="restart"/>
          </w:tcPr>
          <w:p>
            <w:pPr>
              <w:ind w:left="60"/>
              <w:spacing w:after="0"/>
              <w:rPr>
                <w:sz w:val="20"/>
                <w:szCs w:val="20"/>
                <w:color w:val="auto"/>
              </w:rPr>
            </w:pPr>
            <w:r>
              <w:rPr>
                <w:rFonts w:ascii="Arial" w:cs="Arial" w:eastAsia="Arial" w:hAnsi="Arial"/>
                <w:sz w:val="18"/>
                <w:szCs w:val="18"/>
                <w:color w:val="auto"/>
              </w:rPr>
              <w:t>Partial acceleration of unvested equity</w:t>
            </w: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500" w:type="dxa"/>
            <w:vAlign w:val="bottom"/>
            <w:gridSpan w:val="5"/>
            <w:vMerge w:val="restart"/>
          </w:tcPr>
          <w:p>
            <w:pPr>
              <w:ind w:left="540"/>
              <w:spacing w:after="0" w:line="294" w:lineRule="exact"/>
              <w:rPr>
                <w:sz w:val="20"/>
                <w:szCs w:val="20"/>
                <w:color w:val="auto"/>
              </w:rPr>
            </w:pPr>
            <w:r>
              <w:rPr>
                <w:rFonts w:ascii="Arial" w:cs="Arial" w:eastAsia="Arial" w:hAnsi="Arial"/>
                <w:sz w:val="18"/>
                <w:szCs w:val="18"/>
                <w:color w:val="auto"/>
              </w:rPr>
              <w:t>awards)</w:t>
            </w:r>
            <w:r>
              <w:rPr>
                <w:rFonts w:ascii="Arial" w:cs="Arial" w:eastAsia="Arial" w:hAnsi="Arial"/>
                <w:sz w:val="29"/>
                <w:szCs w:val="29"/>
                <w:color w:val="auto"/>
                <w:vertAlign w:val="superscript"/>
              </w:rPr>
              <w:t>(10)</w:t>
            </w:r>
          </w:p>
        </w:tc>
        <w:tc>
          <w:tcPr>
            <w:tcW w:w="240" w:type="dxa"/>
            <w:vAlign w:val="bottom"/>
            <w:gridSpan w:val="2"/>
            <w:vMerge w:val="continue"/>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gridSpan w:val="2"/>
            <w:vMerge w:val="restart"/>
          </w:tcPr>
          <w:p>
            <w:pPr>
              <w:ind w:left="80"/>
              <w:spacing w:after="0"/>
              <w:rPr>
                <w:sz w:val="20"/>
                <w:szCs w:val="20"/>
                <w:color w:val="auto"/>
              </w:rPr>
            </w:pPr>
            <w:r>
              <w:rPr>
                <w:rFonts w:ascii="Arial" w:cs="Arial" w:eastAsia="Arial" w:hAnsi="Arial"/>
                <w:sz w:val="18"/>
                <w:szCs w:val="18"/>
                <w:color w:val="auto"/>
              </w:rPr>
              <w:t>awards (other than annual performance-</w:t>
            </w:r>
          </w:p>
        </w:tc>
        <w:tc>
          <w:tcPr>
            <w:tcW w:w="0" w:type="dxa"/>
            <w:vAlign w:val="bottom"/>
          </w:tcPr>
          <w:p>
            <w:pPr>
              <w:spacing w:after="0"/>
              <w:rPr>
                <w:sz w:val="1"/>
                <w:szCs w:val="1"/>
                <w:color w:val="auto"/>
              </w:rPr>
            </w:pPr>
          </w:p>
        </w:tc>
      </w:tr>
      <w:tr>
        <w:trPr>
          <w:trHeight w:val="43"/>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5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ind w:left="80"/>
              <w:spacing w:after="0" w:line="303" w:lineRule="exact"/>
              <w:rPr>
                <w:sz w:val="20"/>
                <w:szCs w:val="20"/>
                <w:color w:val="auto"/>
              </w:rPr>
            </w:pPr>
            <w:r>
              <w:rPr>
                <w:rFonts w:ascii="Arial" w:cs="Arial" w:eastAsia="Arial" w:hAnsi="Arial"/>
                <w:sz w:val="18"/>
                <w:szCs w:val="18"/>
                <w:color w:val="auto"/>
              </w:rPr>
              <w:t>based awards)</w:t>
            </w:r>
            <w:r>
              <w:rPr>
                <w:rFonts w:ascii="Arial" w:cs="Arial" w:eastAsia="Arial" w:hAnsi="Arial"/>
                <w:sz w:val="29"/>
                <w:szCs w:val="29"/>
                <w:color w:val="auto"/>
                <w:vertAlign w:val="superscript"/>
              </w:rPr>
              <w:t>(10)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4"/>
          </w:tcPr>
          <w:p>
            <w:pPr>
              <w:ind w:left="60"/>
              <w:spacing w:after="0"/>
              <w:rPr>
                <w:sz w:val="20"/>
                <w:szCs w:val="20"/>
                <w:color w:val="auto"/>
              </w:rPr>
            </w:pPr>
            <w:r>
              <w:rPr>
                <w:rFonts w:ascii="Arial" w:cs="Arial" w:eastAsia="Arial" w:hAnsi="Arial"/>
                <w:sz w:val="17"/>
                <w:szCs w:val="17"/>
                <w:color w:val="355A89"/>
              </w:rPr>
              <w:t xml:space="preserve">●  </w:t>
            </w:r>
            <w:r>
              <w:rPr>
                <w:rFonts w:ascii="Arial" w:cs="Arial" w:eastAsia="Arial" w:hAnsi="Arial"/>
                <w:sz w:val="17"/>
                <w:szCs w:val="17"/>
                <w:color w:val="000000"/>
              </w:rPr>
              <w:t>36 months of benefit continuation / payments</w:t>
            </w:r>
          </w:p>
        </w:tc>
        <w:tc>
          <w:tcPr>
            <w:tcW w:w="0" w:type="dxa"/>
            <w:vAlign w:val="bottom"/>
          </w:tcPr>
          <w:p>
            <w:pPr>
              <w:spacing w:after="0"/>
              <w:rPr>
                <w:sz w:val="1"/>
                <w:szCs w:val="1"/>
                <w:color w:val="auto"/>
              </w:rPr>
            </w:pPr>
          </w:p>
        </w:tc>
      </w:tr>
      <w:tr>
        <w:trPr>
          <w:trHeight w:val="36"/>
        </w:trPr>
        <w:tc>
          <w:tcPr>
            <w:tcW w:w="2780" w:type="dxa"/>
            <w:vAlign w:val="bottom"/>
            <w:tcBorders>
              <w:bottom w:val="single" w:sz="8" w:color="355A89"/>
            </w:tcBorders>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bottom w:val="single" w:sz="8" w:color="355A89"/>
            </w:tcBorders>
          </w:tcPr>
          <w:p>
            <w:pPr>
              <w:spacing w:after="0"/>
              <w:rPr>
                <w:sz w:val="3"/>
                <w:szCs w:val="3"/>
                <w:color w:val="auto"/>
              </w:rPr>
            </w:pPr>
          </w:p>
        </w:tc>
        <w:tc>
          <w:tcPr>
            <w:tcW w:w="160" w:type="dxa"/>
            <w:vAlign w:val="bottom"/>
            <w:tcBorders>
              <w:bottom w:val="single" w:sz="8" w:color="355A89"/>
            </w:tcBorders>
          </w:tcPr>
          <w:p>
            <w:pPr>
              <w:spacing w:after="0"/>
              <w:rPr>
                <w:sz w:val="3"/>
                <w:szCs w:val="3"/>
                <w:color w:val="auto"/>
              </w:rPr>
            </w:pPr>
          </w:p>
        </w:tc>
        <w:tc>
          <w:tcPr>
            <w:tcW w:w="3700" w:type="dxa"/>
            <w:vAlign w:val="bottom"/>
            <w:tcBorders>
              <w:bottom w:val="single" w:sz="8" w:color="355A89"/>
            </w:tcBorders>
            <w:gridSpan w:val="4"/>
          </w:tcPr>
          <w:p>
            <w:pPr>
              <w:spacing w:after="0"/>
              <w:rPr>
                <w:sz w:val="3"/>
                <w:szCs w:val="3"/>
                <w:color w:val="auto"/>
              </w:rPr>
            </w:pPr>
          </w:p>
        </w:tc>
        <w:tc>
          <w:tcPr>
            <w:tcW w:w="3720" w:type="dxa"/>
            <w:vAlign w:val="bottom"/>
            <w:tcBorders>
              <w:bottom w:val="single" w:sz="8" w:color="355A89"/>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Post-Change-in-Control</w:t>
            </w:r>
          </w:p>
        </w:tc>
        <w:tc>
          <w:tcPr>
            <w:tcW w:w="8300" w:type="dxa"/>
            <w:vAlign w:val="bottom"/>
            <w:gridSpan w:val="9"/>
          </w:tcPr>
          <w:p>
            <w:pPr>
              <w:ind w:left="20"/>
              <w:spacing w:after="0"/>
              <w:rPr>
                <w:sz w:val="20"/>
                <w:szCs w:val="20"/>
                <w:color w:val="auto"/>
              </w:rPr>
            </w:pPr>
            <w:r>
              <w:rPr>
                <w:rFonts w:ascii="Arial" w:cs="Arial" w:eastAsia="Arial" w:hAnsi="Arial"/>
                <w:sz w:val="18"/>
                <w:szCs w:val="18"/>
                <w:color w:val="auto"/>
                <w:w w:val="98"/>
              </w:rPr>
              <w:t>Upon a Change-in-Control, for pro-rata payments, and while employed for periods following a Change-in-</w:t>
            </w:r>
          </w:p>
        </w:tc>
        <w:tc>
          <w:tcPr>
            <w:tcW w:w="0" w:type="dxa"/>
            <w:vAlign w:val="bottom"/>
          </w:tcPr>
          <w:p>
            <w:pPr>
              <w:spacing w:after="0"/>
              <w:rPr>
                <w:sz w:val="1"/>
                <w:szCs w:val="1"/>
                <w:color w:val="auto"/>
              </w:rPr>
            </w:pPr>
          </w:p>
        </w:tc>
      </w:tr>
      <w:tr>
        <w:trPr>
          <w:trHeight w:val="225"/>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Compensation</w:t>
            </w:r>
          </w:p>
        </w:tc>
        <w:tc>
          <w:tcPr>
            <w:tcW w:w="8300" w:type="dxa"/>
            <w:vAlign w:val="bottom"/>
            <w:gridSpan w:val="9"/>
          </w:tcPr>
          <w:p>
            <w:pPr>
              <w:ind w:left="20"/>
              <w:spacing w:after="0"/>
              <w:rPr>
                <w:sz w:val="20"/>
                <w:szCs w:val="20"/>
                <w:color w:val="auto"/>
              </w:rPr>
            </w:pPr>
            <w:r>
              <w:rPr>
                <w:rFonts w:ascii="Arial" w:cs="Arial" w:eastAsia="Arial" w:hAnsi="Arial"/>
                <w:sz w:val="18"/>
                <w:szCs w:val="18"/>
                <w:color w:val="auto"/>
                <w:w w:val="99"/>
              </w:rPr>
              <w:t>Control, in lieu of the base salary, annual bonus, and the equity awards described above, each executive</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gridSpan w:val="5"/>
          </w:tcPr>
          <w:p>
            <w:pPr>
              <w:ind w:left="20"/>
              <w:spacing w:after="0"/>
              <w:rPr>
                <w:sz w:val="20"/>
                <w:szCs w:val="20"/>
                <w:color w:val="auto"/>
              </w:rPr>
            </w:pPr>
            <w:r>
              <w:rPr>
                <w:rFonts w:ascii="Arial" w:cs="Arial" w:eastAsia="Arial" w:hAnsi="Arial"/>
                <w:sz w:val="18"/>
                <w:szCs w:val="18"/>
                <w:color w:val="auto"/>
              </w:rPr>
              <w:t>will be entitled to the following: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355A89"/>
            </w:tcBorders>
            <w:gridSpan w:val="2"/>
          </w:tcPr>
          <w:p>
            <w:pPr>
              <w:ind w:left="1300"/>
              <w:spacing w:after="0"/>
              <w:rPr>
                <w:sz w:val="20"/>
                <w:szCs w:val="20"/>
                <w:color w:val="auto"/>
              </w:rPr>
            </w:pPr>
            <w:r>
              <w:rPr>
                <w:rFonts w:ascii="Arial" w:cs="Arial" w:eastAsia="Arial" w:hAnsi="Arial"/>
                <w:sz w:val="13"/>
                <w:szCs w:val="13"/>
                <w:b w:val="1"/>
                <w:bCs w:val="1"/>
                <w:color w:val="355A89"/>
              </w:rPr>
              <w:t>Holliday/Mathias</w:t>
            </w:r>
          </w:p>
        </w:tc>
        <w:tc>
          <w:tcPr>
            <w:tcW w:w="720" w:type="dxa"/>
            <w:vAlign w:val="bottom"/>
            <w:tcBorders>
              <w:bottom w:val="single" w:sz="8" w:color="355A89"/>
            </w:tcBorders>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tcBorders>
              <w:bottom w:val="single" w:sz="8" w:color="355A89"/>
            </w:tcBorders>
            <w:gridSpan w:val="3"/>
          </w:tcPr>
          <w:p>
            <w:pPr>
              <w:ind w:left="1560"/>
              <w:spacing w:after="0"/>
              <w:rPr>
                <w:sz w:val="20"/>
                <w:szCs w:val="20"/>
                <w:color w:val="auto"/>
              </w:rPr>
            </w:pPr>
            <w:r>
              <w:rPr>
                <w:rFonts w:ascii="Arial" w:cs="Arial" w:eastAsia="Arial" w:hAnsi="Arial"/>
                <w:sz w:val="13"/>
                <w:szCs w:val="13"/>
                <w:b w:val="1"/>
                <w:bCs w:val="1"/>
                <w:color w:val="355A89"/>
              </w:rPr>
              <w:t>DiLiberto</w:t>
            </w:r>
          </w:p>
        </w:tc>
        <w:tc>
          <w:tcPr>
            <w:tcW w:w="80" w:type="dxa"/>
            <w:vAlign w:val="bottom"/>
            <w:tcBorders>
              <w:bottom w:val="single" w:sz="8" w:color="355A89"/>
            </w:tcBorders>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tcBorders>
              <w:bottom w:val="single" w:sz="8" w:color="355A89"/>
            </w:tcBorders>
            <w:gridSpan w:val="2"/>
          </w:tcPr>
          <w:p>
            <w:pPr>
              <w:ind w:left="1560"/>
              <w:spacing w:after="0"/>
              <w:rPr>
                <w:sz w:val="20"/>
                <w:szCs w:val="20"/>
                <w:color w:val="auto"/>
              </w:rPr>
            </w:pPr>
            <w:r>
              <w:rPr>
                <w:rFonts w:ascii="Arial" w:cs="Arial" w:eastAsia="Arial" w:hAnsi="Arial"/>
                <w:sz w:val="13"/>
                <w:szCs w:val="13"/>
                <w:b w:val="1"/>
                <w:bCs w:val="1"/>
                <w:color w:val="355A89"/>
              </w:rPr>
              <w:t>Levine</w:t>
            </w:r>
          </w:p>
        </w:tc>
        <w:tc>
          <w:tcPr>
            <w:tcW w:w="0" w:type="dxa"/>
            <w:vAlign w:val="bottom"/>
          </w:tcPr>
          <w:p>
            <w:pPr>
              <w:spacing w:after="0"/>
              <w:rPr>
                <w:sz w:val="1"/>
                <w:szCs w:val="1"/>
                <w:color w:val="auto"/>
              </w:rPr>
            </w:pPr>
          </w:p>
        </w:tc>
      </w:tr>
    </w:tbl>
    <w:p>
      <w:pPr>
        <w:spacing w:after="0" w:line="3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540" w:right="220" w:hanging="253"/>
        <w:spacing w:after="0" w:line="277" w:lineRule="auto"/>
        <w:tabs>
          <w:tab w:leader="none" w:pos="517" w:val="left"/>
        </w:tabs>
        <w:numPr>
          <w:ilvl w:val="0"/>
          <w:numId w:val="135"/>
        </w:numPr>
        <w:rPr>
          <w:rFonts w:ascii="Arial" w:cs="Arial" w:eastAsia="Arial" w:hAnsi="Arial"/>
          <w:sz w:val="16"/>
          <w:szCs w:val="16"/>
          <w:color w:val="355A89"/>
        </w:rPr>
      </w:pPr>
      <w:r>
        <w:rPr>
          <w:rFonts w:ascii="Arial" w:cs="Arial" w:eastAsia="Arial" w:hAnsi="Arial"/>
          <w:sz w:val="16"/>
          <w:szCs w:val="16"/>
          <w:color w:val="auto"/>
        </w:rPr>
        <w:t>Pro-rata bonus based on average annual bonus for prior two years and pro-rata portion of target value of annual time-based award for partial year prior to Change-in-Control</w:t>
      </w:r>
    </w:p>
    <w:p>
      <w:pPr>
        <w:spacing w:after="0" w:line="31" w:lineRule="exact"/>
        <w:rPr>
          <w:rFonts w:ascii="Arial" w:cs="Arial" w:eastAsia="Arial" w:hAnsi="Arial"/>
          <w:sz w:val="16"/>
          <w:szCs w:val="16"/>
          <w:color w:val="355A89"/>
        </w:rPr>
      </w:pPr>
    </w:p>
    <w:p>
      <w:pPr>
        <w:ind w:left="540" w:hanging="253"/>
        <w:spacing w:after="0" w:line="281" w:lineRule="auto"/>
        <w:tabs>
          <w:tab w:leader="none" w:pos="517" w:val="left"/>
        </w:tabs>
        <w:numPr>
          <w:ilvl w:val="0"/>
          <w:numId w:val="135"/>
        </w:numPr>
        <w:rPr>
          <w:rFonts w:ascii="Arial" w:cs="Arial" w:eastAsia="Arial" w:hAnsi="Arial"/>
          <w:sz w:val="16"/>
          <w:szCs w:val="16"/>
          <w:color w:val="355A89"/>
        </w:rPr>
      </w:pPr>
      <w:r>
        <w:rPr>
          <w:rFonts w:ascii="Arial" w:cs="Arial" w:eastAsia="Arial" w:hAnsi="Arial"/>
          <w:sz w:val="16"/>
          <w:szCs w:val="16"/>
          <w:color w:val="auto"/>
        </w:rPr>
        <w:t>Annual cash salary equal to the sum of prior base salary, prior year cash bonus and target value of annual time-based and performance-based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32283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12" w:lineRule="exact"/>
        <w:rPr>
          <w:sz w:val="20"/>
          <w:szCs w:val="20"/>
          <w:color w:val="auto"/>
        </w:rPr>
      </w:pPr>
    </w:p>
    <w:p>
      <w:pPr>
        <w:ind w:left="300" w:hanging="292"/>
        <w:spacing w:after="0"/>
        <w:tabs>
          <w:tab w:leader="none" w:pos="300" w:val="left"/>
        </w:tabs>
        <w:numPr>
          <w:ilvl w:val="0"/>
          <w:numId w:val="136"/>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br w:type="column"/>
      </w:r>
    </w:p>
    <w:p>
      <w:pPr>
        <w:ind w:left="252" w:hanging="252"/>
        <w:spacing w:after="0" w:line="237" w:lineRule="auto"/>
        <w:tabs>
          <w:tab w:leader="none" w:pos="230" w:val="left"/>
        </w:tabs>
        <w:numPr>
          <w:ilvl w:val="0"/>
          <w:numId w:val="137"/>
        </w:numPr>
        <w:rPr>
          <w:rFonts w:ascii="Arial" w:cs="Arial" w:eastAsia="Arial" w:hAnsi="Arial"/>
          <w:sz w:val="17"/>
          <w:szCs w:val="17"/>
          <w:color w:val="355A89"/>
        </w:rPr>
      </w:pPr>
      <w:r>
        <w:rPr>
          <w:rFonts w:ascii="Arial" w:cs="Arial" w:eastAsia="Arial" w:hAnsi="Arial"/>
          <w:sz w:val="18"/>
          <w:szCs w:val="18"/>
          <w:color w:val="auto"/>
        </w:rPr>
        <w:t>Annual cash salary equal to the sum of the annual base salary in effect prior to the Change-in-Control plus average of annual bonuses earned for prior three years and equity awards (other than those granted under outperformance plans) that vested during the most recent fiscal year prior to the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64135</wp:posOffset>
            </wp:positionV>
            <wp:extent cx="470598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05985" cy="17145"/>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482600</wp:posOffset>
            </wp:positionV>
            <wp:extent cx="71532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65" w:right="120" w:hanging="265"/>
        <w:spacing w:after="0" w:line="290" w:lineRule="auto"/>
        <w:tabs>
          <w:tab w:leader="none" w:pos="242" w:val="left"/>
        </w:tabs>
        <w:numPr>
          <w:ilvl w:val="0"/>
          <w:numId w:val="138"/>
        </w:numPr>
        <w:rPr>
          <w:rFonts w:ascii="Arial" w:cs="Arial" w:eastAsia="Arial" w:hAnsi="Arial"/>
          <w:sz w:val="16"/>
          <w:szCs w:val="16"/>
          <w:color w:val="355A89"/>
        </w:rPr>
      </w:pPr>
      <w:r>
        <w:rPr>
          <w:rFonts w:ascii="Arial" w:cs="Arial" w:eastAsia="Arial" w:hAnsi="Arial"/>
          <w:sz w:val="16"/>
          <w:szCs w:val="16"/>
          <w:color w:val="auto"/>
        </w:rPr>
        <w:t>Pro-rata bonus for partial year prior to Change-in-Control based on average annual bonus for prior two years</w:t>
      </w:r>
    </w:p>
    <w:p>
      <w:pPr>
        <w:spacing w:after="0" w:line="21" w:lineRule="exact"/>
        <w:rPr>
          <w:rFonts w:ascii="Arial" w:cs="Arial" w:eastAsia="Arial" w:hAnsi="Arial"/>
          <w:sz w:val="16"/>
          <w:szCs w:val="16"/>
          <w:color w:val="355A89"/>
        </w:rPr>
      </w:pPr>
    </w:p>
    <w:p>
      <w:pPr>
        <w:ind w:left="265" w:right="20" w:hanging="265"/>
        <w:spacing w:after="0" w:line="274" w:lineRule="auto"/>
        <w:tabs>
          <w:tab w:leader="none" w:pos="242" w:val="left"/>
        </w:tabs>
        <w:numPr>
          <w:ilvl w:val="0"/>
          <w:numId w:val="138"/>
        </w:numPr>
        <w:rPr>
          <w:rFonts w:ascii="Arial" w:cs="Arial" w:eastAsia="Arial" w:hAnsi="Arial"/>
          <w:sz w:val="16"/>
          <w:szCs w:val="16"/>
          <w:color w:val="355A89"/>
        </w:rPr>
      </w:pPr>
      <w:r>
        <w:rPr>
          <w:rFonts w:ascii="Arial" w:cs="Arial" w:eastAsia="Arial" w:hAnsi="Arial"/>
          <w:sz w:val="16"/>
          <w:szCs w:val="16"/>
          <w:color w:val="auto"/>
        </w:rPr>
        <w:t>Annual cash salary equal to the sum of prior base salary, prior year cash bonus and, beginning in the year following the most recent grant of a time-based equity award, target value of annual time-based equity awards</w:t>
      </w:r>
    </w:p>
    <w:p>
      <w:pPr>
        <w:sectPr>
          <w:pgSz w:w="11900" w:h="16838" w:orient="portrait"/>
          <w:cols w:equalWidth="0" w:num="3">
            <w:col w:w="3620" w:space="488"/>
            <w:col w:w="3392" w:space="455"/>
            <w:col w:w="3285"/>
          </w:cols>
          <w:pgMar w:left="320" w:top="121"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217"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b w:val="1"/>
          <w:bCs w:val="1"/>
          <w:color w:val="auto"/>
        </w:rPr>
        <w:t>Restrictive Covenants</w:t>
      </w:r>
      <w:r>
        <w:rPr>
          <w:sz w:val="20"/>
          <w:szCs w:val="20"/>
          <w:color w:val="auto"/>
        </w:rPr>
        <w:tab/>
      </w:r>
      <w:r>
        <w:rPr>
          <w:rFonts w:ascii="Arial" w:cs="Arial" w:eastAsia="Arial" w:hAnsi="Arial"/>
          <w:sz w:val="16"/>
          <w:szCs w:val="16"/>
          <w:color w:val="auto"/>
        </w:rPr>
        <w:t>The executive agreed to the following covenants:</w:t>
      </w:r>
    </w:p>
    <w:p>
      <w:pPr>
        <w:spacing w:after="0" w:line="241" w:lineRule="exact"/>
        <w:rPr>
          <w:sz w:val="20"/>
          <w:szCs w:val="20"/>
          <w:color w:val="auto"/>
        </w:rPr>
      </w:pPr>
    </w:p>
    <w:p>
      <w:pPr>
        <w:ind w:left="4160"/>
        <w:spacing w:after="0"/>
        <w:tabs>
          <w:tab w:leader="none" w:pos="9000" w:val="left"/>
        </w:tabs>
        <w:rPr>
          <w:sz w:val="20"/>
          <w:szCs w:val="20"/>
          <w:color w:val="auto"/>
        </w:rPr>
      </w:pPr>
      <w:r>
        <w:rPr>
          <w:rFonts w:ascii="Arial" w:cs="Arial" w:eastAsia="Arial" w:hAnsi="Arial"/>
          <w:sz w:val="13"/>
          <w:szCs w:val="13"/>
          <w:b w:val="1"/>
          <w:bCs w:val="1"/>
          <w:color w:val="355A89"/>
        </w:rPr>
        <w:t>Holliday/Mathias/DiLiberto</w:t>
      </w:r>
      <w:r>
        <w:rPr>
          <w:sz w:val="20"/>
          <w:szCs w:val="20"/>
          <w:color w:val="auto"/>
        </w:rPr>
        <w:tab/>
      </w:r>
      <w:r>
        <w:rPr>
          <w:rFonts w:ascii="Arial" w:cs="Arial" w:eastAsia="Arial" w:hAnsi="Arial"/>
          <w:sz w:val="13"/>
          <w:szCs w:val="13"/>
          <w:b w:val="1"/>
          <w:bCs w:val="1"/>
          <w:color w:val="355A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27305</wp:posOffset>
            </wp:positionV>
            <wp:extent cx="526351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6351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0" w:lineRule="exact"/>
        <w:rPr>
          <w:sz w:val="20"/>
          <w:szCs w:val="20"/>
          <w:color w:val="auto"/>
        </w:rPr>
      </w:pPr>
    </w:p>
    <w:p>
      <w:pPr>
        <w:ind w:left="2960"/>
        <w:spacing w:after="0" w:line="236" w:lineRule="auto"/>
        <w:rPr>
          <w:sz w:val="20"/>
          <w:szCs w:val="20"/>
          <w:color w:val="auto"/>
        </w:rPr>
      </w:pPr>
      <w:r>
        <w:rPr>
          <w:rFonts w:ascii="Arial" w:cs="Arial" w:eastAsia="Arial" w:hAnsi="Arial"/>
          <w:sz w:val="18"/>
          <w:szCs w:val="18"/>
          <w:color w:val="auto"/>
        </w:rPr>
        <w:t>For Messrs. Holliday, Mathias and DiLiberto noncompetition with us for 12 months following termination (6 months if employment is terminated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Mr. Levine, noncompetition with us for 6 months after termination unless employment is terminated upon non-renewal of the agreement, in which case the non-compete period will not extend beyond such termination. Non-solicitation, non-disparagement, non-interference and litigation cooperation covenants also apply.</w:t>
      </w:r>
    </w:p>
    <w:p>
      <w:pPr>
        <w:spacing w:after="0" w:line="151" w:lineRule="exact"/>
        <w:rPr>
          <w:sz w:val="20"/>
          <w:szCs w:val="20"/>
          <w:color w:val="auto"/>
        </w:rPr>
      </w:pPr>
    </w:p>
    <w:p>
      <w:pPr>
        <w:sectPr>
          <w:pgSz w:w="11900" w:h="16838" w:orient="portrait"/>
          <w:cols w:equalWidth="0" w:num="2">
            <w:col w:w="7020" w:space="220"/>
            <w:col w:w="4000"/>
          </w:cols>
          <w:pgMar w:left="320" w:top="121" w:right="339" w:bottom="1440" w:gutter="0" w:footer="0" w:header="0"/>
          <w:type w:val="continuous"/>
        </w:sectPr>
      </w:pPr>
    </w:p>
    <w:p>
      <w:pPr>
        <w:ind w:left="400" w:hanging="392"/>
        <w:spacing w:after="0"/>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terms automatically renew for one year for Messrs. Holliday and Mathias, and six months for Mr. DiLiberto unless either party provides advance written notice of non-renewal.</w:t>
      </w:r>
    </w:p>
    <w:p>
      <w:pPr>
        <w:spacing w:after="0" w:line="66" w:lineRule="exact"/>
        <w:rPr>
          <w:rFonts w:ascii="Arial" w:cs="Arial" w:eastAsia="Arial" w:hAnsi="Arial"/>
          <w:sz w:val="13"/>
          <w:szCs w:val="13"/>
          <w:color w:val="auto"/>
        </w:rPr>
      </w:pPr>
    </w:p>
    <w:p>
      <w:pPr>
        <w:ind w:left="400" w:right="100" w:hanging="392"/>
        <w:spacing w:after="0" w:line="248" w:lineRule="auto"/>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Messrs. Holliday and Mathias are eligible to participate in an annual formulaic cash bonus program pursuant to which they will be able to earn from 50-300% and 50-250%, respectively, of their base salary based on the achievement of specific goals established in advance by the Committee. Messrs. DiLiberto and Levine may be awarded a bonus in an amount determined by the Committee.</w:t>
      </w:r>
    </w:p>
    <w:p>
      <w:pPr>
        <w:spacing w:after="0" w:line="49" w:lineRule="exact"/>
        <w:rPr>
          <w:rFonts w:ascii="Arial" w:cs="Arial" w:eastAsia="Arial" w:hAnsi="Arial"/>
          <w:sz w:val="13"/>
          <w:szCs w:val="13"/>
          <w:color w:val="auto"/>
        </w:rPr>
      </w:pPr>
    </w:p>
    <w:p>
      <w:pPr>
        <w:ind w:left="400" w:right="20" w:hanging="392"/>
        <w:spacing w:after="0"/>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Beginning in January 2019, each of Messrs. Holliday and Mathias are entitled to receive annual awards of performance-based LTIP units with the target values set forth in the table above. See “Executive Compensation—Compensation Discussion and Analysis -2019 Long-Term Equity Incentive Awards - Performance-Based Equity Awards” for details regarding the structure of these awards. Each award will provide that the LTIP units will remain outstanding following a termination of employment without Cause, for Good Reason or due to death or disability, whether during or after the term of the employment agreement, or following the executive’s resignation following expiration of the term. In addition, upon any termination for Good Reason or without Cause (including as a result of non-renewal by the Company) prior to the conclusion of a performance period, operating performance (but not relative TSR performance) will be deemed to have been achieved at maximum, subject to the absolute TSR modifier, which will continue to apply in accordance with its terms. In connection with a Change-in-Control prior to the conclusion of any performance period, operating performance will be deemed to have been achieved at target performance and absolute and relative TSR performance will be determined based on actual, annualized performance through the date of the Change-in-Control, but vesting will remain subject to continued employment through the original vesting date, subject to acceleration in the event of a termination of employment without Cause, for Good Reason or due to death or disability, whether during or after the term of the employment agreement, or following the executive’s resignation following expiration of the term.</w:t>
      </w:r>
    </w:p>
    <w:p>
      <w:pPr>
        <w:spacing w:after="0" w:line="57" w:lineRule="exact"/>
        <w:rPr>
          <w:rFonts w:ascii="Arial" w:cs="Arial" w:eastAsia="Arial" w:hAnsi="Arial"/>
          <w:sz w:val="13"/>
          <w:szCs w:val="13"/>
          <w:color w:val="auto"/>
        </w:rPr>
      </w:pPr>
    </w:p>
    <w:p>
      <w:pPr>
        <w:ind w:left="400" w:right="60" w:hanging="392"/>
        <w:spacing w:after="0"/>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Each executive is eligible to receive an annual grant of LTIP units subject to time-based vesting conditions. The amount of the annual grant each year will be determined by the Committee based on its evaluation of executive’s performance during the prior year; provided that the value of the LTIP units to be granted for achievement of target performance during the prior year will not be less than the amounts set forth in the table above (with each LTIP unit valued using the average closing price of the common stock for the ten consecutive trading days ending on the last trading day of the prior year). For Messrs. Holliday and Mathias, one-third of each such grant will vest on January 1st of each of the first three years following such grant, if and as employment continues through such dates. For Mr. Levine, each such grant will vest in equal installments on each January 1st following such grant during the remainder of the term of the employment agreement, if and as employment continues through such dates. The LTIP units will be subject to a no sell restriction until the earlier of three years after grant, termination of employment or a Change-in-Control. Vesting will fully accelerate in the event of the termination of executive’s employment by us without Cause, by the executive for Good Reason, due to death or disability or due to executive’s resignation following the expiration of the term of the employment agreement. Other terminations prior to time-based vesting or acceleration will result in forfeiture of all unvested amounts.</w:t>
      </w:r>
    </w:p>
    <w:p>
      <w:pPr>
        <w:spacing w:after="0" w:line="58" w:lineRule="exact"/>
        <w:rPr>
          <w:rFonts w:ascii="Arial" w:cs="Arial" w:eastAsia="Arial" w:hAnsi="Arial"/>
          <w:sz w:val="13"/>
          <w:szCs w:val="13"/>
          <w:color w:val="auto"/>
        </w:rPr>
      </w:pPr>
    </w:p>
    <w:p>
      <w:pPr>
        <w:ind w:left="400" w:right="580" w:hanging="392"/>
        <w:spacing w:after="0" w:line="258" w:lineRule="auto"/>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See “Executive Compensation Tables – Outstanding Equity Awards at Fiscal Year-End 2020” for a description of awards outstanding under Mr. DiLiberto’s prior employment agreement as of December 31, 2020, which were issued under his employment agreement that was in effect as of such date.</w:t>
      </w:r>
    </w:p>
    <w:p>
      <w:pPr>
        <w:spacing w:after="0" w:line="43" w:lineRule="exact"/>
        <w:rPr>
          <w:rFonts w:ascii="Arial" w:cs="Arial" w:eastAsia="Arial" w:hAnsi="Arial"/>
          <w:sz w:val="13"/>
          <w:szCs w:val="13"/>
          <w:color w:val="auto"/>
        </w:rPr>
      </w:pPr>
    </w:p>
    <w:p>
      <w:pPr>
        <w:ind w:left="400" w:right="60" w:hanging="392"/>
        <w:spacing w:after="0" w:line="258" w:lineRule="auto"/>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Performance-based equity awards will be treated in accordance with their terms. See footnotes (3) and (5) for relevant terms to be included in performance-based LTIP units granted pursuant to the employment agreements.</w:t>
      </w:r>
    </w:p>
    <w:p>
      <w:pPr>
        <w:spacing w:after="0" w:line="43" w:lineRule="exact"/>
        <w:rPr>
          <w:rFonts w:ascii="Arial" w:cs="Arial" w:eastAsia="Arial" w:hAnsi="Arial"/>
          <w:sz w:val="13"/>
          <w:szCs w:val="13"/>
          <w:color w:val="auto"/>
        </w:rPr>
      </w:pPr>
    </w:p>
    <w:p>
      <w:pPr>
        <w:ind w:left="400" w:right="20" w:hanging="392"/>
        <w:spacing w:after="0" w:line="243" w:lineRule="auto"/>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Calculated based on the sum of (i) annual base salary in effect immediately prior to the Change-in-Control, plus (ii) average annual cash bonuses (including any portion of the annual cash bonus paid in the form of equity awards, but excluding any annual or other equity awards made other than as payment of a cash bonus) paid for the three most recently completed fiscal years. Under Mr. DiLiberto’s prior employment agreement, which was in effect during 2020, this sum was calculated based on average annual base salary during the preceding 24 months and average bonus for the two most recently completed fiscal years. In connection with a Change-in-Control, under both his current employment agreement and the employment agreement in effect during 2020, Mr. DiLiberto is entitled to two times the foregoing sum.</w:t>
      </w:r>
    </w:p>
    <w:p>
      <w:pPr>
        <w:spacing w:after="0" w:line="53" w:lineRule="exact"/>
        <w:rPr>
          <w:rFonts w:ascii="Arial" w:cs="Arial" w:eastAsia="Arial" w:hAnsi="Arial"/>
          <w:sz w:val="13"/>
          <w:szCs w:val="13"/>
          <w:color w:val="auto"/>
        </w:rPr>
      </w:pPr>
    </w:p>
    <w:p>
      <w:pPr>
        <w:ind w:left="400" w:right="20" w:hanging="392"/>
        <w:spacing w:after="0" w:line="258" w:lineRule="auto"/>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Bonus is for the year in which employment is terminated (and a bonus for the prior year if such bonus had not yet been determined), subject to proration for the bonus payable for the year in which termination occurs if such termination occurs on or before June 30, based on average annual cash bonus for three most recently completed fiscal years.</w:t>
      </w:r>
    </w:p>
    <w:p>
      <w:pPr>
        <w:spacing w:after="0" w:line="43" w:lineRule="exact"/>
        <w:rPr>
          <w:rFonts w:ascii="Arial" w:cs="Arial" w:eastAsia="Arial" w:hAnsi="Arial"/>
          <w:sz w:val="13"/>
          <w:szCs w:val="13"/>
          <w:color w:val="auto"/>
        </w:rPr>
      </w:pPr>
    </w:p>
    <w:p>
      <w:pPr>
        <w:ind w:left="400" w:right="60" w:hanging="392"/>
        <w:spacing w:after="0" w:line="248" w:lineRule="auto"/>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49" w:lineRule="exact"/>
        <w:rPr>
          <w:rFonts w:ascii="Arial" w:cs="Arial" w:eastAsia="Arial" w:hAnsi="Arial"/>
          <w:sz w:val="13"/>
          <w:szCs w:val="13"/>
          <w:color w:val="auto"/>
        </w:rPr>
      </w:pPr>
    </w:p>
    <w:p>
      <w:pPr>
        <w:ind w:left="400" w:right="80" w:hanging="392"/>
        <w:spacing w:after="0" w:line="258" w:lineRule="auto"/>
        <w:tabs>
          <w:tab w:leader="none" w:pos="4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Full acceleration of vesting of any unvested equity awards granted in lieu of cash bonuses and 12 months of additional vesting of other outstanding equity awards (other than annual performance-based awards).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terms Cause, Good Reason and Change-in-Control, as used above, are specifically defined in each executive’s employment agreement. For Messrs. Holliday and Mathias, the term Cause is defined to include a non-renewal of the term of the employment agreement, provided that the cash severance multiple in such instance would be 1.0x instead of 2.0x for Mr. Holliday and 1.5x for Mr. Mathias. The summary above is qualified in its entirety by reference to the copies of the employment agreements with our named executive officers, which have been previously filed by us with the SEC, as referenced in our Form 10-K for the year ended December 31, 2020,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Performance-Based Equity Awards</w:t>
      </w: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Upon a change in control, the performance-based vesting criteria for the performance-based LTIP unit awards that we granted to our named executive officers in 2019 and 2020 (the “Annual Performance-Based Awards”) and to Mr. DiLiberto in 2018 pursuant to his prior employment agreement will generally be determined based on performance through the date of the change in control. For the portion of the Annual Performance-Based Awards that may be earned based on operational performance, if the operational performance period ends earlier than it otherwise would have as a result of a change in control, the operational performance hurdles will be deemed to have been achieved at target level, subject to modification by the absolute TSR modifier. Regardless of the satisfaction of the performance-based vesting criteria, the awards will remain subject to vesting based on continued employment through the originally established vesting dates. However, in the event of a termination by us without Cause or by an executive for Good Reason (as defined in each executive’s employment agreement) in connection with or within 18 months after a change in control, (a) any LTIP units earned upon a change in control will be fully vested, and (b) the portion of the Annual Performance-Based Awards that may be earned based on operational performance granted to Messrs. Holliday and Mathias will be deemed to have been achieved at maximum level (200%), subject to modification by the absolute TSR modifier. See “—Compensation Discussion and Analysis—Our 2020 Executive Compensation Program—2020 Performance-Based Equity Awards” for a description of the Annual Performance-Based Awards.</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an executive’s employment is terminated before the end of the three-year performance period as a result of death or disability, or is terminated by us without Cause or by the executive for Good Reason (as defined in each executive’s employment agreement), the executive’s achievement of the performance-based hurdles under the Annual Performance-Based Award will be calculated as of the end of the performance period in the same manner as if such termination had not occurred. Any portion of the Annual Performance-Based Award that is earned will be fully vested, subject to proration for Messrs. DiLiberto and Levine such that none of the earned LTIP units will vest if the termination occurs during the first year of the performance period, one-third of the earned LTIP units will vest if the termination occurs during the second year of the performance period and two-thirds of the earned LTIP units will vest if the termination occurs during the third year of the performance period. If any such termination occurs after the end of the three-year performance period, all earned LTIP units will fully vest upon such termination or, if later, the date of determining the number of earned LTIP units. Accelerated vesting is generally subject to the effectiveness of a mutual release, except in upon a termination as a result of death or in connection with or within 18 months after a change in control.</w:t>
      </w:r>
    </w:p>
    <w:p>
      <w:pPr>
        <w:spacing w:after="0" w:line="39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awards granted to Mr. DiLiberto in 2018 pursuant to his prior employment agreement will be treated in the same manner as other equity awards under the employment agreement, which provides for 12 months of additional vesting in connection with a termination due to death or disability, and full acceleration in connection with a termination by us without Cause or by the executive for Good Reason (as defined in the employment agreement).</w:t>
      </w:r>
    </w:p>
    <w:p>
      <w:pPr>
        <w:spacing w:after="0" w:line="208" w:lineRule="exact"/>
        <w:rPr>
          <w:sz w:val="20"/>
          <w:szCs w:val="20"/>
          <w:color w:val="auto"/>
        </w:rPr>
      </w:pPr>
    </w:p>
    <w:p>
      <w:pPr>
        <w:ind w:left="300" w:hanging="292"/>
        <w:spacing w:after="0"/>
        <w:tabs>
          <w:tab w:leader="none" w:pos="300" w:val="left"/>
        </w:tabs>
        <w:numPr>
          <w:ilvl w:val="0"/>
          <w:numId w:val="140"/>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u w:val="single" w:color="auto"/>
          <w:color w:val="355A89"/>
        </w:rPr>
        <w:t>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Hypothetical Illustration of Payments upon Termination or Change in Control</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2020. Our named executive officers would not have been entitled to any payments or benefits other than those already accrued in the event of a termination of their employment by us for cause or by them without good reason (including upon retirement).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The potential payments and estimated values set forth below are based on the terms of the employment agreements in effect as of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Pr>
          <w:p>
            <w:pPr>
              <w:spacing w:after="0"/>
              <w:rPr>
                <w:sz w:val="20"/>
                <w:szCs w:val="20"/>
                <w:color w:val="auto"/>
              </w:rPr>
            </w:pPr>
            <w:r>
              <w:rPr>
                <w:rFonts w:ascii="Arial" w:cs="Arial" w:eastAsia="Arial" w:hAnsi="Arial"/>
                <w:sz w:val="13"/>
                <w:szCs w:val="13"/>
                <w:b w:val="1"/>
                <w:bCs w:val="1"/>
                <w:i w:val="1"/>
                <w:iCs w:val="1"/>
                <w:color w:val="355A89"/>
              </w:rPr>
              <w:t>Marc Holliday</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355A89"/>
              </w:rPr>
              <w:t>Termination without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355A89"/>
              </w:rPr>
              <w:t>Termination</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355A89"/>
              </w:rPr>
              <w:t>Death</w:t>
            </w:r>
            <w:r>
              <w:rPr>
                <w:rFonts w:ascii="Arial" w:cs="Arial" w:eastAsia="Arial" w:hAnsi="Arial"/>
                <w:sz w:val="22"/>
                <w:szCs w:val="22"/>
                <w:b w:val="1"/>
                <w:bCs w:val="1"/>
                <w:color w:val="355A89"/>
                <w:vertAlign w:val="superscript"/>
              </w:rPr>
              <w:t>(1)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20"/>
                <w:szCs w:val="20"/>
                <w:color w:val="auto"/>
              </w:rPr>
            </w:pPr>
            <w:r>
              <w:rPr>
                <w:rFonts w:ascii="Arial" w:cs="Arial" w:eastAsia="Arial" w:hAnsi="Arial"/>
                <w:sz w:val="13"/>
                <w:szCs w:val="13"/>
                <w:b w:val="1"/>
                <w:bCs w:val="1"/>
                <w:color w:val="auto"/>
              </w:rPr>
              <w:t>Payment/Benefit</w:t>
            </w:r>
          </w:p>
        </w:tc>
        <w:tc>
          <w:tcPr>
            <w:tcW w:w="1880" w:type="dxa"/>
            <w:vAlign w:val="bottom"/>
            <w:gridSpan w:val="4"/>
          </w:tcPr>
          <w:p>
            <w:pPr>
              <w:ind w:left="120"/>
              <w:spacing w:after="0"/>
              <w:rPr>
                <w:sz w:val="20"/>
                <w:szCs w:val="20"/>
                <w:color w:val="auto"/>
              </w:rPr>
            </w:pPr>
            <w:r>
              <w:rPr>
                <w:rFonts w:ascii="Arial" w:cs="Arial" w:eastAsia="Arial" w:hAnsi="Arial"/>
                <w:sz w:val="13"/>
                <w:szCs w:val="13"/>
                <w:b w:val="1"/>
                <w:bCs w:val="1"/>
                <w:color w:val="355A89"/>
              </w:rPr>
              <w:t>Cause or for Good Reason</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355A89"/>
              </w:rPr>
              <w:t>w/ Change in Control</w:t>
            </w:r>
          </w:p>
        </w:tc>
        <w:tc>
          <w:tcPr>
            <w:tcW w:w="220" w:type="dxa"/>
            <w:vAlign w:val="bottom"/>
          </w:tcPr>
          <w:p>
            <w:pPr>
              <w:spacing w:after="0"/>
              <w:rPr>
                <w:sz w:val="16"/>
                <w:szCs w:val="16"/>
                <w:color w:val="auto"/>
              </w:rPr>
            </w:pPr>
          </w:p>
        </w:tc>
        <w:tc>
          <w:tcPr>
            <w:tcW w:w="1020" w:type="dxa"/>
            <w:vAlign w:val="bottom"/>
            <w:gridSpan w:val="2"/>
          </w:tcPr>
          <w:p>
            <w:pPr>
              <w:ind w:left="320"/>
              <w:spacing w:after="0"/>
              <w:rPr>
                <w:sz w:val="20"/>
                <w:szCs w:val="20"/>
                <w:color w:val="auto"/>
              </w:rPr>
            </w:pPr>
            <w:r>
              <w:rPr>
                <w:rFonts w:ascii="Arial" w:cs="Arial" w:eastAsia="Arial" w:hAnsi="Arial"/>
                <w:sz w:val="13"/>
                <w:szCs w:val="13"/>
                <w:b w:val="1"/>
                <w:bCs w:val="1"/>
                <w:color w:val="355A89"/>
              </w:rPr>
              <w:t>Disability</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355A89"/>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1460" w:type="dxa"/>
            <w:vAlign w:val="bottom"/>
            <w:shd w:val="clear" w:color="auto" w:fill="355A89"/>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355A89"/>
          </w:tcPr>
          <w:p>
            <w:pPr>
              <w:spacing w:after="0"/>
              <w:rPr>
                <w:sz w:val="2"/>
                <w:szCs w:val="2"/>
                <w:color w:val="auto"/>
              </w:rPr>
            </w:pPr>
          </w:p>
        </w:tc>
        <w:tc>
          <w:tcPr>
            <w:tcW w:w="106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92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Pr>
          <w:p>
            <w:pPr>
              <w:spacing w:after="0"/>
              <w:rPr>
                <w:sz w:val="20"/>
                <w:szCs w:val="20"/>
                <w:color w:val="auto"/>
              </w:rPr>
            </w:pPr>
            <w:r>
              <w:rPr>
                <w:rFonts w:ascii="Arial" w:cs="Arial" w:eastAsia="Arial" w:hAnsi="Arial"/>
                <w:sz w:val="18"/>
                <w:szCs w:val="18"/>
                <w:color w:val="auto"/>
              </w:rPr>
              <w:t>Pro-Rata Bonus</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7,519,781</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7,519,781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7,519,781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7,519,781</w:t>
            </w:r>
          </w:p>
        </w:tc>
        <w:tc>
          <w:tcPr>
            <w:tcW w:w="0" w:type="dxa"/>
            <w:vAlign w:val="bottom"/>
          </w:tcPr>
          <w:p>
            <w:pPr>
              <w:spacing w:after="0"/>
              <w:rPr>
                <w:sz w:val="1"/>
                <w:szCs w:val="1"/>
                <w:color w:val="auto"/>
              </w:rPr>
            </w:pPr>
          </w:p>
        </w:tc>
      </w:tr>
      <w:tr>
        <w:trPr>
          <w:trHeight w:val="21"/>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Cash Severance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19,000,000</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28,500,000</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9,500,000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00" w:type="dxa"/>
            <w:vAlign w:val="bottom"/>
            <w:tcBorders>
              <w:top w:val="single" w:sz="8" w:color="355A89"/>
              <w:bottom w:val="single" w:sz="8" w:color="355A89"/>
            </w:tcBorders>
          </w:tcPr>
          <w:p>
            <w:pPr>
              <w:spacing w:after="0" w:line="296"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14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355A89"/>
              <w:bottom w:val="single" w:sz="8" w:color="355A89"/>
            </w:tcBorders>
          </w:tcPr>
          <w:p>
            <w:pPr>
              <w:spacing w:after="0"/>
              <w:rPr>
                <w:sz w:val="24"/>
                <w:szCs w:val="24"/>
                <w:color w:val="auto"/>
              </w:rPr>
            </w:pPr>
          </w:p>
        </w:tc>
        <w:tc>
          <w:tcPr>
            <w:tcW w:w="10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top w:val="single" w:sz="8" w:color="355A89"/>
              <w:bottom w:val="single" w:sz="8" w:color="355A89"/>
            </w:tcBorders>
          </w:tcPr>
          <w:p>
            <w:pPr>
              <w:spacing w:after="0"/>
              <w:rPr>
                <w:sz w:val="24"/>
                <w:szCs w:val="24"/>
                <w:color w:val="auto"/>
              </w:rPr>
            </w:pPr>
          </w:p>
        </w:tc>
        <w:tc>
          <w:tcPr>
            <w:tcW w:w="92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90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5500" w:type="dxa"/>
            <w:vAlign w:val="bottom"/>
          </w:tcPr>
          <w:p>
            <w:pPr>
              <w:spacing w:after="0" w:line="291"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9,278,820</w:t>
            </w:r>
          </w:p>
        </w:tc>
        <w:tc>
          <w:tcPr>
            <w:tcW w:w="6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12,308,221</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9,278,820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9,278,820</w:t>
            </w:r>
          </w:p>
        </w:tc>
        <w:tc>
          <w:tcPr>
            <w:tcW w:w="0" w:type="dxa"/>
            <w:vAlign w:val="bottom"/>
          </w:tcPr>
          <w:p>
            <w:pPr>
              <w:spacing w:after="0"/>
              <w:rPr>
                <w:sz w:val="1"/>
                <w:szCs w:val="1"/>
                <w:color w:val="auto"/>
              </w:rPr>
            </w:pPr>
          </w:p>
        </w:tc>
      </w:tr>
      <w:tr>
        <w:trPr>
          <w:trHeight w:val="20"/>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500" w:type="dxa"/>
            <w:vAlign w:val="bottom"/>
          </w:tcPr>
          <w:p>
            <w:pPr>
              <w:spacing w:after="0" w:line="291"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140,238</w:t>
            </w:r>
          </w:p>
        </w:tc>
        <w:tc>
          <w:tcPr>
            <w:tcW w:w="6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210,357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210,357</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5500" w:type="dxa"/>
            <w:vAlign w:val="bottom"/>
            <w:tcBorders>
              <w:top w:val="single" w:sz="8" w:color="355A89"/>
            </w:tcBorders>
          </w:tcPr>
          <w:p>
            <w:pPr>
              <w:spacing w:after="0"/>
              <w:rPr>
                <w:sz w:val="20"/>
                <w:szCs w:val="20"/>
                <w:color w:val="auto"/>
              </w:rPr>
            </w:pPr>
            <w:r>
              <w:rPr>
                <w:rFonts w:ascii="Arial" w:cs="Arial" w:eastAsia="Arial" w:hAnsi="Arial"/>
                <w:sz w:val="13"/>
                <w:szCs w:val="13"/>
                <w:b w:val="1"/>
                <w:bCs w:val="1"/>
                <w:i w:val="1"/>
                <w:iCs w:val="1"/>
                <w:color w:val="355A89"/>
              </w:rPr>
              <w:t>Andrew Mathias</w:t>
            </w:r>
          </w:p>
        </w:tc>
        <w:tc>
          <w:tcPr>
            <w:tcW w:w="120" w:type="dxa"/>
            <w:vAlign w:val="bottom"/>
          </w:tcPr>
          <w:p>
            <w:pPr>
              <w:spacing w:after="0"/>
              <w:rPr>
                <w:sz w:val="24"/>
                <w:szCs w:val="24"/>
                <w:color w:val="auto"/>
              </w:rPr>
            </w:pPr>
          </w:p>
        </w:tc>
        <w:tc>
          <w:tcPr>
            <w:tcW w:w="240" w:type="dxa"/>
            <w:vAlign w:val="bottom"/>
            <w:tcBorders>
              <w:top w:val="single" w:sz="8" w:color="355A89"/>
            </w:tcBorders>
          </w:tcPr>
          <w:p>
            <w:pPr>
              <w:spacing w:after="0"/>
              <w:rPr>
                <w:sz w:val="24"/>
                <w:szCs w:val="24"/>
                <w:color w:val="auto"/>
              </w:rPr>
            </w:pPr>
          </w:p>
        </w:tc>
        <w:tc>
          <w:tcPr>
            <w:tcW w:w="1460" w:type="dxa"/>
            <w:vAlign w:val="bottom"/>
            <w:tcBorders>
              <w:top w:val="single" w:sz="8" w:color="355A89"/>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355A89"/>
            </w:tcBorders>
          </w:tcPr>
          <w:p>
            <w:pPr>
              <w:spacing w:after="0"/>
              <w:rPr>
                <w:sz w:val="24"/>
                <w:szCs w:val="24"/>
                <w:color w:val="auto"/>
              </w:rPr>
            </w:pPr>
          </w:p>
        </w:tc>
        <w:tc>
          <w:tcPr>
            <w:tcW w:w="1060" w:type="dxa"/>
            <w:vAlign w:val="bottom"/>
            <w:tcBorders>
              <w:top w:val="single" w:sz="8" w:color="355A89"/>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355A89"/>
            </w:tcBorders>
          </w:tcPr>
          <w:p>
            <w:pPr>
              <w:spacing w:after="0"/>
              <w:rPr>
                <w:sz w:val="24"/>
                <w:szCs w:val="24"/>
                <w:color w:val="auto"/>
              </w:rPr>
            </w:pPr>
          </w:p>
        </w:tc>
        <w:tc>
          <w:tcPr>
            <w:tcW w:w="920" w:type="dxa"/>
            <w:vAlign w:val="bottom"/>
            <w:tcBorders>
              <w:top w:val="single" w:sz="8" w:color="355A89"/>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355A89"/>
            </w:tcBorders>
          </w:tcPr>
          <w:p>
            <w:pPr>
              <w:spacing w:after="0"/>
              <w:rPr>
                <w:sz w:val="24"/>
                <w:szCs w:val="24"/>
                <w:color w:val="auto"/>
              </w:rPr>
            </w:pPr>
          </w:p>
        </w:tc>
        <w:tc>
          <w:tcPr>
            <w:tcW w:w="900" w:type="dxa"/>
            <w:vAlign w:val="bottom"/>
            <w:tcBorders>
              <w:top w:val="single" w:sz="8" w:color="355A89"/>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355A89"/>
              </w:rPr>
              <w:t>Termination without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355A89"/>
              </w:rPr>
              <w:t>Termination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20"/>
                <w:szCs w:val="20"/>
                <w:color w:val="auto"/>
              </w:rPr>
            </w:pPr>
            <w:r>
              <w:rPr>
                <w:rFonts w:ascii="Arial" w:cs="Arial" w:eastAsia="Arial" w:hAnsi="Arial"/>
                <w:sz w:val="13"/>
                <w:szCs w:val="13"/>
                <w:b w:val="1"/>
                <w:bCs w:val="1"/>
                <w:color w:val="auto"/>
              </w:rPr>
              <w:t>Payment/Benefit</w:t>
            </w:r>
          </w:p>
        </w:tc>
        <w:tc>
          <w:tcPr>
            <w:tcW w:w="1880" w:type="dxa"/>
            <w:vAlign w:val="bottom"/>
            <w:gridSpan w:val="4"/>
          </w:tcPr>
          <w:p>
            <w:pPr>
              <w:ind w:left="120"/>
              <w:spacing w:after="0"/>
              <w:rPr>
                <w:sz w:val="20"/>
                <w:szCs w:val="20"/>
                <w:color w:val="auto"/>
              </w:rPr>
            </w:pPr>
            <w:r>
              <w:rPr>
                <w:rFonts w:ascii="Arial" w:cs="Arial" w:eastAsia="Arial" w:hAnsi="Arial"/>
                <w:sz w:val="13"/>
                <w:szCs w:val="13"/>
                <w:b w:val="1"/>
                <w:bCs w:val="1"/>
                <w:color w:val="355A89"/>
              </w:rPr>
              <w:t>Cause or for Good Reason</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355A89"/>
              </w:rPr>
              <w:t>w/ Change in Control</w:t>
            </w:r>
          </w:p>
        </w:tc>
        <w:tc>
          <w:tcPr>
            <w:tcW w:w="220" w:type="dxa"/>
            <w:vAlign w:val="bottom"/>
          </w:tcPr>
          <w:p>
            <w:pPr>
              <w:spacing w:after="0"/>
              <w:rPr>
                <w:sz w:val="16"/>
                <w:szCs w:val="16"/>
                <w:color w:val="auto"/>
              </w:rPr>
            </w:pPr>
          </w:p>
        </w:tc>
        <w:tc>
          <w:tcPr>
            <w:tcW w:w="1020" w:type="dxa"/>
            <w:vAlign w:val="bottom"/>
            <w:gridSpan w:val="2"/>
          </w:tcPr>
          <w:p>
            <w:pPr>
              <w:ind w:left="320"/>
              <w:spacing w:after="0"/>
              <w:rPr>
                <w:sz w:val="20"/>
                <w:szCs w:val="20"/>
                <w:color w:val="auto"/>
              </w:rPr>
            </w:pPr>
            <w:r>
              <w:rPr>
                <w:rFonts w:ascii="Arial" w:cs="Arial" w:eastAsia="Arial" w:hAnsi="Arial"/>
                <w:sz w:val="13"/>
                <w:szCs w:val="13"/>
                <w:b w:val="1"/>
                <w:bCs w:val="1"/>
                <w:color w:val="355A89"/>
              </w:rPr>
              <w:t>Disability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A89"/>
              </w:rPr>
              <w:t>Death</w:t>
            </w:r>
          </w:p>
        </w:tc>
        <w:tc>
          <w:tcPr>
            <w:tcW w:w="0" w:type="dxa"/>
            <w:vAlign w:val="bottom"/>
          </w:tcPr>
          <w:p>
            <w:pPr>
              <w:spacing w:after="0"/>
              <w:rPr>
                <w:sz w:val="1"/>
                <w:szCs w:val="1"/>
                <w:color w:val="auto"/>
              </w:rPr>
            </w:pPr>
          </w:p>
        </w:tc>
      </w:tr>
      <w:tr>
        <w:trPr>
          <w:trHeight w:val="34"/>
        </w:trPr>
        <w:tc>
          <w:tcPr>
            <w:tcW w:w="5500" w:type="dxa"/>
            <w:vAlign w:val="bottom"/>
            <w:shd w:val="clear" w:color="auto" w:fill="355A89"/>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1460" w:type="dxa"/>
            <w:vAlign w:val="bottom"/>
            <w:shd w:val="clear" w:color="auto" w:fill="355A89"/>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355A89"/>
          </w:tcPr>
          <w:p>
            <w:pPr>
              <w:spacing w:after="0"/>
              <w:rPr>
                <w:sz w:val="2"/>
                <w:szCs w:val="2"/>
                <w:color w:val="auto"/>
              </w:rPr>
            </w:pPr>
          </w:p>
        </w:tc>
        <w:tc>
          <w:tcPr>
            <w:tcW w:w="106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92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Pr>
          <w:p>
            <w:pPr>
              <w:spacing w:after="0"/>
              <w:rPr>
                <w:sz w:val="20"/>
                <w:szCs w:val="20"/>
                <w:color w:val="auto"/>
              </w:rPr>
            </w:pPr>
            <w:r>
              <w:rPr>
                <w:rFonts w:ascii="Arial" w:cs="Arial" w:eastAsia="Arial" w:hAnsi="Arial"/>
                <w:sz w:val="18"/>
                <w:szCs w:val="18"/>
                <w:color w:val="auto"/>
              </w:rPr>
              <w:t>Pro-Rata Bonus</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5,410,157</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5,410,157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5,410,157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5,410,157</w:t>
            </w:r>
          </w:p>
        </w:tc>
        <w:tc>
          <w:tcPr>
            <w:tcW w:w="0" w:type="dxa"/>
            <w:vAlign w:val="bottom"/>
          </w:tcPr>
          <w:p>
            <w:pPr>
              <w:spacing w:after="0"/>
              <w:rPr>
                <w:sz w:val="1"/>
                <w:szCs w:val="1"/>
                <w:color w:val="auto"/>
              </w:rPr>
            </w:pPr>
          </w:p>
        </w:tc>
      </w:tr>
      <w:tr>
        <w:trPr>
          <w:trHeight w:val="21"/>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Cash Severance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10,237,500</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17,062,500</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6,825,000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00" w:type="dxa"/>
            <w:vAlign w:val="bottom"/>
            <w:tcBorders>
              <w:top w:val="single" w:sz="8" w:color="355A89"/>
              <w:bottom w:val="single" w:sz="8" w:color="355A89"/>
            </w:tcBorders>
          </w:tcPr>
          <w:p>
            <w:pPr>
              <w:spacing w:after="0" w:line="296"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14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355A89"/>
              <w:bottom w:val="single" w:sz="8" w:color="355A89"/>
            </w:tcBorders>
          </w:tcPr>
          <w:p>
            <w:pPr>
              <w:spacing w:after="0"/>
              <w:rPr>
                <w:sz w:val="24"/>
                <w:szCs w:val="24"/>
                <w:color w:val="auto"/>
              </w:rPr>
            </w:pPr>
          </w:p>
        </w:tc>
        <w:tc>
          <w:tcPr>
            <w:tcW w:w="10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top w:val="single" w:sz="8" w:color="355A89"/>
              <w:bottom w:val="single" w:sz="8" w:color="355A89"/>
            </w:tcBorders>
          </w:tcPr>
          <w:p>
            <w:pPr>
              <w:spacing w:after="0"/>
              <w:rPr>
                <w:sz w:val="24"/>
                <w:szCs w:val="24"/>
                <w:color w:val="auto"/>
              </w:rPr>
            </w:pPr>
          </w:p>
        </w:tc>
        <w:tc>
          <w:tcPr>
            <w:tcW w:w="92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90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5500" w:type="dxa"/>
            <w:vAlign w:val="bottom"/>
          </w:tcPr>
          <w:p>
            <w:pPr>
              <w:spacing w:after="0" w:line="291"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7,355,886</w:t>
            </w:r>
          </w:p>
        </w:tc>
        <w:tc>
          <w:tcPr>
            <w:tcW w:w="6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9,779,328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7,355,886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7,355,886</w:t>
            </w:r>
          </w:p>
        </w:tc>
        <w:tc>
          <w:tcPr>
            <w:tcW w:w="0" w:type="dxa"/>
            <w:vAlign w:val="bottom"/>
          </w:tcPr>
          <w:p>
            <w:pPr>
              <w:spacing w:after="0"/>
              <w:rPr>
                <w:sz w:val="1"/>
                <w:szCs w:val="1"/>
                <w:color w:val="auto"/>
              </w:rPr>
            </w:pPr>
          </w:p>
        </w:tc>
      </w:tr>
      <w:tr>
        <w:trPr>
          <w:trHeight w:val="20"/>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500" w:type="dxa"/>
            <w:vAlign w:val="bottom"/>
          </w:tcPr>
          <w:p>
            <w:pPr>
              <w:spacing w:after="0" w:line="291"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79,353</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132,255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158,706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5500" w:type="dxa"/>
            <w:vAlign w:val="bottom"/>
            <w:tcBorders>
              <w:top w:val="single" w:sz="8" w:color="355A89"/>
            </w:tcBorders>
          </w:tcPr>
          <w:p>
            <w:pPr>
              <w:spacing w:after="0"/>
              <w:rPr>
                <w:sz w:val="20"/>
                <w:szCs w:val="20"/>
                <w:color w:val="auto"/>
              </w:rPr>
            </w:pPr>
            <w:r>
              <w:rPr>
                <w:rFonts w:ascii="Arial" w:cs="Arial" w:eastAsia="Arial" w:hAnsi="Arial"/>
                <w:sz w:val="13"/>
                <w:szCs w:val="13"/>
                <w:b w:val="1"/>
                <w:bCs w:val="1"/>
                <w:i w:val="1"/>
                <w:iCs w:val="1"/>
                <w:color w:val="355A89"/>
              </w:rPr>
              <w:t>Matthew J. DiLiberto</w:t>
            </w:r>
          </w:p>
        </w:tc>
        <w:tc>
          <w:tcPr>
            <w:tcW w:w="120" w:type="dxa"/>
            <w:vAlign w:val="bottom"/>
          </w:tcPr>
          <w:p>
            <w:pPr>
              <w:spacing w:after="0"/>
              <w:rPr>
                <w:sz w:val="24"/>
                <w:szCs w:val="24"/>
                <w:color w:val="auto"/>
              </w:rPr>
            </w:pPr>
          </w:p>
        </w:tc>
        <w:tc>
          <w:tcPr>
            <w:tcW w:w="240" w:type="dxa"/>
            <w:vAlign w:val="bottom"/>
            <w:tcBorders>
              <w:top w:val="single" w:sz="8" w:color="355A89"/>
            </w:tcBorders>
          </w:tcPr>
          <w:p>
            <w:pPr>
              <w:spacing w:after="0"/>
              <w:rPr>
                <w:sz w:val="24"/>
                <w:szCs w:val="24"/>
                <w:color w:val="auto"/>
              </w:rPr>
            </w:pPr>
          </w:p>
        </w:tc>
        <w:tc>
          <w:tcPr>
            <w:tcW w:w="1460" w:type="dxa"/>
            <w:vAlign w:val="bottom"/>
            <w:tcBorders>
              <w:top w:val="single" w:sz="8" w:color="355A89"/>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355A89"/>
            </w:tcBorders>
          </w:tcPr>
          <w:p>
            <w:pPr>
              <w:spacing w:after="0"/>
              <w:rPr>
                <w:sz w:val="24"/>
                <w:szCs w:val="24"/>
                <w:color w:val="auto"/>
              </w:rPr>
            </w:pPr>
          </w:p>
        </w:tc>
        <w:tc>
          <w:tcPr>
            <w:tcW w:w="1060" w:type="dxa"/>
            <w:vAlign w:val="bottom"/>
            <w:tcBorders>
              <w:top w:val="single" w:sz="8" w:color="355A89"/>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355A89"/>
            </w:tcBorders>
          </w:tcPr>
          <w:p>
            <w:pPr>
              <w:spacing w:after="0"/>
              <w:rPr>
                <w:sz w:val="24"/>
                <w:szCs w:val="24"/>
                <w:color w:val="auto"/>
              </w:rPr>
            </w:pPr>
          </w:p>
        </w:tc>
        <w:tc>
          <w:tcPr>
            <w:tcW w:w="920" w:type="dxa"/>
            <w:vAlign w:val="bottom"/>
            <w:tcBorders>
              <w:top w:val="single" w:sz="8" w:color="355A89"/>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355A89"/>
            </w:tcBorders>
          </w:tcPr>
          <w:p>
            <w:pPr>
              <w:spacing w:after="0"/>
              <w:rPr>
                <w:sz w:val="24"/>
                <w:szCs w:val="24"/>
                <w:color w:val="auto"/>
              </w:rPr>
            </w:pPr>
          </w:p>
        </w:tc>
        <w:tc>
          <w:tcPr>
            <w:tcW w:w="900" w:type="dxa"/>
            <w:vAlign w:val="bottom"/>
            <w:tcBorders>
              <w:top w:val="single" w:sz="8" w:color="355A89"/>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355A89"/>
              </w:rPr>
              <w:t>Termination without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355A89"/>
              </w:rPr>
              <w:t>Termination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20"/>
                <w:szCs w:val="20"/>
                <w:color w:val="auto"/>
              </w:rPr>
            </w:pPr>
            <w:r>
              <w:rPr>
                <w:rFonts w:ascii="Arial" w:cs="Arial" w:eastAsia="Arial" w:hAnsi="Arial"/>
                <w:sz w:val="13"/>
                <w:szCs w:val="13"/>
                <w:b w:val="1"/>
                <w:bCs w:val="1"/>
                <w:color w:val="auto"/>
              </w:rPr>
              <w:t>Payment/Benefit</w:t>
            </w:r>
          </w:p>
        </w:tc>
        <w:tc>
          <w:tcPr>
            <w:tcW w:w="1880" w:type="dxa"/>
            <w:vAlign w:val="bottom"/>
            <w:gridSpan w:val="4"/>
          </w:tcPr>
          <w:p>
            <w:pPr>
              <w:ind w:left="120"/>
              <w:spacing w:after="0"/>
              <w:rPr>
                <w:sz w:val="20"/>
                <w:szCs w:val="20"/>
                <w:color w:val="auto"/>
              </w:rPr>
            </w:pPr>
            <w:r>
              <w:rPr>
                <w:rFonts w:ascii="Arial" w:cs="Arial" w:eastAsia="Arial" w:hAnsi="Arial"/>
                <w:sz w:val="13"/>
                <w:szCs w:val="13"/>
                <w:b w:val="1"/>
                <w:bCs w:val="1"/>
                <w:color w:val="355A89"/>
              </w:rPr>
              <w:t>Cause or for Good Reason</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355A89"/>
              </w:rPr>
              <w:t>w/ Change in Control</w:t>
            </w:r>
          </w:p>
        </w:tc>
        <w:tc>
          <w:tcPr>
            <w:tcW w:w="220" w:type="dxa"/>
            <w:vAlign w:val="bottom"/>
          </w:tcPr>
          <w:p>
            <w:pPr>
              <w:spacing w:after="0"/>
              <w:rPr>
                <w:sz w:val="16"/>
                <w:szCs w:val="16"/>
                <w:color w:val="auto"/>
              </w:rPr>
            </w:pPr>
          </w:p>
        </w:tc>
        <w:tc>
          <w:tcPr>
            <w:tcW w:w="1020" w:type="dxa"/>
            <w:vAlign w:val="bottom"/>
            <w:gridSpan w:val="2"/>
          </w:tcPr>
          <w:p>
            <w:pPr>
              <w:ind w:left="320"/>
              <w:spacing w:after="0"/>
              <w:rPr>
                <w:sz w:val="20"/>
                <w:szCs w:val="20"/>
                <w:color w:val="auto"/>
              </w:rPr>
            </w:pPr>
            <w:r>
              <w:rPr>
                <w:rFonts w:ascii="Arial" w:cs="Arial" w:eastAsia="Arial" w:hAnsi="Arial"/>
                <w:sz w:val="13"/>
                <w:szCs w:val="13"/>
                <w:b w:val="1"/>
                <w:bCs w:val="1"/>
                <w:color w:val="355A89"/>
              </w:rPr>
              <w:t>Disability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A89"/>
              </w:rPr>
              <w:t>Death</w:t>
            </w:r>
          </w:p>
        </w:tc>
        <w:tc>
          <w:tcPr>
            <w:tcW w:w="0" w:type="dxa"/>
            <w:vAlign w:val="bottom"/>
          </w:tcPr>
          <w:p>
            <w:pPr>
              <w:spacing w:after="0"/>
              <w:rPr>
                <w:sz w:val="1"/>
                <w:szCs w:val="1"/>
                <w:color w:val="auto"/>
              </w:rPr>
            </w:pPr>
          </w:p>
        </w:tc>
      </w:tr>
      <w:tr>
        <w:trPr>
          <w:trHeight w:val="34"/>
        </w:trPr>
        <w:tc>
          <w:tcPr>
            <w:tcW w:w="5500" w:type="dxa"/>
            <w:vAlign w:val="bottom"/>
            <w:shd w:val="clear" w:color="auto" w:fill="355A89"/>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1460" w:type="dxa"/>
            <w:vAlign w:val="bottom"/>
            <w:shd w:val="clear" w:color="auto" w:fill="355A89"/>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355A89"/>
          </w:tcPr>
          <w:p>
            <w:pPr>
              <w:spacing w:after="0"/>
              <w:rPr>
                <w:sz w:val="2"/>
                <w:szCs w:val="2"/>
                <w:color w:val="auto"/>
              </w:rPr>
            </w:pPr>
          </w:p>
        </w:tc>
        <w:tc>
          <w:tcPr>
            <w:tcW w:w="106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92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Pr>
          <w:p>
            <w:pPr>
              <w:spacing w:after="0"/>
              <w:rPr>
                <w:sz w:val="20"/>
                <w:szCs w:val="20"/>
                <w:color w:val="auto"/>
              </w:rPr>
            </w:pPr>
            <w:r>
              <w:rPr>
                <w:rFonts w:ascii="Arial" w:cs="Arial" w:eastAsia="Arial" w:hAnsi="Arial"/>
                <w:sz w:val="18"/>
                <w:szCs w:val="18"/>
                <w:color w:val="auto"/>
              </w:rPr>
              <w:t>Pro-Rata Bonus</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1,900,000</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1,900,000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1,900,000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1,900,000</w:t>
            </w:r>
          </w:p>
        </w:tc>
        <w:tc>
          <w:tcPr>
            <w:tcW w:w="0" w:type="dxa"/>
            <w:vAlign w:val="bottom"/>
          </w:tcPr>
          <w:p>
            <w:pPr>
              <w:spacing w:after="0"/>
              <w:rPr>
                <w:sz w:val="1"/>
                <w:szCs w:val="1"/>
                <w:color w:val="auto"/>
              </w:rPr>
            </w:pPr>
          </w:p>
        </w:tc>
      </w:tr>
      <w:tr>
        <w:trPr>
          <w:trHeight w:val="21"/>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Cash Severance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2,450,000</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4,900,000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2,450,000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00" w:type="dxa"/>
            <w:vAlign w:val="bottom"/>
            <w:tcBorders>
              <w:top w:val="single" w:sz="8" w:color="355A89"/>
              <w:bottom w:val="single" w:sz="8" w:color="355A89"/>
            </w:tcBorders>
          </w:tcPr>
          <w:p>
            <w:pPr>
              <w:spacing w:after="0" w:line="296"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14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355A89"/>
              <w:bottom w:val="single" w:sz="8" w:color="355A89"/>
            </w:tcBorders>
          </w:tcPr>
          <w:p>
            <w:pPr>
              <w:spacing w:after="0"/>
              <w:rPr>
                <w:sz w:val="24"/>
                <w:szCs w:val="24"/>
                <w:color w:val="auto"/>
              </w:rPr>
            </w:pPr>
          </w:p>
        </w:tc>
        <w:tc>
          <w:tcPr>
            <w:tcW w:w="10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top w:val="single" w:sz="8" w:color="355A89"/>
              <w:bottom w:val="single" w:sz="8" w:color="355A89"/>
            </w:tcBorders>
          </w:tcPr>
          <w:p>
            <w:pPr>
              <w:spacing w:after="0"/>
              <w:rPr>
                <w:sz w:val="24"/>
                <w:szCs w:val="24"/>
                <w:color w:val="auto"/>
              </w:rPr>
            </w:pPr>
          </w:p>
        </w:tc>
        <w:tc>
          <w:tcPr>
            <w:tcW w:w="92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90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5500" w:type="dxa"/>
            <w:vAlign w:val="bottom"/>
          </w:tcPr>
          <w:p>
            <w:pPr>
              <w:spacing w:after="0" w:line="291"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791,444</w:t>
            </w:r>
          </w:p>
        </w:tc>
        <w:tc>
          <w:tcPr>
            <w:tcW w:w="6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1,387,601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685,213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685,213</w:t>
            </w:r>
          </w:p>
        </w:tc>
        <w:tc>
          <w:tcPr>
            <w:tcW w:w="0" w:type="dxa"/>
            <w:vAlign w:val="bottom"/>
          </w:tcPr>
          <w:p>
            <w:pPr>
              <w:spacing w:after="0"/>
              <w:rPr>
                <w:sz w:val="1"/>
                <w:szCs w:val="1"/>
                <w:color w:val="auto"/>
              </w:rPr>
            </w:pPr>
          </w:p>
        </w:tc>
      </w:tr>
      <w:tr>
        <w:trPr>
          <w:trHeight w:val="20"/>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500" w:type="dxa"/>
            <w:vAlign w:val="bottom"/>
          </w:tcPr>
          <w:p>
            <w:pPr>
              <w:spacing w:after="0" w:line="291"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32,046</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64,093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96,139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5500" w:type="dxa"/>
            <w:vAlign w:val="bottom"/>
            <w:tcBorders>
              <w:top w:val="single" w:sz="8" w:color="355A89"/>
            </w:tcBorders>
          </w:tcPr>
          <w:p>
            <w:pPr>
              <w:spacing w:after="0"/>
              <w:rPr>
                <w:sz w:val="20"/>
                <w:szCs w:val="20"/>
                <w:color w:val="auto"/>
              </w:rPr>
            </w:pPr>
            <w:r>
              <w:rPr>
                <w:rFonts w:ascii="Arial" w:cs="Arial" w:eastAsia="Arial" w:hAnsi="Arial"/>
                <w:sz w:val="13"/>
                <w:szCs w:val="13"/>
                <w:b w:val="1"/>
                <w:bCs w:val="1"/>
                <w:i w:val="1"/>
                <w:iCs w:val="1"/>
                <w:color w:val="355A89"/>
              </w:rPr>
              <w:t>Andrew S. Levine</w:t>
            </w:r>
          </w:p>
        </w:tc>
        <w:tc>
          <w:tcPr>
            <w:tcW w:w="120" w:type="dxa"/>
            <w:vAlign w:val="bottom"/>
          </w:tcPr>
          <w:p>
            <w:pPr>
              <w:spacing w:after="0"/>
              <w:rPr>
                <w:sz w:val="24"/>
                <w:szCs w:val="24"/>
                <w:color w:val="auto"/>
              </w:rPr>
            </w:pPr>
          </w:p>
        </w:tc>
        <w:tc>
          <w:tcPr>
            <w:tcW w:w="240" w:type="dxa"/>
            <w:vAlign w:val="bottom"/>
            <w:tcBorders>
              <w:top w:val="single" w:sz="8" w:color="355A89"/>
            </w:tcBorders>
          </w:tcPr>
          <w:p>
            <w:pPr>
              <w:spacing w:after="0"/>
              <w:rPr>
                <w:sz w:val="24"/>
                <w:szCs w:val="24"/>
                <w:color w:val="auto"/>
              </w:rPr>
            </w:pPr>
          </w:p>
        </w:tc>
        <w:tc>
          <w:tcPr>
            <w:tcW w:w="1460" w:type="dxa"/>
            <w:vAlign w:val="bottom"/>
            <w:tcBorders>
              <w:top w:val="single" w:sz="8" w:color="355A89"/>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355A89"/>
            </w:tcBorders>
          </w:tcPr>
          <w:p>
            <w:pPr>
              <w:spacing w:after="0"/>
              <w:rPr>
                <w:sz w:val="24"/>
                <w:szCs w:val="24"/>
                <w:color w:val="auto"/>
              </w:rPr>
            </w:pPr>
          </w:p>
        </w:tc>
        <w:tc>
          <w:tcPr>
            <w:tcW w:w="1060" w:type="dxa"/>
            <w:vAlign w:val="bottom"/>
            <w:tcBorders>
              <w:top w:val="single" w:sz="8" w:color="355A89"/>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355A89"/>
            </w:tcBorders>
          </w:tcPr>
          <w:p>
            <w:pPr>
              <w:spacing w:after="0"/>
              <w:rPr>
                <w:sz w:val="24"/>
                <w:szCs w:val="24"/>
                <w:color w:val="auto"/>
              </w:rPr>
            </w:pPr>
          </w:p>
        </w:tc>
        <w:tc>
          <w:tcPr>
            <w:tcW w:w="920" w:type="dxa"/>
            <w:vAlign w:val="bottom"/>
            <w:tcBorders>
              <w:top w:val="single" w:sz="8" w:color="355A89"/>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355A89"/>
            </w:tcBorders>
          </w:tcPr>
          <w:p>
            <w:pPr>
              <w:spacing w:after="0"/>
              <w:rPr>
                <w:sz w:val="24"/>
                <w:szCs w:val="24"/>
                <w:color w:val="auto"/>
              </w:rPr>
            </w:pPr>
          </w:p>
        </w:tc>
        <w:tc>
          <w:tcPr>
            <w:tcW w:w="900" w:type="dxa"/>
            <w:vAlign w:val="bottom"/>
            <w:tcBorders>
              <w:top w:val="single" w:sz="8" w:color="355A89"/>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355A89"/>
              </w:rPr>
              <w:t>Termination without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355A89"/>
              </w:rPr>
              <w:t>Termination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20"/>
                <w:szCs w:val="20"/>
                <w:color w:val="auto"/>
              </w:rPr>
            </w:pPr>
            <w:r>
              <w:rPr>
                <w:rFonts w:ascii="Arial" w:cs="Arial" w:eastAsia="Arial" w:hAnsi="Arial"/>
                <w:sz w:val="13"/>
                <w:szCs w:val="13"/>
                <w:b w:val="1"/>
                <w:bCs w:val="1"/>
                <w:color w:val="auto"/>
              </w:rPr>
              <w:t>Payment/Benefit</w:t>
            </w:r>
          </w:p>
        </w:tc>
        <w:tc>
          <w:tcPr>
            <w:tcW w:w="1880" w:type="dxa"/>
            <w:vAlign w:val="bottom"/>
            <w:gridSpan w:val="4"/>
          </w:tcPr>
          <w:p>
            <w:pPr>
              <w:ind w:left="120"/>
              <w:spacing w:after="0"/>
              <w:rPr>
                <w:sz w:val="20"/>
                <w:szCs w:val="20"/>
                <w:color w:val="auto"/>
              </w:rPr>
            </w:pPr>
            <w:r>
              <w:rPr>
                <w:rFonts w:ascii="Arial" w:cs="Arial" w:eastAsia="Arial" w:hAnsi="Arial"/>
                <w:sz w:val="13"/>
                <w:szCs w:val="13"/>
                <w:b w:val="1"/>
                <w:bCs w:val="1"/>
                <w:color w:val="355A89"/>
              </w:rPr>
              <w:t>Cause or for Good Reason</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355A89"/>
              </w:rPr>
              <w:t>w/ Change in Control</w:t>
            </w:r>
          </w:p>
        </w:tc>
        <w:tc>
          <w:tcPr>
            <w:tcW w:w="220" w:type="dxa"/>
            <w:vAlign w:val="bottom"/>
          </w:tcPr>
          <w:p>
            <w:pPr>
              <w:spacing w:after="0"/>
              <w:rPr>
                <w:sz w:val="16"/>
                <w:szCs w:val="16"/>
                <w:color w:val="auto"/>
              </w:rPr>
            </w:pPr>
          </w:p>
        </w:tc>
        <w:tc>
          <w:tcPr>
            <w:tcW w:w="1020" w:type="dxa"/>
            <w:vAlign w:val="bottom"/>
            <w:gridSpan w:val="2"/>
          </w:tcPr>
          <w:p>
            <w:pPr>
              <w:ind w:left="320"/>
              <w:spacing w:after="0"/>
              <w:rPr>
                <w:sz w:val="20"/>
                <w:szCs w:val="20"/>
                <w:color w:val="auto"/>
              </w:rPr>
            </w:pPr>
            <w:r>
              <w:rPr>
                <w:rFonts w:ascii="Arial" w:cs="Arial" w:eastAsia="Arial" w:hAnsi="Arial"/>
                <w:sz w:val="13"/>
                <w:szCs w:val="13"/>
                <w:b w:val="1"/>
                <w:bCs w:val="1"/>
                <w:color w:val="355A89"/>
              </w:rPr>
              <w:t>Disability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355A89"/>
              </w:rPr>
              <w:t>Death</w:t>
            </w:r>
          </w:p>
        </w:tc>
        <w:tc>
          <w:tcPr>
            <w:tcW w:w="0" w:type="dxa"/>
            <w:vAlign w:val="bottom"/>
          </w:tcPr>
          <w:p>
            <w:pPr>
              <w:spacing w:after="0"/>
              <w:rPr>
                <w:sz w:val="1"/>
                <w:szCs w:val="1"/>
                <w:color w:val="auto"/>
              </w:rPr>
            </w:pPr>
          </w:p>
        </w:tc>
      </w:tr>
      <w:tr>
        <w:trPr>
          <w:trHeight w:val="34"/>
        </w:trPr>
        <w:tc>
          <w:tcPr>
            <w:tcW w:w="5500" w:type="dxa"/>
            <w:vAlign w:val="bottom"/>
            <w:shd w:val="clear" w:color="auto" w:fill="355A89"/>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1460" w:type="dxa"/>
            <w:vAlign w:val="bottom"/>
            <w:shd w:val="clear" w:color="auto" w:fill="355A89"/>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355A89"/>
          </w:tcPr>
          <w:p>
            <w:pPr>
              <w:spacing w:after="0"/>
              <w:rPr>
                <w:sz w:val="2"/>
                <w:szCs w:val="2"/>
                <w:color w:val="auto"/>
              </w:rPr>
            </w:pPr>
          </w:p>
        </w:tc>
        <w:tc>
          <w:tcPr>
            <w:tcW w:w="106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92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Pr>
          <w:p>
            <w:pPr>
              <w:spacing w:after="0"/>
              <w:rPr>
                <w:sz w:val="20"/>
                <w:szCs w:val="20"/>
                <w:color w:val="auto"/>
              </w:rPr>
            </w:pPr>
            <w:r>
              <w:rPr>
                <w:rFonts w:ascii="Arial" w:cs="Arial" w:eastAsia="Arial" w:hAnsi="Arial"/>
                <w:sz w:val="18"/>
                <w:szCs w:val="18"/>
                <w:color w:val="auto"/>
              </w:rPr>
              <w:t>Pro-Rata Bonus</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1,262,500</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1,262,500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1,262,500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1,262,500</w:t>
            </w:r>
          </w:p>
        </w:tc>
        <w:tc>
          <w:tcPr>
            <w:tcW w:w="0" w:type="dxa"/>
            <w:vAlign w:val="bottom"/>
          </w:tcPr>
          <w:p>
            <w:pPr>
              <w:spacing w:after="0"/>
              <w:rPr>
                <w:sz w:val="1"/>
                <w:szCs w:val="1"/>
                <w:color w:val="auto"/>
              </w:rPr>
            </w:pPr>
          </w:p>
        </w:tc>
      </w:tr>
      <w:tr>
        <w:trPr>
          <w:trHeight w:val="21"/>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Cash Severance</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3,142,500</w:t>
            </w:r>
          </w:p>
        </w:tc>
        <w:tc>
          <w:tcPr>
            <w:tcW w:w="60" w:type="dxa"/>
            <w:vAlign w:val="bottom"/>
          </w:tcPr>
          <w:p>
            <w:pPr>
              <w:spacing w:after="0"/>
              <w:rPr>
                <w:sz w:val="21"/>
                <w:szCs w:val="21"/>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4,985,000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3,142,500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97"/>
        </w:trPr>
        <w:tc>
          <w:tcPr>
            <w:tcW w:w="5500" w:type="dxa"/>
            <w:vAlign w:val="bottom"/>
            <w:tcBorders>
              <w:top w:val="single" w:sz="8" w:color="355A89"/>
              <w:bottom w:val="single" w:sz="8" w:color="355A89"/>
            </w:tcBorders>
          </w:tcPr>
          <w:p>
            <w:pPr>
              <w:spacing w:after="0" w:line="296" w:lineRule="exact"/>
              <w:rPr>
                <w:sz w:val="20"/>
                <w:szCs w:val="20"/>
                <w:color w:val="auto"/>
              </w:rPr>
            </w:pPr>
            <w:r>
              <w:rPr>
                <w:rFonts w:ascii="Arial" w:cs="Arial" w:eastAsia="Arial" w:hAnsi="Arial"/>
                <w:sz w:val="18"/>
                <w:szCs w:val="18"/>
                <w:color w:val="auto"/>
              </w:rPr>
              <w:t>Stock Option / Class O LTIP Unit Vesting</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14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355A89"/>
              <w:bottom w:val="single" w:sz="8" w:color="355A89"/>
            </w:tcBorders>
          </w:tcPr>
          <w:p>
            <w:pPr>
              <w:spacing w:after="0"/>
              <w:rPr>
                <w:sz w:val="24"/>
                <w:szCs w:val="24"/>
                <w:color w:val="auto"/>
              </w:rPr>
            </w:pPr>
          </w:p>
        </w:tc>
        <w:tc>
          <w:tcPr>
            <w:tcW w:w="106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top w:val="single" w:sz="8" w:color="355A89"/>
              <w:bottom w:val="single" w:sz="8" w:color="355A89"/>
            </w:tcBorders>
          </w:tcPr>
          <w:p>
            <w:pPr>
              <w:spacing w:after="0"/>
              <w:rPr>
                <w:sz w:val="24"/>
                <w:szCs w:val="24"/>
                <w:color w:val="auto"/>
              </w:rPr>
            </w:pPr>
          </w:p>
        </w:tc>
        <w:tc>
          <w:tcPr>
            <w:tcW w:w="92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355A89"/>
              <w:bottom w:val="single" w:sz="8" w:color="355A89"/>
            </w:tcBorders>
          </w:tcPr>
          <w:p>
            <w:pPr>
              <w:spacing w:after="0"/>
              <w:rPr>
                <w:sz w:val="24"/>
                <w:szCs w:val="24"/>
                <w:color w:val="auto"/>
              </w:rPr>
            </w:pPr>
          </w:p>
        </w:tc>
        <w:tc>
          <w:tcPr>
            <w:tcW w:w="900" w:type="dxa"/>
            <w:vAlign w:val="bottom"/>
            <w:tcBorders>
              <w:top w:val="single" w:sz="8" w:color="355A89"/>
              <w:bottom w:val="single" w:sz="8" w:color="355A89"/>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5500" w:type="dxa"/>
            <w:vAlign w:val="bottom"/>
          </w:tcPr>
          <w:p>
            <w:pPr>
              <w:spacing w:after="0" w:line="291" w:lineRule="exact"/>
              <w:rPr>
                <w:sz w:val="20"/>
                <w:szCs w:val="20"/>
                <w:color w:val="auto"/>
              </w:rPr>
            </w:pPr>
            <w:r>
              <w:rPr>
                <w:rFonts w:ascii="Arial" w:cs="Arial" w:eastAsia="Arial" w:hAnsi="Arial"/>
                <w:sz w:val="18"/>
                <w:szCs w:val="18"/>
                <w:color w:val="auto"/>
              </w:rPr>
              <w:t>LTIP Unit/Stock Unit Vesting</w:t>
            </w:r>
            <w:r>
              <w:rPr>
                <w:rFonts w:ascii="Arial" w:cs="Arial" w:eastAsia="Arial" w:hAnsi="Arial"/>
                <w:sz w:val="29"/>
                <w:szCs w:val="29"/>
                <w:color w:val="auto"/>
                <w:vertAlign w:val="superscript"/>
              </w:rPr>
              <w:t>(3)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1,617,969</w:t>
            </w:r>
          </w:p>
        </w:tc>
        <w:tc>
          <w:tcPr>
            <w:tcW w:w="6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2,214,127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1,617,969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1,617,696</w:t>
            </w:r>
          </w:p>
        </w:tc>
        <w:tc>
          <w:tcPr>
            <w:tcW w:w="0" w:type="dxa"/>
            <w:vAlign w:val="bottom"/>
          </w:tcPr>
          <w:p>
            <w:pPr>
              <w:spacing w:after="0"/>
              <w:rPr>
                <w:sz w:val="1"/>
                <w:szCs w:val="1"/>
                <w:color w:val="auto"/>
              </w:rPr>
            </w:pPr>
          </w:p>
        </w:tc>
      </w:tr>
      <w:tr>
        <w:trPr>
          <w:trHeight w:val="20"/>
        </w:trPr>
        <w:tc>
          <w:tcPr>
            <w:tcW w:w="5500" w:type="dxa"/>
            <w:vAlign w:val="bottom"/>
            <w:shd w:val="clear" w:color="auto" w:fill="355A8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1460" w:type="dxa"/>
            <w:vAlign w:val="bottom"/>
            <w:shd w:val="clear" w:color="auto" w:fill="355A8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355A89"/>
          </w:tcPr>
          <w:p>
            <w:pPr>
              <w:spacing w:after="0" w:line="20" w:lineRule="exact"/>
              <w:rPr>
                <w:sz w:val="1"/>
                <w:szCs w:val="1"/>
                <w:color w:val="auto"/>
              </w:rPr>
            </w:pPr>
          </w:p>
        </w:tc>
        <w:tc>
          <w:tcPr>
            <w:tcW w:w="106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355A89"/>
          </w:tcPr>
          <w:p>
            <w:pPr>
              <w:spacing w:after="0" w:line="20" w:lineRule="exact"/>
              <w:rPr>
                <w:sz w:val="1"/>
                <w:szCs w:val="1"/>
                <w:color w:val="auto"/>
              </w:rPr>
            </w:pPr>
          </w:p>
        </w:tc>
        <w:tc>
          <w:tcPr>
            <w:tcW w:w="920" w:type="dxa"/>
            <w:vAlign w:val="bottom"/>
            <w:shd w:val="clear" w:color="auto" w:fill="355A8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55A89"/>
          </w:tcPr>
          <w:p>
            <w:pPr>
              <w:spacing w:after="0" w:line="20" w:lineRule="exact"/>
              <w:rPr>
                <w:sz w:val="1"/>
                <w:szCs w:val="1"/>
                <w:color w:val="auto"/>
              </w:rPr>
            </w:pPr>
          </w:p>
        </w:tc>
        <w:tc>
          <w:tcPr>
            <w:tcW w:w="900" w:type="dxa"/>
            <w:vAlign w:val="bottom"/>
            <w:shd w:val="clear" w:color="auto" w:fill="355A8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500" w:type="dxa"/>
            <w:vAlign w:val="bottom"/>
          </w:tcPr>
          <w:p>
            <w:pPr>
              <w:spacing w:after="0" w:line="291" w:lineRule="exact"/>
              <w:rPr>
                <w:sz w:val="20"/>
                <w:szCs w:val="20"/>
                <w:color w:val="auto"/>
              </w:rPr>
            </w:pPr>
            <w:r>
              <w:rPr>
                <w:rFonts w:ascii="Arial" w:cs="Arial" w:eastAsia="Arial" w:hAnsi="Arial"/>
                <w:sz w:val="18"/>
                <w:szCs w:val="18"/>
                <w:color w:val="auto"/>
              </w:rPr>
              <w:t>Benefits Continuation</w:t>
            </w:r>
            <w:r>
              <w:rPr>
                <w:rFonts w:ascii="Arial" w:cs="Arial" w:eastAsia="Arial" w:hAnsi="Arial"/>
                <w:sz w:val="29"/>
                <w:szCs w:val="29"/>
                <w:color w:val="auto"/>
                <w:vertAlign w:val="superscript"/>
              </w:rPr>
              <w:t>(4)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35,216</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70,432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105,648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shd w:val="clear" w:color="auto" w:fill="355A89"/>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1460" w:type="dxa"/>
            <w:vAlign w:val="bottom"/>
            <w:shd w:val="clear" w:color="auto" w:fill="355A89"/>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355A89"/>
          </w:tcPr>
          <w:p>
            <w:pPr>
              <w:spacing w:after="0"/>
              <w:rPr>
                <w:sz w:val="2"/>
                <w:szCs w:val="2"/>
                <w:color w:val="auto"/>
              </w:rPr>
            </w:pPr>
          </w:p>
        </w:tc>
        <w:tc>
          <w:tcPr>
            <w:tcW w:w="106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355A89"/>
          </w:tcPr>
          <w:p>
            <w:pPr>
              <w:spacing w:after="0"/>
              <w:rPr>
                <w:sz w:val="2"/>
                <w:szCs w:val="2"/>
                <w:color w:val="auto"/>
              </w:rPr>
            </w:pPr>
          </w:p>
        </w:tc>
        <w:tc>
          <w:tcPr>
            <w:tcW w:w="920" w:type="dxa"/>
            <w:vAlign w:val="bottom"/>
            <w:shd w:val="clear" w:color="auto" w:fill="355A89"/>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355A89"/>
          </w:tcPr>
          <w:p>
            <w:pPr>
              <w:spacing w:after="0"/>
              <w:rPr>
                <w:sz w:val="2"/>
                <w:szCs w:val="2"/>
                <w:color w:val="auto"/>
              </w:rPr>
            </w:pPr>
          </w:p>
        </w:tc>
        <w:tc>
          <w:tcPr>
            <w:tcW w:w="900" w:type="dxa"/>
            <w:vAlign w:val="bottom"/>
            <w:shd w:val="clear" w:color="auto" w:fill="355A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right="320" w:hanging="312"/>
        <w:spacing w:after="0" w:line="258" w:lineRule="auto"/>
        <w:tabs>
          <w:tab w:leader="none" w:pos="32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As we maintained life insurance policies for the benefit of the beneficiaries of Mr. Holliday in the amount of $10 million, as of December 31, 2020, the amount of the payments and benefits to be received by Mr. Holliday in the event of a termination upon death will be reduced by these amounts in accordance with his employment agreement.</w:t>
      </w:r>
    </w:p>
    <w:p>
      <w:pPr>
        <w:spacing w:after="0" w:line="83" w:lineRule="exact"/>
        <w:rPr>
          <w:rFonts w:ascii="Arial" w:cs="Arial" w:eastAsia="Arial" w:hAnsi="Arial"/>
          <w:sz w:val="13"/>
          <w:szCs w:val="13"/>
          <w:color w:val="auto"/>
        </w:rPr>
      </w:pPr>
    </w:p>
    <w:p>
      <w:pPr>
        <w:ind w:left="320" w:right="40" w:hanging="312"/>
        <w:spacing w:after="0" w:line="248" w:lineRule="auto"/>
        <w:tabs>
          <w:tab w:leader="none" w:pos="32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value of the stock options or Class O LTIP units, if any, that would vest. Assumes that the per share value of the stock options or Class O LTIP units that vest equals (i) $61.32 per share, which was the closing price on the NYSE of one share of our common stock on December 31, 2020, less (ii) the exercise price per share of such stock options or the conversion threshold of such Class O LTIP units.</w:t>
      </w:r>
    </w:p>
    <w:p>
      <w:pPr>
        <w:spacing w:after="0" w:line="202"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 xml:space="preserve">2021 Proxy Statement </w:t>
      </w:r>
      <w:r>
        <w:rPr>
          <w:rFonts w:ascii="Arial" w:cs="Arial" w:eastAsia="Arial" w:hAnsi="Arial"/>
          <w:sz w:val="16"/>
          <w:szCs w:val="16"/>
          <w:color w:val="355A89"/>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5327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EXECUTIVE COMPENSATION</w:t>
      </w:r>
    </w:p>
    <w:p>
      <w:pPr>
        <w:spacing w:after="0" w:line="208" w:lineRule="exact"/>
        <w:rPr>
          <w:sz w:val="20"/>
          <w:szCs w:val="20"/>
          <w:color w:val="auto"/>
        </w:rPr>
      </w:pPr>
    </w:p>
    <w:p>
      <w:pPr>
        <w:ind w:left="320" w:hanging="312"/>
        <w:spacing w:after="0" w:line="238" w:lineRule="auto"/>
        <w:tabs>
          <w:tab w:leader="none" w:pos="32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Represents the value of the LTIP units, if any, that would vest based on a price of $61.32 per unit, which was the closing price on the NYSE of one share of our common stock on December 31, 2020. Assumes that the value of LTIP units on a per unit basis is equal to the per share value of our common stock. Does not include performance-based LTIP units that would only vest to the extent earned based on the achievement of performance-based vesting criteria through the end of the performance period. Based on our performance as of December 31, 2020, our named executive officers would have (i) earned a portion of the performance-based LTIP units granted in 2019 and 2020 subject to operational performance hurdles, (ii) forfeited all of the performance-based LTIP units granted in 2019 subject to relative TSR performance and (iii) earned a portion of the LTIP units granted in 2020 subject to relative TSR performance hurdles. See “—Compensation Discussion and Analysis—Our 2020 Executive Compensation Program—2020 Performance-Based Equity Awards”</w:t>
      </w:r>
    </w:p>
    <w:p>
      <w:pPr>
        <w:spacing w:after="0" w:line="1"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3"/>
          <w:szCs w:val="13"/>
          <w:color w:val="auto"/>
        </w:rPr>
        <w:t>and “Compensation Discussion and Analysis—Our 2020 Executive Compensation Program—2019 Performance-Based Equity Awards.”</w:t>
      </w:r>
    </w:p>
    <w:p>
      <w:pPr>
        <w:spacing w:after="0" w:line="107" w:lineRule="exact"/>
        <w:rPr>
          <w:rFonts w:ascii="Arial" w:cs="Arial" w:eastAsia="Arial" w:hAnsi="Arial"/>
          <w:sz w:val="13"/>
          <w:szCs w:val="13"/>
          <w:color w:val="auto"/>
        </w:rPr>
      </w:pPr>
    </w:p>
    <w:p>
      <w:pPr>
        <w:ind w:left="320" w:right="380" w:hanging="312"/>
        <w:spacing w:after="0" w:line="248" w:lineRule="auto"/>
        <w:tabs>
          <w:tab w:leader="none" w:pos="32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Benefits continuation amounts are based on the actual expense for financial reporting purposes for the year ended December 31, 2020 for covering an employee under each our group health plans for the entire year, assuming that the employee elected family coverage under each of these plans, less the minimum contribution required by employees participating in these plans.</w:t>
      </w: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the event a change in control had occurred on December 31, 2020 without the termination of the employment of our named executive officers, Messrs. Holliday, Mathias and Levine would have been entitled to the pro-rata bonus payments set forth in the table above. In addition, TSR performance would have been measured pursuant to the Annual Performance-Based Awards, which would have resulted in the entire portion of these awards subject to the absolute TSR modifier being forfeited and all of the portion of the awards granted in 2019 subject to relative TSR also being forfeited. A portion of the performance-based LTIP units granted in 2020 subject to relative TSR performance would have been earned and would have remained subject to vesting based on continued employment, as described above. The number of LTIP units earned in such event for each of our named executive officers is as follows: Mr. Holliday – 46,274; Mr. Mathias – 37,018; Mr. DiLiberto – 3,427; and Mr. Levine – 3,427. Upon earning these additional LTIP units, each of our named executive officers would have been entitled to cash payments and distributions with respect to such LTIP units equal to $4.1466 per unit, which equals the amounts that would have been received if such LTIP units had been entitled to receive full distributions from the beginning of the applicable performance period.</w:t>
      </w:r>
    </w:p>
    <w:p>
      <w:pPr>
        <w:spacing w:after="0" w:line="18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214" w:lineRule="exact"/>
        <w:rPr>
          <w:sz w:val="20"/>
          <w:szCs w:val="20"/>
          <w:color w:val="auto"/>
        </w:rPr>
      </w:pPr>
    </w:p>
    <w:p>
      <w:pPr>
        <w:ind w:left="300" w:hanging="292"/>
        <w:spacing w:after="0"/>
        <w:tabs>
          <w:tab w:leader="none" w:pos="300" w:val="left"/>
        </w:tabs>
        <w:numPr>
          <w:ilvl w:val="0"/>
          <w:numId w:val="143"/>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Compensation Committee Interlocks and Insider Participation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Lauren B. Dillard (Chair), John H. Alschuler, Edwin T. Burton, III and John S. Levy each served on the Compensation Committee during 2020.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Compensation Committee interlocks and none of our employees is a member of our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Pay Ratio Disclosure Rule</w:t>
      </w:r>
    </w:p>
    <w:p>
      <w:pPr>
        <w:spacing w:after="0" w:line="23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Pursuant to a mandate of the Dodd-Frank Wall Street Reform and Consumer Protection Act, the SEC adopted a rule requiring annual disclosure of the ratio of the median employee’s annual total compensation to the total annual compensation of the principal executive officer, or PEO. The PEO of our Company is Mr. Holliday.</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 2020, the annual total compensation of Mr. Holliday, our PEO, of $15,194,726, as shown in the Summary Compensation Table above, was approximately 218 times the annual total compensation of $69,626 of a median employee calculated in the same manner. We identified the median employee using the annual base salary and target annual cash incentive compensation, as of December 31, 2020, plus any long-term equity incentive awards granted in 2020 for all individuals (excluding our PEO) who were employed by us on December 31, 2020, the last day of our payroll year, whether employed on a full-time or part-time basis.</w:t>
      </w:r>
    </w:p>
    <w:p>
      <w:pPr>
        <w:spacing w:after="0" w:line="21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of December 31, 2020, 521 of our 794 employees were hourly-paid employees involved in building operations, all of whom are subject to collective bargaining agreements. If these employees were not included for purposes of identifying our median employee, the annual total compensation of a median employee would be $105,952 and the annual total compensation of our PEO would be approximately 143 times such amount.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351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351530"/>
                    </a:xfrm>
                    <a:prstGeom prst="rect">
                      <a:avLst/>
                    </a:prstGeom>
                    <a:noFill/>
                  </pic:spPr>
                </pic:pic>
              </a:graphicData>
            </a:graphic>
          </wp:anchor>
        </w:drawing>
      </w:r>
    </w:p>
    <w:p>
      <w:pPr>
        <w:spacing w:after="0" w:line="320"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Proposal 3: Ratification of Appointment of Independent Registered Public Accounting Firm</w:t>
      </w:r>
    </w:p>
    <w:p>
      <w:pPr>
        <w:spacing w:after="0" w:line="313" w:lineRule="exact"/>
        <w:rPr>
          <w:sz w:val="20"/>
          <w:szCs w:val="20"/>
          <w:color w:val="auto"/>
        </w:rPr>
      </w:pPr>
    </w:p>
    <w:p>
      <w:pPr>
        <w:ind w:left="80" w:right="80"/>
        <w:spacing w:after="0" w:line="235" w:lineRule="auto"/>
        <w:rPr>
          <w:sz w:val="20"/>
          <w:szCs w:val="20"/>
          <w:color w:val="auto"/>
        </w:rPr>
      </w:pPr>
      <w:r>
        <w:rPr>
          <w:rFonts w:ascii="Arial" w:cs="Arial" w:eastAsia="Arial" w:hAnsi="Arial"/>
          <w:sz w:val="18"/>
          <w:szCs w:val="18"/>
          <w:color w:val="auto"/>
        </w:rPr>
        <w:t>The Audit Committee of the Board has appointed the accounting firm of Ernst &amp; Young LLP to serve as our independent registered public accounting firm for the fiscal year ending December 31, 2021.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2021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214" w:lineRule="exact"/>
        <w:rPr>
          <w:sz w:val="20"/>
          <w:szCs w:val="20"/>
          <w:color w:val="auto"/>
        </w:rPr>
      </w:pPr>
    </w:p>
    <w:p>
      <w:pPr>
        <w:ind w:left="80" w:right="180"/>
        <w:spacing w:after="0" w:line="239" w:lineRule="auto"/>
        <w:rPr>
          <w:sz w:val="20"/>
          <w:szCs w:val="20"/>
          <w:color w:val="auto"/>
        </w:rPr>
      </w:pPr>
      <w:r>
        <w:rPr>
          <w:rFonts w:ascii="Arial" w:cs="Arial" w:eastAsia="Arial" w:hAnsi="Arial"/>
          <w:sz w:val="18"/>
          <w:szCs w:val="18"/>
          <w:color w:val="auto"/>
        </w:rPr>
        <w:t>A representative of Ernst &amp; Young LLP will virtually attend the annual meeting, will be given the opportunity to make a statement at the annual meeting if he or she so desires and will be available to respond to appropriate questions.</w:t>
      </w:r>
    </w:p>
    <w:p>
      <w:pPr>
        <w:spacing w:after="0" w:line="209" w:lineRule="exact"/>
        <w:rPr>
          <w:sz w:val="20"/>
          <w:szCs w:val="20"/>
          <w:color w:val="auto"/>
        </w:rPr>
      </w:pPr>
    </w:p>
    <w:p>
      <w:pPr>
        <w:ind w:left="80" w:right="380"/>
        <w:spacing w:after="0" w:line="238" w:lineRule="auto"/>
        <w:rPr>
          <w:sz w:val="20"/>
          <w:szCs w:val="20"/>
          <w:color w:val="auto"/>
        </w:rPr>
      </w:pPr>
      <w:r>
        <w:rPr>
          <w:rFonts w:ascii="Arial" w:cs="Arial" w:eastAsia="Arial" w:hAnsi="Arial"/>
          <w:sz w:val="18"/>
          <w:szCs w:val="18"/>
          <w:color w:val="auto"/>
        </w:rPr>
        <w:t>A majority of all of the votes cast with respect to this proposal is required for the ratification of the appointment of Ernst &amp; Young LLP as our independent registered public accounting firm for the fiscal year ending December 31, 2021. Abstentions do not constitute a vote “for” or “against” and will not be counted as “votes cast”. Therefore, abstentions will have no effect on this proposal.</w:t>
      </w:r>
    </w:p>
    <w:p>
      <w:pPr>
        <w:spacing w:after="0" w:line="258"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355A89"/>
        </w:rPr>
        <w:t xml:space="preserve">The Board unanimously recommends a vote </w:t>
      </w:r>
      <w:r>
        <w:rPr>
          <w:rFonts w:ascii="Arial" w:cs="Arial" w:eastAsia="Arial" w:hAnsi="Arial"/>
          <w:sz w:val="20"/>
          <w:szCs w:val="20"/>
          <w:b w:val="1"/>
          <w:bCs w:val="1"/>
          <w:color w:val="000000"/>
        </w:rPr>
        <w:t>“FOR”</w:t>
      </w:r>
      <w:r>
        <w:rPr>
          <w:rFonts w:ascii="Arial" w:cs="Arial" w:eastAsia="Arial" w:hAnsi="Arial"/>
          <w:sz w:val="20"/>
          <w:szCs w:val="20"/>
          <w:b w:val="1"/>
          <w:bCs w:val="1"/>
          <w:color w:val="355A89"/>
        </w:rPr>
        <w:t xml:space="preserve"> the ratification of the appointment of Ernst &amp; Young LLP as our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2020 filed by the Company with management.</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 Committee reviewed and discussed with Ernst &amp; Young LLP, our independent registered public accounting firm, the matters required to be discussed with the Audit Committee by the applicable requirements of the Public Company Accounting Oversight Board and the SEC.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21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Based on the review and discussions referred to above, our Audit Committee recommended to the Board that the audited financial statements be included in the Annual Report on Form 10-K for the year ended December 31, 2020 filed by the Company.</w:t>
      </w:r>
    </w:p>
    <w:p>
      <w:pPr>
        <w:spacing w:after="0" w:line="209" w:lineRule="exact"/>
        <w:rPr>
          <w:sz w:val="20"/>
          <w:szCs w:val="20"/>
          <w:color w:val="auto"/>
        </w:rPr>
      </w:pPr>
    </w:p>
    <w:p>
      <w:pPr>
        <w:ind w:left="300" w:hanging="292"/>
        <w:spacing w:after="0"/>
        <w:tabs>
          <w:tab w:leader="none" w:pos="300" w:val="left"/>
        </w:tabs>
        <w:numPr>
          <w:ilvl w:val="0"/>
          <w:numId w:val="144"/>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ind w:left="8740"/>
        <w:spacing w:after="0"/>
        <w:rPr>
          <w:sz w:val="20"/>
          <w:szCs w:val="20"/>
          <w:color w:val="auto"/>
        </w:rPr>
      </w:pPr>
      <w:r>
        <w:rPr>
          <w:rFonts w:ascii="Arial" w:cs="Arial" w:eastAsia="Arial" w:hAnsi="Arial"/>
          <w:sz w:val="16"/>
          <w:szCs w:val="16"/>
          <w:u w:val="single" w:color="auto"/>
          <w:color w:val="355A89"/>
        </w:rPr>
        <w:t>AUDIT COMMITTEE MATTERS</w:t>
      </w:r>
    </w:p>
    <w:p>
      <w:pPr>
        <w:spacing w:after="0" w:line="2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Submitted by our Audit Committee</w:t>
      </w:r>
    </w:p>
    <w:p>
      <w:pPr>
        <w:spacing w:after="0" w:line="234" w:lineRule="auto"/>
        <w:rPr>
          <w:sz w:val="20"/>
          <w:szCs w:val="20"/>
          <w:color w:val="auto"/>
        </w:rPr>
      </w:pPr>
      <w:r>
        <w:rPr>
          <w:rFonts w:ascii="Arial" w:cs="Arial" w:eastAsia="Arial" w:hAnsi="Arial"/>
          <w:sz w:val="18"/>
          <w:szCs w:val="18"/>
          <w:color w:val="auto"/>
        </w:rPr>
        <w:t>Edwin T. Burton, III (Chair)</w:t>
      </w:r>
    </w:p>
    <w:p>
      <w:pPr>
        <w:spacing w:after="0" w:line="235" w:lineRule="auto"/>
        <w:rPr>
          <w:sz w:val="20"/>
          <w:szCs w:val="20"/>
          <w:color w:val="auto"/>
        </w:rPr>
      </w:pPr>
      <w:r>
        <w:rPr>
          <w:rFonts w:ascii="Arial" w:cs="Arial" w:eastAsia="Arial" w:hAnsi="Arial"/>
          <w:sz w:val="18"/>
          <w:szCs w:val="18"/>
          <w:color w:val="auto"/>
        </w:rPr>
        <w:t>Betsy Atkins</w:t>
      </w:r>
    </w:p>
    <w:p>
      <w:pPr>
        <w:spacing w:after="0" w:line="235" w:lineRule="auto"/>
        <w:rPr>
          <w:sz w:val="20"/>
          <w:szCs w:val="20"/>
          <w:color w:val="auto"/>
        </w:rPr>
      </w:pPr>
      <w:r>
        <w:rPr>
          <w:rFonts w:ascii="Arial" w:cs="Arial" w:eastAsia="Arial" w:hAnsi="Arial"/>
          <w:sz w:val="18"/>
          <w:szCs w:val="18"/>
          <w:color w:val="auto"/>
        </w:rPr>
        <w:t>Lauren B. Dillard</w:t>
      </w:r>
    </w:p>
    <w:p>
      <w:pPr>
        <w:spacing w:after="0"/>
        <w:rPr>
          <w:sz w:val="20"/>
          <w:szCs w:val="20"/>
          <w:color w:val="auto"/>
        </w:rPr>
      </w:pPr>
      <w:r>
        <w:rPr>
          <w:rFonts w:ascii="Arial" w:cs="Arial" w:eastAsia="Arial" w:hAnsi="Arial"/>
          <w:sz w:val="18"/>
          <w:szCs w:val="18"/>
          <w:color w:val="auto"/>
        </w:rPr>
        <w:t>Craig M. Hatkoff</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Fee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Audit Fees</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Fees, including out-of-pocket expenses, for audit services totaled approximately $3,364,000 in fiscal year 2020 and $3,251,000 in fiscal year 2019. Audit fees include fees associated with our annual audits and related reviews of our annual reports on Form 10-K and quarterly reports on Form 10-Q. In addition, audit fees include Sarbanes-Oxley Section 404 planning and testing, fees for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Audit-Related Fees</w:t>
      </w:r>
    </w:p>
    <w:p>
      <w:pPr>
        <w:spacing w:after="0" w:line="23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Fees for audit-related services totaled approximately $71,000 in 2020 and $73,000 in 2019. The audit-related services principally include fees for operating expense audits and agreed-upon procedures projects.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Tax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fees for tax services, including tax compliance, tax advice and tax planning, in either 2020 or 2019.</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All Other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fees for other services not included above in either 2020 or 2019.</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Policies and Procedures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2020 were pre-approved by our Audit Committee. Our Audit Committee may delegate to one or more of its members who is an independent director the authority to grant pre-approvals.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STOCK OWNERSHIP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 sets forth the beneficial ownership of our common stock, $0.01 par value per share, and our common stock and common units in our operating partnership as of March 31, 2021,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March 31, 2021, the following shares and units were outstanding: (i) 70,414,383 shares of our common stock, (ii) 1,685,912 common units in our operating partnership (other than the units held by us) and (iii) 2,470,370 LTIP units (excluding unearned performance-based LTIP units, which may be earned based on the achievement of performance-based vesting hurdles).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355A89"/>
              </w:rPr>
              <w:t>Common Stock</w:t>
            </w:r>
          </w:p>
        </w:tc>
        <w:tc>
          <w:tcPr>
            <w:tcW w:w="2260" w:type="dxa"/>
            <w:vAlign w:val="bottom"/>
            <w:gridSpan w:val="3"/>
          </w:tcPr>
          <w:p>
            <w:pPr>
              <w:jc w:val="right"/>
              <w:ind w:right="235"/>
              <w:spacing w:after="0"/>
              <w:rPr>
                <w:sz w:val="20"/>
                <w:szCs w:val="20"/>
                <w:color w:val="auto"/>
              </w:rPr>
            </w:pPr>
            <w:r>
              <w:rPr>
                <w:rFonts w:ascii="Arial" w:cs="Arial" w:eastAsia="Arial" w:hAnsi="Arial"/>
                <w:sz w:val="13"/>
                <w:szCs w:val="13"/>
                <w:b w:val="1"/>
                <w:bCs w:val="1"/>
                <w:color w:val="355A89"/>
              </w:rPr>
              <w:t>Common Stock and Units</w:t>
            </w:r>
          </w:p>
        </w:tc>
      </w:tr>
      <w:tr>
        <w:trPr>
          <w:trHeight w:val="159"/>
        </w:trPr>
        <w:tc>
          <w:tcPr>
            <w:tcW w:w="6940" w:type="dxa"/>
            <w:vAlign w:val="bottom"/>
            <w:tcBorders>
              <w:top w:val="single" w:sz="8" w:color="355A89"/>
            </w:tcBorders>
          </w:tcPr>
          <w:p>
            <w:pPr>
              <w:spacing w:after="0"/>
              <w:rPr>
                <w:sz w:val="13"/>
                <w:szCs w:val="13"/>
                <w:color w:val="auto"/>
              </w:rPr>
            </w:pPr>
          </w:p>
        </w:tc>
        <w:tc>
          <w:tcPr>
            <w:tcW w:w="160" w:type="dxa"/>
            <w:vAlign w:val="bottom"/>
            <w:tcBorders>
              <w:top w:val="single" w:sz="8" w:color="355A89"/>
            </w:tcBorders>
          </w:tcPr>
          <w:p>
            <w:pPr>
              <w:spacing w:after="0"/>
              <w:rPr>
                <w:sz w:val="13"/>
                <w:szCs w:val="13"/>
                <w:color w:val="auto"/>
              </w:rPr>
            </w:pPr>
          </w:p>
        </w:tc>
        <w:tc>
          <w:tcPr>
            <w:tcW w:w="1040" w:type="dxa"/>
            <w:vAlign w:val="bottom"/>
            <w:tcBorders>
              <w:top w:val="single" w:sz="8" w:color="355A89"/>
            </w:tcBorders>
            <w:gridSpan w:val="2"/>
          </w:tcPr>
          <w:p>
            <w:pPr>
              <w:jc w:val="right"/>
              <w:ind w:right="160"/>
              <w:spacing w:after="0"/>
              <w:rPr>
                <w:sz w:val="20"/>
                <w:szCs w:val="20"/>
                <w:color w:val="auto"/>
              </w:rPr>
            </w:pPr>
            <w:r>
              <w:rPr>
                <w:rFonts w:ascii="Arial" w:cs="Arial" w:eastAsia="Arial" w:hAnsi="Arial"/>
                <w:sz w:val="13"/>
                <w:szCs w:val="13"/>
                <w:b w:val="1"/>
                <w:bCs w:val="1"/>
                <w:color w:val="355A89"/>
              </w:rPr>
              <w:t>Number</w:t>
            </w:r>
          </w:p>
        </w:tc>
        <w:tc>
          <w:tcPr>
            <w:tcW w:w="660" w:type="dxa"/>
            <w:vAlign w:val="bottom"/>
            <w:tcBorders>
              <w:top w:val="single" w:sz="8" w:color="355A89"/>
            </w:tcBorders>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top w:val="single" w:sz="8" w:color="355A89"/>
            </w:tcBorders>
            <w:gridSpan w:val="2"/>
          </w:tcPr>
          <w:p>
            <w:pPr>
              <w:jc w:val="right"/>
              <w:ind w:right="160"/>
              <w:spacing w:after="0"/>
              <w:rPr>
                <w:sz w:val="20"/>
                <w:szCs w:val="20"/>
                <w:color w:val="auto"/>
              </w:rPr>
            </w:pPr>
            <w:r>
              <w:rPr>
                <w:rFonts w:ascii="Arial" w:cs="Arial" w:eastAsia="Arial" w:hAnsi="Arial"/>
                <w:sz w:val="13"/>
                <w:szCs w:val="13"/>
                <w:b w:val="1"/>
                <w:bCs w:val="1"/>
                <w:color w:val="355A89"/>
              </w:rPr>
              <w:t>Number of</w:t>
            </w:r>
          </w:p>
        </w:tc>
        <w:tc>
          <w:tcPr>
            <w:tcW w:w="1000" w:type="dxa"/>
            <w:vAlign w:val="bottom"/>
            <w:tcBorders>
              <w:top w:val="single" w:sz="8" w:color="355A89"/>
            </w:tcBorders>
          </w:tcPr>
          <w:p>
            <w:pPr>
              <w:spacing w:after="0"/>
              <w:rPr>
                <w:sz w:val="13"/>
                <w:szCs w:val="13"/>
                <w:color w:val="auto"/>
              </w:rPr>
            </w:pPr>
          </w:p>
        </w:tc>
      </w:tr>
      <w:tr>
        <w:trPr>
          <w:trHeight w:val="148"/>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of Shares</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Percent of</w:t>
            </w: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Shares and Units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355A89"/>
              </w:rPr>
              <w:t>Percent of</w:t>
            </w:r>
          </w:p>
        </w:tc>
      </w:t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Beneficially</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Common</w:t>
            </w: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355A89"/>
              </w:rPr>
              <w:t>Beneficially</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355A89"/>
              </w:rPr>
              <w:t>Common Stock</w:t>
            </w:r>
          </w:p>
        </w:tc>
      </w:tr>
      <w:tr>
        <w:trPr>
          <w:trHeight w:val="231"/>
        </w:trPr>
        <w:tc>
          <w:tcPr>
            <w:tcW w:w="71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gridSpan w:val="2"/>
          </w:tcPr>
          <w:p>
            <w:pPr>
              <w:jc w:val="right"/>
              <w:ind w:right="160"/>
              <w:spacing w:after="0" w:line="224" w:lineRule="exact"/>
              <w:rPr>
                <w:sz w:val="20"/>
                <w:szCs w:val="20"/>
                <w:color w:val="auto"/>
              </w:rPr>
            </w:pPr>
            <w:r>
              <w:rPr>
                <w:rFonts w:ascii="Arial" w:cs="Arial" w:eastAsia="Arial" w:hAnsi="Arial"/>
                <w:sz w:val="13"/>
                <w:szCs w:val="13"/>
                <w:b w:val="1"/>
                <w:bCs w:val="1"/>
                <w:color w:val="355A89"/>
              </w:rPr>
              <w:t>Owned</w:t>
            </w:r>
            <w:r>
              <w:rPr>
                <w:rFonts w:ascii="Arial" w:cs="Arial" w:eastAsia="Arial" w:hAnsi="Arial"/>
                <w:sz w:val="22"/>
                <w:szCs w:val="22"/>
                <w:b w:val="1"/>
                <w:bCs w:val="1"/>
                <w:color w:val="355A89"/>
                <w:vertAlign w:val="superscript"/>
              </w:rPr>
              <w:t>(1)</w:t>
            </w:r>
          </w:p>
        </w:tc>
        <w:tc>
          <w:tcPr>
            <w:tcW w:w="840" w:type="dxa"/>
            <w:vAlign w:val="bottom"/>
            <w:gridSpan w:val="2"/>
          </w:tcPr>
          <w:p>
            <w:pPr>
              <w:jc w:val="right"/>
              <w:ind w:right="160"/>
              <w:spacing w:after="0" w:line="224" w:lineRule="exact"/>
              <w:rPr>
                <w:sz w:val="20"/>
                <w:szCs w:val="20"/>
                <w:color w:val="auto"/>
              </w:rPr>
            </w:pPr>
            <w:r>
              <w:rPr>
                <w:rFonts w:ascii="Arial" w:cs="Arial" w:eastAsia="Arial" w:hAnsi="Arial"/>
                <w:sz w:val="13"/>
                <w:szCs w:val="13"/>
                <w:b w:val="1"/>
                <w:bCs w:val="1"/>
                <w:color w:val="355A89"/>
              </w:rPr>
              <w:t>Stock</w:t>
            </w:r>
            <w:r>
              <w:rPr>
                <w:rFonts w:ascii="Arial" w:cs="Arial" w:eastAsia="Arial" w:hAnsi="Arial"/>
                <w:sz w:val="22"/>
                <w:szCs w:val="22"/>
                <w:b w:val="1"/>
                <w:bCs w:val="1"/>
                <w:color w:val="355A89"/>
                <w:vertAlign w:val="superscript"/>
              </w:rPr>
              <w:t>(2)</w:t>
            </w:r>
          </w:p>
        </w:tc>
        <w:tc>
          <w:tcPr>
            <w:tcW w:w="1260" w:type="dxa"/>
            <w:vAlign w:val="bottom"/>
            <w:gridSpan w:val="2"/>
          </w:tcPr>
          <w:p>
            <w:pPr>
              <w:jc w:val="right"/>
              <w:ind w:right="160"/>
              <w:spacing w:after="0" w:line="224" w:lineRule="exact"/>
              <w:rPr>
                <w:sz w:val="20"/>
                <w:szCs w:val="20"/>
                <w:color w:val="auto"/>
              </w:rPr>
            </w:pPr>
            <w:r>
              <w:rPr>
                <w:rFonts w:ascii="Arial" w:cs="Arial" w:eastAsia="Arial" w:hAnsi="Arial"/>
                <w:sz w:val="13"/>
                <w:szCs w:val="13"/>
                <w:b w:val="1"/>
                <w:bCs w:val="1"/>
                <w:color w:val="355A89"/>
              </w:rPr>
              <w:t>Owned</w:t>
            </w:r>
            <w:r>
              <w:rPr>
                <w:rFonts w:ascii="Arial" w:cs="Arial" w:eastAsia="Arial" w:hAnsi="Arial"/>
                <w:sz w:val="22"/>
                <w:szCs w:val="22"/>
                <w:b w:val="1"/>
                <w:bCs w:val="1"/>
                <w:color w:val="355A89"/>
                <w:vertAlign w:val="superscript"/>
              </w:rPr>
              <w:t>(1)</w:t>
            </w:r>
          </w:p>
        </w:tc>
        <w:tc>
          <w:tcPr>
            <w:tcW w:w="1000" w:type="dxa"/>
            <w:vAlign w:val="bottom"/>
          </w:tcPr>
          <w:p>
            <w:pPr>
              <w:jc w:val="right"/>
              <w:spacing w:after="0" w:line="224" w:lineRule="exact"/>
              <w:rPr>
                <w:sz w:val="20"/>
                <w:szCs w:val="20"/>
                <w:color w:val="auto"/>
              </w:rPr>
            </w:pPr>
            <w:r>
              <w:rPr>
                <w:rFonts w:ascii="Arial" w:cs="Arial" w:eastAsia="Arial" w:hAnsi="Arial"/>
                <w:sz w:val="13"/>
                <w:szCs w:val="13"/>
                <w:b w:val="1"/>
                <w:bCs w:val="1"/>
                <w:color w:val="355A89"/>
              </w:rPr>
              <w:t>and Units</w:t>
            </w:r>
            <w:r>
              <w:rPr>
                <w:rFonts w:ascii="Arial" w:cs="Arial" w:eastAsia="Arial" w:hAnsi="Arial"/>
                <w:sz w:val="22"/>
                <w:szCs w:val="22"/>
                <w:b w:val="1"/>
                <w:bCs w:val="1"/>
                <w:color w:val="355A89"/>
                <w:vertAlign w:val="superscript"/>
              </w:rPr>
              <w:t>(2)</w:t>
            </w:r>
          </w:p>
        </w:tc>
      </w:tr>
      <w:tr>
        <w:trPr>
          <w:trHeight w:val="238"/>
        </w:trPr>
        <w:tc>
          <w:tcPr>
            <w:tcW w:w="6940" w:type="dxa"/>
            <w:vAlign w:val="bottom"/>
            <w:tcBorders>
              <w:top w:val="single" w:sz="8" w:color="355A89"/>
              <w:bottom w:val="single" w:sz="8" w:color="7F89AD"/>
            </w:tcBorders>
          </w:tcPr>
          <w:p>
            <w:pPr>
              <w:spacing w:after="0"/>
              <w:rPr>
                <w:sz w:val="20"/>
                <w:szCs w:val="20"/>
                <w:color w:val="auto"/>
              </w:rPr>
            </w:pPr>
            <w:r>
              <w:rPr>
                <w:rFonts w:ascii="Arial" w:cs="Arial" w:eastAsia="Arial" w:hAnsi="Arial"/>
                <w:sz w:val="18"/>
                <w:szCs w:val="18"/>
                <w:b w:val="1"/>
                <w:bCs w:val="1"/>
                <w:color w:val="auto"/>
              </w:rPr>
              <w:t>5% H</w:t>
            </w:r>
            <w:r>
              <w:rPr>
                <w:rFonts w:ascii="Arial" w:cs="Arial" w:eastAsia="Arial" w:hAnsi="Arial"/>
                <w:sz w:val="12"/>
                <w:szCs w:val="12"/>
                <w:b w:val="1"/>
                <w:bCs w:val="1"/>
                <w:color w:val="auto"/>
              </w:rPr>
              <w:t>OLDERS</w:t>
            </w:r>
          </w:p>
        </w:tc>
        <w:tc>
          <w:tcPr>
            <w:tcW w:w="160" w:type="dxa"/>
            <w:vAlign w:val="bottom"/>
          </w:tcPr>
          <w:p>
            <w:pPr>
              <w:spacing w:after="0"/>
              <w:rPr>
                <w:sz w:val="20"/>
                <w:szCs w:val="20"/>
                <w:color w:val="auto"/>
              </w:rPr>
            </w:pPr>
          </w:p>
        </w:tc>
        <w:tc>
          <w:tcPr>
            <w:tcW w:w="880" w:type="dxa"/>
            <w:vAlign w:val="bottom"/>
            <w:tcBorders>
              <w:top w:val="single" w:sz="8" w:color="355A89"/>
              <w:bottom w:val="single" w:sz="8" w:color="7F89AD"/>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355A89"/>
              <w:bottom w:val="single" w:sz="8" w:color="7F89AD"/>
            </w:tcBorders>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top w:val="single" w:sz="8" w:color="355A89"/>
              <w:bottom w:val="single" w:sz="8" w:color="7F89AD"/>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top w:val="single" w:sz="8" w:color="355A89"/>
              <w:bottom w:val="single" w:sz="8" w:color="7F89AD"/>
            </w:tcBorders>
          </w:tcPr>
          <w:p>
            <w:pPr>
              <w:spacing w:after="0"/>
              <w:rPr>
                <w:sz w:val="20"/>
                <w:szCs w:val="20"/>
                <w:color w:val="auto"/>
              </w:rPr>
            </w:pPr>
          </w:p>
        </w:tc>
      </w:tr>
      <w:tr>
        <w:trPr>
          <w:trHeight w:val="309"/>
        </w:trPr>
        <w:tc>
          <w:tcPr>
            <w:tcW w:w="6940" w:type="dxa"/>
            <w:vAlign w:val="bottom"/>
          </w:tcPr>
          <w:p>
            <w:pPr>
              <w:spacing w:after="0" w:line="309"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11,827,753</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16.80%</w:t>
            </w:r>
          </w:p>
        </w:tc>
        <w:tc>
          <w:tcPr>
            <w:tcW w:w="1100" w:type="dxa"/>
            <w:vAlign w:val="bottom"/>
          </w:tcPr>
          <w:p>
            <w:pPr>
              <w:jc w:val="right"/>
              <w:spacing w:after="0"/>
              <w:rPr>
                <w:sz w:val="20"/>
                <w:szCs w:val="20"/>
                <w:color w:val="auto"/>
              </w:rPr>
            </w:pPr>
            <w:r>
              <w:rPr>
                <w:rFonts w:ascii="Arial" w:cs="Arial" w:eastAsia="Arial" w:hAnsi="Arial"/>
                <w:sz w:val="18"/>
                <w:szCs w:val="18"/>
                <w:color w:val="auto"/>
              </w:rPr>
              <w:t>11,827,753</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8,143,758</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11.57%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8,143,758</w:t>
            </w:r>
          </w:p>
        </w:tc>
        <w:tc>
          <w:tcPr>
            <w:tcW w:w="100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9"/>
                <w:szCs w:val="29"/>
                <w:color w:val="auto"/>
                <w:vertAlign w:val="superscript"/>
              </w:rPr>
              <w:t>(5)</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5,264,117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5,264,117</w:t>
            </w:r>
          </w:p>
        </w:tc>
        <w:tc>
          <w:tcPr>
            <w:tcW w:w="10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29"/>
                <w:szCs w:val="29"/>
                <w:color w:val="auto"/>
                <w:vertAlign w:val="superscript"/>
              </w:rPr>
              <w:t>(6)</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4,301,771</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4,301,771</w:t>
            </w: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PGGM Vermogensbeheer B.V.</w:t>
            </w:r>
            <w:r>
              <w:rPr>
                <w:rFonts w:ascii="Arial" w:cs="Arial" w:eastAsia="Arial" w:hAnsi="Arial"/>
                <w:sz w:val="29"/>
                <w:szCs w:val="29"/>
                <w:color w:val="auto"/>
                <w:vertAlign w:val="superscript"/>
              </w:rPr>
              <w:t>(7)</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3,595,357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3,595,357</w:t>
            </w: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31"/>
        </w:trPr>
        <w:tc>
          <w:tcPr>
            <w:tcW w:w="6940" w:type="dxa"/>
            <w:vAlign w:val="bottom"/>
            <w:tcBorders>
              <w:top w:val="single" w:sz="8" w:color="7F89AD"/>
              <w:bottom w:val="single" w:sz="8" w:color="7F89AD"/>
            </w:tcBorders>
          </w:tcPr>
          <w:p>
            <w:pPr>
              <w:spacing w:after="0"/>
              <w:rPr>
                <w:sz w:val="20"/>
                <w:szCs w:val="20"/>
                <w:color w:val="auto"/>
              </w:rPr>
            </w:pPr>
            <w:r>
              <w:rPr>
                <w:rFonts w:ascii="Arial" w:cs="Arial" w:eastAsia="Arial" w:hAnsi="Arial"/>
                <w:sz w:val="18"/>
                <w:szCs w:val="18"/>
                <w:b w:val="1"/>
                <w:bCs w:val="1"/>
                <w:color w:val="auto"/>
              </w:rPr>
              <w:t>Directors, Nominees for Director and Named Executive Officers</w:t>
            </w:r>
          </w:p>
        </w:tc>
        <w:tc>
          <w:tcPr>
            <w:tcW w:w="160" w:type="dxa"/>
            <w:vAlign w:val="bottom"/>
          </w:tcPr>
          <w:p>
            <w:pPr>
              <w:spacing w:after="0"/>
              <w:rPr>
                <w:sz w:val="20"/>
                <w:szCs w:val="20"/>
                <w:color w:val="auto"/>
              </w:rPr>
            </w:pPr>
          </w:p>
        </w:tc>
        <w:tc>
          <w:tcPr>
            <w:tcW w:w="880" w:type="dxa"/>
            <w:vAlign w:val="bottom"/>
            <w:tcBorders>
              <w:top w:val="single" w:sz="8" w:color="7F89AD"/>
              <w:bottom w:val="single" w:sz="8" w:color="7F89AD"/>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7F89AD"/>
              <w:bottom w:val="single" w:sz="8" w:color="7F89AD"/>
            </w:tcBorders>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top w:val="single" w:sz="8" w:color="7F89AD"/>
              <w:bottom w:val="single" w:sz="8" w:color="7F89AD"/>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top w:val="single" w:sz="8" w:color="7F89AD"/>
              <w:bottom w:val="single" w:sz="8" w:color="7F89AD"/>
            </w:tcBorders>
          </w:tcPr>
          <w:p>
            <w:pPr>
              <w:spacing w:after="0"/>
              <w:rPr>
                <w:sz w:val="20"/>
                <w:szCs w:val="20"/>
                <w:color w:val="auto"/>
              </w:rPr>
            </w:pPr>
          </w:p>
        </w:tc>
      </w:tr>
      <w:tr>
        <w:trPr>
          <w:trHeight w:val="309"/>
        </w:trPr>
        <w:tc>
          <w:tcPr>
            <w:tcW w:w="6940" w:type="dxa"/>
            <w:vAlign w:val="bottom"/>
          </w:tcPr>
          <w:p>
            <w:pPr>
              <w:spacing w:after="0" w:line="309" w:lineRule="exact"/>
              <w:rPr>
                <w:sz w:val="20"/>
                <w:szCs w:val="20"/>
                <w:color w:val="auto"/>
              </w:rPr>
            </w:pPr>
            <w:r>
              <w:rPr>
                <w:rFonts w:ascii="Arial" w:cs="Arial" w:eastAsia="Arial" w:hAnsi="Arial"/>
                <w:sz w:val="18"/>
                <w:szCs w:val="18"/>
                <w:color w:val="auto"/>
              </w:rPr>
              <w:t>John H. Alschuler</w:t>
            </w:r>
            <w:r>
              <w:rPr>
                <w:rFonts w:ascii="Arial" w:cs="Arial" w:eastAsia="Arial" w:hAnsi="Arial"/>
                <w:sz w:val="29"/>
                <w:szCs w:val="29"/>
                <w:color w:val="auto"/>
                <w:vertAlign w:val="superscript"/>
              </w:rPr>
              <w:t>(8)</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15,085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29,045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Betsy S. Atkins</w:t>
            </w:r>
            <w:r>
              <w:rPr>
                <w:rFonts w:ascii="Arial" w:cs="Arial" w:eastAsia="Arial" w:hAnsi="Arial"/>
                <w:sz w:val="29"/>
                <w:szCs w:val="29"/>
                <w:color w:val="auto"/>
                <w:vertAlign w:val="superscript"/>
              </w:rPr>
              <w:t>(9)</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9,853</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11,606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Edwin T. Burton, III</w:t>
            </w:r>
            <w:r>
              <w:rPr>
                <w:rFonts w:ascii="Arial" w:cs="Arial" w:eastAsia="Arial" w:hAnsi="Arial"/>
                <w:sz w:val="29"/>
                <w:szCs w:val="29"/>
                <w:color w:val="auto"/>
                <w:vertAlign w:val="superscript"/>
              </w:rPr>
              <w:t>(10)</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35,868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Matthew J. DiLiberto</w:t>
            </w:r>
            <w:r>
              <w:rPr>
                <w:rFonts w:ascii="Arial" w:cs="Arial" w:eastAsia="Arial" w:hAnsi="Arial"/>
                <w:sz w:val="29"/>
                <w:szCs w:val="29"/>
                <w:color w:val="auto"/>
                <w:vertAlign w:val="superscript"/>
              </w:rPr>
              <w:t>(11)</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2,572</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79,564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Lauren B. Dillard</w:t>
            </w:r>
            <w:r>
              <w:rPr>
                <w:rFonts w:ascii="Arial" w:cs="Arial" w:eastAsia="Arial" w:hAnsi="Arial"/>
                <w:sz w:val="29"/>
                <w:szCs w:val="29"/>
                <w:color w:val="auto"/>
                <w:vertAlign w:val="superscript"/>
              </w:rPr>
              <w:t>(12)</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23,978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Stephen L. Green</w:t>
            </w:r>
            <w:r>
              <w:rPr>
                <w:rFonts w:ascii="Arial" w:cs="Arial" w:eastAsia="Arial" w:hAnsi="Arial"/>
                <w:sz w:val="29"/>
                <w:szCs w:val="29"/>
                <w:color w:val="auto"/>
                <w:vertAlign w:val="superscript"/>
              </w:rPr>
              <w:t>(13)</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845,185</w:t>
            </w: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Craig M. Hatkoff</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3,792</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3,792</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10"/>
        </w:trPr>
        <w:tc>
          <w:tcPr>
            <w:tcW w:w="6940" w:type="dxa"/>
            <w:vAlign w:val="bottom"/>
          </w:tcPr>
          <w:p>
            <w:pPr>
              <w:spacing w:after="0" w:line="310" w:lineRule="exact"/>
              <w:rPr>
                <w:sz w:val="20"/>
                <w:szCs w:val="20"/>
                <w:color w:val="auto"/>
              </w:rPr>
            </w:pPr>
            <w:r>
              <w:rPr>
                <w:rFonts w:ascii="Arial" w:cs="Arial" w:eastAsia="Arial" w:hAnsi="Arial"/>
                <w:sz w:val="18"/>
                <w:szCs w:val="18"/>
                <w:color w:val="auto"/>
              </w:rPr>
              <w:t>Marc Holliday</w:t>
            </w:r>
            <w:r>
              <w:rPr>
                <w:rFonts w:ascii="Arial" w:cs="Arial" w:eastAsia="Arial" w:hAnsi="Arial"/>
                <w:sz w:val="29"/>
                <w:szCs w:val="29"/>
                <w:color w:val="auto"/>
                <w:vertAlign w:val="superscript"/>
              </w:rPr>
              <w:t>(14)</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109,002</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1,102,068</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Andrew S. Levine</w:t>
            </w:r>
            <w:r>
              <w:rPr>
                <w:rFonts w:ascii="Arial" w:cs="Arial" w:eastAsia="Arial" w:hAnsi="Arial"/>
                <w:sz w:val="29"/>
                <w:szCs w:val="29"/>
                <w:color w:val="auto"/>
                <w:vertAlign w:val="superscript"/>
              </w:rPr>
              <w:t>(15)</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25,440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185,416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John S. Levy</w:t>
            </w:r>
            <w:r>
              <w:rPr>
                <w:rFonts w:ascii="Arial" w:cs="Arial" w:eastAsia="Arial" w:hAnsi="Arial"/>
                <w:sz w:val="29"/>
                <w:szCs w:val="29"/>
                <w:color w:val="auto"/>
                <w:vertAlign w:val="superscript"/>
              </w:rPr>
              <w:t>(16)</w:t>
            </w: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28,482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102,579</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color w:val="auto"/>
              </w:rPr>
              <w:t>Andrew Mathias</w:t>
            </w:r>
            <w:r>
              <w:rPr>
                <w:rFonts w:ascii="Arial" w:cs="Arial" w:eastAsia="Arial" w:hAnsi="Arial"/>
                <w:sz w:val="29"/>
                <w:szCs w:val="29"/>
                <w:color w:val="auto"/>
                <w:vertAlign w:val="superscript"/>
              </w:rPr>
              <w:t>(17)</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247,937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1,039,618</w:t>
            </w: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694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7F89A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7F89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7F89AD"/>
          </w:tcPr>
          <w:p>
            <w:pPr>
              <w:spacing w:after="0" w:line="20" w:lineRule="exact"/>
              <w:rPr>
                <w:sz w:val="1"/>
                <w:szCs w:val="1"/>
                <w:color w:val="auto"/>
              </w:rPr>
            </w:pPr>
          </w:p>
        </w:tc>
      </w:tr>
      <w:tr>
        <w:trPr>
          <w:trHeight w:val="304"/>
        </w:trPr>
        <w:tc>
          <w:tcPr>
            <w:tcW w:w="6940" w:type="dxa"/>
            <w:vAlign w:val="bottom"/>
          </w:tcPr>
          <w:p>
            <w:pPr>
              <w:spacing w:after="0" w:line="303" w:lineRule="exact"/>
              <w:rPr>
                <w:sz w:val="20"/>
                <w:szCs w:val="20"/>
                <w:color w:val="auto"/>
              </w:rPr>
            </w:pPr>
            <w:r>
              <w:rPr>
                <w:rFonts w:ascii="Arial" w:cs="Arial" w:eastAsia="Arial" w:hAnsi="Arial"/>
                <w:sz w:val="18"/>
                <w:szCs w:val="18"/>
                <w:b w:val="1"/>
                <w:bCs w:val="1"/>
                <w:color w:val="auto"/>
              </w:rPr>
              <w:t>All Directors and Executive Officers as a Group (11 Persons)</w:t>
            </w:r>
            <w:r>
              <w:rPr>
                <w:rFonts w:ascii="Arial" w:cs="Arial" w:eastAsia="Arial" w:hAnsi="Arial"/>
                <w:sz w:val="29"/>
                <w:szCs w:val="29"/>
                <w:b w:val="1"/>
                <w:bCs w:val="1"/>
                <w:color w:val="auto"/>
                <w:vertAlign w:val="superscript"/>
              </w:rPr>
              <w:t>(18)</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442,597</w:t>
            </w: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3,458,719</w:t>
            </w:r>
          </w:p>
        </w:tc>
        <w:tc>
          <w:tcPr>
            <w:tcW w:w="100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694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355A89"/>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355A89"/>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355A89"/>
          </w:tcPr>
          <w:p>
            <w:pPr>
              <w:spacing w:after="0"/>
              <w:rPr>
                <w:sz w:val="2"/>
                <w:szCs w:val="2"/>
                <w:color w:val="auto"/>
              </w:rPr>
            </w:pPr>
          </w:p>
        </w:tc>
      </w:tr>
    </w:tbl>
    <w:p>
      <w:pPr>
        <w:spacing w:after="0" w:line="242" w:lineRule="exact"/>
        <w:rPr>
          <w:sz w:val="20"/>
          <w:szCs w:val="20"/>
          <w:color w:val="auto"/>
        </w:rPr>
      </w:pPr>
    </w:p>
    <w:p>
      <w:pPr>
        <w:ind w:left="320" w:hanging="312"/>
        <w:spacing w:after="0"/>
        <w:tabs>
          <w:tab w:leader="none" w:pos="3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67"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Unless otherwise indicated, the business address is One Vanderbilt Avenue, 28th Floor, New York, New York 10017-3852.</w:t>
      </w:r>
    </w:p>
    <w:p>
      <w:pPr>
        <w:spacing w:after="0" w:line="67" w:lineRule="exact"/>
        <w:rPr>
          <w:sz w:val="20"/>
          <w:szCs w:val="20"/>
          <w:color w:val="auto"/>
        </w:rPr>
      </w:pPr>
    </w:p>
    <w:p>
      <w:pPr>
        <w:ind w:left="320" w:right="40" w:hanging="312"/>
        <w:spacing w:after="0" w:line="241" w:lineRule="auto"/>
        <w:tabs>
          <w:tab w:leader="none" w:pos="3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 that are exercisable on or within 60 days after March 31, 2021. The “Number of Shares and Units Beneficially Owned” includes all shares included in the “Number of Shares Beneficially Owned” column plus (i) the number of shares of common stock for which common units and LTIP units may be redeemed (assuming, in the case of LTIP units, that they have first been converted into common units) regardless of whether such common units and LTIP units are currently redeemable, but excluding unearned performance-based LTIP units and (ii) the number of shares of common stock issuable upon settlement of outstanding phantom units. Class O LTIP units are not included in the “Number of Shares and Units Beneficially Owned.” Class O LTIP units are not economically equivalent to</w:t>
      </w:r>
    </w:p>
    <w:p>
      <w:pPr>
        <w:spacing w:after="0" w:line="209" w:lineRule="exact"/>
        <w:rPr>
          <w:sz w:val="20"/>
          <w:szCs w:val="20"/>
          <w:color w:val="auto"/>
        </w:rPr>
      </w:pPr>
    </w:p>
    <w:p>
      <w:pPr>
        <w:ind w:left="300" w:hanging="292"/>
        <w:spacing w:after="0"/>
        <w:tabs>
          <w:tab w:leader="none" w:pos="300" w:val="left"/>
        </w:tabs>
        <w:numPr>
          <w:ilvl w:val="0"/>
          <w:numId w:val="148"/>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STOCK OWNERSHIP INFORMATION</w:t>
      </w:r>
    </w:p>
    <w:p>
      <w:pPr>
        <w:spacing w:after="0" w:line="208" w:lineRule="exact"/>
        <w:rPr>
          <w:sz w:val="20"/>
          <w:szCs w:val="20"/>
          <w:color w:val="auto"/>
        </w:rPr>
      </w:pPr>
    </w:p>
    <w:p>
      <w:pPr>
        <w:ind w:left="400" w:right="120"/>
        <w:spacing w:after="0" w:line="245" w:lineRule="auto"/>
        <w:rPr>
          <w:sz w:val="20"/>
          <w:szCs w:val="20"/>
          <w:color w:val="auto"/>
        </w:rPr>
      </w:pPr>
      <w:r>
        <w:rPr>
          <w:rFonts w:ascii="Arial" w:cs="Arial" w:eastAsia="Arial" w:hAnsi="Arial"/>
          <w:sz w:val="13"/>
          <w:szCs w:val="13"/>
          <w:color w:val="auto"/>
        </w:rPr>
        <w:t>common units, but vested Class O LTIP units may be converted in a manner similar to a net exercise of a stock option into a number of common units that will vary based on the value of the common units upon conversion and the conversion threshold 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2021 annual meeting.</w:t>
      </w:r>
    </w:p>
    <w:p>
      <w:pPr>
        <w:spacing w:after="0" w:line="51" w:lineRule="exact"/>
        <w:rPr>
          <w:sz w:val="20"/>
          <w:szCs w:val="20"/>
          <w:color w:val="auto"/>
        </w:rPr>
      </w:pPr>
    </w:p>
    <w:p>
      <w:pPr>
        <w:ind w:left="400" w:right="60" w:hanging="392"/>
        <w:spacing w:after="0" w:line="241"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total number of shares outstanding used in calculating the percentage of common stock held by each person assumes the exercise of all options to acquire shares of common stock that are exercisable on or within 60 days after March 31, 2021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2021 and settlement for an equal number of shares of common stock of all phantom units held by the beneficial owner and that no options or phantom units held by other beneficial owners are exercised or settled.</w:t>
      </w:r>
    </w:p>
    <w:p>
      <w:pPr>
        <w:spacing w:after="0" w:line="54" w:lineRule="exact"/>
        <w:rPr>
          <w:rFonts w:ascii="Arial" w:cs="Arial" w:eastAsia="Arial" w:hAnsi="Arial"/>
          <w:sz w:val="13"/>
          <w:szCs w:val="13"/>
          <w:color w:val="auto"/>
        </w:rPr>
      </w:pPr>
    </w:p>
    <w:p>
      <w:pPr>
        <w:ind w:left="400" w:right="160" w:hanging="392"/>
        <w:spacing w:after="0" w:line="243"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February 10, 2021, as of December 31, 2020, by The Vanguard Group, or Vanguard. Vanguard reported shared voting power with respect to 289,739 shares, sole dispositive power with respect to 11,407,692 shares and shared dispositive power with respect to 420,061 shares. The business address of Vanguard is 100 Vanguard Blvd., Malvern, PA 19355. The number of shares reported as beneficially owned by Vanguard in such Schedule 13G/A includes 3,222,626 shares, representing 4.58% of our outstanding common stock, that Vanguard Specialized Funds—Vanguard Real Estate Index Fund separately reported as beneficially owned in a Schedule 13G/A filed on February 8, 2021 with the SEC.</w:t>
      </w:r>
    </w:p>
    <w:p>
      <w:pPr>
        <w:spacing w:after="0" w:line="53" w:lineRule="exact"/>
        <w:rPr>
          <w:rFonts w:ascii="Arial" w:cs="Arial" w:eastAsia="Arial" w:hAnsi="Arial"/>
          <w:sz w:val="13"/>
          <w:szCs w:val="13"/>
          <w:color w:val="auto"/>
        </w:rPr>
      </w:pPr>
    </w:p>
    <w:p>
      <w:pPr>
        <w:jc w:val="both"/>
        <w:ind w:left="400" w:right="260" w:hanging="392"/>
        <w:spacing w:after="0" w:line="25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Based on information provided on a Schedule 13G filed with the SEC on April 12, 2021, as of March 31, 2021, by BlackRock, Inc. BlackRock, Inc. reported sole voting power with respect to 7,782,559 shares and sole dispositive power with respect to 8,143,758 shares. The business address for BlackRock, Inc. is 55 East 52nd Street, New York, NY 10022.</w:t>
      </w:r>
    </w:p>
    <w:p>
      <w:pPr>
        <w:spacing w:after="0" w:line="43" w:lineRule="exact"/>
        <w:rPr>
          <w:rFonts w:ascii="Arial" w:cs="Arial" w:eastAsia="Arial" w:hAnsi="Arial"/>
          <w:sz w:val="13"/>
          <w:szCs w:val="13"/>
          <w:color w:val="auto"/>
        </w:rPr>
      </w:pPr>
    </w:p>
    <w:p>
      <w:pPr>
        <w:ind w:left="400" w:right="200" w:hanging="392"/>
        <w:spacing w:after="0" w:line="24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Based on information provided on a Schedule 13G/A filed with the SEC on February 16, 2021, as of December 31, 2020, by T. Rowe Price Associates, Inc. T. Rowe Price Associates, Inc. reported sole voting power with respect to 2,366,877 shares and sole dispositive power with respect to 5,264,117 shares. The business address for T. Rowe Price Associates, Inc. is 100 E. Pratt Street, Baltimore, MD 21202.</w:t>
      </w:r>
    </w:p>
    <w:p>
      <w:pPr>
        <w:spacing w:after="0" w:line="49" w:lineRule="exact"/>
        <w:rPr>
          <w:rFonts w:ascii="Arial" w:cs="Arial" w:eastAsia="Arial" w:hAnsi="Arial"/>
          <w:sz w:val="13"/>
          <w:szCs w:val="13"/>
          <w:color w:val="auto"/>
        </w:rPr>
      </w:pPr>
    </w:p>
    <w:p>
      <w:pPr>
        <w:ind w:left="400" w:right="20" w:hanging="392"/>
        <w:spacing w:after="0" w:line="24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Based on information provided on a Schedule 13G filed with the SEC on February 10, 2021, as of December 31, 2020, by State Street Corporation. State Street Corporation reported shared voting power with respect to 3,785,304 shares and shared dispositive power with respect to 4,301,656 shares. The business address for State Street Corporation is One Lincoln Street, Boston, MA 02111.</w:t>
      </w:r>
    </w:p>
    <w:p>
      <w:pPr>
        <w:spacing w:after="0" w:line="49" w:lineRule="exact"/>
        <w:rPr>
          <w:rFonts w:ascii="Arial" w:cs="Arial" w:eastAsia="Arial" w:hAnsi="Arial"/>
          <w:sz w:val="13"/>
          <w:szCs w:val="13"/>
          <w:color w:val="auto"/>
        </w:rPr>
      </w:pPr>
    </w:p>
    <w:p>
      <w:pPr>
        <w:ind w:left="400" w:right="200" w:hanging="392"/>
        <w:spacing w:after="0" w:line="24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Based on information provided on a Schedule 13G filed with the SEC on January 25, 2021, as of December 31, 2020, by PGGM Vermogensbeheer B.V., or PGGM, acting in its capacity as legal representative of Stichting PGGM Depositary and Bedrijfstakpensioenfonds voor het Schilders-, Afwerkings- en Glaszetbedrijf. PGGM reported sole voting power with respect to 3,595,357 shares and no dispositive power as to any of these shares. The business address for PGGM is Noordweg Noord 150, 3704 JG Zeist, The Netherlands.</w:t>
      </w:r>
    </w:p>
    <w:p>
      <w:pPr>
        <w:spacing w:after="0" w:line="49" w:lineRule="exact"/>
        <w:rPr>
          <w:rFonts w:ascii="Arial" w:cs="Arial" w:eastAsia="Arial" w:hAnsi="Arial"/>
          <w:sz w:val="13"/>
          <w:szCs w:val="13"/>
          <w:color w:val="auto"/>
        </w:rPr>
      </w:pPr>
    </w:p>
    <w:p>
      <w:pPr>
        <w:ind w:left="400" w:right="20" w:hanging="392"/>
        <w:spacing w:after="0" w:line="25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14,500 shares of our common stock subject to options exercisable within 60 days of March 31, 2021. Also includes, only under the “Number of Shares and Units Beneficially Owned” column, 13,960 phantom units.</w:t>
      </w:r>
    </w:p>
    <w:p>
      <w:pPr>
        <w:spacing w:after="0" w:line="43" w:lineRule="exact"/>
        <w:rPr>
          <w:rFonts w:ascii="Arial" w:cs="Arial" w:eastAsia="Arial" w:hAnsi="Arial"/>
          <w:sz w:val="13"/>
          <w:szCs w:val="13"/>
          <w:color w:val="auto"/>
        </w:rPr>
      </w:pPr>
    </w:p>
    <w:p>
      <w:pPr>
        <w:ind w:left="400" w:hanging="392"/>
        <w:spacing w:after="0"/>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1,753 phantom units.</w:t>
      </w:r>
    </w:p>
    <w:p>
      <w:pPr>
        <w:spacing w:after="0" w:line="66" w:lineRule="exact"/>
        <w:rPr>
          <w:rFonts w:ascii="Arial" w:cs="Arial" w:eastAsia="Arial" w:hAnsi="Arial"/>
          <w:sz w:val="13"/>
          <w:szCs w:val="13"/>
          <w:color w:val="auto"/>
        </w:rPr>
      </w:pPr>
    </w:p>
    <w:p>
      <w:pPr>
        <w:ind w:left="400" w:hanging="392"/>
        <w:spacing w:after="0"/>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35,434 phantom units.</w:t>
      </w:r>
    </w:p>
    <w:p>
      <w:pPr>
        <w:spacing w:after="0" w:line="66" w:lineRule="exact"/>
        <w:rPr>
          <w:rFonts w:ascii="Arial" w:cs="Arial" w:eastAsia="Arial" w:hAnsi="Arial"/>
          <w:sz w:val="13"/>
          <w:szCs w:val="13"/>
          <w:color w:val="auto"/>
        </w:rPr>
      </w:pPr>
    </w:p>
    <w:p>
      <w:pPr>
        <w:ind w:left="400" w:right="160" w:hanging="392"/>
        <w:spacing w:after="0" w:line="25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76,992 LTIP units (of which 38,578 LTIP units are subject to vesting). The totals exclude 30,000 Class O LTIP units and all unearned performance-based LTIP units.</w:t>
      </w:r>
    </w:p>
    <w:p>
      <w:pPr>
        <w:spacing w:after="0" w:line="43" w:lineRule="exact"/>
        <w:rPr>
          <w:rFonts w:ascii="Arial" w:cs="Arial" w:eastAsia="Arial" w:hAnsi="Arial"/>
          <w:sz w:val="13"/>
          <w:szCs w:val="13"/>
          <w:color w:val="auto"/>
        </w:rPr>
      </w:pPr>
    </w:p>
    <w:p>
      <w:pPr>
        <w:ind w:left="400" w:hanging="392"/>
        <w:spacing w:after="0"/>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23,978 phantom units.</w:t>
      </w:r>
    </w:p>
    <w:p>
      <w:pPr>
        <w:spacing w:after="0" w:line="66" w:lineRule="exact"/>
        <w:rPr>
          <w:rFonts w:ascii="Arial" w:cs="Arial" w:eastAsia="Arial" w:hAnsi="Arial"/>
          <w:sz w:val="13"/>
          <w:szCs w:val="13"/>
          <w:color w:val="auto"/>
        </w:rPr>
      </w:pPr>
    </w:p>
    <w:p>
      <w:pPr>
        <w:ind w:left="400" w:hanging="392"/>
        <w:spacing w:after="0"/>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only under the “Number of Shares and Units Beneficially Owned” column, 668,207 common units, 167,134 LTIP units and 9,844 phantom units.</w:t>
      </w:r>
    </w:p>
    <w:p>
      <w:pPr>
        <w:spacing w:after="0" w:line="66" w:lineRule="exact"/>
        <w:rPr>
          <w:rFonts w:ascii="Arial" w:cs="Arial" w:eastAsia="Arial" w:hAnsi="Arial"/>
          <w:sz w:val="13"/>
          <w:szCs w:val="13"/>
          <w:color w:val="auto"/>
        </w:rPr>
      </w:pPr>
    </w:p>
    <w:p>
      <w:pPr>
        <w:ind w:left="400" w:right="140" w:hanging="392"/>
        <w:spacing w:after="0" w:line="251"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100,000 shares of our common stock subject to options exercisable within 60 days of March 31, 2021. Also includes, only under the “Number of Shares and Units Beneficially Owned” column, 993,066 LTIP units (of which 235,376 LTIP units are subject to vesting). The totals exclude 210,000 Class O LTIP units and all unearned performance-based LTIP units.</w:t>
      </w:r>
    </w:p>
    <w:p>
      <w:pPr>
        <w:spacing w:after="0" w:line="200" w:lineRule="exact"/>
        <w:rPr>
          <w:rFonts w:ascii="Arial" w:cs="Arial" w:eastAsia="Arial" w:hAnsi="Arial"/>
          <w:sz w:val="13"/>
          <w:szCs w:val="13"/>
          <w:color w:val="auto"/>
        </w:rPr>
      </w:pPr>
    </w:p>
    <w:p>
      <w:pPr>
        <w:jc w:val="both"/>
        <w:ind w:left="400" w:right="320" w:hanging="392"/>
        <w:spacing w:after="0" w:line="251"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12,500 shares of our common stock subject to options exercisable within 60 days of March 31, 2021. Includes, only under the “Number of Shares and Units Beneficially Owned” column, 159,976 LTIP units (of which 43,576 LTIP units are subject to vesting). The totals exclude 30,000 Class O LTIP units and all unearned performance-based LTIP units.</w:t>
      </w:r>
    </w:p>
    <w:p>
      <w:pPr>
        <w:spacing w:after="0" w:line="200" w:lineRule="exact"/>
        <w:rPr>
          <w:rFonts w:ascii="Arial" w:cs="Arial" w:eastAsia="Arial" w:hAnsi="Arial"/>
          <w:sz w:val="13"/>
          <w:szCs w:val="13"/>
          <w:color w:val="auto"/>
        </w:rPr>
      </w:pPr>
    </w:p>
    <w:p>
      <w:pPr>
        <w:ind w:left="400" w:right="20" w:hanging="392"/>
        <w:spacing w:after="0" w:line="25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14,500 shares of our common stock subject to options exercisable within 60 days of March 31, 2021. Also includes, only under the “Number of Shares and Units Beneficially Owned” column, 74,097 phantom units.</w:t>
      </w:r>
    </w:p>
    <w:p>
      <w:pPr>
        <w:spacing w:after="0" w:line="43" w:lineRule="exact"/>
        <w:rPr>
          <w:rFonts w:ascii="Arial" w:cs="Arial" w:eastAsia="Arial" w:hAnsi="Arial"/>
          <w:sz w:val="13"/>
          <w:szCs w:val="13"/>
          <w:color w:val="auto"/>
        </w:rPr>
      </w:pPr>
    </w:p>
    <w:p>
      <w:pPr>
        <w:ind w:left="400" w:right="20" w:hanging="392"/>
        <w:spacing w:after="0" w:line="25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65,000 shares of our common stock subject to options exercisable within 60 days of March 31, 2021. Also includes, only under the “Number of Shares and Units Beneficially Owned” column, 791,681 LTIP units (of which 217,412 LTIP units are subject to vesting). The totals exclude all unearned performance-based LTIP units.</w:t>
      </w:r>
    </w:p>
    <w:p>
      <w:pPr>
        <w:spacing w:after="0" w:line="43" w:lineRule="exact"/>
        <w:rPr>
          <w:rFonts w:ascii="Arial" w:cs="Arial" w:eastAsia="Arial" w:hAnsi="Arial"/>
          <w:sz w:val="13"/>
          <w:szCs w:val="13"/>
          <w:color w:val="auto"/>
        </w:rPr>
      </w:pPr>
    </w:p>
    <w:p>
      <w:pPr>
        <w:ind w:left="400" w:right="320" w:hanging="392"/>
        <w:spacing w:after="0" w:line="248" w:lineRule="auto"/>
        <w:tabs>
          <w:tab w:leader="none" w:pos="4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Includes an aggregate of 236,097 shares of common stock and 206,500 shares of common stock underlying exercisable stock options. Also includes, only under the “Number of Shares and Units Beneficially Owned” column, 668,207 common units, 2,188,849 LTIP units and 159,066 phantom units. See also Notes (8) – (17) above. Excludes unearned performance-based LTIP units and Class O LTIP units.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STOCK OWNERSHIP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Series I Preferred Stock</w:t>
      </w:r>
    </w:p>
    <w:p>
      <w:pPr>
        <w:spacing w:after="0" w:line="23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following table sets forth the beneficial ownership of our Series I Cumulative Redeemable Preferred Stock, $0.01 par value, as of March 31, 2021,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2021, there were 9,200,000 shares of our Series I Cumulative Redeemable Preferred Stock outstanding.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3"/>
          </w:tcPr>
          <w:p>
            <w:pPr>
              <w:jc w:val="right"/>
              <w:spacing w:after="0"/>
              <w:rPr>
                <w:sz w:val="20"/>
                <w:szCs w:val="20"/>
                <w:color w:val="auto"/>
              </w:rPr>
            </w:pPr>
            <w:r>
              <w:rPr>
                <w:rFonts w:ascii="Arial" w:cs="Arial" w:eastAsia="Arial" w:hAnsi="Arial"/>
                <w:sz w:val="13"/>
                <w:szCs w:val="13"/>
                <w:b w:val="1"/>
                <w:bCs w:val="1"/>
                <w:color w:val="355889"/>
              </w:rPr>
              <w:t>Series I Cumulative Redeemable</w:t>
            </w:r>
          </w:p>
        </w:tc>
      </w:tr>
      <w:tr>
        <w:trPr>
          <w:trHeight w:val="199"/>
        </w:trPr>
        <w:tc>
          <w:tcPr>
            <w:tcW w:w="8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355889"/>
            </w:tcBorders>
            <w:gridSpan w:val="3"/>
          </w:tcPr>
          <w:p>
            <w:pPr>
              <w:jc w:val="right"/>
              <w:ind w:right="499"/>
              <w:spacing w:after="0"/>
              <w:rPr>
                <w:sz w:val="20"/>
                <w:szCs w:val="20"/>
                <w:color w:val="auto"/>
              </w:rPr>
            </w:pPr>
            <w:r>
              <w:rPr>
                <w:rFonts w:ascii="Arial" w:cs="Arial" w:eastAsia="Arial" w:hAnsi="Arial"/>
                <w:sz w:val="13"/>
                <w:szCs w:val="13"/>
                <w:b w:val="1"/>
                <w:bCs w:val="1"/>
                <w:color w:val="355889"/>
              </w:rPr>
              <w:t>Preferred Stock</w:t>
            </w:r>
          </w:p>
        </w:tc>
      </w:tr>
      <w:tr>
        <w:trPr>
          <w:trHeight w:val="159"/>
        </w:trPr>
        <w:tc>
          <w:tcPr>
            <w:tcW w:w="8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55889"/>
              </w:rPr>
              <w:t>Number of Shares</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355889"/>
              </w:rPr>
              <w:t>Percent of</w:t>
            </w:r>
          </w:p>
        </w:tc>
      </w:tr>
      <w:tr>
        <w:trPr>
          <w:trHeight w:val="199"/>
        </w:trPr>
        <w:tc>
          <w:tcPr>
            <w:tcW w:w="89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355889"/>
              </w:rPr>
              <w:t>Beneficially Owned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355889"/>
              </w:rPr>
              <w:t>Outstanding</w:t>
            </w:r>
          </w:p>
        </w:tc>
      </w:tr>
      <w:tr>
        <w:trPr>
          <w:trHeight w:val="250"/>
        </w:trPr>
        <w:tc>
          <w:tcPr>
            <w:tcW w:w="8940" w:type="dxa"/>
            <w:vAlign w:val="bottom"/>
            <w:tcBorders>
              <w:top w:val="single" w:sz="8" w:color="355889"/>
              <w:bottom w:val="single" w:sz="8" w:color="8797B7"/>
            </w:tcBorders>
          </w:tcPr>
          <w:p>
            <w:pPr>
              <w:spacing w:after="0"/>
              <w:rPr>
                <w:sz w:val="20"/>
                <w:szCs w:val="20"/>
                <w:color w:val="auto"/>
              </w:rPr>
            </w:pPr>
            <w:r>
              <w:rPr>
                <w:rFonts w:ascii="Arial" w:cs="Arial" w:eastAsia="Arial" w:hAnsi="Arial"/>
                <w:sz w:val="18"/>
                <w:szCs w:val="18"/>
                <w:color w:val="auto"/>
              </w:rPr>
              <w:t>Matthew J. DiLiberto</w:t>
            </w:r>
          </w:p>
        </w:tc>
        <w:tc>
          <w:tcPr>
            <w:tcW w:w="120" w:type="dxa"/>
            <w:vAlign w:val="bottom"/>
          </w:tcPr>
          <w:p>
            <w:pPr>
              <w:spacing w:after="0"/>
              <w:rPr>
                <w:sz w:val="21"/>
                <w:szCs w:val="21"/>
                <w:color w:val="auto"/>
              </w:rPr>
            </w:pPr>
          </w:p>
        </w:tc>
        <w:tc>
          <w:tcPr>
            <w:tcW w:w="1240" w:type="dxa"/>
            <w:vAlign w:val="bottom"/>
            <w:tcBorders>
              <w:top w:val="single" w:sz="8" w:color="355889"/>
              <w:bottom w:val="single" w:sz="8" w:color="8797B7"/>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1"/>
                <w:szCs w:val="21"/>
                <w:color w:val="auto"/>
              </w:rPr>
            </w:pPr>
          </w:p>
        </w:tc>
        <w:tc>
          <w:tcPr>
            <w:tcW w:w="800" w:type="dxa"/>
            <w:vAlign w:val="bottom"/>
            <w:tcBorders>
              <w:top w:val="single" w:sz="8" w:color="355889"/>
              <w:bottom w:val="single" w:sz="8" w:color="8797B7"/>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94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Marc Holliday</w:t>
            </w:r>
          </w:p>
        </w:tc>
        <w:tc>
          <w:tcPr>
            <w:tcW w:w="120" w:type="dxa"/>
            <w:vAlign w:val="bottom"/>
          </w:tcPr>
          <w:p>
            <w:pPr>
              <w:spacing w:after="0"/>
              <w:rPr>
                <w:sz w:val="21"/>
                <w:szCs w:val="21"/>
                <w:color w:val="auto"/>
              </w:rPr>
            </w:pPr>
          </w:p>
        </w:tc>
        <w:tc>
          <w:tcPr>
            <w:tcW w:w="124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111,473</w:t>
            </w:r>
          </w:p>
        </w:tc>
        <w:tc>
          <w:tcPr>
            <w:tcW w:w="140" w:type="dxa"/>
            <w:vAlign w:val="bottom"/>
          </w:tcPr>
          <w:p>
            <w:pPr>
              <w:spacing w:after="0"/>
              <w:rPr>
                <w:sz w:val="21"/>
                <w:szCs w:val="21"/>
                <w:color w:val="auto"/>
              </w:rPr>
            </w:pPr>
          </w:p>
        </w:tc>
        <w:tc>
          <w:tcPr>
            <w:tcW w:w="8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8940" w:type="dxa"/>
            <w:vAlign w:val="bottom"/>
            <w:tcBorders>
              <w:bottom w:val="single" w:sz="8" w:color="8797B7"/>
            </w:tcBorders>
          </w:tcPr>
          <w:p>
            <w:pPr>
              <w:spacing w:after="0"/>
              <w:rPr>
                <w:sz w:val="20"/>
                <w:szCs w:val="20"/>
                <w:color w:val="auto"/>
              </w:rPr>
            </w:pPr>
            <w:r>
              <w:rPr>
                <w:rFonts w:ascii="Arial" w:cs="Arial" w:eastAsia="Arial" w:hAnsi="Arial"/>
                <w:sz w:val="18"/>
                <w:szCs w:val="18"/>
                <w:color w:val="auto"/>
              </w:rPr>
              <w:t>Andrew S. Levine</w:t>
            </w:r>
          </w:p>
        </w:tc>
        <w:tc>
          <w:tcPr>
            <w:tcW w:w="120" w:type="dxa"/>
            <w:vAlign w:val="bottom"/>
          </w:tcPr>
          <w:p>
            <w:pPr>
              <w:spacing w:after="0"/>
              <w:rPr>
                <w:sz w:val="21"/>
                <w:szCs w:val="21"/>
                <w:color w:val="auto"/>
              </w:rPr>
            </w:pPr>
          </w:p>
        </w:tc>
        <w:tc>
          <w:tcPr>
            <w:tcW w:w="124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1"/>
                <w:szCs w:val="21"/>
                <w:color w:val="auto"/>
              </w:rPr>
            </w:pPr>
          </w:p>
        </w:tc>
        <w:tc>
          <w:tcPr>
            <w:tcW w:w="800" w:type="dxa"/>
            <w:vAlign w:val="bottom"/>
            <w:tcBorders>
              <w:bottom w:val="single" w:sz="8" w:color="8797B7"/>
            </w:tcBorders>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940" w:type="dxa"/>
            <w:vAlign w:val="bottom"/>
            <w:tcBorders>
              <w:bottom w:val="single" w:sz="8" w:color="355889"/>
            </w:tcBorders>
          </w:tcPr>
          <w:p>
            <w:pPr>
              <w:spacing w:after="0"/>
              <w:rPr>
                <w:sz w:val="20"/>
                <w:szCs w:val="20"/>
                <w:color w:val="auto"/>
              </w:rPr>
            </w:pPr>
            <w:r>
              <w:rPr>
                <w:rFonts w:ascii="Arial" w:cs="Arial" w:eastAsia="Arial" w:hAnsi="Arial"/>
                <w:sz w:val="18"/>
                <w:szCs w:val="18"/>
                <w:color w:val="auto"/>
              </w:rPr>
              <w:t>All Directors and Executive Officers as a Group (11 Persons)</w:t>
            </w:r>
          </w:p>
        </w:tc>
        <w:tc>
          <w:tcPr>
            <w:tcW w:w="120" w:type="dxa"/>
            <w:vAlign w:val="bottom"/>
          </w:tcPr>
          <w:p>
            <w:pPr>
              <w:spacing w:after="0"/>
              <w:rPr>
                <w:sz w:val="22"/>
                <w:szCs w:val="22"/>
                <w:color w:val="auto"/>
              </w:rPr>
            </w:pPr>
          </w:p>
        </w:tc>
        <w:tc>
          <w:tcPr>
            <w:tcW w:w="124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119,473</w:t>
            </w:r>
          </w:p>
        </w:tc>
        <w:tc>
          <w:tcPr>
            <w:tcW w:w="140" w:type="dxa"/>
            <w:vAlign w:val="bottom"/>
          </w:tcPr>
          <w:p>
            <w:pPr>
              <w:spacing w:after="0"/>
              <w:rPr>
                <w:sz w:val="22"/>
                <w:szCs w:val="22"/>
                <w:color w:val="auto"/>
              </w:rPr>
            </w:pPr>
          </w:p>
        </w:tc>
        <w:tc>
          <w:tcPr>
            <w:tcW w:w="800" w:type="dxa"/>
            <w:vAlign w:val="bottom"/>
            <w:tcBorders>
              <w:bottom w:val="single" w:sz="8" w:color="355889"/>
            </w:tcBorders>
          </w:tcPr>
          <w:p>
            <w:pPr>
              <w:jc w:val="right"/>
              <w:spacing w:after="0"/>
              <w:rPr>
                <w:sz w:val="20"/>
                <w:szCs w:val="20"/>
                <w:color w:val="auto"/>
              </w:rPr>
            </w:pPr>
            <w:r>
              <w:rPr>
                <w:rFonts w:ascii="Arial" w:cs="Arial" w:eastAsia="Arial" w:hAnsi="Arial"/>
                <w:sz w:val="18"/>
                <w:szCs w:val="18"/>
                <w:color w:val="auto"/>
              </w:rPr>
              <w:t>1.30%</w:t>
            </w:r>
          </w:p>
        </w:tc>
      </w:tr>
    </w:tbl>
    <w:p>
      <w:pPr>
        <w:spacing w:after="0" w:line="107" w:lineRule="exact"/>
        <w:rPr>
          <w:sz w:val="20"/>
          <w:szCs w:val="20"/>
          <w:color w:val="auto"/>
        </w:rPr>
      </w:pPr>
    </w:p>
    <w:p>
      <w:pPr>
        <w:ind w:left="220" w:hanging="212"/>
        <w:spacing w:after="0"/>
        <w:tabs>
          <w:tab w:leader="none" w:pos="2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Mr. Alschuler who inadvertently failed to file timely a Form 4 relating to the sale of common stock on November 24, 2020. This transaction was subsequently reflected on a Form 4 filed on April 22, 2021.</w:t>
      </w:r>
    </w:p>
    <w:p>
      <w:pPr>
        <w:spacing w:after="0" w:line="208" w:lineRule="exact"/>
        <w:rPr>
          <w:sz w:val="20"/>
          <w:szCs w:val="20"/>
          <w:color w:val="auto"/>
        </w:rPr>
      </w:pPr>
    </w:p>
    <w:p>
      <w:pPr>
        <w:ind w:left="300" w:hanging="292"/>
        <w:spacing w:after="0"/>
        <w:tabs>
          <w:tab w:leader="none" w:pos="300" w:val="left"/>
        </w:tabs>
        <w:numPr>
          <w:ilvl w:val="0"/>
          <w:numId w:val="151"/>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CERTAIN RELATIONSHIPS AND RELATED PARTY TRANSACTIONS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Policies and Procedures With Respect to Related Party Transactions</w:t>
      </w:r>
    </w:p>
    <w:p>
      <w:pPr>
        <w:spacing w:after="0" w:line="233"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20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209"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6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Cleaning/Security/Messenger and Restoration Services</w:t>
      </w:r>
    </w:p>
    <w:p>
      <w:pPr>
        <w:spacing w:after="0" w:line="233"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a director and the former chairman and current chairman emeritus of the Board. In addition, First Quality has the non-exclusive opportunity to provide cleaning and related services to individual tenants at our properties on a basis separately negotiated with any tenant seeking such additional services. A subsidiary through which we realize income from management, leasing and construction contracts with third parties and joint venture properties has entered into an arrangement with Alliance whereby it will receive profit participation above a certain threshold for services provided by Alliance to certain tenants at certain buildings above the base services specified in their lease agreements. Income earned from profit participation was approximately $ 1.4 million, $3.9 million and $ 3.9 million for the years ended December 31, 2020, 2019 and 2018, respectively. We also recorded expenses of approximately $13.3 million, $18.8 million and $ 18.8 million for the years ended December 31, 2020, 2019 and 2018, respectively, for these services (excluding services provided directly to tenants).</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Management Fees</w:t>
      </w:r>
    </w:p>
    <w:p>
      <w:pPr>
        <w:spacing w:after="0" w:line="233"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We received management fees from such entity of approximately $0.6 million, $0.6 million and $0.6 million for the years ended December 31, 2020,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Marketing Services</w:t>
      </w:r>
    </w:p>
    <w:p>
      <w:pPr>
        <w:spacing w:after="0" w:line="23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A-List Marketing, LLC, or A-List, provided marketing services to us. Deena Wolff, a sister of Marc Holliday, our Chief Executive Officer, is the founder of A-List. We recorded expenses of approximately $0.2 million, $0.3 million and $0.3 million for each of the years ended December 31, 2020, 2019 and 2018, for these services.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889"/>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889"/>
        </w:rPr>
        <w:t>CERTAIN RELATIONSHIPS AND RELATED 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Chairman Emeritus Agreement</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December 21, 2018, we and Stephen L. Green, the former Chairman of the Company, entered into a chairman emeritus agreement in connection with Mr. Green’s retirement as Chairman of the Company and transition into the role of Chairman Emeritus. Under the chairman emeritus agreement, subject to successive one-year renewal periods, Mr. Green provided services to us as Chairman Emeritus for an initial period from January 17, 2019 until December 31, 2019. The chairman emeritus agreement was renewed for the period from January 1, 2020 to December 31, 2020, and has been renewed again for the period from January 1, 2021 to December 31, 2021. For these services, Mr. Green will receive a monthly retainer of $54,167, in addition to any fees to which Mr. Green is entitled as a non-employee director. We will also continue to provide Mr. Green with perquisites under the chairman emeritus agreement consistent with those he previously received as Chairman. In addition, Mr. Green will be entitled, to the extent eligible, to continue to participate in our group health insurance at the expense of the Company or, if Mr. Green is not eligible, monthly cash payments equal to the amount payable by Mr. Green under COBRA for continued participation in our group health insurance under COBRA.</w:t>
      </w:r>
    </w:p>
    <w:p>
      <w:pPr>
        <w:spacing w:after="0" w:line="214" w:lineRule="exact"/>
        <w:rPr>
          <w:sz w:val="20"/>
          <w:szCs w:val="20"/>
          <w:color w:val="auto"/>
        </w:rPr>
      </w:pPr>
    </w:p>
    <w:p>
      <w:pPr>
        <w:ind w:left="300" w:hanging="292"/>
        <w:spacing w:after="0"/>
        <w:tabs>
          <w:tab w:leader="none" w:pos="300" w:val="left"/>
        </w:tabs>
        <w:numPr>
          <w:ilvl w:val="0"/>
          <w:numId w:val="152"/>
        </w:numPr>
        <w:rPr>
          <w:rFonts w:ascii="Arial" w:cs="Arial" w:eastAsia="Arial" w:hAnsi="Arial"/>
          <w:sz w:val="18"/>
          <w:szCs w:val="18"/>
          <w:color w:val="3558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355A89"/>
        </w:rPr>
        <w:t>OTHER INFORMATION</w:t>
      </w:r>
    </w:p>
    <w:p>
      <w:pPr>
        <w:spacing w:after="0" w:line="265"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These proxy materials are being made available in connection with the solicitation of proxies by the Board of Directors, or the Board, of SL Green Realty Corp., a Maryland corporation, for use at our 2021 annual meeting of stockholders to be held virtually on June 8, 2021 at 12:00 p.m., Eastern Time, at www.virtualshareholdermeeting.com/SLG2021, or at any postponement or adjournment of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355A89"/>
        </w:rPr>
        <w:t>What is the Notice of Internet Availability of Proxy Materials that I received in the mail this year instead of a full set of proxy materials?</w:t>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accordance with rules adopted by the Securities and Exchange Commission, or SEC, we may furnish proxy materials, including this proxy statement and our 2020 annual report to stockholders, by providing access to these documents on the Internet instead of mailing a printed copy of our proxy materials to our stockholders. On or about April 27, 2021, we began mailing to many of our stockholders a Notice of Internet Availability of Proxy Materials, or the Notice, containing instructions on how to access this proxy statement and our 2020 annual report online, as well as instructions on how to vote.</w:t>
      </w:r>
    </w:p>
    <w:p>
      <w:pPr>
        <w:spacing w:after="0" w:line="21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If you would like to receive a paper or an e-mail copy of our proxy materials for the 2022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Who is entitled to vote at the annual meeting?</w:t>
      </w:r>
    </w:p>
    <w:p>
      <w:pPr>
        <w:spacing w:after="0" w:line="233"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Holders of record of our common stock, $0.01 par value per share, at the close of business on March 31, 2021,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What is the purpose of the annual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194" w:lineRule="exact"/>
        <w:rPr>
          <w:sz w:val="20"/>
          <w:szCs w:val="20"/>
          <w:color w:val="auto"/>
        </w:rPr>
      </w:pPr>
    </w:p>
    <w:p>
      <w:pPr>
        <w:ind w:left="540" w:right="180" w:hanging="262"/>
        <w:spacing w:after="0" w:line="260" w:lineRule="auto"/>
        <w:tabs>
          <w:tab w:leader="none" w:pos="540" w:val="left"/>
        </w:tabs>
        <w:numPr>
          <w:ilvl w:val="0"/>
          <w:numId w:val="153"/>
        </w:numPr>
        <w:rPr>
          <w:rFonts w:ascii="Arial" w:cs="Arial" w:eastAsia="Arial" w:hAnsi="Arial"/>
          <w:sz w:val="17"/>
          <w:szCs w:val="17"/>
          <w:color w:val="355889"/>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the nine director nominees named in this proxy statement to serve on the Board for a one-year term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their successors are duly elected and qualify</w:t>
      </w:r>
    </w:p>
    <w:p>
      <w:pPr>
        <w:spacing w:after="0" w:line="64" w:lineRule="exact"/>
        <w:rPr>
          <w:rFonts w:ascii="Arial" w:cs="Arial" w:eastAsia="Arial" w:hAnsi="Arial"/>
          <w:sz w:val="17"/>
          <w:szCs w:val="17"/>
          <w:color w:val="355889"/>
        </w:rPr>
      </w:pPr>
    </w:p>
    <w:p>
      <w:pPr>
        <w:ind w:left="540" w:right="120" w:hanging="262"/>
        <w:spacing w:after="0" w:line="260" w:lineRule="auto"/>
        <w:tabs>
          <w:tab w:leader="none" w:pos="540" w:val="left"/>
        </w:tabs>
        <w:numPr>
          <w:ilvl w:val="0"/>
          <w:numId w:val="153"/>
        </w:numPr>
        <w:rPr>
          <w:rFonts w:ascii="Arial" w:cs="Arial" w:eastAsia="Arial" w:hAnsi="Arial"/>
          <w:sz w:val="17"/>
          <w:szCs w:val="17"/>
          <w:color w:val="355889"/>
        </w:rPr>
      </w:pP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Item 402 of Regulation S-K</w:t>
      </w:r>
    </w:p>
    <w:p>
      <w:pPr>
        <w:spacing w:after="0" w:line="64" w:lineRule="exact"/>
        <w:rPr>
          <w:rFonts w:ascii="Arial" w:cs="Arial" w:eastAsia="Arial" w:hAnsi="Arial"/>
          <w:sz w:val="17"/>
          <w:szCs w:val="17"/>
          <w:color w:val="355889"/>
        </w:rPr>
      </w:pPr>
    </w:p>
    <w:p>
      <w:pPr>
        <w:ind w:left="540" w:right="340" w:hanging="262"/>
        <w:spacing w:after="0" w:line="260" w:lineRule="auto"/>
        <w:tabs>
          <w:tab w:leader="none" w:pos="540" w:val="left"/>
        </w:tabs>
        <w:numPr>
          <w:ilvl w:val="0"/>
          <w:numId w:val="153"/>
        </w:numPr>
        <w:rPr>
          <w:rFonts w:ascii="Arial" w:cs="Arial" w:eastAsia="Arial" w:hAnsi="Arial"/>
          <w:sz w:val="17"/>
          <w:szCs w:val="17"/>
          <w:color w:val="355889"/>
        </w:rPr>
      </w:pP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December 31, 2021</w:t>
      </w:r>
    </w:p>
    <w:p>
      <w:pPr>
        <w:spacing w:after="0" w:line="191"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What constitutes a quorum?</w:t>
      </w:r>
    </w:p>
    <w:p>
      <w:pPr>
        <w:spacing w:after="0" w:line="23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70,414,383 shares outstanding and entitled to vote at the annual meeting.</w:t>
      </w:r>
    </w:p>
    <w:p>
      <w:pPr>
        <w:spacing w:after="0" w:line="2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889"/>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OTHER INFORMATION</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What vote is required to approve each proposal?</w:t>
      </w:r>
    </w:p>
    <w:p>
      <w:pPr>
        <w:spacing w:after="0" w:line="233" w:lineRule="exact"/>
        <w:rPr>
          <w:sz w:val="20"/>
          <w:szCs w:val="20"/>
          <w:color w:val="auto"/>
        </w:rPr>
      </w:pPr>
    </w:p>
    <w:p>
      <w:pPr>
        <w:ind w:right="300"/>
        <w:spacing w:after="0" w:line="272" w:lineRule="auto"/>
        <w:rPr>
          <w:sz w:val="20"/>
          <w:szCs w:val="20"/>
          <w:color w:val="auto"/>
        </w:rPr>
      </w:pPr>
      <w:r>
        <w:rPr>
          <w:rFonts w:ascii="Arial" w:cs="Arial" w:eastAsia="Arial" w:hAnsi="Arial"/>
          <w:sz w:val="16"/>
          <w:szCs w:val="16"/>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majority of all of the votes cast with respect to the proposal is required for approval of each of Proposals 2 and 3. In respect of Proposals 2 and 3, abstentions and broker non-votes are not counted as votes cast, and therefore will have no effect on the votes for these proposals.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How do I vote?</w:t>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 xml:space="preserve">Voting During the Annual Meeting. </w:t>
      </w:r>
      <w:r>
        <w:rPr>
          <w:rFonts w:ascii="Arial" w:cs="Arial" w:eastAsia="Arial" w:hAnsi="Arial"/>
          <w:sz w:val="18"/>
          <w:szCs w:val="18"/>
          <w:color w:val="auto"/>
        </w:rPr>
        <w:t>If you hold your shares in your own name as a holder of record with our transfer agent, Computershare, you</w:t>
      </w:r>
      <w:r>
        <w:rPr>
          <w:rFonts w:ascii="Arial" w:cs="Arial" w:eastAsia="Arial" w:hAnsi="Arial"/>
          <w:sz w:val="18"/>
          <w:szCs w:val="18"/>
          <w:i w:val="1"/>
          <w:iCs w:val="1"/>
          <w:color w:val="auto"/>
        </w:rPr>
        <w:t xml:space="preserve"> </w:t>
      </w:r>
      <w:r>
        <w:rPr>
          <w:rFonts w:ascii="Arial" w:cs="Arial" w:eastAsia="Arial" w:hAnsi="Arial"/>
          <w:sz w:val="18"/>
          <w:szCs w:val="18"/>
          <w:color w:val="auto"/>
        </w:rPr>
        <w:t>may vote your shares of common stock electronically during the annual meeting using your 16-digit control number on your proxy card or Notice of Internet Availability. If your shares are held by a bank, broker or other nominee, that is, in “street name,” and you wish to vote during the annual meeting, and your voting instruction form or Notice of Internet Availability indicates that you may vote those shares through the http://www.proxyvote.com website, then you may vote at the annual meeting with the 16-digit control number indicated on your voting instruction form or Notice of Internet Availability. If you hold your shares of common stock in street name and you do not have a 16-digit control number, you will need to obtain a “legal proxy” from the bank, broker or other nominee that holds your shares of common stock of record to attend, participate in and vote during the annual meeting.</w:t>
      </w:r>
    </w:p>
    <w:p>
      <w:pPr>
        <w:spacing w:after="0" w:line="194" w:lineRule="exact"/>
        <w:rPr>
          <w:sz w:val="20"/>
          <w:szCs w:val="20"/>
          <w:color w:val="auto"/>
        </w:rPr>
      </w:pPr>
    </w:p>
    <w:p>
      <w:pPr>
        <w:jc w:val="both"/>
        <w:ind w:right="320"/>
        <w:spacing w:after="0" w:line="247" w:lineRule="auto"/>
        <w:rPr>
          <w:sz w:val="20"/>
          <w:szCs w:val="20"/>
          <w:color w:val="auto"/>
        </w:rPr>
      </w:pPr>
      <w:r>
        <w:rPr>
          <w:rFonts w:ascii="Arial" w:cs="Arial" w:eastAsia="Arial" w:hAnsi="Arial"/>
          <w:sz w:val="18"/>
          <w:szCs w:val="18"/>
          <w:i w:val="1"/>
          <w:iCs w:val="1"/>
          <w:color w:val="auto"/>
        </w:rPr>
        <w:t xml:space="preserve">If you received a paper copy of this Proxy Statement. </w:t>
      </w:r>
      <w:r>
        <w:rPr>
          <w:rFonts w:ascii="Arial" w:cs="Arial" w:eastAsia="Arial" w:hAnsi="Arial"/>
          <w:sz w:val="18"/>
          <w:szCs w:val="18"/>
          <w:color w:val="auto"/>
        </w:rPr>
        <w:t>You can vote by valid proxy received by telephone, electronically via the Internet or by</w:t>
      </w:r>
      <w:r>
        <w:rPr>
          <w:rFonts w:ascii="Arial" w:cs="Arial" w:eastAsia="Arial" w:hAnsi="Arial"/>
          <w:sz w:val="18"/>
          <w:szCs w:val="18"/>
          <w:i w:val="1"/>
          <w:iCs w:val="1"/>
          <w:color w:val="auto"/>
        </w:rPr>
        <w:t xml:space="preserve"> </w:t>
      </w:r>
      <w:r>
        <w:rPr>
          <w:rFonts w:ascii="Arial" w:cs="Arial" w:eastAsia="Arial" w:hAnsi="Arial"/>
          <w:sz w:val="18"/>
          <w:szCs w:val="18"/>
          <w:color w:val="auto"/>
        </w:rPr>
        <w:t>mail. The deadline for voting by telephone or electronically via the Internet is 11:59 p.m., Eastern Daylight Time, on June 7, 2021. If voting by mail, you must:</w:t>
      </w:r>
    </w:p>
    <w:p>
      <w:pPr>
        <w:spacing w:after="0" w:line="198" w:lineRule="exact"/>
        <w:rPr>
          <w:sz w:val="20"/>
          <w:szCs w:val="20"/>
          <w:color w:val="auto"/>
        </w:rPr>
      </w:pPr>
    </w:p>
    <w:p>
      <w:pPr>
        <w:ind w:left="540" w:hanging="262"/>
        <w:spacing w:after="0"/>
        <w:tabs>
          <w:tab w:leader="none" w:pos="540" w:val="left"/>
        </w:tabs>
        <w:numPr>
          <w:ilvl w:val="0"/>
          <w:numId w:val="154"/>
        </w:numPr>
        <w:rPr>
          <w:rFonts w:ascii="Arial" w:cs="Arial" w:eastAsia="Arial" w:hAnsi="Arial"/>
          <w:sz w:val="17"/>
          <w:szCs w:val="17"/>
          <w:color w:val="355A89"/>
        </w:rPr>
      </w:pPr>
      <w:r>
        <w:rPr>
          <w:rFonts w:ascii="Arial" w:cs="Arial" w:eastAsia="Arial" w:hAnsi="Arial"/>
          <w:sz w:val="18"/>
          <w:szCs w:val="18"/>
          <w:color w:val="auto"/>
        </w:rPr>
        <w:t>indicate your instructions on the proxy</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154"/>
        </w:numPr>
        <w:rPr>
          <w:rFonts w:ascii="Arial" w:cs="Arial" w:eastAsia="Arial" w:hAnsi="Arial"/>
          <w:sz w:val="17"/>
          <w:szCs w:val="17"/>
          <w:color w:val="355A89"/>
        </w:rPr>
      </w:pPr>
      <w:r>
        <w:rPr>
          <w:rFonts w:ascii="Arial" w:cs="Arial" w:eastAsia="Arial" w:hAnsi="Arial"/>
          <w:sz w:val="18"/>
          <w:szCs w:val="18"/>
          <w:color w:val="auto"/>
        </w:rPr>
        <w:t>date and sign the proxy</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154"/>
        </w:numPr>
        <w:rPr>
          <w:rFonts w:ascii="Arial" w:cs="Arial" w:eastAsia="Arial" w:hAnsi="Arial"/>
          <w:sz w:val="17"/>
          <w:szCs w:val="17"/>
          <w:color w:val="355A89"/>
        </w:rPr>
      </w:pPr>
      <w:r>
        <w:rPr>
          <w:rFonts w:ascii="Arial" w:cs="Arial" w:eastAsia="Arial" w:hAnsi="Arial"/>
          <w:sz w:val="18"/>
          <w:szCs w:val="18"/>
          <w:color w:val="auto"/>
        </w:rPr>
        <w:t>promptly mail the proxy in the enclosed envelope</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154"/>
        </w:numPr>
        <w:rPr>
          <w:rFonts w:ascii="Arial" w:cs="Arial" w:eastAsia="Arial" w:hAnsi="Arial"/>
          <w:sz w:val="17"/>
          <w:szCs w:val="17"/>
          <w:color w:val="355A89"/>
        </w:rPr>
      </w:pPr>
      <w:r>
        <w:rPr>
          <w:rFonts w:ascii="Arial" w:cs="Arial" w:eastAsia="Arial" w:hAnsi="Arial"/>
          <w:sz w:val="18"/>
          <w:szCs w:val="18"/>
          <w:color w:val="auto"/>
        </w:rPr>
        <w:t>allow sufficient time for the proxy to be received before the date of the annual meeting</w:t>
      </w:r>
    </w:p>
    <w:p>
      <w:pPr>
        <w:spacing w:after="0" w:line="216"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with respect to the voting of your shares.</w:t>
      </w:r>
    </w:p>
    <w:p>
      <w:pPr>
        <w:spacing w:after="0" w:line="191" w:lineRule="exact"/>
        <w:rPr>
          <w:sz w:val="20"/>
          <w:szCs w:val="20"/>
          <w:color w:val="auto"/>
        </w:rPr>
      </w:pPr>
    </w:p>
    <w:p>
      <w:pPr>
        <w:ind w:right="120"/>
        <w:spacing w:after="0" w:line="322" w:lineRule="auto"/>
        <w:rPr>
          <w:sz w:val="20"/>
          <w:szCs w:val="20"/>
          <w:color w:val="auto"/>
        </w:rPr>
      </w:pPr>
      <w:r>
        <w:rPr>
          <w:rFonts w:ascii="Arial" w:cs="Arial" w:eastAsia="Arial" w:hAnsi="Arial"/>
          <w:sz w:val="16"/>
          <w:szCs w:val="16"/>
          <w:i w:val="1"/>
          <w:iCs w:val="1"/>
          <w:color w:val="auto"/>
        </w:rPr>
        <w:t>If you received a Notice of Internet Availability of Proxy Statement</w:t>
      </w:r>
      <w:r>
        <w:rPr>
          <w:rFonts w:ascii="Arial" w:cs="Arial" w:eastAsia="Arial" w:hAnsi="Arial"/>
          <w:sz w:val="16"/>
          <w:szCs w:val="16"/>
          <w:color w:val="auto"/>
        </w:rPr>
        <w:t>. Please submit your proxy electronically via the Internet using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Notice. The deadline for voting electronically via the Internet is 11:59 p.m., Eastern Daylight Time, on June 7, 2021.</w:t>
      </w:r>
    </w:p>
    <w:p>
      <w:pPr>
        <w:spacing w:after="0" w:line="12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i w:val="1"/>
          <w:iCs w:val="1"/>
          <w:color w:val="auto"/>
        </w:rPr>
        <w:t xml:space="preserve">If you received an e-mail copy of this Proxy Statement. </w:t>
      </w:r>
      <w:r>
        <w:rPr>
          <w:rFonts w:ascii="Arial" w:cs="Arial" w:eastAsia="Arial" w:hAnsi="Arial"/>
          <w:sz w:val="18"/>
          <w:szCs w:val="18"/>
          <w:color w:val="auto"/>
        </w:rPr>
        <w:t>Please submit your proxy electronically via the Internet or telephonically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included on the Proxy Card. The deadline for voting electronically via the Internet or telephonically is 11:59 p.m., Eastern Daylight Time, on June 7, 2021.</w:t>
      </w:r>
    </w:p>
    <w:p>
      <w:pPr>
        <w:spacing w:after="0" w:line="20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20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Even if you plan to attend the annual meeting online, we recommend that you submit a proxy to vote your shares in advance so that your vote will be counted if you later are unable to attend the annual meeting.</w:t>
      </w:r>
    </w:p>
    <w:p>
      <w:pPr>
        <w:spacing w:after="0" w:line="209" w:lineRule="exact"/>
        <w:rPr>
          <w:sz w:val="20"/>
          <w:szCs w:val="20"/>
          <w:color w:val="auto"/>
        </w:rPr>
      </w:pPr>
    </w:p>
    <w:p>
      <w:pPr>
        <w:ind w:left="300" w:hanging="292"/>
        <w:spacing w:after="0"/>
        <w:tabs>
          <w:tab w:leader="none" w:pos="300" w:val="left"/>
        </w:tabs>
        <w:numPr>
          <w:ilvl w:val="0"/>
          <w:numId w:val="155"/>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Can I change my vote after I have voted?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07" w:lineRule="exact"/>
        <w:rPr>
          <w:sz w:val="20"/>
          <w:szCs w:val="20"/>
          <w:color w:val="auto"/>
        </w:rPr>
      </w:pPr>
    </w:p>
    <w:p>
      <w:pPr>
        <w:ind w:left="540" w:hanging="262"/>
        <w:spacing w:after="0"/>
        <w:tabs>
          <w:tab w:leader="none" w:pos="540" w:val="left"/>
        </w:tabs>
        <w:numPr>
          <w:ilvl w:val="0"/>
          <w:numId w:val="156"/>
        </w:numPr>
        <w:rPr>
          <w:rFonts w:ascii="Arial" w:cs="Arial" w:eastAsia="Arial" w:hAnsi="Arial"/>
          <w:sz w:val="17"/>
          <w:szCs w:val="17"/>
          <w:color w:val="355A89"/>
        </w:rPr>
      </w:pPr>
      <w:r>
        <w:rPr>
          <w:rFonts w:ascii="Arial" w:cs="Arial" w:eastAsia="Arial" w:hAnsi="Arial"/>
          <w:sz w:val="18"/>
          <w:szCs w:val="18"/>
          <w:color w:val="auto"/>
        </w:rPr>
        <w:t>filing a written notice revoking the proxy with our Secretary at our address;</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156"/>
        </w:numPr>
        <w:rPr>
          <w:rFonts w:ascii="Arial" w:cs="Arial" w:eastAsia="Arial" w:hAnsi="Arial"/>
          <w:sz w:val="17"/>
          <w:szCs w:val="17"/>
          <w:color w:val="355A89"/>
        </w:rPr>
      </w:pPr>
      <w:r>
        <w:rPr>
          <w:rFonts w:ascii="Arial" w:cs="Arial" w:eastAsia="Arial" w:hAnsi="Arial"/>
          <w:sz w:val="18"/>
          <w:szCs w:val="18"/>
          <w:color w:val="auto"/>
        </w:rPr>
        <w:t>properly signing and forwarding to us a proxy with a later date; or</w:t>
      </w:r>
    </w:p>
    <w:p>
      <w:pPr>
        <w:spacing w:after="0" w:line="63" w:lineRule="exact"/>
        <w:rPr>
          <w:rFonts w:ascii="Arial" w:cs="Arial" w:eastAsia="Arial" w:hAnsi="Arial"/>
          <w:sz w:val="17"/>
          <w:szCs w:val="17"/>
          <w:color w:val="355A89"/>
        </w:rPr>
      </w:pPr>
    </w:p>
    <w:p>
      <w:pPr>
        <w:ind w:left="540" w:hanging="262"/>
        <w:spacing w:after="0"/>
        <w:tabs>
          <w:tab w:leader="none" w:pos="540" w:val="left"/>
        </w:tabs>
        <w:numPr>
          <w:ilvl w:val="0"/>
          <w:numId w:val="156"/>
        </w:numPr>
        <w:rPr>
          <w:rFonts w:ascii="Arial" w:cs="Arial" w:eastAsia="Arial" w:hAnsi="Arial"/>
          <w:sz w:val="17"/>
          <w:szCs w:val="17"/>
          <w:color w:val="355A89"/>
        </w:rPr>
      </w:pPr>
      <w:r>
        <w:rPr>
          <w:rFonts w:ascii="Arial" w:cs="Arial" w:eastAsia="Arial" w:hAnsi="Arial"/>
          <w:sz w:val="18"/>
          <w:szCs w:val="18"/>
          <w:color w:val="auto"/>
        </w:rPr>
        <w:t>voting during the annual meeting</w:t>
      </w:r>
    </w:p>
    <w:p>
      <w:pPr>
        <w:spacing w:after="0" w:line="21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If you attend the annual meeting online, you may vote whether or not you previously have given a proxy, but your attendance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208" w:lineRule="exact"/>
        <w:rPr>
          <w:sz w:val="20"/>
          <w:szCs w:val="20"/>
          <w:color w:val="auto"/>
        </w:rPr>
      </w:pPr>
    </w:p>
    <w:p>
      <w:pPr>
        <w:jc w:val="both"/>
        <w:ind w:right="260"/>
        <w:spacing w:after="0" w:line="299" w:lineRule="auto"/>
        <w:rPr>
          <w:sz w:val="20"/>
          <w:szCs w:val="20"/>
          <w:color w:val="auto"/>
        </w:rPr>
      </w:pPr>
      <w:r>
        <w:rPr>
          <w:rFonts w:ascii="Arial" w:cs="Arial" w:eastAsia="Arial" w:hAnsi="Arial"/>
          <w:sz w:val="16"/>
          <w:szCs w:val="16"/>
          <w:color w:val="auto"/>
        </w:rPr>
        <w:t xml:space="preserve">You may revoke a proxy for shares held by a bank, broker or other nominee by submitting new voting instructions to the bank, broker or other nominee, or by attending the annual meeting and voting during the meeting. See </w:t>
      </w:r>
      <w:r>
        <w:rPr>
          <w:rFonts w:ascii="Arial" w:cs="Arial" w:eastAsia="Arial" w:hAnsi="Arial"/>
          <w:sz w:val="16"/>
          <w:szCs w:val="16"/>
          <w:i w:val="1"/>
          <w:iCs w:val="1"/>
          <w:color w:val="auto"/>
        </w:rPr>
        <w:t>“How Do I Vote? –Voting During the Annual Meeting”</w:t>
      </w:r>
      <w:r>
        <w:rPr>
          <w:rFonts w:ascii="Arial" w:cs="Arial" w:eastAsia="Arial" w:hAnsi="Arial"/>
          <w:sz w:val="16"/>
          <w:szCs w:val="16"/>
          <w:color w:val="auto"/>
        </w:rPr>
        <w:t xml:space="preserve"> above.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How is my vote counted?</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and “for” ratification of the appointment of Ernst &amp; Young LLP as our independent registered public accounting firm for the fiscal year ending December 31, 2021. It is not anticipated that any matters other than those set forth in this proxy statement will be presented at the annual meeting. If other matters are presented, proxies will be voted in accordance with the discretion of the proxy holders.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How does the Board recommend that I vote on each of the proposals?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190" w:lineRule="exact"/>
        <w:rPr>
          <w:sz w:val="20"/>
          <w:szCs w:val="20"/>
          <w:color w:val="auto"/>
        </w:rPr>
      </w:pPr>
    </w:p>
    <w:p>
      <w:pPr>
        <w:ind w:left="540" w:right="560" w:hanging="262"/>
        <w:spacing w:after="0" w:line="249" w:lineRule="auto"/>
        <w:tabs>
          <w:tab w:leader="none" w:pos="540" w:val="left"/>
        </w:tabs>
        <w:numPr>
          <w:ilvl w:val="0"/>
          <w:numId w:val="157"/>
        </w:numPr>
        <w:rPr>
          <w:rFonts w:ascii="Arial" w:cs="Arial" w:eastAsia="Arial" w:hAnsi="Arial"/>
          <w:sz w:val="17"/>
          <w:szCs w:val="17"/>
          <w:color w:val="355A89"/>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John H. Alschuler, Betsy Atkins, Edwin T. Burton, III, Lauren B. Dillard, Stephen L. Green, Craig M.</w:t>
      </w:r>
      <w:r>
        <w:rPr>
          <w:rFonts w:ascii="Arial" w:cs="Arial" w:eastAsia="Arial" w:hAnsi="Arial"/>
          <w:sz w:val="18"/>
          <w:szCs w:val="18"/>
          <w:b w:val="1"/>
          <w:bCs w:val="1"/>
          <w:color w:val="auto"/>
        </w:rPr>
        <w:t xml:space="preserve"> </w:t>
      </w:r>
      <w:r>
        <w:rPr>
          <w:rFonts w:ascii="Arial" w:cs="Arial" w:eastAsia="Arial" w:hAnsi="Arial"/>
          <w:sz w:val="18"/>
          <w:szCs w:val="18"/>
          <w:color w:val="auto"/>
        </w:rPr>
        <w:t>Hatkoff, Marc Holliday, John S. Levy and Andrew W. Mathias as directors to serve on the Board for a one-year term and until their successors are duly elected and qualify</w:t>
      </w:r>
    </w:p>
    <w:p>
      <w:pPr>
        <w:spacing w:after="0" w:line="30" w:lineRule="exact"/>
        <w:rPr>
          <w:rFonts w:ascii="Arial" w:cs="Arial" w:eastAsia="Arial" w:hAnsi="Arial"/>
          <w:sz w:val="17"/>
          <w:szCs w:val="17"/>
          <w:color w:val="355A89"/>
        </w:rPr>
      </w:pPr>
    </w:p>
    <w:p>
      <w:pPr>
        <w:ind w:left="540" w:right="180" w:hanging="262"/>
        <w:spacing w:after="0" w:line="264" w:lineRule="auto"/>
        <w:tabs>
          <w:tab w:leader="none" w:pos="540" w:val="left"/>
        </w:tabs>
        <w:numPr>
          <w:ilvl w:val="0"/>
          <w:numId w:val="157"/>
        </w:numPr>
        <w:rPr>
          <w:rFonts w:ascii="Arial" w:cs="Arial" w:eastAsia="Arial" w:hAnsi="Arial"/>
          <w:sz w:val="17"/>
          <w:szCs w:val="17"/>
          <w:color w:val="355A89"/>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of an advisory resolution approving the compensation of our named executive officers as disclosed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pursuant to Item 402 of Regulation S-K</w:t>
      </w:r>
    </w:p>
    <w:p>
      <w:pPr>
        <w:spacing w:after="0" w:line="17" w:lineRule="exact"/>
        <w:rPr>
          <w:rFonts w:ascii="Arial" w:cs="Arial" w:eastAsia="Arial" w:hAnsi="Arial"/>
          <w:sz w:val="17"/>
          <w:szCs w:val="17"/>
          <w:color w:val="355A89"/>
        </w:rPr>
      </w:pPr>
    </w:p>
    <w:p>
      <w:pPr>
        <w:ind w:left="540" w:right="360" w:hanging="262"/>
        <w:spacing w:after="0" w:line="264" w:lineRule="auto"/>
        <w:tabs>
          <w:tab w:leader="none" w:pos="540" w:val="left"/>
        </w:tabs>
        <w:numPr>
          <w:ilvl w:val="0"/>
          <w:numId w:val="157"/>
        </w:numPr>
        <w:rPr>
          <w:rFonts w:ascii="Arial" w:cs="Arial" w:eastAsia="Arial" w:hAnsi="Arial"/>
          <w:sz w:val="17"/>
          <w:szCs w:val="17"/>
          <w:color w:val="355A89"/>
        </w:rPr>
      </w:pPr>
      <w:r>
        <w:rPr>
          <w:rFonts w:ascii="Arial" w:cs="Arial" w:eastAsia="Arial" w:hAnsi="Arial"/>
          <w:sz w:val="18"/>
          <w:szCs w:val="18"/>
          <w:b w:val="1"/>
          <w:bCs w:val="1"/>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What other information should I review before voting?</w:t>
      </w:r>
    </w:p>
    <w:p>
      <w:pPr>
        <w:spacing w:after="0" w:line="233"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Our 2020 annual report, including financial statements for the fiscal year ended December 31, 2020, is being made available to you along with this proxy statement. You may obtain, free of charge, copies of our 2020 annual report and our Annual Report on Form 10-K for the fiscal year ended December 31, 2020, which contains additional information about the Company, on our website at http://www.slgreen.com or by directing your request in writing to SL Green Realty Corp., One Vanderbilt Avenue, 28th Floor, New York, New York 10017-3852, Attention: Investor Relations. The 2020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How do I change how I receive proxy materials in the future?</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55A89"/>
        </w:rPr>
        <w:t>OTHER INFORMATION</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One Vanderbilt Avenue, 28th Floor, New York, New York 10017-3852., Attention: Investor Relations, by sending a blank e-mail with the 16-digit control number on your Notice of Internet Availability to sendmaterial@proxyvote.com, via the internet at http://www.proxyvote.com or by telephone at (800) 579-1639. Your election will remain in effect until you change it.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What should I do if I received more than one Notice of Internet Availability of Proxy Materials?</w:t>
      </w:r>
    </w:p>
    <w:p>
      <w:pPr>
        <w:spacing w:after="0" w:line="23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8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Attendance at the 2021 Annual Meeting</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stockholders of record (including stockholders that hold their shares through a broker, bank or similar organization) of shares of SLG’s common stock at the close of business on the record date, or their designated proxies, are authorized to attend the 2021 Annual Meeting. To access the 2021 annual meeting, stockholders of record should visit www.virtualshareholdermeeting.com/SLG2021 and enter the unique 16-digit control number included on their Notice of Internet Availability of Proxy Materials, voting instruction form, or proxy card (if they receive a printed copy of the proxy materials). In the event you do not have a control number, please contact your broker, bank or other nominee so that you can be provided with a control number. Participants will be able to log in 15 minutes prior to the start of the 2021 annual meeting. We encourage you to access the annual meeting in advance of the designated start time to ensure that you do not experience any technical difficulties. Stockholders will be able to vote electronically and submit questions electronically during the virtual annual meeting. Attendees will not be permitted to record the annual meeting and may be subject to security precautions.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Solicitation of Proxies</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Stockholder Proposals and Nominations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Proposals for Inclusion in our 2022 Proxy Materials</w:t>
      </w:r>
    </w:p>
    <w:p>
      <w:pPr>
        <w:spacing w:after="0" w:line="23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2022 annual meeting, the proposal must be delivered to our Secretary at the address provided below by December 28, 2021.</w:t>
      </w:r>
    </w:p>
    <w:p>
      <w:pPr>
        <w:spacing w:after="0" w:line="177" w:lineRule="exact"/>
        <w:rPr>
          <w:sz w:val="20"/>
          <w:szCs w:val="20"/>
          <w:color w:val="auto"/>
        </w:rPr>
      </w:pPr>
    </w:p>
    <w:p>
      <w:pPr>
        <w:ind w:left="300" w:hanging="292"/>
        <w:spacing w:after="0"/>
        <w:tabs>
          <w:tab w:leader="none" w:pos="300" w:val="left"/>
        </w:tabs>
        <w:numPr>
          <w:ilvl w:val="0"/>
          <w:numId w:val="158"/>
        </w:numPr>
        <w:rPr>
          <w:rFonts w:ascii="Arial" w:cs="Arial" w:eastAsia="Arial" w:hAnsi="Arial"/>
          <w:sz w:val="18"/>
          <w:szCs w:val="18"/>
          <w:color w:val="355A89"/>
        </w:rPr>
      </w:pPr>
      <w:r>
        <w:rPr>
          <w:rFonts w:ascii="Arial" w:cs="Arial" w:eastAsia="Arial" w:hAnsi="Arial"/>
          <w:sz w:val="18"/>
          <w:szCs w:val="18"/>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355A89"/>
        </w:rPr>
        <w:t>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Director Nominations for Inclusion in our 2022 Proxy Materials (Proxy Access)</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2022 annual meeting, notice of a proxy access nomination must be delivered to our Secretary at the address provided below no later than December 28, 2021 and no earlier than November 28, 2021.</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Other Proposals or Nominations to be brought before our 2022 Annual Meeting</w:t>
      </w:r>
    </w:p>
    <w:p>
      <w:pPr>
        <w:spacing w:after="0" w:line="23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bylaws permit a stockholder to propose items of business and/or nominate director candidates that are not intended to be included in our proxy materials if the stockholder complies with the procedures set forth in our bylaws. For the 2022 annual meeting, notice of such proposals or nominations must be delivered to our Secretary at the address provided below no later than March 10, 2022 and no earlier than February 8, 2022.</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Company moves the 2022 annual meeting to a date that is more than 25 days before or after the date which is the one year anniversary of this year’s annual meeting date (i.e., June 8, 2022), the Company must receive such notice no later than the close of business on the 10th day following the earlier of the day on which the Company makes a public announcement of the meeting date or they day on which notice of the meeting date is first distributed to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355A89"/>
        </w:rPr>
        <w:t>Address for Submission of Notices and Additional Information</w:t>
      </w: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All stockholder nominations of individuals for election as directors or proposals of other items of business to be considered by stockholders at the 2022 annual meeting (whether or not intended for inclusion in our proxy materials) must be submitted in writing to SL Green Realty Corp., One Vanderbilt Avenue, 28th Floor, New York, New York 10017-3852, Attention: Andrew S. Levine, Secretary.</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355A89"/>
        </w:rPr>
        <w:t>Householding of Proxy Materials</w:t>
      </w:r>
    </w:p>
    <w:p>
      <w:pPr>
        <w:spacing w:after="0" w:line="23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20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21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One Vanderbilt Avenue, 28th Floor, New York, New York 10017-3852, Attention: Investor Relations or by telephone at (212) 594-2700.</w:t>
      </w:r>
    </w:p>
    <w:p>
      <w:pPr>
        <w:spacing w:after="0" w:line="20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2021 Proxy Statement </w:t>
      </w:r>
      <w:r>
        <w:rPr>
          <w:rFonts w:ascii="Arial" w:cs="Arial" w:eastAsia="Arial" w:hAnsi="Arial"/>
          <w:sz w:val="18"/>
          <w:szCs w:val="18"/>
          <w:color w:val="355A89"/>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b w:val="1"/>
                <w:bCs w:val="1"/>
                <w:color w:val="auto"/>
              </w:rPr>
              <w:t>AUTHORIZE YOUR PROXY BY INTERNET</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www.proxyvote.com</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80" w:type="dxa"/>
            <w:vAlign w:val="bottom"/>
          </w:tcPr>
          <w:p>
            <w:pPr>
              <w:ind w:left="460"/>
              <w:spacing w:after="0"/>
              <w:rPr>
                <w:sz w:val="20"/>
                <w:szCs w:val="20"/>
                <w:color w:val="auto"/>
              </w:rPr>
            </w:pPr>
            <w:r>
              <w:rPr>
                <w:rFonts w:ascii="Arial" w:cs="Arial" w:eastAsia="Arial" w:hAnsi="Arial"/>
                <w:sz w:val="13"/>
                <w:szCs w:val="13"/>
                <w:i w:val="1"/>
                <w:iCs w:val="1"/>
                <w:color w:val="auto"/>
              </w:rPr>
              <w:t>SL GREEN REALTY CORP.</w:t>
            </w: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48"/>
        </w:trPr>
        <w:tc>
          <w:tcPr>
            <w:tcW w:w="2880" w:type="dxa"/>
            <w:vAlign w:val="bottom"/>
          </w:tcPr>
          <w:p>
            <w:pPr>
              <w:ind w:left="460"/>
              <w:spacing w:after="0"/>
              <w:rPr>
                <w:sz w:val="20"/>
                <w:szCs w:val="20"/>
                <w:color w:val="auto"/>
              </w:rPr>
            </w:pPr>
            <w:r>
              <w:rPr>
                <w:rFonts w:ascii="Arial" w:cs="Arial" w:eastAsia="Arial" w:hAnsi="Arial"/>
                <w:sz w:val="13"/>
                <w:szCs w:val="13"/>
                <w:i w:val="1"/>
                <w:iCs w:val="1"/>
                <w:color w:val="auto"/>
              </w:rPr>
              <w:t>ONE VANDERBILT AVENUE</w:t>
            </w: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information. Vote by 11:59 p.m. Eastern Time on June 7, 2021. Have your proxy card in</w:t>
            </w:r>
          </w:p>
        </w:tc>
        <w:tc>
          <w:tcPr>
            <w:tcW w:w="0" w:type="dxa"/>
            <w:vAlign w:val="bottom"/>
          </w:tcPr>
          <w:p>
            <w:pPr>
              <w:spacing w:after="0"/>
              <w:rPr>
                <w:sz w:val="1"/>
                <w:szCs w:val="1"/>
                <w:color w:val="auto"/>
              </w:rPr>
            </w:pPr>
          </w:p>
        </w:tc>
      </w:tr>
      <w:tr>
        <w:trPr>
          <w:trHeight w:val="148"/>
        </w:trPr>
        <w:tc>
          <w:tcPr>
            <w:tcW w:w="2880" w:type="dxa"/>
            <w:vAlign w:val="bottom"/>
          </w:tcPr>
          <w:p>
            <w:pPr>
              <w:ind w:left="460"/>
              <w:spacing w:after="0"/>
              <w:rPr>
                <w:sz w:val="20"/>
                <w:szCs w:val="20"/>
                <w:color w:val="auto"/>
              </w:rPr>
            </w:pPr>
            <w:r>
              <w:rPr>
                <w:rFonts w:ascii="Arial" w:cs="Arial" w:eastAsia="Arial" w:hAnsi="Arial"/>
                <w:sz w:val="13"/>
                <w:szCs w:val="13"/>
                <w:i w:val="1"/>
                <w:iCs w:val="1"/>
                <w:color w:val="auto"/>
              </w:rPr>
              <w:t>NEW YORK, NY 10017</w:t>
            </w: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hand when you access the web site and follow the instructions to obtain your records and</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to create an electronic voting instruction form.</w:t>
            </w:r>
          </w:p>
        </w:tc>
        <w:tc>
          <w:tcPr>
            <w:tcW w:w="0" w:type="dxa"/>
            <w:vAlign w:val="bottom"/>
          </w:tcPr>
          <w:p>
            <w:pPr>
              <w:spacing w:after="0"/>
              <w:rPr>
                <w:sz w:val="1"/>
                <w:szCs w:val="1"/>
                <w:color w:val="auto"/>
              </w:rPr>
            </w:pPr>
          </w:p>
        </w:tc>
      </w:tr>
      <w:tr>
        <w:trPr>
          <w:trHeight w:val="324"/>
        </w:trPr>
        <w:tc>
          <w:tcPr>
            <w:tcW w:w="2880" w:type="dxa"/>
            <w:vAlign w:val="bottom"/>
          </w:tcPr>
          <w:p>
            <w:pPr>
              <w:spacing w:after="0"/>
              <w:rPr>
                <w:sz w:val="24"/>
                <w:szCs w:val="24"/>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www.virtualshareholdermeeting.com/SLG2021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880" w:type="dxa"/>
            <w:vAlign w:val="bottom"/>
          </w:tcPr>
          <w:p>
            <w:pPr>
              <w:spacing w:after="0"/>
              <w:rPr>
                <w:sz w:val="24"/>
                <w:szCs w:val="24"/>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You may attend the meeting via the Internet and vote during the meeting. Have the</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information that is printed in the box marked by the arrow available and follow the</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5400" w:type="dxa"/>
            <w:vAlign w:val="bottom"/>
            <w:gridSpan w:val="2"/>
          </w:tcPr>
          <w:p>
            <w:pPr>
              <w:ind w:left="2960"/>
              <w:spacing w:after="0"/>
              <w:rPr>
                <w:sz w:val="20"/>
                <w:szCs w:val="20"/>
                <w:color w:val="auto"/>
              </w:rPr>
            </w:pPr>
            <w:r>
              <w:rPr>
                <w:rFonts w:ascii="Arial" w:cs="Arial" w:eastAsia="Arial" w:hAnsi="Arial"/>
                <w:sz w:val="13"/>
                <w:szCs w:val="13"/>
                <w:color w:val="auto"/>
              </w:rPr>
              <w:t>instructions.</w:t>
            </w: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880" w:type="dxa"/>
            <w:vAlign w:val="bottom"/>
          </w:tcPr>
          <w:p>
            <w:pPr>
              <w:spacing w:after="0"/>
              <w:rPr>
                <w:sz w:val="24"/>
                <w:szCs w:val="24"/>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b w:val="1"/>
                <w:bCs w:val="1"/>
                <w:color w:val="auto"/>
              </w:rPr>
              <w:t>AUTHORIZE YOUR PROXY BY PHONE - 1-800-690-6903</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Use any touch-tone telephone to transmit your voting instructions. Vote by 11:59 p.m.</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Eastern Time on June 7, 2021. Have your proxy card in hand when you call and then</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5400" w:type="dxa"/>
            <w:vAlign w:val="bottom"/>
            <w:gridSpan w:val="2"/>
          </w:tcPr>
          <w:p>
            <w:pPr>
              <w:ind w:left="2960"/>
              <w:spacing w:after="0"/>
              <w:rPr>
                <w:sz w:val="20"/>
                <w:szCs w:val="20"/>
                <w:color w:val="auto"/>
              </w:rPr>
            </w:pPr>
            <w:r>
              <w:rPr>
                <w:rFonts w:ascii="Arial" w:cs="Arial" w:eastAsia="Arial" w:hAnsi="Arial"/>
                <w:sz w:val="13"/>
                <w:szCs w:val="13"/>
                <w:color w:val="auto"/>
              </w:rPr>
              <w:t>follow the instructions.</w:t>
            </w: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880" w:type="dxa"/>
            <w:vAlign w:val="bottom"/>
          </w:tcPr>
          <w:p>
            <w:pPr>
              <w:spacing w:after="0"/>
              <w:rPr>
                <w:sz w:val="24"/>
                <w:szCs w:val="24"/>
                <w:color w:val="auto"/>
              </w:rPr>
            </w:pPr>
          </w:p>
        </w:tc>
        <w:tc>
          <w:tcPr>
            <w:tcW w:w="5400" w:type="dxa"/>
            <w:vAlign w:val="bottom"/>
            <w:gridSpan w:val="2"/>
          </w:tcPr>
          <w:p>
            <w:pPr>
              <w:ind w:left="2960"/>
              <w:spacing w:after="0"/>
              <w:rPr>
                <w:sz w:val="20"/>
                <w:szCs w:val="20"/>
                <w:color w:val="auto"/>
              </w:rPr>
            </w:pPr>
            <w:r>
              <w:rPr>
                <w:rFonts w:ascii="Arial" w:cs="Arial" w:eastAsia="Arial" w:hAnsi="Arial"/>
                <w:sz w:val="13"/>
                <w:szCs w:val="13"/>
                <w:b w:val="1"/>
                <w:bCs w:val="1"/>
                <w:color w:val="auto"/>
              </w:rPr>
              <w:t>AUTHORIZE YOUR PROXY BY MAIL</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360" w:type="dxa"/>
            <w:vAlign w:val="bottom"/>
            <w:gridSpan w:val="5"/>
          </w:tcPr>
          <w:p>
            <w:pPr>
              <w:ind w:left="2960"/>
              <w:spacing w:after="0"/>
              <w:rPr>
                <w:sz w:val="20"/>
                <w:szCs w:val="20"/>
                <w:color w:val="auto"/>
              </w:rPr>
            </w:pPr>
            <w:r>
              <w:rPr>
                <w:rFonts w:ascii="Arial" w:cs="Arial" w:eastAsia="Arial" w:hAnsi="Arial"/>
                <w:sz w:val="13"/>
                <w:szCs w:val="13"/>
                <w:color w:val="auto"/>
              </w:rPr>
              <w:t>provided or return it to Vote Processing, c/o Broadridge, 51 Mercedes Way, Edgewood,</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5400" w:type="dxa"/>
            <w:vAlign w:val="bottom"/>
            <w:gridSpan w:val="2"/>
          </w:tcPr>
          <w:p>
            <w:pPr>
              <w:ind w:left="2960"/>
              <w:spacing w:after="0"/>
              <w:rPr>
                <w:sz w:val="20"/>
                <w:szCs w:val="20"/>
                <w:color w:val="auto"/>
              </w:rPr>
            </w:pPr>
            <w:r>
              <w:rPr>
                <w:rFonts w:ascii="Arial" w:cs="Arial" w:eastAsia="Arial" w:hAnsi="Arial"/>
                <w:sz w:val="13"/>
                <w:szCs w:val="13"/>
                <w:color w:val="auto"/>
              </w:rPr>
              <w:t>NY 11717.</w:t>
            </w: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3"/>
        </w:trPr>
        <w:tc>
          <w:tcPr>
            <w:tcW w:w="8280" w:type="dxa"/>
            <w:vAlign w:val="bottom"/>
            <w:gridSpan w:val="3"/>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5400" w:type="dxa"/>
            <w:vAlign w:val="bottom"/>
            <w:gridSpan w:val="2"/>
          </w:tcPr>
          <w:p>
            <w:pPr>
              <w:ind w:left="4000"/>
              <w:spacing w:after="0"/>
              <w:rPr>
                <w:sz w:val="20"/>
                <w:szCs w:val="20"/>
                <w:color w:val="auto"/>
              </w:rPr>
            </w:pPr>
            <w:r>
              <w:rPr>
                <w:rFonts w:ascii="Arial" w:cs="Arial" w:eastAsia="Arial" w:hAnsi="Arial"/>
                <w:sz w:val="13"/>
                <w:szCs w:val="13"/>
                <w:color w:val="auto"/>
              </w:rPr>
              <w:t>D48519-P51405</w:t>
            </w:r>
          </w:p>
        </w:tc>
        <w:tc>
          <w:tcPr>
            <w:tcW w:w="2960" w:type="dxa"/>
            <w:vAlign w:val="bottom"/>
            <w:gridSpan w:val="3"/>
          </w:tcPr>
          <w:p>
            <w:pPr>
              <w:jc w:val="right"/>
              <w:spacing w:after="0"/>
              <w:rPr>
                <w:sz w:val="20"/>
                <w:szCs w:val="20"/>
                <w:color w:val="auto"/>
              </w:rPr>
            </w:pPr>
            <w:r>
              <w:rPr>
                <w:rFonts w:ascii="Arial" w:cs="Arial" w:eastAsia="Arial" w:hAnsi="Arial"/>
                <w:sz w:val="13"/>
                <w:szCs w:val="13"/>
                <w:u w:val="single" w:color="auto"/>
                <w:color w:val="auto"/>
              </w:rPr>
              <w:t>KEEP THIS PORTION FOR YOUR RECORDS</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5400" w:type="dxa"/>
            <w:vAlign w:val="bottom"/>
            <w:gridSpan w:val="2"/>
            <w:vMerge w:val="restart"/>
          </w:tcPr>
          <w:p>
            <w:pPr>
              <w:ind w:left="70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960" w:type="dxa"/>
            <w:vAlign w:val="bottom"/>
            <w:gridSpan w:val="3"/>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54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25970" cy="52311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25970" cy="5231130"/>
                    </a:xfrm>
                    <a:prstGeom prst="rect">
                      <a:avLst/>
                    </a:prstGeom>
                    <a:noFill/>
                  </pic:spPr>
                </pic:pic>
              </a:graphicData>
            </a:graphic>
          </wp:anchor>
        </w:drawing>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SL GREEN REALTY CORP.</w:t>
      </w:r>
    </w:p>
    <w:p>
      <w:pPr>
        <w:sectPr>
          <w:pgSz w:w="11900" w:h="16838" w:orient="portrait"/>
          <w:cols w:equalWidth="0" w:num="1">
            <w:col w:w="11240"/>
          </w:cols>
          <w:pgMar w:left="320" w:top="121" w:right="339" w:bottom="1440" w:gutter="0" w:footer="0" w:header="0"/>
        </w:sectPr>
      </w:pPr>
    </w:p>
    <w:p>
      <w:pPr>
        <w:spacing w:after="0" w:line="107" w:lineRule="exact"/>
        <w:rPr>
          <w:sz w:val="20"/>
          <w:szCs w:val="20"/>
          <w:color w:val="auto"/>
        </w:rPr>
      </w:pPr>
    </w:p>
    <w:p>
      <w:pPr>
        <w:ind w:left="340" w:right="1640"/>
        <w:spacing w:after="0" w:line="272"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1" w:lineRule="exact"/>
        <w:rPr>
          <w:sz w:val="20"/>
          <w:szCs w:val="20"/>
          <w:color w:val="auto"/>
        </w:rPr>
      </w:pPr>
    </w:p>
    <w:p>
      <w:pPr>
        <w:ind w:left="620" w:hanging="288"/>
        <w:spacing w:after="0"/>
        <w:tabs>
          <w:tab w:leader="none" w:pos="6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51"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2300" w:type="dxa"/>
            <w:vAlign w:val="bottom"/>
            <w:gridSpan w:val="3"/>
          </w:tcPr>
          <w:p>
            <w:pPr>
              <w:ind w:left="880"/>
              <w:spacing w:after="0"/>
              <w:rPr>
                <w:sz w:val="20"/>
                <w:szCs w:val="20"/>
                <w:color w:val="auto"/>
              </w:rPr>
            </w:pPr>
            <w:r>
              <w:rPr>
                <w:rFonts w:ascii="Arial" w:cs="Arial" w:eastAsia="Arial" w:hAnsi="Arial"/>
                <w:sz w:val="13"/>
                <w:szCs w:val="13"/>
                <w:b w:val="1"/>
                <w:bCs w:val="1"/>
                <w:color w:val="auto"/>
              </w:rPr>
              <w:t>For  Against  Abstain</w:t>
            </w:r>
          </w:p>
        </w:tc>
      </w:tr>
      <w:tr>
        <w:trPr>
          <w:trHeight w:val="410"/>
        </w:trPr>
        <w:tc>
          <w:tcPr>
            <w:tcW w:w="280" w:type="dxa"/>
            <w:vAlign w:val="bottom"/>
          </w:tcPr>
          <w:p>
            <w:pPr>
              <w:spacing w:after="0"/>
              <w:rPr>
                <w:sz w:val="20"/>
                <w:szCs w:val="20"/>
                <w:color w:val="auto"/>
              </w:rPr>
            </w:pPr>
            <w:r>
              <w:rPr>
                <w:rFonts w:ascii="Arial" w:cs="Arial" w:eastAsia="Arial" w:hAnsi="Arial"/>
                <w:sz w:val="13"/>
                <w:szCs w:val="13"/>
                <w:color w:val="auto"/>
              </w:rPr>
              <w:t>1a.</w:t>
            </w:r>
          </w:p>
        </w:tc>
        <w:tc>
          <w:tcPr>
            <w:tcW w:w="2140" w:type="dxa"/>
            <w:vAlign w:val="bottom"/>
          </w:tcPr>
          <w:p>
            <w:pPr>
              <w:ind w:left="100"/>
              <w:spacing w:after="0"/>
              <w:rPr>
                <w:sz w:val="20"/>
                <w:szCs w:val="20"/>
                <w:color w:val="auto"/>
              </w:rPr>
            </w:pPr>
            <w:r>
              <w:rPr>
                <w:rFonts w:ascii="Arial" w:cs="Arial" w:eastAsia="Arial" w:hAnsi="Arial"/>
                <w:sz w:val="13"/>
                <w:szCs w:val="13"/>
                <w:color w:val="auto"/>
              </w:rPr>
              <w:t>John H. Alschuler</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3"/>
                <w:szCs w:val="13"/>
                <w:color w:val="auto"/>
              </w:rPr>
              <w:t>1b.</w:t>
            </w:r>
          </w:p>
        </w:tc>
        <w:tc>
          <w:tcPr>
            <w:tcW w:w="2140" w:type="dxa"/>
            <w:vAlign w:val="bottom"/>
          </w:tcPr>
          <w:p>
            <w:pPr>
              <w:ind w:left="100"/>
              <w:spacing w:after="0"/>
              <w:rPr>
                <w:sz w:val="20"/>
                <w:szCs w:val="20"/>
                <w:color w:val="auto"/>
              </w:rPr>
            </w:pPr>
            <w:r>
              <w:rPr>
                <w:rFonts w:ascii="Arial" w:cs="Arial" w:eastAsia="Arial" w:hAnsi="Arial"/>
                <w:sz w:val="13"/>
                <w:szCs w:val="13"/>
                <w:color w:val="auto"/>
              </w:rPr>
              <w:t>Betsy S. Atkins</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6"/>
        </w:trPr>
        <w:tc>
          <w:tcPr>
            <w:tcW w:w="280" w:type="dxa"/>
            <w:vAlign w:val="bottom"/>
          </w:tcPr>
          <w:p>
            <w:pPr>
              <w:spacing w:after="0"/>
              <w:rPr>
                <w:sz w:val="20"/>
                <w:szCs w:val="20"/>
                <w:color w:val="auto"/>
              </w:rPr>
            </w:pPr>
            <w:r>
              <w:rPr>
                <w:rFonts w:ascii="Arial" w:cs="Arial" w:eastAsia="Arial" w:hAnsi="Arial"/>
                <w:sz w:val="13"/>
                <w:szCs w:val="13"/>
                <w:color w:val="auto"/>
              </w:rPr>
              <w:t>1c.</w:t>
            </w:r>
          </w:p>
        </w:tc>
        <w:tc>
          <w:tcPr>
            <w:tcW w:w="2140" w:type="dxa"/>
            <w:vAlign w:val="bottom"/>
          </w:tcPr>
          <w:p>
            <w:pPr>
              <w:ind w:left="100"/>
              <w:spacing w:after="0"/>
              <w:rPr>
                <w:sz w:val="20"/>
                <w:szCs w:val="20"/>
                <w:color w:val="auto"/>
              </w:rPr>
            </w:pPr>
            <w:r>
              <w:rPr>
                <w:rFonts w:ascii="Arial" w:cs="Arial" w:eastAsia="Arial" w:hAnsi="Arial"/>
                <w:sz w:val="13"/>
                <w:szCs w:val="13"/>
                <w:color w:val="auto"/>
              </w:rPr>
              <w:t>Edwin T. Burton, III</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3"/>
                <w:szCs w:val="13"/>
                <w:color w:val="auto"/>
              </w:rPr>
              <w:t>1d.</w:t>
            </w:r>
          </w:p>
        </w:tc>
        <w:tc>
          <w:tcPr>
            <w:tcW w:w="2140" w:type="dxa"/>
            <w:vAlign w:val="bottom"/>
          </w:tcPr>
          <w:p>
            <w:pPr>
              <w:ind w:left="100"/>
              <w:spacing w:after="0"/>
              <w:rPr>
                <w:sz w:val="20"/>
                <w:szCs w:val="20"/>
                <w:color w:val="auto"/>
              </w:rPr>
            </w:pPr>
            <w:r>
              <w:rPr>
                <w:rFonts w:ascii="Arial" w:cs="Arial" w:eastAsia="Arial" w:hAnsi="Arial"/>
                <w:sz w:val="13"/>
                <w:szCs w:val="13"/>
                <w:color w:val="auto"/>
              </w:rPr>
              <w:t>Lauren B. Dillard</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3"/>
                <w:szCs w:val="13"/>
                <w:color w:val="auto"/>
              </w:rPr>
              <w:t>1e.</w:t>
            </w:r>
          </w:p>
        </w:tc>
        <w:tc>
          <w:tcPr>
            <w:tcW w:w="2140" w:type="dxa"/>
            <w:vAlign w:val="bottom"/>
          </w:tcPr>
          <w:p>
            <w:pPr>
              <w:ind w:left="100"/>
              <w:spacing w:after="0"/>
              <w:rPr>
                <w:sz w:val="20"/>
                <w:szCs w:val="20"/>
                <w:color w:val="auto"/>
              </w:rPr>
            </w:pPr>
            <w:r>
              <w:rPr>
                <w:rFonts w:ascii="Arial" w:cs="Arial" w:eastAsia="Arial" w:hAnsi="Arial"/>
                <w:sz w:val="13"/>
                <w:szCs w:val="13"/>
                <w:color w:val="auto"/>
              </w:rPr>
              <w:t>Stephen L. Green</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3"/>
                <w:szCs w:val="13"/>
                <w:color w:val="auto"/>
              </w:rPr>
              <w:t>1f.</w:t>
            </w:r>
          </w:p>
        </w:tc>
        <w:tc>
          <w:tcPr>
            <w:tcW w:w="2140" w:type="dxa"/>
            <w:vAlign w:val="bottom"/>
          </w:tcPr>
          <w:p>
            <w:pPr>
              <w:ind w:left="100"/>
              <w:spacing w:after="0"/>
              <w:rPr>
                <w:sz w:val="20"/>
                <w:szCs w:val="20"/>
                <w:color w:val="auto"/>
              </w:rPr>
            </w:pPr>
            <w:r>
              <w:rPr>
                <w:rFonts w:ascii="Arial" w:cs="Arial" w:eastAsia="Arial" w:hAnsi="Arial"/>
                <w:sz w:val="13"/>
                <w:szCs w:val="13"/>
                <w:color w:val="auto"/>
              </w:rPr>
              <w:t>Craig M. Hatkoff</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3"/>
                <w:szCs w:val="13"/>
                <w:color w:val="auto"/>
              </w:rPr>
              <w:t>1g.</w:t>
            </w:r>
          </w:p>
        </w:tc>
        <w:tc>
          <w:tcPr>
            <w:tcW w:w="2140" w:type="dxa"/>
            <w:vAlign w:val="bottom"/>
          </w:tcPr>
          <w:p>
            <w:pPr>
              <w:ind w:left="100"/>
              <w:spacing w:after="0"/>
              <w:rPr>
                <w:sz w:val="20"/>
                <w:szCs w:val="20"/>
                <w:color w:val="auto"/>
              </w:rPr>
            </w:pPr>
            <w:r>
              <w:rPr>
                <w:rFonts w:ascii="Arial" w:cs="Arial" w:eastAsia="Arial" w:hAnsi="Arial"/>
                <w:sz w:val="13"/>
                <w:szCs w:val="13"/>
                <w:color w:val="auto"/>
              </w:rPr>
              <w:t>Marc Holliday</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3"/>
                <w:szCs w:val="13"/>
                <w:color w:val="auto"/>
              </w:rPr>
              <w:t>1h.</w:t>
            </w:r>
          </w:p>
        </w:tc>
        <w:tc>
          <w:tcPr>
            <w:tcW w:w="2140" w:type="dxa"/>
            <w:vAlign w:val="bottom"/>
          </w:tcPr>
          <w:p>
            <w:pPr>
              <w:ind w:left="100"/>
              <w:spacing w:after="0"/>
              <w:rPr>
                <w:sz w:val="20"/>
                <w:szCs w:val="20"/>
                <w:color w:val="auto"/>
              </w:rPr>
            </w:pPr>
            <w:r>
              <w:rPr>
                <w:rFonts w:ascii="Arial" w:cs="Arial" w:eastAsia="Arial" w:hAnsi="Arial"/>
                <w:sz w:val="13"/>
                <w:szCs w:val="13"/>
                <w:color w:val="auto"/>
              </w:rPr>
              <w:t>John S. Levy</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3"/>
                <w:szCs w:val="13"/>
                <w:color w:val="auto"/>
              </w:rPr>
              <w:t>1i.</w:t>
            </w:r>
          </w:p>
        </w:tc>
        <w:tc>
          <w:tcPr>
            <w:tcW w:w="2140" w:type="dxa"/>
            <w:vAlign w:val="bottom"/>
          </w:tcPr>
          <w:p>
            <w:pPr>
              <w:ind w:left="100"/>
              <w:spacing w:after="0"/>
              <w:rPr>
                <w:sz w:val="20"/>
                <w:szCs w:val="20"/>
                <w:color w:val="auto"/>
              </w:rPr>
            </w:pPr>
            <w:r>
              <w:rPr>
                <w:rFonts w:ascii="Arial" w:cs="Arial" w:eastAsia="Arial" w:hAnsi="Arial"/>
                <w:sz w:val="13"/>
                <w:szCs w:val="13"/>
                <w:color w:val="auto"/>
              </w:rPr>
              <w:t>Andrew W. Mathias</w:t>
            </w:r>
          </w:p>
        </w:tc>
        <w:tc>
          <w:tcPr>
            <w:tcW w:w="12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00" w:hanging="297"/>
        <w:spacing w:after="0" w:line="248" w:lineRule="auto"/>
        <w:tabs>
          <w:tab w:leader="none" w:pos="30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our independent registered public accounting firm for the fiscal year ending December 31, 2021.</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proxies are authorized to vote in their</w:t>
      </w:r>
      <w:r>
        <w:rPr>
          <w:rFonts w:ascii="Arial" w:cs="Arial" w:eastAsia="Arial" w:hAnsi="Arial"/>
          <w:sz w:val="13"/>
          <w:szCs w:val="13"/>
          <w:b w:val="1"/>
          <w:bCs w:val="1"/>
          <w:color w:val="auto"/>
        </w:rPr>
        <w:t xml:space="preserve"> </w:t>
      </w:r>
      <w:r>
        <w:rPr>
          <w:rFonts w:ascii="Arial" w:cs="Arial" w:eastAsia="Arial" w:hAnsi="Arial"/>
          <w:sz w:val="13"/>
          <w:szCs w:val="13"/>
          <w:color w:val="auto"/>
        </w:rPr>
        <w:t>discretion upon such other business as may properly come before the Annual Meeting, including any adjournments or postponements thereof.</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color w:val="auto"/>
        </w:rPr>
        <w:t xml:space="preserve">This solicitation of proxies is made by and on behalf of the Board. </w:t>
      </w:r>
      <w:r>
        <w:rPr>
          <w:rFonts w:ascii="Arial" w:cs="Arial" w:eastAsia="Arial" w:hAnsi="Arial"/>
          <w:sz w:val="13"/>
          <w:szCs w:val="13"/>
          <w:color w:val="auto"/>
        </w:rPr>
        <w:t>The validity of this proxy is governed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Maryland General Corporation Law and applicable federal securities laws. This proxy does not revoke any prior powers of attorney except for prior proxies given in connection with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b w:val="1"/>
          <w:bCs w:val="1"/>
          <w:color w:val="auto"/>
        </w:rPr>
        <w:t>For</w:t>
        <w:tab/>
        <w:t>Against  Abstain</w:t>
      </w:r>
    </w:p>
    <w:p>
      <w:pPr>
        <w:spacing w:after="0" w:line="110" w:lineRule="exact"/>
        <w:rPr>
          <w:sz w:val="20"/>
          <w:szCs w:val="20"/>
          <w:color w:val="auto"/>
        </w:rPr>
      </w:pPr>
    </w:p>
    <w:p>
      <w:pPr>
        <w:ind w:left="20"/>
        <w:spacing w:after="0" w:line="181" w:lineRule="exact"/>
        <w:tabs>
          <w:tab w:leader="none" w:pos="480" w:val="left"/>
          <w:tab w:leader="none" w:pos="10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3624" w:lineRule="exact"/>
        <w:rPr>
          <w:sz w:val="20"/>
          <w:szCs w:val="20"/>
          <w:color w:val="auto"/>
        </w:rPr>
      </w:pPr>
    </w:p>
    <w:p>
      <w:pPr>
        <w:sectPr>
          <w:pgSz w:w="11900" w:h="16838" w:orient="portrait"/>
          <w:cols w:equalWidth="0" w:num="3">
            <w:col w:w="5340" w:space="500"/>
            <w:col w:w="3560" w:space="200"/>
            <w:col w:w="1640"/>
          </w:cols>
          <w:pgMar w:left="320" w:top="121" w:right="339" w:bottom="1440" w:gutter="0" w:footer="0" w:header="0"/>
          <w:type w:val="continuous"/>
        </w:sectPr>
      </w:pPr>
    </w:p>
    <w:p>
      <w:pPr>
        <w:ind w:left="340" w:right="20"/>
        <w:spacing w:after="0" w:line="284" w:lineRule="auto"/>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148" w:lineRule="exact"/>
        <w:rPr>
          <w:sz w:val="20"/>
          <w:szCs w:val="20"/>
          <w:color w:val="auto"/>
        </w:rPr>
      </w:pPr>
    </w:p>
    <w:p>
      <w:pPr>
        <w:ind w:left="620" w:hanging="288"/>
        <w:spacing w:after="0" w:line="258" w:lineRule="auto"/>
        <w:tabs>
          <w:tab w:leader="none" w:pos="6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approve, on a non-binding advisory basis, our executive compensation.</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3"/>
          <w:szCs w:val="13"/>
          <w:b w:val="1"/>
          <w:bCs w:val="1"/>
          <w:color w:val="auto"/>
        </w:rPr>
        <w:t>For</w:t>
        <w:tab/>
        <w:t>Against  Abstain</w:t>
      </w:r>
    </w:p>
    <w:p>
      <w:pPr>
        <w:spacing w:after="0" w:line="258" w:lineRule="exact"/>
        <w:rPr>
          <w:sz w:val="20"/>
          <w:szCs w:val="20"/>
          <w:color w:val="auto"/>
        </w:rPr>
      </w:pPr>
    </w:p>
    <w:p>
      <w:pPr>
        <w:ind w:left="20"/>
        <w:spacing w:after="0" w:line="181" w:lineRule="exact"/>
        <w:tabs>
          <w:tab w:leader="none" w:pos="480" w:val="left"/>
          <w:tab w:leader="none" w:pos="10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35" w:lineRule="exact"/>
        <w:rPr>
          <w:sz w:val="20"/>
          <w:szCs w:val="20"/>
          <w:color w:val="auto"/>
        </w:rPr>
      </w:pPr>
    </w:p>
    <w:p>
      <w:pPr>
        <w:sectPr>
          <w:pgSz w:w="11900" w:h="16838" w:orient="portrait"/>
          <w:cols w:equalWidth="0" w:num="2">
            <w:col w:w="3640" w:space="280"/>
            <w:col w:w="7320"/>
          </w:cols>
          <w:pgMar w:left="320" w:top="121" w:right="339" w:bottom="1440" w:gutter="0" w:footer="0" w:header="0"/>
          <w:type w:val="continuous"/>
        </w:sectPr>
      </w:pPr>
    </w:p>
    <w:p>
      <w:pPr>
        <w:spacing w:after="0" w:line="262" w:lineRule="exact"/>
        <w:rPr>
          <w:sz w:val="20"/>
          <w:szCs w:val="20"/>
          <w:color w:val="auto"/>
        </w:rPr>
      </w:pPr>
    </w:p>
    <w:p>
      <w:pPr>
        <w:jc w:val="both"/>
        <w:ind w:left="340" w:right="2080"/>
        <w:spacing w:after="0" w:line="248"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340"/>
        <w:spacing w:after="0"/>
        <w:tabs>
          <w:tab w:leader="none" w:pos="3340" w:val="left"/>
          <w:tab w:leader="none" w:pos="5380" w:val="left"/>
          <w:tab w:leader="none" w:pos="84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715327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June 8, 2021: </w:t>
      </w:r>
      <w:r>
        <w:rPr>
          <w:rFonts w:ascii="Arial" w:cs="Arial" w:eastAsia="Arial" w:hAnsi="Arial"/>
          <w:sz w:val="18"/>
          <w:szCs w:val="18"/>
          <w:color w:val="auto"/>
        </w:rPr>
        <w:t>The Notice and Proxy Statement and 2020 Annual Report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D48520-P51405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83185</wp:posOffset>
            </wp:positionV>
            <wp:extent cx="7118985" cy="3716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18985" cy="371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2" w:lineRule="exact"/>
        <w:rPr>
          <w:sz w:val="20"/>
          <w:szCs w:val="20"/>
          <w:color w:val="auto"/>
        </w:rPr>
      </w:pPr>
    </w:p>
    <w:p>
      <w:pPr>
        <w:jc w:val="both"/>
        <w:ind w:left="320" w:right="300"/>
        <w:spacing w:after="0" w:line="236" w:lineRule="auto"/>
        <w:rPr>
          <w:sz w:val="20"/>
          <w:szCs w:val="20"/>
          <w:color w:val="auto"/>
        </w:rPr>
      </w:pPr>
      <w:r>
        <w:rPr>
          <w:rFonts w:ascii="Arial" w:cs="Arial" w:eastAsia="Arial" w:hAnsi="Arial"/>
          <w:sz w:val="18"/>
          <w:szCs w:val="18"/>
          <w:color w:val="auto"/>
        </w:rPr>
        <w:t>The undersigned stockholder(s) hereby appoint(s) Marc Holliday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virtually at www.virtualshareholdermeeting.com/SLG2021 at 12:00 P.M., Eastern Time on Tuesday, June 8, 2021 and any adjournment or postponement thereof.</w:t>
      </w:r>
    </w:p>
    <w:p>
      <w:pPr>
        <w:spacing w:after="0" w:line="189" w:lineRule="exact"/>
        <w:rPr>
          <w:sz w:val="20"/>
          <w:szCs w:val="20"/>
          <w:color w:val="auto"/>
        </w:rPr>
      </w:pPr>
    </w:p>
    <w:p>
      <w:pPr>
        <w:jc w:val="both"/>
        <w:ind w:left="320" w:right="300"/>
        <w:spacing w:after="0" w:line="242"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AND 3.</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PLEASE MARK, SIGN AND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538480</wp:posOffset>
            </wp:positionV>
            <wp:extent cx="715327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lvl w:ilvl="1">
      <w:lvlJc w:val="left"/>
      <w:lvlText w:val="%2)"/>
      <w:numFmt w:val="decimal"/>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2"/>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4"/>
      <w:numFmt w:val="bullet"/>
      <w:start w:val="1"/>
    </w:lvl>
  </w:abstractNum>
  <w:abstractNum w:abstractNumId="9">
    <w:nsid w:val="6F6DD9AC"/>
    <w:multiLevelType w:val="hybridMultilevel"/>
    <w:lvl w:ilvl="0">
      <w:lvlJc w:val="left"/>
      <w:lvlText w:val="(%1)"/>
      <w:numFmt w:val="decimal"/>
      <w:start w:val="1"/>
    </w:lvl>
  </w:abstractNum>
  <w:abstractNum w:abstractNumId="10">
    <w:nsid w:val="94211F2"/>
    <w:multiLevelType w:val="hybridMultilevel"/>
    <w:lvl w:ilvl="0">
      <w:lvlJc w:val="left"/>
      <w:lvlText w:val="6"/>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8"/>
      <w:numFmt w:val="bullet"/>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1"/>
      <w:numFmt w:val="decimal"/>
      <w:start w:val="10"/>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1"/>
      <w:numFmt w:val="decimal"/>
      <w:start w:val="12"/>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1"/>
      <w:numFmt w:val="decimal"/>
      <w:start w:val="14"/>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1"/>
      <w:numFmt w:val="decimal"/>
      <w:start w:val="16"/>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1"/>
      <w:numFmt w:val="decimal"/>
      <w:start w:val="18"/>
    </w:lvl>
  </w:abstractNum>
  <w:abstractNum w:abstractNumId="49">
    <w:nsid w:val="53299938"/>
    <w:multiLevelType w:val="hybridMultilevel"/>
    <w:lvl w:ilvl="0">
      <w:lvlJc w:val="left"/>
      <w:lvlText w:val="%1."/>
      <w:numFmt w:val="decimal"/>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20"/>
    </w:lvl>
  </w:abstractNum>
  <w:abstractNum w:abstractNumId="52">
    <w:nsid w:val="1D545C4D"/>
    <w:multiLevelType w:val="hybridMultilevel"/>
    <w:lvl w:ilvl="0">
      <w:lvlJc w:val="left"/>
      <w:lvlText w:val="%1."/>
      <w:numFmt w:val="decimal"/>
      <w:start w:val="1"/>
    </w:lvl>
  </w:abstractNum>
  <w:abstractNum w:abstractNumId="53">
    <w:nsid w:val="59ADEA3D"/>
    <w:multiLevelType w:val="hybridMultilevel"/>
    <w:lvl w:ilvl="0">
      <w:lvlJc w:val="left"/>
      <w:lvlText w:val="%1"/>
      <w:numFmt w:val="decimal"/>
      <w:start w:val="24"/>
    </w:lvl>
  </w:abstractNum>
  <w:abstractNum w:abstractNumId="54">
    <w:nsid w:val="288F1A34"/>
    <w:multiLevelType w:val="hybridMultilevel"/>
    <w:lvl w:ilvl="0">
      <w:lvlJc w:val="left"/>
      <w:lvlText w:val="%1"/>
      <w:numFmt w:val="decimal"/>
      <w:start w:val="26"/>
    </w:lvl>
  </w:abstractNum>
  <w:abstractNum w:abstractNumId="55">
    <w:nsid w:val="2A155DBC"/>
    <w:multiLevelType w:val="hybridMultilevel"/>
    <w:lvl w:ilvl="0">
      <w:lvlJc w:val="left"/>
      <w:lvlText w:val="(%1)"/>
      <w:numFmt w:val="lowerLetter"/>
      <w:start w:val="2"/>
    </w:lvl>
  </w:abstractNum>
  <w:abstractNum w:abstractNumId="56">
    <w:nsid w:val="1D9F6E5F"/>
    <w:multiLevelType w:val="hybridMultilevel"/>
    <w:lvl w:ilvl="0">
      <w:lvlJc w:val="left"/>
      <w:lvlText w:val="%1"/>
      <w:numFmt w:val="decimal"/>
      <w:start w:val="28"/>
    </w:lvl>
  </w:abstractNum>
  <w:abstractNum w:abstractNumId="57">
    <w:nsid w:val="97E1B4E"/>
    <w:multiLevelType w:val="hybridMultilevel"/>
    <w:lvl w:ilvl="0">
      <w:lvlJc w:val="left"/>
      <w:lvlText w:val="(%1)"/>
      <w:numFmt w:val="decimal"/>
      <w:start w:val="1"/>
    </w:lvl>
  </w:abstractNum>
  <w:abstractNum w:abstractNumId="58">
    <w:nsid w:val="51088277"/>
    <w:multiLevelType w:val="hybridMultilevel"/>
    <w:lvl w:ilvl="0">
      <w:lvlJc w:val="left"/>
      <w:lvlText w:val="%1"/>
      <w:numFmt w:val="decimal"/>
      <w:start w:val="30"/>
    </w:lvl>
  </w:abstractNum>
  <w:abstractNum w:abstractNumId="59">
    <w:nsid w:val="1CA0C5FA"/>
    <w:multiLevelType w:val="hybridMultilevel"/>
    <w:lvl w:ilvl="0">
      <w:lvlJc w:val="left"/>
      <w:lvlText w:val="%1"/>
      <w:numFmt w:val="decimal"/>
      <w:start w:val="32"/>
    </w:lvl>
  </w:abstractNum>
  <w:abstractNum w:abstractNumId="60">
    <w:nsid w:val="53584BCB"/>
    <w:multiLevelType w:val="hybridMultilevel"/>
    <w:lvl w:ilvl="0">
      <w:lvlJc w:val="left"/>
      <w:lvlText w:val="%1"/>
      <w:numFmt w:val="decimal"/>
      <w:start w:val="34"/>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1"/>
      <w:numFmt w:val="decimal"/>
      <w:start w:val="36"/>
    </w:lvl>
  </w:abstractNum>
  <w:abstractNum w:abstractNumId="76">
    <w:nsid w:val="4C9B0904"/>
    <w:multiLevelType w:val="hybridMultilevel"/>
    <w:lvl w:ilvl="0">
      <w:lvlJc w:val="left"/>
      <w:lvlText w:val="%1"/>
      <w:numFmt w:val="decimal"/>
      <w:start w:val="38"/>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1"/>
      <w:numFmt w:val="decimal"/>
      <w:start w:val="40"/>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1"/>
      <w:numFmt w:val="decimal"/>
      <w:start w:val="42"/>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1"/>
      <w:numFmt w:val="decimal"/>
      <w:start w:val="44"/>
    </w:lvl>
  </w:abstractNum>
  <w:abstractNum w:abstractNumId="87">
    <w:nsid w:val="34FD6B4F"/>
    <w:multiLevelType w:val="hybridMultilevel"/>
    <w:lvl w:ilvl="0">
      <w:lvlJc w:val="left"/>
      <w:lvlText w:val="(%1)"/>
      <w:numFmt w:val="decimal"/>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1)"/>
      <w:numFmt w:val="decimal"/>
      <w:start w:val="1"/>
    </w:lvl>
  </w:abstractNum>
  <w:abstractNum w:abstractNumId="92">
    <w:nsid w:val="17A1B582"/>
    <w:multiLevelType w:val="hybridMultilevel"/>
    <w:lvl w:ilvl="0">
      <w:lvlJc w:val="left"/>
      <w:lvlText w:val="%1"/>
      <w:numFmt w:val="decimal"/>
      <w:start w:val="46"/>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1)"/>
      <w:numFmt w:val="decimal"/>
      <w:start w:val="1"/>
    </w:lvl>
  </w:abstractNum>
  <w:abstractNum w:abstractNumId="95">
    <w:nsid w:val="5D888A08"/>
    <w:multiLevelType w:val="hybridMultilevel"/>
    <w:lvl w:ilvl="0">
      <w:lvlJc w:val="left"/>
      <w:lvlText w:val="%1"/>
      <w:numFmt w:val="decimal"/>
      <w:start w:val="48"/>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1"/>
      <w:numFmt w:val="decimal"/>
      <w:start w:val="50"/>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1"/>
      <w:numFmt w:val="decimal"/>
      <w:start w:val="52"/>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1"/>
      <w:numFmt w:val="decimal"/>
      <w:start w:val="54"/>
    </w:lvl>
  </w:abstractNum>
  <w:abstractNum w:abstractNumId="104">
    <w:nsid w:val="B37E80A"/>
    <w:multiLevelType w:val="hybridMultilevel"/>
    <w:lvl w:ilvl="0">
      <w:lvlJc w:val="left"/>
      <w:lvlText w:val="(%1)"/>
      <w:numFmt w:val="decimal"/>
      <w:start w:val="1"/>
    </w:lvl>
  </w:abstractNum>
  <w:abstractNum w:abstractNumId="105">
    <w:nsid w:val="2157F6BC"/>
    <w:multiLevelType w:val="hybridMultilevel"/>
    <w:lvl w:ilvl="0">
      <w:lvlJc w:val="left"/>
      <w:lvlText w:val="%1"/>
      <w:numFmt w:val="decimal"/>
      <w:start w:val="1"/>
    </w:lvl>
    <w:lvl w:ilvl="1">
      <w:lvlJc w:val="left"/>
      <w:lvlText w:val="(%2)"/>
      <w:numFmt w:val="lowerLetter"/>
      <w:start w:val="1"/>
    </w:lvl>
  </w:abstractNum>
  <w:abstractNum w:abstractNumId="106">
    <w:nsid w:val="704E1DD5"/>
    <w:multiLevelType w:val="hybridMultilevel"/>
    <w:lvl w:ilvl="0">
      <w:lvlJc w:val="left"/>
      <w:lvlText w:val="(%1)"/>
      <w:numFmt w:val="decimal"/>
      <w:start w:val="3"/>
    </w:lvl>
    <w:lvl w:ilvl="1">
      <w:lvlJc w:val="left"/>
      <w:lvlText w:val="%2"/>
      <w:numFmt w:val="lowerLetter"/>
      <w:start w:val="1"/>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1"/>
      <w:numFmt w:val="decimal"/>
      <w:start w:val="56"/>
    </w:lvl>
  </w:abstractNum>
  <w:abstractNum w:abstractNumId="109">
    <w:nsid w:val="E3E47A8"/>
    <w:multiLevelType w:val="hybridMultilevel"/>
    <w:lvl w:ilvl="0">
      <w:lvlJc w:val="left"/>
      <w:lvlText w:val="(%1)"/>
      <w:numFmt w:val="decimal"/>
      <w:start w:val="3"/>
    </w:lvl>
  </w:abstractNum>
  <w:abstractNum w:abstractNumId="110">
    <w:nsid w:val="2E48F044"/>
    <w:multiLevelType w:val="hybridMultilevel"/>
    <w:lvl w:ilvl="0">
      <w:lvlJc w:val="left"/>
      <w:lvlText w:val="(%1)"/>
      <w:numFmt w:val="decimal"/>
      <w:start w:val="1"/>
    </w:lvl>
  </w:abstractNum>
  <w:abstractNum w:abstractNumId="111">
    <w:nsid w:val="49D0FEAC"/>
    <w:multiLevelType w:val="hybridMultilevel"/>
    <w:lvl w:ilvl="0">
      <w:lvlJc w:val="left"/>
      <w:lvlText w:val="%1"/>
      <w:numFmt w:val="decimal"/>
      <w:start w:val="1"/>
    </w:lvl>
    <w:lvl w:ilvl="1">
      <w:lvlJc w:val="left"/>
      <w:lvlText w:val="(%2)"/>
      <w:numFmt w:val="lowerLetter"/>
      <w:start w:val="1"/>
    </w:lvl>
  </w:abstractNum>
  <w:abstractNum w:abstractNumId="112">
    <w:nsid w:val="4BEE5A5B"/>
    <w:multiLevelType w:val="hybridMultilevel"/>
    <w:lvl w:ilvl="0">
      <w:lvlJc w:val="left"/>
      <w:lvlText w:val="(%1)"/>
      <w:numFmt w:val="decimal"/>
      <w:start w:val="2"/>
    </w:lvl>
    <w:lvl w:ilvl="1">
      <w:lvlJc w:val="left"/>
      <w:lvlText w:val="%2"/>
      <w:numFmt w:val="lowerLetter"/>
      <w:start w:val="1"/>
    </w:lvl>
  </w:abstractNum>
  <w:abstractNum w:abstractNumId="113">
    <w:nsid w:val="5551B9F3"/>
    <w:multiLevelType w:val="hybridMultilevel"/>
    <w:lvl w:ilvl="0">
      <w:lvlJc w:val="left"/>
      <w:lvlText w:val="%1"/>
      <w:numFmt w:val="decimal"/>
      <w:start w:val="58"/>
    </w:lvl>
  </w:abstractNum>
  <w:abstractNum w:abstractNumId="114">
    <w:nsid w:val="24F6AB8E"/>
    <w:multiLevelType w:val="hybridMultilevel"/>
    <w:lvl w:ilvl="0">
      <w:lvlJc w:val="left"/>
      <w:lvlText w:val="(%1)"/>
      <w:numFmt w:val="decimal"/>
      <w:start w:val="3"/>
    </w:lvl>
  </w:abstractNum>
  <w:abstractNum w:abstractNumId="115">
    <w:nsid w:val="634C574C"/>
    <w:multiLevelType w:val="hybridMultilevel"/>
    <w:lvl w:ilvl="0">
      <w:lvlJc w:val="left"/>
      <w:lvlText w:val="%1"/>
      <w:numFmt w:val="decimal"/>
      <w:start w:val="1"/>
    </w:lvl>
    <w:lvl w:ilvl="1">
      <w:lvlJc w:val="left"/>
      <w:lvlText w:val="(%2)"/>
      <w:numFmt w:val="lowerLetter"/>
      <w:start w:val="1"/>
    </w:lvl>
  </w:abstractNum>
  <w:abstractNum w:abstractNumId="116">
    <w:nsid w:val="24E99DD7"/>
    <w:multiLevelType w:val="hybridMultilevel"/>
    <w:lvl w:ilvl="0">
      <w:lvlJc w:val="left"/>
      <w:lvlText w:val="(%1)"/>
      <w:numFmt w:val="decimal"/>
      <w:start w:val="4"/>
    </w:lvl>
    <w:lvl w:ilvl="1">
      <w:lvlJc w:val="left"/>
      <w:lvlText w:val="%2"/>
      <w:numFmt w:val="lowerLetter"/>
      <w:start w:val="1"/>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1"/>
      <w:numFmt w:val="decimal"/>
      <w:start w:val="60"/>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
      <w:numFmt w:val="bullet"/>
      <w:start w:val="1"/>
    </w:lvl>
  </w:abstractNum>
  <w:abstractNum w:abstractNumId="122">
    <w:nsid w:val="2A6DE806"/>
    <w:multiLevelType w:val="hybridMultilevel"/>
    <w:lvl w:ilvl="0">
      <w:lvlJc w:val="left"/>
      <w:lvlText w:val="●"/>
      <w:numFmt w:val="bullet"/>
      <w:start w:val="1"/>
    </w:lvl>
  </w:abstractNum>
  <w:abstractNum w:abstractNumId="123">
    <w:nsid w:val="1816F8C4"/>
    <w:multiLevelType w:val="hybridMultilevel"/>
    <w:lvl w:ilvl="0">
      <w:lvlJc w:val="left"/>
      <w:lvlText w:val="●"/>
      <w:numFmt w:val="bullet"/>
      <w:start w:val="1"/>
    </w:lvl>
  </w:abstractNum>
  <w:abstractNum w:abstractNumId="124">
    <w:nsid w:val="37DF2233"/>
    <w:multiLevelType w:val="hybridMultilevel"/>
    <w:lvl w:ilvl="0">
      <w:lvlJc w:val="left"/>
      <w:lvlText w:val="●"/>
      <w:numFmt w:val="bullet"/>
      <w:start w:val="1"/>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
      <w:numFmt w:val="bullet"/>
      <w:start w:val="1"/>
    </w:lvl>
  </w:abstractNum>
  <w:abstractNum w:abstractNumId="127">
    <w:nsid w:val="61E74EA3"/>
    <w:multiLevelType w:val="hybridMultilevel"/>
    <w:lvl w:ilvl="0">
      <w:lvlJc w:val="left"/>
      <w:lvlText w:val="●"/>
      <w:numFmt w:val="bullet"/>
      <w:start w:val="1"/>
    </w:lvl>
  </w:abstractNum>
  <w:abstractNum w:abstractNumId="128">
    <w:nsid w:val="597B4D84"/>
    <w:multiLevelType w:val="hybridMultilevel"/>
    <w:lvl w:ilvl="0">
      <w:lvlJc w:val="left"/>
      <w:lvlText w:val="●"/>
      <w:numFmt w:val="bullet"/>
      <w:start w:val="1"/>
    </w:lvl>
  </w:abstractNum>
  <w:abstractNum w:abstractNumId="129">
    <w:nsid w:val="F819E7F"/>
    <w:multiLevelType w:val="hybridMultilevel"/>
    <w:lvl w:ilvl="0">
      <w:lvlJc w:val="left"/>
      <w:lvlText w:val="●"/>
      <w:numFmt w:val="bullet"/>
      <w:start w:val="1"/>
    </w:lvl>
  </w:abstractNum>
  <w:abstractNum w:abstractNumId="130">
    <w:nsid w:val="57C7D42D"/>
    <w:multiLevelType w:val="hybridMultilevel"/>
    <w:lvl w:ilvl="0">
      <w:lvlJc w:val="left"/>
      <w:lvlText w:val="●"/>
      <w:numFmt w:val="bullet"/>
      <w:start w:val="1"/>
    </w:lvl>
  </w:abstractNum>
  <w:abstractNum w:abstractNumId="131">
    <w:nsid w:val="312167AD"/>
    <w:multiLevelType w:val="hybridMultilevel"/>
    <w:lvl w:ilvl="0">
      <w:lvlJc w:val="left"/>
      <w:lvlText w:val="●"/>
      <w:numFmt w:val="bullet"/>
      <w:start w:val="1"/>
    </w:lvl>
  </w:abstractNum>
  <w:abstractNum w:abstractNumId="132">
    <w:nsid w:val="631B64D4"/>
    <w:multiLevelType w:val="hybridMultilevel"/>
    <w:lvl w:ilvl="0">
      <w:lvlJc w:val="left"/>
      <w:lvlText w:val="●"/>
      <w:numFmt w:val="bullet"/>
      <w:start w:val="1"/>
    </w:lvl>
  </w:abstractNum>
  <w:abstractNum w:abstractNumId="133">
    <w:nsid w:val="78B5E776"/>
    <w:multiLevelType w:val="hybridMultilevel"/>
    <w:lvl w:ilvl="0">
      <w:lvlJc w:val="left"/>
      <w:lvlText w:val="●"/>
      <w:numFmt w:val="bullet"/>
      <w:start w:val="1"/>
    </w:lvl>
  </w:abstractNum>
  <w:abstractNum w:abstractNumId="134">
    <w:nsid w:val="75486E47"/>
    <w:multiLevelType w:val="hybridMultilevel"/>
    <w:lvl w:ilvl="0">
      <w:lvlJc w:val="left"/>
      <w:lvlText w:val="●"/>
      <w:numFmt w:val="bullet"/>
      <w:start w:val="1"/>
    </w:lvl>
  </w:abstractNum>
  <w:abstractNum w:abstractNumId="135">
    <w:nsid w:val="6E534CDE"/>
    <w:multiLevelType w:val="hybridMultilevel"/>
    <w:lvl w:ilvl="0">
      <w:lvlJc w:val="left"/>
      <w:lvlText w:val="%1"/>
      <w:numFmt w:val="decimal"/>
      <w:start w:val="62"/>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1)"/>
      <w:numFmt w:val="decimal"/>
      <w:start w:val="1"/>
    </w:lvl>
  </w:abstractNum>
  <w:abstractNum w:abstractNumId="139">
    <w:nsid w:val="260D8C4A"/>
    <w:multiLevelType w:val="hybridMultilevel"/>
    <w:lvl w:ilvl="0">
      <w:lvlJc w:val="left"/>
      <w:lvlText w:val="%1"/>
      <w:numFmt w:val="decimal"/>
      <w:start w:val="64"/>
    </w:lvl>
  </w:abstractNum>
  <w:abstractNum w:abstractNumId="140">
    <w:nsid w:val="73D4D3C4"/>
    <w:multiLevelType w:val="hybridMultilevel"/>
    <w:lvl w:ilvl="0">
      <w:lvlJc w:val="left"/>
      <w:lvlText w:val="(%1)"/>
      <w:numFmt w:val="decimal"/>
      <w:start w:val="1"/>
    </w:lvl>
  </w:abstractNum>
  <w:abstractNum w:abstractNumId="141">
    <w:nsid w:val="746F2E30"/>
    <w:multiLevelType w:val="hybridMultilevel"/>
    <w:lvl w:ilvl="0">
      <w:lvlJc w:val="left"/>
      <w:lvlText w:val="(%1)"/>
      <w:numFmt w:val="decimal"/>
      <w:start w:val="3"/>
    </w:lvl>
  </w:abstractNum>
  <w:abstractNum w:abstractNumId="142">
    <w:nsid w:val="6FDE8AF6"/>
    <w:multiLevelType w:val="hybridMultilevel"/>
    <w:lvl w:ilvl="0">
      <w:lvlJc w:val="left"/>
      <w:lvlText w:val="%1"/>
      <w:numFmt w:val="decimal"/>
      <w:start w:val="66"/>
    </w:lvl>
  </w:abstractNum>
  <w:abstractNum w:abstractNumId="143">
    <w:nsid w:val="3FC32E20"/>
    <w:multiLevelType w:val="hybridMultilevel"/>
    <w:lvl w:ilvl="0">
      <w:lvlJc w:val="left"/>
      <w:lvlText w:val="%1"/>
      <w:numFmt w:val="decimal"/>
      <w:start w:val="68"/>
    </w:lvl>
  </w:abstractNum>
  <w:abstractNum w:abstractNumId="144">
    <w:nsid w:val="49C0E823"/>
    <w:multiLevelType w:val="hybridMultilevel"/>
    <w:lvl w:ilvl="0">
      <w:lvlJc w:val="left"/>
      <w:lvlText w:val="*"/>
      <w:numFmt w:val="bullet"/>
      <w:start w:val="1"/>
    </w:lvl>
  </w:abstractNum>
  <w:abstractNum w:abstractNumId="145">
    <w:nsid w:val="14D53685"/>
    <w:multiLevelType w:val="hybridMultilevel"/>
    <w:lvl w:ilvl="0">
      <w:lvlJc w:val="left"/>
      <w:lvlText w:val="**"/>
      <w:numFmt w:val="bullet"/>
      <w:start w:val="1"/>
    </w:lvl>
  </w:abstractNum>
  <w:abstractNum w:abstractNumId="146">
    <w:nsid w:val="230F856C"/>
    <w:multiLevelType w:val="hybridMultilevel"/>
    <w:lvl w:ilvl="0">
      <w:lvlJc w:val="left"/>
      <w:lvlText w:val="(%1)"/>
      <w:numFmt w:val="decimal"/>
      <w:start w:val="1"/>
    </w:lvl>
  </w:abstractNum>
  <w:abstractNum w:abstractNumId="147">
    <w:nsid w:val="6EAA85FB"/>
    <w:multiLevelType w:val="hybridMultilevel"/>
    <w:lvl w:ilvl="0">
      <w:lvlJc w:val="left"/>
      <w:lvlText w:val="%1"/>
      <w:numFmt w:val="decimal"/>
      <w:start w:val="70"/>
    </w:lvl>
  </w:abstractNum>
  <w:abstractNum w:abstractNumId="148">
    <w:nsid w:val="3F06ECB2"/>
    <w:multiLevelType w:val="hybridMultilevel"/>
    <w:lvl w:ilvl="0">
      <w:lvlJc w:val="left"/>
      <w:lvlText w:val="(%1)"/>
      <w:numFmt w:val="decimal"/>
      <w:start w:val="2"/>
    </w:lvl>
  </w:abstractNum>
  <w:abstractNum w:abstractNumId="149">
    <w:nsid w:val="3B594807"/>
    <w:multiLevelType w:val="hybridMultilevel"/>
    <w:lvl w:ilvl="0">
      <w:lvlJc w:val="left"/>
      <w:lvlText w:val="*"/>
      <w:numFmt w:val="bullet"/>
      <w:start w:val="1"/>
    </w:lvl>
  </w:abstractNum>
  <w:abstractNum w:abstractNumId="150">
    <w:nsid w:val="6CAA2304"/>
    <w:multiLevelType w:val="hybridMultilevel"/>
    <w:lvl w:ilvl="0">
      <w:lvlJc w:val="left"/>
      <w:lvlText w:val="%1"/>
      <w:numFmt w:val="decimal"/>
      <w:start w:val="72"/>
    </w:lvl>
  </w:abstractNum>
  <w:abstractNum w:abstractNumId="151">
    <w:nsid w:val="3F7C2FF4"/>
    <w:multiLevelType w:val="hybridMultilevel"/>
    <w:lvl w:ilvl="0">
      <w:lvlJc w:val="left"/>
      <w:lvlText w:val="%1"/>
      <w:numFmt w:val="decimal"/>
      <w:start w:val="74"/>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
      <w:numFmt w:val="bullet"/>
      <w:start w:val="1"/>
    </w:lvl>
  </w:abstractNum>
  <w:abstractNum w:abstractNumId="154">
    <w:nsid w:val="579328B9"/>
    <w:multiLevelType w:val="hybridMultilevel"/>
    <w:lvl w:ilvl="0">
      <w:lvlJc w:val="left"/>
      <w:lvlText w:val="%1"/>
      <w:numFmt w:val="decimal"/>
      <w:start w:val="76"/>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1"/>
      <w:numFmt w:val="decimal"/>
      <w:start w:val="78"/>
    </w:lvl>
  </w:abstractNum>
  <w:abstractNum w:abstractNumId="158">
    <w:nsid w:val="3F07ACC3"/>
    <w:multiLevelType w:val="hybridMultilevel"/>
    <w:lvl w:ilvl="0">
      <w:lvlJc w:val="left"/>
      <w:lvlText w:val="%1."/>
      <w:numFmt w:val="decimal"/>
      <w:start w:val="1"/>
    </w:lvl>
  </w:abstractNum>
  <w:abstractNum w:abstractNumId="159">
    <w:nsid w:val="6B47F63E"/>
    <w:multiLevelType w:val="hybridMultilevel"/>
    <w:lvl w:ilvl="0">
      <w:lvlJc w:val="left"/>
      <w:lvlText w:val="%1."/>
      <w:numFmt w:val="decimal"/>
      <w:start w:val="3"/>
    </w:lvl>
  </w:abstractNum>
  <w:abstractNum w:abstractNumId="160">
    <w:nsid w:val="5CB44A0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2021-04-27T16:17:57Z</dcterms:created>
  <dcterms:modified xsi:type="dcterms:W3CDTF">2021-04-27T16:17:57Z</dcterms:modified>
</cp:coreProperties>
</file>