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2">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1240"/>
          </w:cols>
          <w:pgMar w:left="240" w:top="685" w:right="419" w:bottom="337"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3420"/>
          </w:cols>
          <w:pgMar w:left="240" w:top="685" w:right="419" w:bottom="337" w:gutter="0" w:footer="0" w:header="0"/>
          <w:type w:val="continuous"/>
        </w:sectPr>
      </w:pPr>
    </w:p>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p>
    <w:p>
      <w:pPr>
        <w:spacing w:after="0" w:line="246" w:lineRule="exact"/>
        <w:rPr>
          <w:sz w:val="24"/>
          <w:szCs w:val="24"/>
          <w:color w:val="auto"/>
        </w:rPr>
      </w:pPr>
    </w:p>
    <w:p>
      <w:pPr>
        <w:ind w:left="260"/>
        <w:spacing w:after="0"/>
        <w:tabs>
          <w:tab w:leader="none" w:pos="62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b w:val="1"/>
          <w:bCs w:val="1"/>
          <w:color w:val="auto"/>
        </w:rPr>
        <w:t>Confidential, for Use of the Commission Only (as permitted by Rule 14a-6(e)(2))</w:t>
      </w:r>
    </w:p>
    <w:p>
      <w:pPr>
        <w:sectPr>
          <w:pgSz w:w="11900" w:h="16838" w:orient="portrait"/>
          <w:cols w:equalWidth="0" w:num="1">
            <w:col w:w="11240"/>
          </w:cols>
          <w:pgMar w:left="240" w:top="685" w:right="419" w:bottom="337" w:gutter="0" w:footer="0" w:header="0"/>
          <w:type w:val="continuous"/>
        </w:sectPr>
      </w:pPr>
    </w:p>
    <w:p>
      <w:pPr>
        <w:spacing w:after="0" w:line="260" w:lineRule="exact"/>
        <w:rPr>
          <w:sz w:val="24"/>
          <w:szCs w:val="24"/>
          <w:color w:val="auto"/>
        </w:rPr>
      </w:pPr>
    </w:p>
    <w:p>
      <w:pPr>
        <w:jc w:val="center"/>
        <w:ind w:left="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400" w:space="240"/>
            <w:col w:w="10600"/>
          </w:cols>
          <w:pgMar w:left="240" w:top="685" w:right="419" w:bottom="337" w:gutter="0" w:footer="0" w:header="0"/>
          <w:type w:val="continuous"/>
        </w:sectPr>
      </w:pPr>
    </w:p>
    <w:p>
      <w:pPr>
        <w:spacing w:after="0" w:line="75" w:lineRule="exact"/>
        <w:rPr>
          <w:sz w:val="24"/>
          <w:szCs w:val="24"/>
          <w:color w:val="auto"/>
        </w:rPr>
      </w:pPr>
    </w:p>
    <w:p>
      <w:pPr>
        <w:ind w:left="640" w:hanging="389"/>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640" w:hanging="389"/>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40" w:hanging="440"/>
        <w:spacing w:after="0" w:line="268"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00" w:right="580" w:hanging="392"/>
        <w:spacing w:after="0" w:line="332" w:lineRule="auto"/>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-3247390</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-2947035</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-2509520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-2209165</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-1909445</wp:posOffset>
            </wp:positionV>
            <wp:extent cx="6723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-734060</wp:posOffset>
            </wp:positionV>
            <wp:extent cx="6723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-434340</wp:posOffset>
            </wp:positionV>
            <wp:extent cx="6723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-133985</wp:posOffset>
            </wp:positionV>
            <wp:extent cx="6723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165735</wp:posOffset>
            </wp:positionV>
            <wp:extent cx="6723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ectPr>
          <w:pgSz w:w="11900" w:h="16838" w:orient="portrait"/>
          <w:cols w:equalWidth="0" w:num="1">
            <w:col w:w="11240"/>
          </w:cols>
          <w:pgMar w:left="240" w:top="685" w:right="419" w:bottom="337" w:gutter="0" w:footer="0" w:header="0"/>
          <w:type w:val="continuous"/>
        </w:sectPr>
      </w:pPr>
    </w:p>
    <w:bookmarkStart w:id="1" w:name="page2"/>
    <w:bookmarkEnd w:id="1"/>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144145</wp:posOffset>
            </wp:positionV>
            <wp:extent cx="198945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15,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320" w:firstLine="345"/>
        <w:spacing w:after="0" w:line="259" w:lineRule="auto"/>
        <w:rPr>
          <w:sz w:val="20"/>
          <w:szCs w:val="20"/>
          <w:color w:val="auto"/>
        </w:rPr>
      </w:pPr>
      <w:r>
        <w:rPr>
          <w:rFonts w:ascii="Arial" w:cs="Arial" w:eastAsia="Arial" w:hAnsi="Arial"/>
          <w:sz w:val="18"/>
          <w:szCs w:val="18"/>
          <w:color w:val="auto"/>
        </w:rPr>
        <w:t>You are invited to attend the 2010 annual meeting of stockholders of SL Green Realty Corp., a Maryland corporation, which will be held on Tuesday, June 15, 2010, at 11:00 a.m., local time, at The Roosevelt Hotel, The Broadway Suite, 45 East 45th Street at Madison Avenue, New York, New York. At the annual meeting, stockholders will be asked to consider and vote upon the following proposals:</w:t>
      </w:r>
    </w:p>
    <w:p>
      <w:pPr>
        <w:spacing w:after="0" w:line="194"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a Class I director to serve on our Board of Directors for a three-year term and until his successor is duly elected and qualifies;</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Second Amended and Restated 2005 Stock Option and Incentive Plan;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2010.</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86"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Board of Directors has fixed the close of business on April 5, 2010 as the record date for determining the stockholders entitled to notice of, and to vote at, the annual meeting and at any adjournments or postponements thereof.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We make proxy materials available to our stockholders on the Internet. You can access proxy materials at http://www.proxyvote.com. You also may authorize your proxy via the Internet or by telephone by following the instructions on that website. In order to authorize your proxy via the Internet or by telephone you must have the stockholder identification number that appears on the enclosed Notice of Internet Availability of Proxy Materials. You also may request a paper or an e-mail copy of our proxy materials and a paper proxy card by following the instructions included in the Notice of Internet Availability of Proxy Materials.</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165735</wp:posOffset>
            </wp:positionV>
            <wp:extent cx="182689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Stockholder Meeting to be Held on June 15, 2010.</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statement and our 2009 Annual Report to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are available at http://www.proxyvote.com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 w:name="page3"/>
    <w:bookmarkEnd w:id="2"/>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in person if you wish, even if you previously have submitted your proxy. However, please note that if your shares are held of record by a bank, broker or other nominee and you wish to vote in person at the annual meeting, you must obtain a proxy issued in your name from such bank, broker or other nominee.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14"/>
                <w:szCs w:val="14"/>
                <w:color w:val="auto"/>
              </w:rPr>
            </w:pPr>
          </w:p>
        </w:tc>
        <w:tc>
          <w:tcPr>
            <w:tcW w:w="8800" w:type="dxa"/>
            <w:vAlign w:val="bottom"/>
            <w:gridSpan w:val="33"/>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ANNUAL MEETING</w:t>
              </w:r>
            </w:hyperlink>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800" w:type="dxa"/>
            <w:vAlign w:val="bottom"/>
            <w:gridSpan w:val="33"/>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What is the Notice of Internet Availability of Proxy Materials that I received in the mail this year instead of a full set of</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gridSpan w:val="3"/>
          </w:tcPr>
          <w:p>
            <w:pPr>
              <w:jc w:val="cente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proxy materials?</w:t>
              </w:r>
            </w:hyperlink>
          </w:p>
        </w:tc>
        <w:tc>
          <w:tcPr>
            <w:tcW w:w="7020" w:type="dxa"/>
            <w:vAlign w:val="bottom"/>
            <w:tcBorders>
              <w:top w:val="single" w:sz="8" w:color="0000EE"/>
            </w:tcBorders>
            <w:gridSpan w:val="27"/>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Who is entitled to vote at the annual meeting?</w:t>
              </w:r>
            </w:hyperlink>
          </w:p>
        </w:tc>
        <w:tc>
          <w:tcPr>
            <w:tcW w:w="5420" w:type="dxa"/>
            <w:vAlign w:val="bottom"/>
            <w:gridSpan w:val="16"/>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3"/>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What is the purpose of the annual meeting?</w:t>
              </w:r>
            </w:hyperlink>
          </w:p>
        </w:tc>
        <w:tc>
          <w:tcPr>
            <w:tcW w:w="180" w:type="dxa"/>
            <w:vAlign w:val="bottom"/>
            <w:gridSpan w:val="3"/>
          </w:tcPr>
          <w:p>
            <w:pPr>
              <w:spacing w:after="0"/>
              <w:rPr>
                <w:sz w:val="24"/>
                <w:szCs w:val="24"/>
                <w:color w:val="auto"/>
              </w:rPr>
            </w:pPr>
          </w:p>
        </w:tc>
        <w:tc>
          <w:tcPr>
            <w:tcW w:w="5420" w:type="dxa"/>
            <w:vAlign w:val="bottom"/>
            <w:gridSpan w:val="16"/>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What constitutes a quorum?</w:t>
              </w:r>
            </w:hyperlink>
          </w:p>
        </w:tc>
        <w:tc>
          <w:tcPr>
            <w:tcW w:w="5600" w:type="dxa"/>
            <w:vAlign w:val="bottom"/>
            <w:gridSpan w:val="19"/>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What vote is required to approve each proposal?</w:t>
              </w:r>
            </w:hyperlink>
          </w:p>
        </w:tc>
        <w:tc>
          <w:tcPr>
            <w:tcW w:w="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Can I change my vote after I submit my proxy card?</w:t>
              </w:r>
            </w:hyperlink>
          </w:p>
        </w:tc>
        <w:tc>
          <w:tcPr>
            <w:tcW w:w="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spacing w:after="0"/>
              <w:rPr>
                <w:rFonts w:ascii="Arial" w:cs="Arial" w:eastAsia="Arial" w:hAnsi="Arial"/>
                <w:sz w:val="18"/>
                <w:szCs w:val="18"/>
                <w:color w:val="0000EE"/>
                <w:w w:val="81"/>
              </w:rPr>
            </w:pPr>
            <w:hyperlink w:anchor="page9">
              <w:r>
                <w:rPr>
                  <w:rFonts w:ascii="Arial" w:cs="Arial" w:eastAsia="Arial" w:hAnsi="Arial"/>
                  <w:sz w:val="18"/>
                  <w:szCs w:val="18"/>
                  <w:color w:val="0000EE"/>
                  <w:w w:val="81"/>
                </w:rPr>
                <w:t>How do I vote?</w:t>
              </w:r>
            </w:hyperlink>
          </w:p>
        </w:tc>
        <w:tc>
          <w:tcPr>
            <w:tcW w:w="2620" w:type="dxa"/>
            <w:vAlign w:val="bottom"/>
            <w:gridSpan w:val="16"/>
          </w:tcPr>
          <w:p>
            <w:pPr>
              <w:spacing w:after="0"/>
              <w:rPr>
                <w:sz w:val="24"/>
                <w:szCs w:val="24"/>
                <w:color w:val="auto"/>
              </w:rPr>
            </w:pPr>
          </w:p>
        </w:tc>
        <w:tc>
          <w:tcPr>
            <w:tcW w:w="4980" w:type="dxa"/>
            <w:vAlign w:val="bottom"/>
            <w:gridSpan w:val="14"/>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8"/>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How is my vote counted?</w:t>
              </w:r>
            </w:hyperlink>
          </w:p>
        </w:tc>
        <w:tc>
          <w:tcPr>
            <w:tcW w:w="6860" w:type="dxa"/>
            <w:vAlign w:val="bottom"/>
            <w:gridSpan w:val="24"/>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6"/>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How does the Board recommend that I vote on each of the proposals?</w:t>
              </w:r>
            </w:hyperlink>
          </w:p>
        </w:tc>
        <w:tc>
          <w:tcPr>
            <w:tcW w:w="3760" w:type="dxa"/>
            <w:vAlign w:val="bottom"/>
            <w:gridSpan w:val="6"/>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What other information should I review before voting?</w:t>
              </w:r>
            </w:hyperlink>
          </w:p>
        </w:tc>
        <w:tc>
          <w:tcPr>
            <w:tcW w:w="3760" w:type="dxa"/>
            <w:vAlign w:val="bottom"/>
            <w:gridSpan w:val="6"/>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Who is soliciting my proxy?</w:t>
              </w:r>
            </w:hyperlink>
          </w:p>
        </w:tc>
        <w:tc>
          <w:tcPr>
            <w:tcW w:w="480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How do I change how I receive proxy materials in the future?</w:t>
              </w:r>
            </w:hyperlink>
          </w:p>
        </w:tc>
        <w:tc>
          <w:tcPr>
            <w:tcW w:w="3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What should I do if I received more than one Notice of Internet Availability of Proxy Materials?</w:t>
              </w:r>
            </w:hyperlink>
          </w:p>
        </w:tc>
        <w:tc>
          <w:tcPr>
            <w:tcW w:w="3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0000EE"/>
            </w:tcBorders>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80" w:type="dxa"/>
            <w:vAlign w:val="bottom"/>
            <w:gridSpan w:val="15"/>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1: ELECTION OF DIRECTORS</w:t>
              </w:r>
            </w:hyperlink>
          </w:p>
        </w:tc>
        <w:tc>
          <w:tcPr>
            <w:tcW w:w="5520" w:type="dxa"/>
            <w:vAlign w:val="bottom"/>
            <w:gridSpan w:val="18"/>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4"/>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Information Regarding the Nominee and the Continuing Directors</w:t>
              </w:r>
            </w:hyperlink>
          </w:p>
        </w:tc>
        <w:tc>
          <w:tcPr>
            <w:tcW w:w="4000" w:type="dxa"/>
            <w:vAlign w:val="bottom"/>
            <w:gridSpan w:val="8"/>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15"/>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Class I Nominee—Term Will Expire in 2013</w:t>
              </w:r>
            </w:hyperlink>
          </w:p>
        </w:tc>
        <w:tc>
          <w:tcPr>
            <w:tcW w:w="1500" w:type="dxa"/>
            <w:vAlign w:val="bottom"/>
            <w:gridSpan w:val="9"/>
          </w:tcPr>
          <w:p>
            <w:pPr>
              <w:spacing w:after="0"/>
              <w:rPr>
                <w:sz w:val="24"/>
                <w:szCs w:val="24"/>
                <w:color w:val="auto"/>
              </w:rPr>
            </w:pPr>
          </w:p>
        </w:tc>
        <w:tc>
          <w:tcPr>
            <w:tcW w:w="4000" w:type="dxa"/>
            <w:vAlign w:val="bottom"/>
            <w:gridSpan w:val="8"/>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20"/>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Class II Continuing Directors—Terms Will Expire in 2011</w:t>
              </w:r>
            </w:hyperlink>
          </w:p>
        </w:tc>
        <w:tc>
          <w:tcPr>
            <w:tcW w:w="4540" w:type="dxa"/>
            <w:vAlign w:val="bottom"/>
            <w:gridSpan w:val="12"/>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Class III Continuing Directors —Terms Will Expire in 2012</w:t>
              </w:r>
            </w:hyperlink>
          </w:p>
        </w:tc>
        <w:tc>
          <w:tcPr>
            <w:tcW w:w="3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Biographical Information Regarding Executive Officers Who Are Not Directors</w:t>
              </w:r>
            </w:hyperlink>
          </w:p>
        </w:tc>
        <w:tc>
          <w:tcPr>
            <w:tcW w:w="3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00" w:type="dxa"/>
            <w:vAlign w:val="bottom"/>
            <w:gridSpan w:val="11"/>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The Board and its Committees</w:t>
              </w:r>
            </w:hyperlink>
          </w:p>
        </w:tc>
        <w:tc>
          <w:tcPr>
            <w:tcW w:w="3040" w:type="dxa"/>
            <w:vAlign w:val="bottom"/>
            <w:gridSpan w:val="5"/>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Director Compensation</w:t>
              </w:r>
            </w:hyperlink>
          </w:p>
        </w:tc>
        <w:tc>
          <w:tcPr>
            <w:tcW w:w="480" w:type="dxa"/>
            <w:vAlign w:val="bottom"/>
            <w:gridSpan w:val="4"/>
          </w:tcPr>
          <w:p>
            <w:pPr>
              <w:spacing w:after="0"/>
              <w:rPr>
                <w:sz w:val="24"/>
                <w:szCs w:val="24"/>
                <w:color w:val="auto"/>
              </w:rPr>
            </w:pPr>
          </w:p>
        </w:tc>
        <w:tc>
          <w:tcPr>
            <w:tcW w:w="6520" w:type="dxa"/>
            <w:vAlign w:val="bottom"/>
            <w:gridSpan w:val="2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3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PROPOSAL 2: APPROVAL of OUR SECOND AMENDED AND RESTATED 2005 STOCK OPTION AND</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30"/>
          </w:tcPr>
          <w:p>
            <w:pPr>
              <w:jc w:val="center"/>
              <w:ind w:right="6140"/>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INCENTIVE PLAN</w:t>
              </w:r>
            </w:hyperlink>
          </w:p>
        </w:tc>
        <w:tc>
          <w:tcPr>
            <w:tcW w:w="104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Summary of Material Amendments</w:t>
              </w:r>
            </w:hyperlink>
          </w:p>
        </w:tc>
        <w:tc>
          <w:tcPr>
            <w:tcW w:w="6160" w:type="dxa"/>
            <w:vAlign w:val="bottom"/>
            <w:gridSpan w:val="20"/>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Summary of the Provisions of Our Second Amended and Restated 2005 Stock Option and Incentive Plan</w:t>
              </w:r>
            </w:hyperlink>
          </w:p>
        </w:tc>
        <w:tc>
          <w:tcPr>
            <w:tcW w:w="3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Borders>
              <w:top w:val="single" w:sz="8" w:color="0000EE"/>
            </w:tcBorders>
            <w:gridSpan w:val="2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Administration</w:t>
              </w:r>
            </w:hyperlink>
          </w:p>
        </w:tc>
        <w:tc>
          <w:tcPr>
            <w:tcW w:w="12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Available Shares</w:t>
              </w:r>
            </w:hyperlink>
          </w:p>
        </w:tc>
        <w:tc>
          <w:tcPr>
            <w:tcW w:w="3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Awards Under the Plan</w:t>
              </w:r>
            </w:hyperlink>
          </w:p>
        </w:tc>
        <w:tc>
          <w:tcPr>
            <w:tcW w:w="7020" w:type="dxa"/>
            <w:vAlign w:val="bottom"/>
            <w:gridSpan w:val="2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Adjustments in General; Certain Change in Control Provisions</w:t>
              </w:r>
            </w:hyperlink>
          </w:p>
        </w:tc>
        <w:tc>
          <w:tcPr>
            <w:tcW w:w="3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ind w:left="40"/>
              <w:spacing w:after="0"/>
              <w:rPr>
                <w:sz w:val="20"/>
                <w:szCs w:val="20"/>
                <w:color w:val="auto"/>
              </w:rPr>
            </w:pPr>
            <w:r>
              <w:rPr>
                <w:rFonts w:ascii="Arial" w:cs="Arial" w:eastAsia="Arial" w:hAnsi="Arial"/>
                <w:sz w:val="18"/>
                <w:szCs w:val="18"/>
                <w:color w:val="auto"/>
              </w:rPr>
              <w:t>iii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20" w:type="dxa"/>
            <w:vAlign w:val="bottom"/>
            <w:gridSpan w:val="33"/>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Tax Withholding</w:t>
              </w:r>
            </w:hyperlink>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20" w:type="dxa"/>
            <w:vAlign w:val="bottom"/>
            <w:gridSpan w:val="33"/>
            <w:vMerge w:val="continue"/>
          </w:tcPr>
          <w:p>
            <w:pPr>
              <w:spacing w:after="0"/>
              <w:rPr>
                <w:sz w:val="14"/>
                <w:szCs w:val="14"/>
                <w:color w:val="auto"/>
              </w:rPr>
            </w:pPr>
          </w:p>
        </w:tc>
        <w:tc>
          <w:tcPr>
            <w:tcW w:w="34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Amendment and Termination</w:t>
              </w:r>
            </w:hyperlink>
          </w:p>
        </w:tc>
        <w:tc>
          <w:tcPr>
            <w:tcW w:w="34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4"/>
              </w:rPr>
            </w:pPr>
            <w:hyperlink w:anchor="page24">
              <w:r>
                <w:rPr>
                  <w:rFonts w:ascii="Arial" w:cs="Arial" w:eastAsia="Arial" w:hAnsi="Arial"/>
                  <w:sz w:val="18"/>
                  <w:szCs w:val="18"/>
                  <w:color w:val="0000EE"/>
                  <w:w w:val="84"/>
                </w:rPr>
                <w:t>Repricing</w:t>
              </w:r>
            </w:hyperlink>
          </w:p>
        </w:tc>
        <w:tc>
          <w:tcPr>
            <w:tcW w:w="1360" w:type="dxa"/>
            <w:vAlign w:val="bottom"/>
            <w:tcBorders>
              <w:top w:val="single" w:sz="8" w:color="0000EE"/>
            </w:tcBorders>
            <w:gridSpan w:val="10"/>
          </w:tcPr>
          <w:p>
            <w:pPr>
              <w:spacing w:after="0"/>
              <w:rPr>
                <w:sz w:val="24"/>
                <w:szCs w:val="24"/>
                <w:color w:val="auto"/>
              </w:rPr>
            </w:pPr>
          </w:p>
        </w:tc>
        <w:tc>
          <w:tcPr>
            <w:tcW w:w="6600" w:type="dxa"/>
            <w:vAlign w:val="bottom"/>
            <w:gridSpan w:val="2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Material U.S. Federal Income Tax Consequences</w:t>
              </w:r>
            </w:hyperlink>
          </w:p>
        </w:tc>
        <w:tc>
          <w:tcPr>
            <w:tcW w:w="34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Borders>
              <w:top w:val="single" w:sz="8" w:color="0000EE"/>
            </w:tcBorders>
            <w:gridSpan w:val="2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New Plan Benefits</w:t>
              </w:r>
            </w:hyperlink>
          </w:p>
        </w:tc>
        <w:tc>
          <w:tcPr>
            <w:tcW w:w="522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0" w:type="dxa"/>
            <w:vAlign w:val="bottom"/>
            <w:tcBorders>
              <w:bottom w:val="single" w:sz="8" w:color="0000EE"/>
            </w:tcBorders>
            <w:gridSpan w:val="33"/>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PROPOSAL 3: RATIFICATION OF APPOINTMENT OF INDEPENDENT REGISTERED PUBLIC ACCOUNTING</w:t>
              </w:r>
            </w:hyperlink>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FIRM</w:t>
              </w:r>
            </w:hyperlink>
          </w:p>
        </w:tc>
        <w:tc>
          <w:tcPr>
            <w:tcW w:w="8180" w:type="dxa"/>
            <w:vAlign w:val="bottom"/>
            <w:gridSpan w:val="3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Fee Disclosure</w:t>
              </w:r>
            </w:hyperlink>
          </w:p>
        </w:tc>
        <w:tc>
          <w:tcPr>
            <w:tcW w:w="7600" w:type="dxa"/>
            <w:vAlign w:val="bottom"/>
            <w:gridSpan w:val="2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Pre-Approval Policies and Procedures of our Audit Committee</w:t>
              </w:r>
            </w:hyperlink>
          </w:p>
        </w:tc>
        <w:tc>
          <w:tcPr>
            <w:tcW w:w="42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AUDIT COMMITTEE REPORT</w:t>
              </w:r>
            </w:hyperlink>
          </w:p>
        </w:tc>
        <w:tc>
          <w:tcPr>
            <w:tcW w:w="340" w:type="dxa"/>
            <w:vAlign w:val="bottom"/>
            <w:gridSpan w:val="2"/>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CORPORATE GOVERNANCE MATTERS</w:t>
              </w:r>
            </w:hyperlink>
          </w:p>
        </w:tc>
        <w:tc>
          <w:tcPr>
            <w:tcW w:w="566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Corporate Governance Guidelines</w:t>
              </w:r>
            </w:hyperlink>
          </w:p>
        </w:tc>
        <w:tc>
          <w:tcPr>
            <w:tcW w:w="340" w:type="dxa"/>
            <w:vAlign w:val="bottom"/>
            <w:gridSpan w:val="2"/>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top w:val="single" w:sz="8" w:color="0000EE"/>
            </w:tcBorders>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Director Independence</w:t>
              </w:r>
            </w:hyperlink>
          </w:p>
        </w:tc>
        <w:tc>
          <w:tcPr>
            <w:tcW w:w="626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Code of Ethics</w:t>
              </w:r>
            </w:hyperlink>
          </w:p>
        </w:tc>
        <w:tc>
          <w:tcPr>
            <w:tcW w:w="7060" w:type="dxa"/>
            <w:vAlign w:val="bottom"/>
            <w:gridSpan w:val="2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Audit Committee Financial Expert</w:t>
              </w:r>
            </w:hyperlink>
          </w:p>
        </w:tc>
        <w:tc>
          <w:tcPr>
            <w:tcW w:w="622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Communications with the Board</w:t>
              </w:r>
            </w:hyperlink>
          </w:p>
        </w:tc>
        <w:tc>
          <w:tcPr>
            <w:tcW w:w="6360" w:type="dxa"/>
            <w:vAlign w:val="bottom"/>
            <w:gridSpan w:val="1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Whistleblowing and Whistleblower Protection Policy</w:t>
              </w:r>
            </w:hyperlink>
          </w:p>
        </w:tc>
        <w:tc>
          <w:tcPr>
            <w:tcW w:w="490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Director Attendance at Annual Meetings</w:t>
              </w:r>
            </w:hyperlink>
          </w:p>
        </w:tc>
        <w:tc>
          <w:tcPr>
            <w:tcW w:w="578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Identification of Director Candidates</w:t>
              </w:r>
            </w:hyperlink>
          </w:p>
        </w:tc>
        <w:tc>
          <w:tcPr>
            <w:tcW w:w="606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Sessions of Non-Management Directors</w:t>
              </w:r>
            </w:hyperlink>
          </w:p>
        </w:tc>
        <w:tc>
          <w:tcPr>
            <w:tcW w:w="340" w:type="dxa"/>
            <w:vAlign w:val="bottom"/>
            <w:gridSpan w:val="2"/>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Disclosure Committee</w:t>
              </w:r>
            </w:hyperlink>
          </w:p>
        </w:tc>
        <w:tc>
          <w:tcPr>
            <w:tcW w:w="1980" w:type="dxa"/>
            <w:vAlign w:val="bottom"/>
            <w:tcBorders>
              <w:top w:val="single" w:sz="8" w:color="0000EE"/>
            </w:tcBorders>
            <w:gridSpan w:val="20"/>
          </w:tcPr>
          <w:p>
            <w:pPr>
              <w:spacing w:after="0"/>
              <w:rPr>
                <w:sz w:val="24"/>
                <w:szCs w:val="24"/>
                <w:color w:val="auto"/>
              </w:rPr>
            </w:pPr>
          </w:p>
        </w:tc>
        <w:tc>
          <w:tcPr>
            <w:tcW w:w="51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Policy on Majority Voting</w:t>
              </w:r>
            </w:hyperlink>
          </w:p>
        </w:tc>
        <w:tc>
          <w:tcPr>
            <w:tcW w:w="6820" w:type="dxa"/>
            <w:vAlign w:val="bottom"/>
            <w:gridSpan w:val="2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Board Leadership Structure</w:t>
              </w:r>
            </w:hyperlink>
          </w:p>
        </w:tc>
        <w:tc>
          <w:tcPr>
            <w:tcW w:w="340" w:type="dxa"/>
            <w:vAlign w:val="bottom"/>
            <w:gridSpan w:val="2"/>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top w:val="single" w:sz="8" w:color="0000EE"/>
            </w:tcBorders>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Oversight</w:t>
              </w:r>
            </w:hyperlink>
          </w:p>
        </w:tc>
        <w:tc>
          <w:tcPr>
            <w:tcW w:w="6720" w:type="dxa"/>
            <w:vAlign w:val="bottom"/>
            <w:gridSpan w:val="2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4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EXECUTIVE COMPENSATION</w:t>
              </w:r>
            </w:hyperlink>
          </w:p>
        </w:tc>
        <w:tc>
          <w:tcPr>
            <w:tcW w:w="6400" w:type="dxa"/>
            <w:vAlign w:val="bottom"/>
            <w:gridSpan w:val="1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Compensation Discussion and Analysis</w:t>
              </w:r>
            </w:hyperlink>
          </w:p>
        </w:tc>
        <w:tc>
          <w:tcPr>
            <w:tcW w:w="34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Borders>
              <w:top w:val="single" w:sz="8" w:color="0000EE"/>
            </w:tcBorders>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Compensation Committee Report</w:t>
              </w:r>
            </w:hyperlink>
          </w:p>
        </w:tc>
        <w:tc>
          <w:tcPr>
            <w:tcW w:w="58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Summary Compensation Table</w:t>
              </w:r>
            </w:hyperlink>
          </w:p>
        </w:tc>
        <w:tc>
          <w:tcPr>
            <w:tcW w:w="160" w:type="dxa"/>
            <w:vAlign w:val="bottom"/>
            <w:tcBorders>
              <w:top w:val="single" w:sz="8" w:color="0000EE"/>
            </w:tcBorders>
            <w:gridSpan w:val="4"/>
          </w:tcPr>
          <w:p>
            <w:pPr>
              <w:spacing w:after="0"/>
              <w:rPr>
                <w:sz w:val="24"/>
                <w:szCs w:val="24"/>
                <w:color w:val="auto"/>
              </w:rPr>
            </w:pPr>
          </w:p>
        </w:tc>
        <w:tc>
          <w:tcPr>
            <w:tcW w:w="6300" w:type="dxa"/>
            <w:vAlign w:val="bottom"/>
            <w:gridSpan w:val="1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bottom w:val="single" w:sz="8" w:color="0000EE"/>
            </w:tcBorders>
            <w:gridSpan w:val="20"/>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2009 Grants of Plan-Based Awards</w:t>
              </w:r>
            </w:hyperlink>
          </w:p>
        </w:tc>
        <w:tc>
          <w:tcPr>
            <w:tcW w:w="618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Outstanding Equity Awards at Fiscal Year-End 2009</w:t>
              </w:r>
            </w:hyperlink>
          </w:p>
        </w:tc>
        <w:tc>
          <w:tcPr>
            <w:tcW w:w="34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2009 Option Exercises and Stock Vested</w:t>
              </w:r>
            </w:hyperlink>
          </w:p>
        </w:tc>
        <w:tc>
          <w:tcPr>
            <w:tcW w:w="820" w:type="dxa"/>
            <w:vAlign w:val="bottom"/>
            <w:tcBorders>
              <w:top w:val="single" w:sz="8" w:color="0000EE"/>
            </w:tcBorders>
            <w:gridSpan w:val="6"/>
          </w:tcPr>
          <w:p>
            <w:pPr>
              <w:spacing w:after="0"/>
              <w:rPr>
                <w:sz w:val="24"/>
                <w:szCs w:val="24"/>
                <w:color w:val="auto"/>
              </w:rPr>
            </w:pPr>
          </w:p>
        </w:tc>
        <w:tc>
          <w:tcPr>
            <w:tcW w:w="49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SL Green Realty Corp. 2010 Notional Unit Plan</w:t>
              </w:r>
            </w:hyperlink>
          </w:p>
        </w:tc>
        <w:tc>
          <w:tcPr>
            <w:tcW w:w="340" w:type="dxa"/>
            <w:vAlign w:val="bottom"/>
            <w:gridSpan w:val="2"/>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6"/>
              </w:rPr>
            </w:pPr>
            <w:hyperlink w:anchor="page56">
              <w:r>
                <w:rPr>
                  <w:rFonts w:ascii="Arial" w:cs="Arial" w:eastAsia="Arial" w:hAnsi="Arial"/>
                  <w:sz w:val="18"/>
                  <w:szCs w:val="18"/>
                  <w:color w:val="0000EE"/>
                  <w:w w:val="86"/>
                </w:rPr>
                <w:t>Equity Compensation Plan Table</w:t>
              </w:r>
            </w:hyperlink>
          </w:p>
        </w:tc>
        <w:tc>
          <w:tcPr>
            <w:tcW w:w="1060" w:type="dxa"/>
            <w:vAlign w:val="bottom"/>
            <w:tcBorders>
              <w:top w:val="single" w:sz="8" w:color="0000EE"/>
            </w:tcBorders>
            <w:gridSpan w:val="10"/>
          </w:tcPr>
          <w:p>
            <w:pPr>
              <w:spacing w:after="0"/>
              <w:rPr>
                <w:sz w:val="24"/>
                <w:szCs w:val="24"/>
                <w:color w:val="auto"/>
              </w:rPr>
            </w:pPr>
          </w:p>
        </w:tc>
        <w:tc>
          <w:tcPr>
            <w:tcW w:w="52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3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Retirement Benefits</w:t>
              </w:r>
            </w:hyperlink>
          </w:p>
        </w:tc>
        <w:tc>
          <w:tcPr>
            <w:tcW w:w="340" w:type="dxa"/>
            <w:vAlign w:val="bottom"/>
            <w:gridSpan w:val="2"/>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3"/>
          </w:tcPr>
          <w:p>
            <w:pPr>
              <w:ind w:left="600"/>
              <w:spacing w:after="0"/>
              <w:rPr>
                <w:sz w:val="20"/>
                <w:szCs w:val="20"/>
                <w:color w:val="auto"/>
              </w:rPr>
            </w:pPr>
            <w:r>
              <w:rPr>
                <w:rFonts w:ascii="Arial" w:cs="Arial" w:eastAsia="Arial" w:hAnsi="Arial"/>
                <w:sz w:val="18"/>
                <w:szCs w:val="18"/>
                <w:color w:val="auto"/>
              </w:rPr>
              <w:t>iv</w:t>
            </w: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546"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gridSpan w:val="18"/>
            <w:vMerge w:val="restart"/>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Potential Payments Upon Termination or Change-in-Control</w:t>
              </w:r>
            </w:hyperlink>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gridSpan w:val="18"/>
            <w:vMerge w:val="continue"/>
          </w:tcPr>
          <w:p>
            <w:pPr>
              <w:spacing w:after="0"/>
              <w:rPr>
                <w:sz w:val="14"/>
                <w:szCs w:val="14"/>
                <w:color w:val="auto"/>
              </w:rPr>
            </w:pPr>
          </w:p>
        </w:tc>
        <w:tc>
          <w:tcPr>
            <w:tcW w:w="360" w:type="dxa"/>
            <w:vAlign w:val="bottom"/>
            <w:tcBorders>
              <w:top w:val="single" w:sz="8" w:color="auto"/>
            </w:tcBorders>
            <w:gridSpan w:val="5"/>
          </w:tcPr>
          <w:p>
            <w:pPr>
              <w:jc w:val="right"/>
              <w:ind w:right="20"/>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Compensation Committee Interlocks and Insider Participation</w:t>
              </w:r>
            </w:hyperlink>
          </w:p>
        </w:tc>
        <w:tc>
          <w:tcPr>
            <w:tcW w:w="4300" w:type="dxa"/>
            <w:vAlign w:val="bottom"/>
            <w:gridSpan w:val="5"/>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72">
              <w:r>
                <w:rPr>
                  <w:rFonts w:ascii="Arial" w:cs="Arial" w:eastAsia="Arial" w:hAnsi="Arial"/>
                  <w:sz w:val="18"/>
                  <w:szCs w:val="18"/>
                  <w:color w:val="0000EE"/>
                  <w:w w:val="94"/>
                </w:rPr>
                <w:t>SECURITY OWNERSHIP OF CERTAIN BENEFICIAL OWNERS AND MANAGEMENT</w:t>
              </w:r>
            </w:hyperlink>
          </w:p>
        </w:tc>
        <w:tc>
          <w:tcPr>
            <w:tcW w:w="2220" w:type="dxa"/>
            <w:vAlign w:val="bottom"/>
            <w:gridSpan w:val="2"/>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Section 16(a) Beneficial Ownership Reporting Compliance</w:t>
              </w:r>
            </w:hyperlink>
          </w:p>
        </w:tc>
        <w:tc>
          <w:tcPr>
            <w:tcW w:w="360" w:type="dxa"/>
            <w:vAlign w:val="bottom"/>
            <w:gridSpan w:val="5"/>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67</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LEGAL PROCEEDINGS</w:t>
              </w:r>
            </w:hyperlink>
          </w:p>
        </w:tc>
        <w:tc>
          <w:tcPr>
            <w:tcW w:w="6960" w:type="dxa"/>
            <w:vAlign w:val="bottom"/>
            <w:gridSpan w:val="12"/>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67</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34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CERTAIN RELATIONSHIPS AND RELATED PARTY TRANSACTIONS</w:t>
              </w:r>
            </w:hyperlink>
          </w:p>
        </w:tc>
        <w:tc>
          <w:tcPr>
            <w:tcW w:w="3460" w:type="dxa"/>
            <w:vAlign w:val="bottom"/>
            <w:gridSpan w:val="3"/>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Policies and Procedures With Respect to Related Party Transactions</w:t>
              </w:r>
            </w:hyperlink>
          </w:p>
        </w:tc>
        <w:tc>
          <w:tcPr>
            <w:tcW w:w="3880" w:type="dxa"/>
            <w:vAlign w:val="bottom"/>
            <w:gridSpan w:val="4"/>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Cleaning/Security/Messenger and Restoration Services</w:t>
              </w:r>
            </w:hyperlink>
          </w:p>
        </w:tc>
        <w:tc>
          <w:tcPr>
            <w:tcW w:w="4780" w:type="dxa"/>
            <w:vAlign w:val="bottom"/>
            <w:gridSpan w:val="9"/>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1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Management Fees</w:t>
              </w:r>
            </w:hyperlink>
          </w:p>
        </w:tc>
        <w:tc>
          <w:tcPr>
            <w:tcW w:w="360" w:type="dxa"/>
            <w:vAlign w:val="bottom"/>
            <w:gridSpan w:val="5"/>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68</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Brokerage Services</w:t>
              </w:r>
            </w:hyperlink>
          </w:p>
        </w:tc>
        <w:tc>
          <w:tcPr>
            <w:tcW w:w="7280" w:type="dxa"/>
            <w:vAlign w:val="bottom"/>
            <w:gridSpan w:val="14"/>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Gramercy Capital Corp.</w:t>
              </w:r>
            </w:hyperlink>
          </w:p>
        </w:tc>
        <w:tc>
          <w:tcPr>
            <w:tcW w:w="6920" w:type="dxa"/>
            <w:vAlign w:val="bottom"/>
            <w:gridSpan w:val="11"/>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OTHER MATTERS</w:t>
              </w:r>
            </w:hyperlink>
          </w:p>
        </w:tc>
        <w:tc>
          <w:tcPr>
            <w:tcW w:w="7360" w:type="dxa"/>
            <w:vAlign w:val="bottom"/>
            <w:gridSpan w:val="15"/>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Solicitation of Proxies</w:t>
              </w:r>
            </w:hyperlink>
          </w:p>
        </w:tc>
        <w:tc>
          <w:tcPr>
            <w:tcW w:w="7080" w:type="dxa"/>
            <w:vAlign w:val="bottom"/>
            <w:gridSpan w:val="13"/>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8">
              <w:r>
                <w:rPr>
                  <w:rFonts w:ascii="Arial" w:cs="Arial" w:eastAsia="Arial" w:hAnsi="Arial"/>
                  <w:sz w:val="18"/>
                  <w:szCs w:val="18"/>
                  <w:color w:val="0000EE"/>
                  <w:w w:val="86"/>
                </w:rPr>
                <w:t>Stockholder Proposals</w:t>
              </w:r>
            </w:hyperlink>
          </w:p>
        </w:tc>
        <w:tc>
          <w:tcPr>
            <w:tcW w:w="7080" w:type="dxa"/>
            <w:vAlign w:val="bottom"/>
            <w:gridSpan w:val="13"/>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1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Householding of Proxy Materials</w:t>
              </w:r>
            </w:hyperlink>
          </w:p>
        </w:tc>
        <w:tc>
          <w:tcPr>
            <w:tcW w:w="360" w:type="dxa"/>
            <w:vAlign w:val="bottom"/>
            <w:gridSpan w:val="5"/>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top w:val="single" w:sz="8" w:color="0000EE"/>
            </w:tcBorders>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Matters</w:t>
              </w:r>
            </w:hyperlink>
          </w:p>
        </w:tc>
        <w:tc>
          <w:tcPr>
            <w:tcW w:w="6320" w:type="dxa"/>
            <w:vAlign w:val="bottom"/>
            <w:gridSpan w:val="10"/>
          </w:tcPr>
          <w:p>
            <w:pPr>
              <w:spacing w:after="0"/>
              <w:rPr>
                <w:sz w:val="24"/>
                <w:szCs w:val="24"/>
                <w:color w:val="auto"/>
              </w:rPr>
            </w:pPr>
          </w:p>
        </w:tc>
        <w:tc>
          <w:tcPr>
            <w:tcW w:w="160" w:type="dxa"/>
            <w:vAlign w:val="bottom"/>
            <w:gridSpan w:val="3"/>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74</w:t>
              </w:r>
            </w:hyperlink>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340" w:type="dxa"/>
            <w:vAlign w:val="bottom"/>
            <w:gridSpan w:val="11"/>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APPENDIX A: SECOND AMENDED AND RESTATED 2005 STOCK OPTION AND INCENTIVE PLAN</w:t>
              </w:r>
            </w:hyperlink>
          </w:p>
        </w:tc>
        <w:tc>
          <w:tcPr>
            <w:tcW w:w="60" w:type="dxa"/>
            <w:vAlign w:val="bottom"/>
          </w:tcPr>
          <w:p>
            <w:pPr>
              <w:spacing w:after="0"/>
              <w:rPr>
                <w:sz w:val="24"/>
                <w:szCs w:val="24"/>
                <w:color w:val="auto"/>
              </w:rPr>
            </w:pPr>
          </w:p>
        </w:tc>
        <w:tc>
          <w:tcPr>
            <w:tcW w:w="1420" w:type="dxa"/>
            <w:vAlign w:val="bottom"/>
            <w:gridSpan w:val="5"/>
          </w:tcPr>
          <w:p>
            <w:pPr>
              <w:jc w:val="right"/>
              <w:ind w:right="1140"/>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A-1</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700" w:type="dxa"/>
            <w:vAlign w:val="bottom"/>
            <w:tcBorders>
              <w:top w:val="single" w:sz="8" w:color="0000EE"/>
            </w:tcBorders>
            <w:gridSpan w:val="1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APPENDIX B: DIRECTOR INDEPENDENCE STANDARDS</w:t>
              </w:r>
            </w:hyperlink>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B-1</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gridSpan w:val="5"/>
          </w:tcPr>
          <w:p>
            <w:pPr>
              <w:ind w:left="40"/>
              <w:spacing w:after="0"/>
              <w:rPr>
                <w:sz w:val="20"/>
                <w:szCs w:val="20"/>
                <w:color w:val="auto"/>
              </w:rPr>
            </w:pPr>
            <w:r>
              <w:rPr>
                <w:rFonts w:ascii="Arial" w:cs="Arial" w:eastAsia="Arial" w:hAnsi="Arial"/>
                <w:sz w:val="18"/>
                <w:szCs w:val="18"/>
                <w:color w:val="auto"/>
              </w:rPr>
              <w:t>v</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OUR 2010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15, 2010</w:t>
      </w:r>
    </w:p>
    <w:p>
      <w:pPr>
        <w:spacing w:after="0" w:line="219"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2010 annual meeting of stockholders to be held on Tuesday, June 15, 2010, at 11:00 a.m., local time, at The Roosevelt Hotel, The Broadway Suite, 45 East 45th Street at Madison Avenue, New York, New York, or at any postponement or adjournment of the annual meeting. 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on or about April 29, 2010.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Notice of Internet Availability of Proxy Materials that I received in the mail this year instead of a full set of proxy materials?</w:t>
      </w:r>
    </w:p>
    <w:p>
      <w:pPr>
        <w:spacing w:after="0" w:line="2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accordance with rules adopted by the Securities and Exchange Commission, or SEC, we may furnish proxy materials, including this proxy statement and the Company's 2009 annual report to stockholders, by providing access to these documents on the Internet instead of mailing a printed copy of our proxy materials to our stockholders. In accordance with such rules, most of our stockholders already have received a Notice of Internet Availability of Proxy Materials, or the Notice, which provides a website address with instructions for accessing our proxy materials, including this proxy statement, and for requesting printed copies of the proxy materials by mail or electronically by e-mail.</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would like to receive a paper or an e-mail copy of our proxy materials for the 2010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record of our common stock, $0.01 par value per share, at the close of business on April 5, 2010,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39" w:lineRule="exact"/>
        <w:rPr>
          <w:sz w:val="20"/>
          <w:szCs w:val="20"/>
          <w:color w:val="auto"/>
        </w:rPr>
      </w:pPr>
    </w:p>
    <w:p>
      <w:pPr>
        <w:ind w:left="1080" w:right="1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a Class I director to serve on our Board of Directors for a three-year term and until his successor is duly elected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approval of our Second Amended and Restated 2005 Stock Option and Incentive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2010.</w:t>
      </w:r>
    </w:p>
    <w:p>
      <w:pPr>
        <w:spacing w:after="0" w:line="186" w:lineRule="exact"/>
        <w:rPr>
          <w:sz w:val="20"/>
          <w:szCs w:val="20"/>
          <w:color w:val="auto"/>
        </w:rPr>
      </w:pPr>
    </w:p>
    <w:p>
      <w:pPr>
        <w:ind w:right="500" w:firstLine="345"/>
        <w:spacing w:after="0" w:line="268"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77,927,257 shares outstanding and entitled to vote at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plurality of all of the votes cast at the annual meeting at which a quorum is present is required for the election of directors. In furtherance of our corporate governance goals, on February 19, 2010, we adopted a Policy on Majority Voting. The policy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2"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 majority of all of the votes cast at the annual meeting at which a quorum is present is required for each of the approval of our Second Amended and Restated 2005 Stock Option and Incentive Plan and the ratification of the appointment of Ernst &amp; Young LLP as our independent registered public accounting firm for the fiscal year ending December 31, 2010.</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respect of Proposal 1 and Proposal 3, we will treat abstentions as shares that are present and entitled to vote for purposes of determining the presence or absence of a quorum. Abstentions in respect of such Proposals do not constitute a vote "for," "withheld" or "against" and will not be counted as "votes cast." Therefore, abstentions will have no effect on either Proposal 1 or Proposal 3. Broker non-votes with respect to Proposal 1 will be counted as present for quorum purposes, but will have no effect on Proposal 1. There will be no broker non-votes with respect to Proposal 3. Proposal 3 is a routine matter on which brokers are permitted to vote without instructions from the beneficial owner.</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Proposal 2, the proposal to approve the Second Amended and Restated 2005 Stock Option and Incentive Plan, is required to be approved by stockholders under the rules of the New York Stock Exchange. Two separate thresholds must be met for this proposal to be approved: (1) votes for the proposal must be at least a majority of all of the votes cast on the proposal (including votes for and against and abstentions); and (2) the total number of votes cast on the proposal (regardless of whether they are for or against or abstentions) must represent more than 50% of all of the shares entitled to vote on the proposal. For these purposes, abstentions in respect of Proposal 2 will be treated as votes cast and broker non-votes will not be treated as votes cast.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52" w:lineRule="exact"/>
        <w:rPr>
          <w:sz w:val="20"/>
          <w:szCs w:val="20"/>
          <w:color w:val="auto"/>
        </w:rPr>
      </w:pPr>
    </w:p>
    <w:p>
      <w:pPr>
        <w:ind w:left="5680" w:right="5000" w:hanging="5132"/>
        <w:spacing w:after="0" w:line="613" w:lineRule="auto"/>
        <w:tabs>
          <w:tab w:leader="none" w:pos="1098"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a written notice revoking the proxy with our Secretary at our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in person and voting by ballot at the annual meeting.</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61"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The Bank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Mellon Corporation,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9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i w:val="1"/>
          <w:iCs w:val="1"/>
          <w:color w:val="auto"/>
        </w:rPr>
        <w:t>Voting by Proxy.</w:t>
      </w:r>
      <w:r>
        <w:rPr>
          <w:sz w:val="20"/>
          <w:szCs w:val="20"/>
          <w:color w:val="auto"/>
        </w:rPr>
        <w:tab/>
      </w:r>
      <w:r>
        <w:rPr>
          <w:rFonts w:ascii="Arial" w:cs="Arial" w:eastAsia="Arial" w:hAnsi="Arial"/>
          <w:sz w:val="15"/>
          <w:szCs w:val="15"/>
          <w:color w:val="auto"/>
        </w:rPr>
        <w:t>You should submit your proxy or voting instructions as soon as possible.</w:t>
      </w:r>
    </w:p>
    <w:p>
      <w:pPr>
        <w:spacing w:after="0" w:line="219"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If you received a paper copy of this Proxy Statement. </w:t>
      </w:r>
      <w:r>
        <w:rPr>
          <w:rFonts w:ascii="Arial" w:cs="Arial" w:eastAsia="Arial" w:hAnsi="Arial"/>
          <w:sz w:val="16"/>
          <w:szCs w:val="16"/>
          <w:color w:val="auto"/>
        </w:rPr>
        <w:t>You can vote by valid proxy received by telephone, electronically via the Internet or by mail. The</w:t>
      </w:r>
      <w:r>
        <w:rPr>
          <w:rFonts w:ascii="Arial" w:cs="Arial" w:eastAsia="Arial" w:hAnsi="Arial"/>
          <w:sz w:val="16"/>
          <w:szCs w:val="16"/>
          <w:b w:val="1"/>
          <w:bCs w:val="1"/>
          <w:color w:val="auto"/>
        </w:rPr>
        <w:t xml:space="preserve"> </w:t>
      </w:r>
      <w:r>
        <w:rPr>
          <w:rFonts w:ascii="Arial" w:cs="Arial" w:eastAsia="Arial" w:hAnsi="Arial"/>
          <w:sz w:val="16"/>
          <w:szCs w:val="16"/>
          <w:color w:val="auto"/>
        </w:rPr>
        <w:t>deadline for voting by telephone or electronically via the Internet is 11:59 p.m., Eastern Daylight Time, on June 14, 2010. If voting by mail, you must:</w:t>
      </w:r>
    </w:p>
    <w:p>
      <w:pPr>
        <w:spacing w:after="0" w:line="14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promptly mail the proxy in the enclosed envelope;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annual meeting.</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80"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 xml:space="preserve">If you received a Notice of Internet Availability of Proxy Statement. </w:t>
      </w:r>
      <w:r>
        <w:rPr>
          <w:rFonts w:ascii="Arial" w:cs="Arial" w:eastAsia="Arial" w:hAnsi="Arial"/>
          <w:sz w:val="16"/>
          <w:szCs w:val="16"/>
          <w:color w:val="auto"/>
        </w:rPr>
        <w:t>Please submit your proxy electronically via the Internet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Notice. The deadline for voting electronically via the Internet is 11:59 p.m., Eastern Daylight Time, on June 14, 2010.</w:t>
      </w:r>
    </w:p>
    <w:p>
      <w:pPr>
        <w:spacing w:after="0" w:line="128"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If you received an e-mail copy of this Proxy Statement. </w:t>
      </w:r>
      <w:r>
        <w:rPr>
          <w:rFonts w:ascii="Arial" w:cs="Arial" w:eastAsia="Arial" w:hAnsi="Arial"/>
          <w:sz w:val="16"/>
          <w:szCs w:val="16"/>
          <w:color w:val="auto"/>
        </w:rPr>
        <w:t>Please submit your proxy electronically via the Internet or telephonically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on the Proxy Card. The deadline for voting electronically via the Internet or telephonically is 11:59 p.m., Eastern Daylight Time, on June 14, 2010.</w:t>
      </w:r>
    </w:p>
    <w:p>
      <w:pPr>
        <w:spacing w:after="0" w:line="134"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Even if you plan to attend the annual meeting, we recommend that you submit a proxy to vote your shares in advance so that your vote will be counted if you later are unable to attend the annual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 for the Class I director named in this proxy statement, "for" approval of the Second Amended and Restated 2005 Stock Option and Incentive Plan and "for" ratification of the appointment of Ernst &amp; Young LLP as our independent registered public accounting firm for the fiscal year ending December 31, 2010. It is not anticipated that any matters other than those set forth in this proxy statement will be presented at the annual meeting. If other matters are presented, proxies will be voted in accordance with the discretion of the proxy holders. In addition, since no stockholder proposals or nominations were received on a timely basis, no such matters will be brought to a vote at the annual meeting.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recommends that you vote:</w:t>
      </w:r>
    </w:p>
    <w:p>
      <w:pPr>
        <w:spacing w:after="0" w:line="233" w:lineRule="exact"/>
        <w:rPr>
          <w:sz w:val="20"/>
          <w:szCs w:val="20"/>
          <w:color w:val="auto"/>
        </w:rPr>
      </w:pPr>
    </w:p>
    <w:p>
      <w:pPr>
        <w:ind w:left="1080" w:hanging="532"/>
        <w:spacing w:after="0" w:line="27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Edwin Thomas Burton, III to serve on our Board for a three-year term, and until his successor is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qualifies, as its Class I director;</w:t>
      </w:r>
    </w:p>
    <w:p>
      <w:pPr>
        <w:spacing w:after="0" w:line="20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our Second Amended and Restated 2005 Stock Option and Incentive Plan and</w:t>
      </w:r>
    </w:p>
    <w:p>
      <w:pPr>
        <w:spacing w:after="0" w:line="238" w:lineRule="exact"/>
        <w:rPr>
          <w:rFonts w:ascii="Arial" w:cs="Arial" w:eastAsia="Arial" w:hAnsi="Arial"/>
          <w:sz w:val="18"/>
          <w:szCs w:val="18"/>
          <w:color w:val="auto"/>
        </w:rPr>
      </w:pPr>
    </w:p>
    <w:p>
      <w:pPr>
        <w:ind w:left="1080" w:right="260" w:hanging="532"/>
        <w:spacing w:after="0" w:line="27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b w:val="1"/>
          <w:bCs w:val="1"/>
          <w:color w:val="auto"/>
        </w:rPr>
        <w:t xml:space="preserve">: </w:t>
      </w:r>
      <w:r>
        <w:rPr>
          <w:rFonts w:ascii="Arial" w:cs="Arial" w:eastAsia="Arial" w:hAnsi="Arial"/>
          <w:sz w:val="18"/>
          <w:szCs w:val="18"/>
          <w:color w:val="auto"/>
        </w:rPr>
        <w:t>the ratification of the appointment of Ernst &amp; Young LLP as our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on December 31, 2010.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Our 2009 annual report, including financial statements for the fiscal year ended December 31, 2009, is being made available to you along with this proxy statement. You may obtain, free of charge, copies of our 2009 annual report and our Annual Report on Form 10-K for the fiscal year ended December 31, 2009, which contains additional information about the Company,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or by directing your request in writing to SL Green Realty Corp., 420 Lexington Avenue, New York, New York 10170-1881, Attention: Investor Relations. The 2009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25" w:lineRule="exact"/>
        <w:rPr>
          <w:sz w:val="20"/>
          <w:szCs w:val="20"/>
          <w:color w:val="auto"/>
        </w:rPr>
      </w:pPr>
    </w:p>
    <w:p>
      <w:pPr>
        <w:ind w:firstLine="348"/>
        <w:spacing w:after="0" w:line="262" w:lineRule="auto"/>
        <w:rPr>
          <w:sz w:val="20"/>
          <w:szCs w:val="20"/>
          <w:color w:val="auto"/>
        </w:rPr>
      </w:pPr>
      <w:r>
        <w:rPr>
          <w:rFonts w:ascii="Arial" w:cs="Arial" w:eastAsia="Arial" w:hAnsi="Arial"/>
          <w:sz w:val="18"/>
          <w:szCs w:val="18"/>
          <w:b w:val="1"/>
          <w:bCs w:val="1"/>
          <w:color w:val="auto"/>
        </w:rPr>
        <w:t xml:space="preserve">This solicitation of proxies is made by and on behalf of the Board. </w:t>
      </w:r>
      <w:r>
        <w:rPr>
          <w:rFonts w:ascii="Arial" w:cs="Arial" w:eastAsia="Arial" w:hAnsi="Arial"/>
          <w:sz w:val="18"/>
          <w:szCs w:val="18"/>
          <w:color w:val="auto"/>
        </w:rPr>
        <w:t>We will pay the cost of the solicitation of proxies. We have retained MacKenzie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Inc. at an aggregate estimated cost of $7,500, plus out-of-pocket expenses, to assist in the solicitation of proxies. In addition to the solicitation of proxies by mail, our directors, officers and employees may solicit proxies personally or by telephone.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how I receive proxy materials in the future?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Notice of Internet Availability to sendmaterial@proxyvote.com, via the internet at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or by telephone at (800) 579-7639. Your election will remain in effect until you change it.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received more than one Notice of Internet Availability of Proxy Materials?</w:t>
      </w:r>
    </w:p>
    <w:p>
      <w:pPr>
        <w:spacing w:after="0" w:line="231"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91"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Board of the Company currently consists of five members and is divided into three classes. Directors in each class serve for a term of three years or until their successors are duly elected and qualify. The term of directors of one class expires at each annual meeting of stockholders.</w:t>
      </w:r>
    </w:p>
    <w:p>
      <w:pPr>
        <w:spacing w:after="0" w:line="139"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At the annual meeting, one director will be elected to serve until the 2013 annual meeting or until his successor is duly elected and qualifies. The Board, upon the recommendation of the Nominating and Corporate Governance Committee, has nominated Edwin Thomas Burton, III for election to serve as its Class I director. Mr. Burton currently is serving as a Class I director. Mr. Burton has consented to being named in this proxy statement and to serve as a director if elected. However, if Mr. Burton is unable to accept election, proxies voted in favor of Mr. Burton will be voted for the election of such other person as the Board nominates.</w:t>
      </w:r>
    </w:p>
    <w:p>
      <w:pPr>
        <w:spacing w:after="0" w:line="197"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plurality of all of the votes cast at the annual meeting at which a quorum is present in person or by proxy is required for the election of directors. In furtherance of our corporate governance goals, on February 19, 2010, we adopted a Policy on Majority Voting. The policy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will treat abstentions and broker non-votes as shares that are present and entitled to vote for purposes of determining the presence or absence of a quorum. Abstentions and broker non-votes do not constitute a vote "for," "against" or "withheld" and will not be counted as "votes cast". Therefore, abstentions and broker non-votes will have no effect on this proposal, assuming a quorum is present.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unanimously recommends a vote "FOR" the election of Mr. Burton.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 and the Continuing Directors</w:t>
      </w:r>
    </w:p>
    <w:p>
      <w:pPr>
        <w:spacing w:after="0" w:line="231"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 for election as a Class I director at the 2010 annual meeting and the continuing Class II and Class III directors whose terms expire at the annual meetings of stockholders in 2011 and 2012, respectively, based upon information furnished by each director.</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 Nominee (term will expire in 2013)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Edwin Thomas Burton, III</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 Continuing Directors (terms will expire in 2011)</w:t>
            </w: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Marc Holliday</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Class III Continuing Directors (terms will expire in 2012)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 Alschuler, Jr.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Stephen L. Green</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Nominee—Term Will Expire in 2013</w:t>
      </w:r>
    </w:p>
    <w:p>
      <w:pPr>
        <w:spacing w:after="0" w:line="225" w:lineRule="exact"/>
        <w:rPr>
          <w:sz w:val="20"/>
          <w:szCs w:val="20"/>
          <w:color w:val="auto"/>
        </w:rPr>
      </w:pPr>
    </w:p>
    <w:p>
      <w:pPr>
        <w:ind w:right="700" w:firstLine="351"/>
        <w:spacing w:after="0" w:line="275" w:lineRule="auto"/>
        <w:rPr>
          <w:sz w:val="20"/>
          <w:szCs w:val="20"/>
          <w:color w:val="auto"/>
        </w:rPr>
      </w:pPr>
      <w:r>
        <w:rPr>
          <w:rFonts w:ascii="Arial" w:cs="Arial" w:eastAsia="Arial" w:hAnsi="Arial"/>
          <w:sz w:val="18"/>
          <w:szCs w:val="18"/>
          <w:b w:val="1"/>
          <w:bCs w:val="1"/>
          <w:color w:val="auto"/>
        </w:rPr>
        <w:t xml:space="preserve">Edwin Thomas Burton, III </w:t>
      </w:r>
      <w:r>
        <w:rPr>
          <w:rFonts w:ascii="Arial" w:cs="Arial" w:eastAsia="Arial" w:hAnsi="Arial"/>
          <w:sz w:val="18"/>
          <w:szCs w:val="18"/>
          <w:color w:val="auto"/>
        </w:rPr>
        <w:t>has served as one of our directors since 1997 and serves as Chairman of our Audit Committee and as a member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Governance Committees. Mr. Burton is a Professor of Economics at the University of Virginia, and has held teaching positions at York College, Rice University and Cornell University, and has written and lectured extensively in the field of Economics. Mr. Burton also serves as a member of the Board of Trustees of the Virginia Retirement System for state and local employees of the Commonwealth of Virginia,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 Mr. Burton has been designated by the Board as an Audit Committee Financial Expert. Mr. Burton is 67 years old.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Continuing Directors—Terms Will Expire in 2011</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and as one of our directors since December 2001. He also serves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Executive Committee. Mr. Holliday stepped down as our President in April 2007, when Andrew Mathias, our current President, was promoted to that position. Mr. Holliday joined the Company as Chief Investment Officer in July 1998. Mr. Holliday also serves as a director of Gramercy Capital Corp., or Gramercy, and has served in such capacity since 2004. Mr. Holliday notified the Board of Directors of Gramercy that he would not stand for election as a director for a new term. However, Mr. Holiday has agreed with the Board of Directors of Gramercy that he would remain as a director for a unspecified period of time following Gramercy's 2010 annual meeting to allow Gramercy to search for and appoint a replacement director. In October 2008, Mr. Holliday stepped down from his positions of President and Chief Executive Officer of Gramercy, positions he had held since August 2004. Prior to joining the Company, Mr. Holliday was Managing Director and Head of Direct Originations for New York-based Capital Trust,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Trust's predecessor, Victor Capital Group, a private real estate investment bank specializing in advisory services, investment management and debt and equity placements. Mr. Holliday received a B.S. degree in Business and Finance from Lehigh University in 1988 and an M.S.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 Mr. Holliday is 43 years old.</w:t>
      </w:r>
    </w:p>
    <w:p>
      <w:pPr>
        <w:spacing w:after="0" w:line="169" w:lineRule="exact"/>
        <w:rPr>
          <w:sz w:val="20"/>
          <w:szCs w:val="20"/>
          <w:color w:val="auto"/>
        </w:rPr>
      </w:pPr>
    </w:p>
    <w:p>
      <w:pPr>
        <w:ind w:right="300" w:firstLine="351"/>
        <w:spacing w:after="0" w:line="258" w:lineRule="auto"/>
        <w:rPr>
          <w:sz w:val="20"/>
          <w:szCs w:val="20"/>
          <w:color w:val="auto"/>
        </w:rPr>
      </w:pPr>
      <w:r>
        <w:rPr>
          <w:rFonts w:ascii="Arial" w:cs="Arial" w:eastAsia="Arial" w:hAnsi="Arial"/>
          <w:sz w:val="18"/>
          <w:szCs w:val="18"/>
          <w:b w:val="1"/>
          <w:bCs w:val="1"/>
          <w:color w:val="auto"/>
        </w:rPr>
        <w:t xml:space="preserve">John S. Levy </w:t>
      </w:r>
      <w:r>
        <w:rPr>
          <w:rFonts w:ascii="Arial" w:cs="Arial" w:eastAsia="Arial" w:hAnsi="Arial"/>
          <w:sz w:val="18"/>
          <w:szCs w:val="18"/>
          <w:color w:val="auto"/>
        </w:rPr>
        <w:t>has served as one of our directors since 1997 and serves as Chairman of our Nominating and Corporate Governance Committee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our Audit and Compensation Committees. Mr. Levy retired from Lehman Brothers Inc. in 1995. From 1983 until 1995, at Lehman Brothers (or its predecessors), he served as Managing Director and Chief Administrative Officer of the Financial Services Division, Senior Executive Vice President and Co-Director of the International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Having developed expertise in finance at Lehman Brothers, Mr. Levy's extensive skills, experience and sophistication in corporate governance, financial, compensation, legal and commercial matters allow him to provide valuable insights into the Company's business and finances. Mr. Levy is 74 years old.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Continuing Directors—Terms Will Expire in 2012</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John H. Alschuler, Jr. </w:t>
      </w:r>
      <w:r>
        <w:rPr>
          <w:rFonts w:ascii="Arial" w:cs="Arial" w:eastAsia="Arial" w:hAnsi="Arial"/>
          <w:sz w:val="16"/>
          <w:szCs w:val="16"/>
          <w:color w:val="auto"/>
        </w:rPr>
        <w:t>has served as one of our directors since 1997 and serves as Chairman of our Compensation Committee, as a member of our Audit,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Nominating and Corporate Governance Committees and as our Lead Independent Director. Since 2008, Mr. Alschuler has been the 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as Chair of the Board of Directors of Friends of the High Line Inc., a Section 501(c)(3) tax-exempt organization. Mr. Alschuler received a B.A. degree from Wesleyan University and an Ed.D. degree from the University of Massachusetts at Amherst. In connection with these achievements in academia and business, Mr. Alschuler's extensive knowledge of commercial real estate, New York City's economy, commercial and other markets in New York City and national and international markets for real estate, as well as his expertise in inter-governmental relations, allow him to assess the real estate market and the Company's business from a knowledgeable and informed perspective, from which he provides valuable insights into the Company's business. Mr. Alschuler is 62 years old.</w:t>
      </w:r>
    </w:p>
    <w:p>
      <w:pPr>
        <w:spacing w:after="0" w:line="167"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b w:val="1"/>
          <w:bCs w:val="1"/>
          <w:color w:val="auto"/>
        </w:rPr>
        <w:t xml:space="preserve">Stephen L. Green </w:t>
      </w:r>
      <w:r>
        <w:rPr>
          <w:rFonts w:ascii="Arial" w:cs="Arial" w:eastAsia="Arial" w:hAnsi="Arial"/>
          <w:sz w:val="15"/>
          <w:szCs w:val="15"/>
          <w:color w:val="auto"/>
        </w:rPr>
        <w:t>has served as our Chairman and a member of the Board since 1997 and serves as the Chairman of our Executive Committee. Mr. Green</w:t>
      </w:r>
      <w:r>
        <w:rPr>
          <w:rFonts w:ascii="Arial" w:cs="Arial" w:eastAsia="Arial" w:hAnsi="Arial"/>
          <w:sz w:val="15"/>
          <w:szCs w:val="15"/>
          <w:b w:val="1"/>
          <w:bCs w:val="1"/>
          <w:color w:val="auto"/>
        </w:rPr>
        <w:t xml:space="preserve"> </w:t>
      </w:r>
      <w:r>
        <w:rPr>
          <w:rFonts w:ascii="Arial" w:cs="Arial" w:eastAsia="Arial" w:hAnsi="Arial"/>
          <w:sz w:val="15"/>
          <w:szCs w:val="15"/>
          <w:color w:val="auto"/>
        </w:rPr>
        <w:t>serves as an executive officer, working in conjunction with our Chief Executive Officer, overseeing our long-term strategic direction. In January 2004, Mr. Green stepped down from his position as our Chief Executive Officer following the promotion of Mr. Holliday to that position. Mr. Green founded our predecessor, S.L. Green Properties, Inc., in 1980. Prior to our initial public offering in 1997, Mr. Green had been involved in the acquisition of over 50 Manhattan office buildings containing in excess of 4.0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 Mr. Green is 72 years old.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right="440" w:firstLine="351"/>
        <w:spacing w:after="0" w:line="339"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has served as our President since April 2007 and as our Chief Investment Officer since January 2004. Mr. Mathias is in charge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firm's equity and structured finance investments, overseeing our acquisitions and dispositions and our joint venture program. Mr. Mathias joined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Company in March 1999 as Vice President and was promoted to Director of Investments in 2002, a position he held until his promotion to Chief Investment Officer. In October 2008, Mr. Mathias stepped down from his position as Chief Investment Officer of Gramercy, a position he had held since August 2004. Prior to joining the Company, Mr. Mathias worked at Capital Trust and its predecessor, Victor Capital Group. Mr. Mathias also worked on the high yield and restructuring desk at Bear Stearns and Co. Mr. Mathias received a B.S. degree in Economics from the Wharton School at the University of Pennsylvania. Mr. Mathias is 36 years old.</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Gregory F. Hughes </w:t>
      </w:r>
      <w:r>
        <w:rPr>
          <w:rFonts w:ascii="Arial" w:cs="Arial" w:eastAsia="Arial" w:hAnsi="Arial"/>
          <w:sz w:val="16"/>
          <w:szCs w:val="16"/>
          <w:color w:val="auto"/>
        </w:rPr>
        <w:t>has served as our Chief Operating Officer since April 2007 and has served as our Chief Financial Officer since February 2004.</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Hughes also served as Chief Credit Officer of Gramercy from August 2004 to October 2008. Prior to joining the Company, from 2002 to 2003, Mr. Hughes was Managing Director and Chief Financial Officer of the real estate private equity group at JP Morgan Partners. From 1999 to 2002, Mr. Hughes was a partner and served as Chief Financial Officer of Fortress Investment Group LLC. Mr. Hughes also served as Chief Financial Officer of Wellsford Residential Property Trust and Wellsford Real Properties. From 1985 to 1992, Mr. Hughes worked at Kenneth Leventhal &amp; Co., a public accounting firm specializing in real estate and financial services. Mr. Hughes received a B.S. degree in Accounting from the University of Maryland and is a Certified Public Accountant. Mr. Hughes is 47 years old.</w:t>
      </w:r>
    </w:p>
    <w:p>
      <w:pPr>
        <w:spacing w:after="0" w:line="196"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has served as our Chief Legal Officer since April 2007 and as our General Counsel, Executive Vice President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Levine received a B.A. degree from the University of Vermont and a J.D. degree from Rutgers School of Law, where Mr. Levine was an Editor of the Law Review. Mr. Levine is 51 years old.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31"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Board held eight meetings during fiscal year 2009. Each of the directors attended all of the Board meetings held during fiscal year 2009 and Messrs. Holliday and Green attended our 2009 annual meeting.</w:t>
      </w:r>
    </w:p>
    <w:p>
      <w:pPr>
        <w:spacing w:after="0" w:line="186"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t>
      </w:r>
      <w:r>
        <w:rPr>
          <w:rFonts w:ascii="Arial" w:cs="Arial" w:eastAsia="Arial" w:hAnsi="Arial"/>
          <w:sz w:val="18"/>
          <w:szCs w:val="18"/>
          <w:i w:val="1"/>
          <w:iCs w:val="1"/>
          <w:color w:val="auto"/>
        </w:rPr>
        <w:t>www.slgreen.com</w:t>
      </w:r>
      <w:r>
        <w:rPr>
          <w:rFonts w:ascii="Arial" w:cs="Arial" w:eastAsia="Arial" w:hAnsi="Arial"/>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92"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John H. Alschuler, Jr., Edwin Thomas Burton, III (Chairman) and John S. Levy, each of whom is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reviewing our quarterly financial statements prior to the filing of each Quarterly Report on Form 10-Q and annually auditing the effectiveness of our internal control over financial reporting and other procedures. Our Audit Committee held ten meetings during fiscal year 2009. Each of the committee members attended all of the meetings of our Audit Committee held during fiscal year 2009. Additional information regarding the functions performed by our Audit Committee is set forth in the "Audit Committee Report" included in this annual proxy statement.</w:t>
      </w:r>
    </w:p>
    <w:p>
      <w:pPr>
        <w:spacing w:after="0" w:line="16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Our Compensation Committee consists of John H. Alschuler, Jr. (Chairman), Edwin Thomas Burton, III and John S. Levy,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whom is "independent" within the meaning of the rules of the NYSE. Each member of our Compensation Committee also is a "non-employee director," as defined in Section 16 of the Securities Exchange Act of 1934, as amended. Our Compensation Committee's primary purposes are to determine how the Company's Chief Executive Officer should be compensated; to administer the Company's employee benefit plans and executive compensation programs; to set policies and review management decisions regarding compensation of the Company's senior executives other than its Chief Executive Officer; and to produce the report on executive compensation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among cash and equity compensation. Our Compensation Committee has retained Gressle &amp; McGinley LLC as its independent outside compensation consulting firm and has engaged Gressle &amp; McGinley to provide the Compensation Committee with relevant data concerning the marketplace, our peer group and its own independent analysis and recommendation concerning executive compensation. Gressle &amp; McGinley regularly participates in Compensation Committee meetings. See "Executive Compensation—Compensation Discussion and Analysis." Our Compensation Committee held two meetings during fiscal year 2009. Each of the committee members attended both of the Compensation Committee meetings held during fiscal year 2009.</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Our Nominating and Corporate Governance Committee consists of John H. Alschuler, Jr.,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corporate governance guidelines applicable to the Company. During fiscal year 2009, our Nominating and Corporate Governance Committee nominated two Class III directors who were elected at our 2009 annual meeting of stockholders and held two meetings during such fiscal year. Each of the committee members attended both of the Nominating and Corporate Governance Committee meetings held during fiscal year 2009.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Subject to the supervision and oversight of the Board, our Executive Committee, which consists of Stephen L. Green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Marc Holliday and John H. Alschuler, Jr., is responsible for, among other things, the approval of the acquisition, disposition and financing of investments by us; the authorization of the execution of certain contracts and agreements, including those relating to the borrowing of money by us; and the exercise, in general, of all other powers of the Board, except for such powers that require action by all directors or the independent directors under our articles of incorporation or bylaws or under applicable law. Our Executive Committee conducted all of its business during fiscal year 2009 by written consent, and held no meetings during such time.</w:t>
      </w:r>
    </w:p>
    <w:p>
      <w:pPr>
        <w:spacing w:after="0" w:line="193"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 xml:space="preserve">Special Committee—Gramercy Internalization. </w:t>
      </w:r>
      <w:r>
        <w:rPr>
          <w:rFonts w:ascii="Arial" w:cs="Arial" w:eastAsia="Arial" w:hAnsi="Arial"/>
          <w:sz w:val="16"/>
          <w:szCs w:val="16"/>
          <w:color w:val="auto"/>
        </w:rPr>
        <w:t>In 2008, our board formed a special committee, consisting of John H. Alschuler, Jr. (Chairman),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and John S. Levy, with regard to the internalization by Gramercy of its management functions and related actions. Our Special Committee continued service in 2009 through the completion of the internalization in April 2009. Our Special Committee held three meetings during fiscal year 2009. Each of the committee members attended all of the Special Committee meetings held during fiscal year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2009.</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4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Paid in Cash(1)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Awards(2)</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Awards(3)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Compensation(4)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100,012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45,371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277,483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261,493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40" w:hanging="531"/>
        <w:spacing w:after="0" w:line="239" w:lineRule="auto"/>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columns for "Non-Equity Incentive Plan Compensation" and "Change in Pension Value and Nonqualified Deferred Compensation Earnings" have been omitted because they are not applicable.</w:t>
      </w:r>
    </w:p>
    <w:p>
      <w:pPr>
        <w:spacing w:after="0" w:line="112" w:lineRule="exact"/>
        <w:rPr>
          <w:sz w:val="20"/>
          <w:szCs w:val="20"/>
          <w:color w:val="auto"/>
        </w:rPr>
      </w:pPr>
    </w:p>
    <w:p>
      <w:pPr>
        <w:ind w:left="1680" w:right="20" w:hanging="531"/>
        <w:spacing w:after="0" w:line="288" w:lineRule="auto"/>
        <w:tabs>
          <w:tab w:leader="none" w:pos="16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Each of Mr. Burton and Mr. Levy deferred all of their 2009 cash compensation and Mr. Alschuler deferred $25,000 of his 2009 cash compensation pursuant to our Independent Directors' Deferral Program. Deferred compensation included annual fees, chairman fees and board and committee meeting fees and is credited in the form of phantom or restricted stock units. Mr. Burton received 5,225 units, Mr. Alschuler received 849 units and Mr. Levy received 4,973 units in connection with 2009 cash compensation they elected to defer.</w:t>
      </w:r>
    </w:p>
    <w:p>
      <w:pPr>
        <w:spacing w:after="0" w:line="83" w:lineRule="exact"/>
        <w:rPr>
          <w:rFonts w:ascii="Arial" w:cs="Arial" w:eastAsia="Arial" w:hAnsi="Arial"/>
          <w:sz w:val="12"/>
          <w:szCs w:val="12"/>
          <w:color w:val="auto"/>
        </w:rPr>
      </w:pPr>
    </w:p>
    <w:p>
      <w:pPr>
        <w:ind w:left="1680" w:right="100" w:hanging="531"/>
        <w:spacing w:after="0" w:line="278" w:lineRule="auto"/>
        <w:tabs>
          <w:tab w:leader="none" w:pos="16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Amounts shown reflect the full grant date fair value on the date of grant of shares of restricted stock or restricted stock units granted to the directors in 2009, excluding stock units credited in lieu of retainer and meeting fees. The assumptions used to calculate the value of stock awards are set forth under Note 2 of the Notes to Consolidated Financial Statements included in our Annual Report on Form 10-K for the year ended December 31, 2009, which was filed with the SEC on February 16, 2010. At December 31, 2009, the aggregate number of stock awards, including phantom stock units, outstanding was as follows: Mr. Burton—33,542; Mr. Alschuler—12,028; and Mr. Levy—39,703.</w:t>
      </w:r>
    </w:p>
    <w:p>
      <w:pPr>
        <w:spacing w:after="0" w:line="89" w:lineRule="exact"/>
        <w:rPr>
          <w:rFonts w:ascii="Arial" w:cs="Arial" w:eastAsia="Arial" w:hAnsi="Arial"/>
          <w:sz w:val="12"/>
          <w:szCs w:val="12"/>
          <w:color w:val="auto"/>
        </w:rPr>
      </w:pPr>
    </w:p>
    <w:p>
      <w:pPr>
        <w:ind w:left="1680" w:hanging="531"/>
        <w:spacing w:after="0" w:line="230" w:lineRule="auto"/>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of option awards granted to the directors in 2009. The assumptions used to calculate the value of stock awards are set forth under Note 2 of the Notes to Consolidated Financial Statements included in our Annual Report on Form 10-K for the year ended December 31, 2009, which was filed with the SEC on February 16, 2010. At December 31, 2009, the aggregate number of option awards outstanding was as follows: Mr. Burton—18,000; Mr. Alschuler—36,000; and Mr. Levy— 60,000.</w:t>
      </w:r>
    </w:p>
    <w:p>
      <w:pPr>
        <w:spacing w:after="0" w:line="112" w:lineRule="exact"/>
        <w:rPr>
          <w:rFonts w:ascii="Arial" w:cs="Arial" w:eastAsia="Arial" w:hAnsi="Arial"/>
          <w:sz w:val="14"/>
          <w:szCs w:val="14"/>
          <w:color w:val="auto"/>
        </w:rPr>
      </w:pPr>
    </w:p>
    <w:p>
      <w:pPr>
        <w:ind w:left="1680" w:hanging="531"/>
        <w:spacing w:after="0"/>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value of dividends paid in 2009 on the phantom stock units held by each non-employee director.</w:t>
      </w:r>
    </w:p>
    <w:p>
      <w:pPr>
        <w:spacing w:after="0" w:line="20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fiscal year ended December 31, 2009, each non-employee director received an annual fee of $50,000. Each non-employee director also received $1,500 for each meeting of the Board or a committee of the Board that he attended. The annual fee payable to our non-employee directors is payable quarterly, half in restricted stock and half in cash, unless a non-employee director elects to have the director fee paid 100% in stock or elects to defer all or part of the annual fee pursuant to our Independent Directors' Deferral Program as described below. The meeting fees are paid in cash unless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 non-employee director elects to defer all or part of the meeting fees pursuant to our Independent Directors' Deferral Program. One of our non-employee directors who resides outside of New York is reimbursed for expenses of attending Board and committee meetings.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Chairman of our Audit Committee, the Chairman of our Compensation Committee, and the Chairman of our Nominating and Corporate Governance Committee received additional annual fees of $10,000, $7,500 and $5,000, respectively, which are payable in cash unless such Chairman elects to defer all or part of such fee pursuant to our Independent Directors' Deferral Program. In addition, each member of our Audit Committee was entitled to receive a fee of $4,000 per meeting for any special meetings of the Audit Committee held independently of Board meetings. There were no special meetings of the Audit Committee held in 2009. The special meeting fees are paid in cash unless a director elects to defer all or part of the meeting fees pursuant to our Independent Directors' Deferral Program. Under our Amended and Restated 2005 Stock Option and Incentive Plan, each non-employee director is entitled to an annual grant of options to purchase 6,000 shares of our common stock, which are priced at the close of business on the first business day in the year of grant, all of which vest on the date of grant. In 2009, each non-employee director received a grant of 4,023 shares of restricted stock pursuant to our Amended and Restated 2005 Stock Option and Incentive Plan. In 2010, each non-employee director received a grant of 2,043 shares of restricted stock, which, at the closing price of our common stock on the grant date of January 4, 2010, had an approximate fair market value of $100,000. One third of the shares from each such restricted stock grant vest on each of the first three anniversaries of the grant date, subject to the non-employee director remaining a member of the Board on the vesting date. A non-employee director may elect to defer all or part of the annual stock grant pursuant to our Independent Directors' Deferral Program.</w:t>
      </w:r>
    </w:p>
    <w:p>
      <w:pPr>
        <w:spacing w:after="0" w:line="17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2009, each non-employee director who served on the Special Committee received a one-time fee of $15,000 in connection with the completion of the internalization by Gramercy of its management functions in April 2009. Additionally, in 2009, the Chairman of this Special Committee received an additional fee of $15,000, and each member of the committee was entitled to a fee of $1,500 per meeting. All fees in connection with this Special Committee were paid in cash unless a director elected to defer all or part of the meeting fees pursuant to our Independent Directors' Deferral Program. Upon completion of the internalization by Gramercy of its management functions in April 2009, the Special Committee was dissolved.</w:t>
      </w:r>
    </w:p>
    <w:p>
      <w:pPr>
        <w:spacing w:after="0" w:line="170"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Effective January 1, 2010, John H. Alschuler, Jr. was elected Lead Independent Director, as described on page 28 under "Board Leadership Structure." In connection with Mr. Alschuler's appointment as Lead Independent Director, Mr. Alschuler will be entitled to receive an additional annual retainer of $85,000 payable quarterly, half in cash and half in restricted stock, unless Mr. Alschuler elects to defer all or part of the additional annual retainer pursuant to our Independent Directors' Deferral Program.</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our Independent Directors' Deferral Program, our non-employee directors may elect to defer up to 100% of their annual fee, chairman fees, meeting fees and annual stock grant. Unless otherwise elected by a participant, fees deferred under the program will be credited in the form of phantom stock units. The phantom stock units are convertible into an equal number of shares of our common stock upon such director's termination of service from the Board or a change in control of the Company, as defined by the program. Phantom stock units are credited quarterly to each non-employee director using the closing price of our common stock on the first trading day of the respective quarter. In lieu of paying cash dividends on phantom stock units held by participating non-employee directors, each such director's account is credited for an amount of phantom stock units with a value equal to the dividend otherwise payable in respect of each quarter. The grant relating to any portion of director compensation that currently is paid in stock is made under our Amended and Restated 2005 Stock Option and Incentive Plan and will be made under our Second Amended and Restated 2005 Stock Option and Incentive Plan, if approved by our stockholders.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APPROVAL OF OUR SECOND AMENDED AND RESTATED 2005 STOCK OPTION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INCENTIVE PLAN</w:t>
      </w:r>
    </w:p>
    <w:p>
      <w:pPr>
        <w:spacing w:after="0" w:line="219"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At our annual meeting, the stockholders are being asked to vote on a proposal to approve the adoption of our Second Amended and Restated 2005 Stock Option and Incentive Plan (the "Amended 2005 Plan"), which was previously approved by our Compensation Committee on April 2, 2010 and by our Board of Directors on April 27, 2010.</w:t>
      </w:r>
    </w:p>
    <w:p>
      <w:pPr>
        <w:spacing w:after="0" w:line="194"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of the record date for the annual meeting, April 5, 2010, there were 77,927,257 shares of common stock outstanding and 1,408,104 operating partnership units outstanding. As of April 26, 2010, there were 58,931 fungible units available under our Amended and Restated 2005 Stock Option and Incentive Plan (the "Fungible Units"). The Fungible Units represent the baseline for the number of shares of common stock available for issuance under our Amended and Restated 2005 Stock Option and Incentive Plan from which, as described in more detail below, different types of awards are counted differently against the Fungible Unit limit. Based on current Fungible Unit conversion ratios, the 58,931 Fungible Units available for issuance under our Amended and Restated 2005 Stock Option and Incentive Plan equate to 19,643 full-value awards available for future issuance.</w:t>
      </w:r>
    </w:p>
    <w:p>
      <w:pPr>
        <w:spacing w:after="0" w:line="17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April 26, 2010, the number of securities to be issued upon the exercise of outstanding options, warrants and rights is equal to 1,275,447, the weighted average exercise price of outstanding options, warrants and rights was equal to $57.92, and the weighted average term is 5.31 years. In addition, an aggregate of 1,339,469 shares of common stock were subject to unvested full-value awards as of April 26, 2010, which includes all outstanding deferred units and outstanding awards under all of our previous and current multi-year performance plans, including all remaining unvested awards under the 2005 Outperformance Plan and 744,128 shares issued under the 2010 Notional Unit Plan, as described below.</w:t>
      </w:r>
    </w:p>
    <w:p>
      <w:pPr>
        <w:spacing w:after="0" w:line="170"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following table sets forth information regarding historical awards granted and earned for the 2007 through 2009 period, and the corresponding burn rate, which is defined as the number of shares subject to stock awards granted (or, for awards subject to performance based vesting, earned) in a fiscal year divided by the weighted average common shares outstanding for that fiscal year, for each of the last three fiscal years: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Fiscal 2009</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Fiscal 2008</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Fiscal 2007</w:t>
            </w: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443,850</w:t>
            </w: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446,500</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531,000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20"/>
              <w:spacing w:after="0"/>
              <w:rPr>
                <w:sz w:val="20"/>
                <w:szCs w:val="20"/>
                <w:color w:val="auto"/>
              </w:rPr>
            </w:pPr>
            <w:r>
              <w:rPr>
                <w:rFonts w:ascii="Arial" w:cs="Arial" w:eastAsia="Arial" w:hAnsi="Arial"/>
                <w:sz w:val="18"/>
                <w:szCs w:val="18"/>
                <w:color w:val="auto"/>
              </w:rPr>
              <w:t>Time-based full-value shares and units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211,342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128,956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226,019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Performance-based full-value shares and units earned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231,012</w:t>
            </w: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Total time-based full-value awards granted and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performance-based full-value awards earned</w:t>
            </w:r>
          </w:p>
        </w:tc>
        <w:tc>
          <w:tcPr>
            <w:tcW w:w="920" w:type="dxa"/>
            <w:vAlign w:val="bottom"/>
          </w:tcPr>
          <w:p>
            <w:pPr>
              <w:jc w:val="right"/>
              <w:spacing w:after="0"/>
              <w:rPr>
                <w:sz w:val="20"/>
                <w:szCs w:val="20"/>
                <w:color w:val="auto"/>
              </w:rPr>
            </w:pPr>
            <w:r>
              <w:rPr>
                <w:rFonts w:ascii="Arial" w:cs="Arial" w:eastAsia="Arial" w:hAnsi="Arial"/>
                <w:sz w:val="18"/>
                <w:szCs w:val="18"/>
                <w:color w:val="auto"/>
              </w:rPr>
              <w:t>272,923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204,206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457,031</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Full-Value Awards Granted/Earned(1)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306,309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685,547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Total Awards Granted/Earned(2)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853,235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752,809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1,216,547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during the fiscal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69,735,000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57,996,000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58,742,000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Annual Burn Rate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2.07%</w:t>
            </w: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3-Year Average Burn Rate(3)</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1.53</w:t>
            </w: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line="278" w:lineRule="auto"/>
        <w:tabs>
          <w:tab w:leader="none" w:pos="16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accordance with corporate governance policy updates published by RiskMetrics Group, a shareholder advocacy group, Adjusted Full-Value Awards Granted/Earned represents the sum of time-based full-value awards granted during the year and performance-based full-value awards earned during the year, subject to a multiplier determined by RiskMetrics Group based on our recent historic stock price volatility. Based on the 200-trailing trading day volatility for our common stock as of March 1, 2010, RiskMetrics Group has determined that the Company's full-value award multiplier for purposes of the calculating 2007-2009 average burn rate is 1.5.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Awards Granted/Earned represents the sum of Stock Options Granted and Adjusted Full-Value Awards Granted/Earned.</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As illustrated in the table above, the Company's three-year average burn rate for the 2007-2009 period was 1.53%, which is below the RiskMetrics Group industry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burn rate threshold of 2.0%.</w:t>
      </w:r>
    </w:p>
    <w:p>
      <w:pPr>
        <w:spacing w:after="0" w:line="19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Amended 2005 Plan increases the reserved Fungible Units under the plan by 3,730,000 Fungible Units and makes certain other changes, described below, to our Amended and Restated 2005 Stock Option and Incentive Plan. By increasing the reserved Fungible Units, we will be able to continue to use equity awards to attract, retain and motivate employees. We believe that having an equity plan in place with a sufficient number of shares is critical to our ability to attract, retain and motivate employees in a highly competitive marketplace and ensure that our executive compensation is structured in a manner that aligns the executives' interests with our success. Accordingly, we are seeking stockholder approval of the Amended 2005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Board unanimously recommends a vote "FOR" the approval of our Second Amended and Restated 2005 Stock Option and Incentive Plan.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Amendments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material amendments that are included in the Amended 2005 Plan:</w:t>
      </w:r>
    </w:p>
    <w:p>
      <w:pPr>
        <w:spacing w:after="0" w:line="239" w:lineRule="exact"/>
        <w:rPr>
          <w:sz w:val="20"/>
          <w:szCs w:val="20"/>
          <w:color w:val="auto"/>
        </w:rPr>
      </w:pPr>
    </w:p>
    <w:p>
      <w:pPr>
        <w:ind w:left="1080" w:hanging="532"/>
        <w:spacing w:after="0" w:line="290"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maximum number of Fungible Units available under the Amended 2005 Plan will be increased by 3,730,000 Fungible Units from 7,000,000 Fungible Units to 10,730,000 Fungible Units. If the stockholders approve the proposal, a total of 3,788,931 Fungible Units will remain available for new awards (comprised of the 58,931 Fungible Units currently available for awards, plus the additional 3,730,000 Fungible Units added by the proposed amendment). If the Amended 2005 Plan is approved by stockholders, the additional 3,730,000 Fungible Units will represent 2,260,606 shares of common stock that could be granted pursuant to full-value awards based on the 1.65 to 1 Fungible Unit-to-full value award conversion ratio in the Amended 2005 Plan. Based solely on the closing price of our common stock as reported on the NYSE on April 26, 2010, the maximum aggregate market value of those 2,260,606 shares of common stock is $145,424,784.</w:t>
      </w:r>
    </w:p>
    <w:p>
      <w:pPr>
        <w:spacing w:after="0" w:line="199"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ratios governing the number of Fungible Units used by the different types of awards that may be granted under the Amended 2005 Plan will be changed for awards granted after the date the Amended 2005 Plan is approved. Under the Amended 2005 Plan, an award that delivers the full-value of the underlying shares ("Full-Value Award") granted after the effective date of the Amended 2005 Plan will be counted as 1.65 Fungible Units per share, as opposed to (i) 2.0 Fungible Units per share for such awards that vested or were granted based on the achievement of certain performance goals prior to the effective date of the Amended 2005 Plan or (ii) 3.0 Fungible Units per share for all other such awards granted prior to the effective date of the Amended 2005 Plan. Additionally, stock options, stock appreciation rights and other awards granted after the effective date of the Amended 2005 Plan that do not deliver the full-value of the underlying shares and that expire five years from the date of grant will be counted as 0.79 Fungible Units per share, as opposed to 0.70 Fungible Units per share for such awards granted prior to the effective date of the Amended 2005 Plan.</w:t>
      </w:r>
    </w:p>
    <w:p>
      <w:pPr>
        <w:spacing w:after="0" w:line="187"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Amended 2005 Plan, the annual limitation contained in the plan on the number of shares of our common stock that could be subject to awards granted during any year, which is based on a percentage of our total outstanding shares of common stock, will no longer apply.</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Amended 2005 Plan, the limit on the number of shares of common stock that may be subject to awards that are intended to qualify as "performance-based compensation" under Section 162(m) of the Code and the regulations promulgated thereunder granted to any one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person in any one year will be changed from 700,000 Fungible Units in the proportions described above to 700,000 shares regardless of the type of award.</w:t>
      </w:r>
    </w:p>
    <w:p>
      <w:pPr>
        <w:spacing w:after="0" w:line="199" w:lineRule="exact"/>
        <w:rPr>
          <w:sz w:val="20"/>
          <w:szCs w:val="20"/>
          <w:color w:val="auto"/>
        </w:rPr>
      </w:pPr>
    </w:p>
    <w:p>
      <w:pPr>
        <w:ind w:left="1080" w:right="1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Amended 2005 Plan will prohibit us from paying cash dividends or dividend equivalents on awards granted under the plan that are subject to performance goals unless and until such goals have been attained. However, dividends will continue to accrue on such awards.</w:t>
      </w:r>
    </w:p>
    <w:p>
      <w:pPr>
        <w:spacing w:after="0" w:line="166" w:lineRule="exact"/>
        <w:rPr>
          <w:rFonts w:ascii="Arial" w:cs="Arial" w:eastAsia="Arial" w:hAnsi="Arial"/>
          <w:sz w:val="16"/>
          <w:szCs w:val="16"/>
          <w:color w:val="auto"/>
        </w:rPr>
      </w:pPr>
    </w:p>
    <w:p>
      <w:pPr>
        <w:ind w:left="1080" w:right="6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Amended 2005 Plan will prohibit us from repricing stock options or stock appreciation rights without obtaining stockholder approval, including a repricing by way of the exchange of stock options or stock appreciation rights for cash or other awards.</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of the Amended 2005 Plan will be extended from its current expiration date until June 15, 2020, which is ten years from the date of the annual meeting.</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the event that the Amended 2005 Plan is not approved by our stockholders, the 2010 Notional Unit Plan, as described below, will be implemented on a proportionally smaller basis.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Provisions of Our Second Amended and Restated 2005 Stock Option and Incentive Plan</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summary of our Second Amended and Restated 2005 Stock Option and Incentive Plan, or the Amended 2005 Plan, is qualified in its entirety by the specific language of the plan, a copy of which is attached hereto as Appendix 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Our Compensation Committee has the authority to administer and interpret the Amended 2005 Plan, to authorize the granting of awards, to determine the eligibility of a person to receive an award, to determine the number of shares of common stock to be covered by each award, to determine the terms, provisions and conditions of each award, to prescribe the form of instruments evidencing awards and to take any other actions and make all other determinations that it deems necessary or appropriate. Our Compensation Committee may, among other things, establish performance goals that must be met in order for awards to be granted or to vest, or for the restrictions on any such awards to lapse. Nevertheless, grants to members of our Compensation Committee will be made and administered by our Board of Directors rather than our Compensation Committee. References below to our Compensation Committee include a reference to our Board of Directors for those awards with respect to which our Board of Directors is acting as administrator. Our Compensation Committee, in its discretion, may delegate to our Chief Executive Officer all or part of our Compensation Committee's authority and duties with respect to awards to be granted to our employees, subject to certain limitations and guidelines as provided by the Committee; however, our Compensation Committee may not delegate its authority and duties with respect to awards that have been, or will be, granted to certain of our officers.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Subject to adjustments upon certain corporate transactions or events, awards with respect to up to a maximum of 10,730,000 Fungible Units (the "Fungible Pool Limit") may be granted under the Amended 2005 Plan, 3,788,931 of which will remain available for new awards. A Full-Value Award granted after the effective date of the Amended 2005 Plan will be counted as 1.65 Fungible Units per share subject to such award. A Full-Value Award granted prior to the effective date of the Amended 2005 Plan that vested or was granted based on the achievement of certain performance goals will be counted as 2.0 Fungible Units per share subject to such award and all other Full-Value Awards granted prior to the effective date of the Amended 2005 Plan will be counted as 3.0 Fungible Units per share. Stock options, stock appreciation rights and other awards granted after the effective date of the Amended 2005 Plan that do not deliver the full-value of the underlying shares and expire five years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from the date of grant will be counted as 0.79 Fungible Units per share. Such awards granted prior to the effective date of the Amended 2005 Plan will be counted as 0.70 Fungible Units per share. All other awards will be counted as 1.0 Fungible Unit per share.</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No award may be granted to any person who, assuming exercise of all options and payment of all awards held by such person, would own or be deemed to own more than 9.8% of the outstanding shares of our common stock. In addition, in any one year, no person may receive awards with respect to more than 700,000 shares of common stock, provided that this limit only applies to awards that are intended to qualify as "performance-based compensation" under Section 162(m) of the Code and the regulations promulgated thereunder.</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an option or other award granted under the Amended 2005 Plan expires or terminates, the common stock subject to any portion of the award that expires or terminates without having been exercised or paid, as the case may be, will again become available for the issuance of additional awards by adding back Fungible Units to the Amended 2005 Plan using the same ratio that was in effect when the original awards were granted. The following shares will not be added to the Fungible Units authorized for grant under the Amended 2005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Plan</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key employees, directors, officers, advisors, consultants or other personnel or other persons expected to provide significant services (of a type expressly approved by our Compensation Committee as covered services for these purposes) to us or our subsidiaries are eligible to be granted Options, Restricted Stock, Phantom Shares, Dividend Equivalent Rights and other equity-based awards under the Amended 2005 Plan. Eligibility for awards under the Amended 2005 Plan generally is determined by our Compensation Committee. As of April 26, 2010, approximately 239 individuals are eligible to participate in the Amended 2005 Plan.</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terms of specific options, including whether options shall constitute "incentive stock options"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Section 422(b) of the Internal Revenue Code, will be determined by our Compensation Committee of our Board of Directors. The exercise price of an option will be determined by our Compensation Committee and reflected in the applicable award agreement. The exercise price may not be lower than 100% (110% in the case of an incentive stock option granted to a 10% stockholder, if permitted under the Amended 2005 Plan) of the fair market value of our common stock on the date of grant. Each option will be exercisable after the period or periods specified in the award agreement, which will not exceed ten years from the date of grant. Options will be exercisable at such times and subject to such terms as determined by our Compensation Committee. Our Compensation Committee may also grant stock appreciation rights, which are options that permit the recipient to exercise the option without the payment of the exercise price and to receive shares of common stock with a fair market value equal to the excess of the fair market value of the shares with respect to which the option is being exercised over the exercise price of the option with respect to those shares. Any stock appreciation rights granted are subject to the same limitations as other options, including a maximum term of 10 years and an exercise price no lower than 100% of the fair market value of our common stock on the date of grant.</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restricted stock award is an award of shares of common stock that is subject to restrictions on transferability and such other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as our Board of Directors or Compensation Committee may impose at the date of grant. Grants of restricted stock may be subject to vesting schedules as determined by our Compensation Committee. The restrictions may lapse separately or in combination at such times, under such circumstances, including, without limitation, (i) a specified period of employment or the satisfaction of one or a combination of the performance goals set forth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Exhibit B of the Amended 2005 Plan (which is attached hereto as Appendix B), or (ii) based on other goals established by our Compensation Committee. Unless otherwise provided in the applicable award agreement, upon a termination of employment or other service for cause or by the grantee for any reason, all shares of restricted stock still subject to restrictions will be forfeited. In addition, unless otherwise provided in an applicable award agreement, a participant granted restricted stock will have all the rights of a stockholder of our company, including the right to vote the shares and the right to receive any cash dividends currently. Dividends paid on all restricted stock will be at the same rate and on the same date as on shares of our common stock; provided that award recipients will be required to repay any cash dividends received on awards that are subject to performance-based vesting conditions unless and until such conditions have been met. Holders of restricted stock are prohibited from selling such shares until they vest.</w:t>
      </w:r>
    </w:p>
    <w:p>
      <w:pPr>
        <w:spacing w:after="0" w:line="172"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i w:val="1"/>
          <w:iCs w:val="1"/>
          <w:color w:val="auto"/>
        </w:rPr>
        <w:t xml:space="preserve">Phantom Shares. </w:t>
      </w:r>
      <w:r>
        <w:rPr>
          <w:rFonts w:ascii="Arial" w:cs="Arial" w:eastAsia="Arial" w:hAnsi="Arial"/>
          <w:sz w:val="15"/>
          <w:szCs w:val="15"/>
          <w:color w:val="auto"/>
        </w:rPr>
        <w:t>Phantom shares will vest as provided in the applicable award agreement. A phantom share represents a right to receive the fair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value of a share of our common stock, or, if provided by our Compensation Committee, the right to receive the fair market value of a share of our common stock in excess of a base value established by our Compensation Committee at the time of grant. Phantom shares generally may be settled in cash or by transfer of shares of common stock (as may be elected by the participant or our Compensation Committee, as may be provided by our Compensation Committee at grant). Unless otherwise provided in the applicable award agreement, subject to elections by the grantee in accordance with the plan, the settlement date with respect to a phantom share is the first day of the month to follow the date on which the phantom share vests. Our Compensation Committee, under certain circumstances, may permit a participant to receive as settlement of the phantom shares installments over a period not to exceed ten years. In addition, our Compensation Committee may establish a program under which distributions with respect to phantom shares may be deferred for additional periods as set forth in the preceding sentence.</w:t>
      </w:r>
    </w:p>
    <w:p>
      <w:pPr>
        <w:spacing w:after="0" w:line="16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A dividend equivalent is a right to receive (or have credited) the equivalent value (in cash or shares of common stock)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made on shares of common stock otherwise subject to an award (e.g., an award of phantom shares); provided, however, that a dividend equivalent right may not be granted in connection with an award of options or stock appreciation rights. Our Compensation Committee may provide that amounts payable in the ordinary course with respect to dividend equivalents will be converted into cash or additional shares of common stock. Our Compensation Committee will establish all other limitations and conditions of awards of dividend equivalents as it deems appropriate. A dividend equivalent granted with respect to an award subject to performance-based vesting conditions may not be payable unless and until such conditions have been met.</w:t>
      </w:r>
    </w:p>
    <w:p>
      <w:pPr>
        <w:spacing w:after="0" w:line="17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Amended 2005 Plan will authorize the granting of (i) other awards based upon the common stock, including shares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certain conditions, convertible preferred shares, convertible debentures and other exchangeable or redeemable securities or equity interests, and stock appreciation rights, (ii)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such interest being subject to the Fungible Pool Limit and the other provisions of the Amended 2005 Plan, and (iii) awards valued by reference to book value, fair value or performance parameters relative to the company or any subsidiary or group of subsidiaries. Any awards subject to performance-based vesting conditions will not give the participant any right to receive cash dividends or dividend equivalent rights unless and until such conditions have been met.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in General; Certain Change in Control Provisions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the event of certain corporate reorganizations or other events, our Compensation Committee generally may make certain adjustments in its discretion to the manner in which the Amended 2005 Plan operates (including, for example, to the number of Fungible Units and shares of common stock available under the Amended 2005 Plan), and may otherwise take actions which, in its judgment, are necessary to preserve the rights of plan participants. Upon a change in control (as defined in the plan), our Compensation Committee generally may make such adjustments as it, in its discretion, determines are necessary or appropriate in light of the change in control, if our Compensation Committee determines that the adjustments do not have an adverse economic impact on the participants, and certain other special provisions may apply.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Withholding</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Participants under the Amended 2005 Plan are responsible for the payment of any federal, state or local taxes, including those that we are required by law to withhold upon any option exercise or vesting of other awards. Subject to approval by the Compensation Committee, participants may elect to have the minimum tax withholding obligations satisfied either by authorizing the Company to withhold shares of common stock to be issued pursuant to an option exercise or other award, or by transferring to the Company shares of common stock having a value up to the amount of such taxes. Alternatively, the Compensation Committee may provide in an award agreement that a participant is required to satisfy the minimum tax withholding obligation by having shares of common stock withheld by the Company from the shares of common stock otherwise to be received, or require a participant to do so, subject to the participant's ability to elect to satisfy such liability in cash.</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may grant awards under the Amended 2005 Plan until June 15, 2020, the 10th anniversary of the approval of the Amended 2005 Plan at the annual meeting. Our Board of Directors generally may amend our plan as it deems advisable, except that the Amended 2005 Plan may not be amended without stockholder approval if the absence of such approval would cause the Amended 2005 Plan to fail to comply with any applicable legal requirement or applicable stock exchange or similar rule and no amendment may adversely affect a participant with respect to an award previously granted unless such amendment is required in order to comply with applicable laws.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Repricing</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Except in certain circumstances regarding corporate transactions, without prior stockholder approval, neither the Board of Directors nor the Compensation Committee may reduce the option price of outstanding options or stock appreciation rights or cancel, exchange, substitute, buyout or surrender outstanding options or stock appreciation rights in exchange for cash, other awards or options or stock appreciation rights with an exercise price that is less than the exercise price of the original options or stock appreciation rights.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general, neither the grant nor the exercise of an incentive stock option will result in taxable income to an option holder or a deduction for us. To receive special tax treatment as an incentive stock option under the Internal Revenue Code as to shares acquired upon exercise of an incentive stock option, an option holder must not dispose of the shares either within two years after the incentive stock option is granted or within one year after the transfer of the shares to the option holder pursuant to exercise of the option. In addition, the option holder must be an employee of ours or of a qualified</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subsidiary at all times between the date of grant and the date three months (one year in the case of disability) before exercise of the option. (Special rules apply in the case of the death of the option holder.) Incentive stock option treatment under the Internal Revenue Code generally allows any gain resulting from the sale of common stock received upon the exercise of an incentive stock option to be treated as a capital gain to the option holder, but we will not be entitled to a tax deduction. The exercise of an incentive stock option (if the holding period rules described in this paragraph are satisfied), however, will give rise to income includable by the option holder in his or her alternative minimum taxable income for purposes of the alternative minimum tax in an amount equal to the excess of the fair market value of the stock acquired on the date of the exercise of the option over the exercise price.</w:t>
      </w:r>
    </w:p>
    <w:p>
      <w:pPr>
        <w:spacing w:after="0" w:line="174"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If the holding period rules noted above are not satisfied, certain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We generally will be entitled to a deduction for federal income tax purposes equal to the amount of such gain included by an option holder as ordinary income. Any excess of the amount realized upon such disposition over the fair market value at exercise generally will be long-term or short-term capital gain depending on the holding period involved. Notwithstanding the foregoing, if exercise of the option is permitted other than by cash payment of the exercise price, various special tax rules may apply.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No income will be recognized by an option holder at the time a non-qualified stock option is granted. Ordinary income generally will be recognized by an option holder, however, at the time a non-qualified stock option is exercised in an amount equal to the excess of the fair market value of the underlying common stock on the exercise date over the exercise price. We generally will be entitled to a deduction for federal income tax purposes in the same amount as the amount included in ordinary income by the option holder with respect to his or her non-qualified stock option. Gain or loss on a subsequent sale or other disposition of the shares acquired upon the exercise of a non-qualified stock option will be measured by the difference between the amount realized on the disposition and the tax basis of such shares, and generally will be long-term or short-term capital gain depending on the holding period involved. The tax basis of the shares acquired upon the exercise of any non-qualified stock option will be equal to the sum of the exercise price of the non-qualified stock option and the amount included in income with respect to the option. Notwithstanding the foregoing, in the event that exercise of the option is permitted other than by cash payment of the exercise price, various special tax rules may apply.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Unless a holder of restricted stock makes an "83(b) election" (as discussed below), there generally will be no tax consequences as a result of the grant of restricted stock until the restricted stock is no longer subject to a substantial risk of forfeiture or is transferable (free of the risk). Generally, when the restrictions are lifted, the holder will recognize ordinary income, and we will be entitled to a deduction for federal income tax purposes, equal to the difference between the fair market value of the stock at that time and the amount, if any, paid by the holder for the restricted stock. Subsequently realized changes in the value of the stock generally will be treated as long-term or short-term capital gain or loss, depending on the length of time the shares are held prior to their disposition. Unless an "83(b) election" is made (as discussed below), dividends on shares subject to restrictions generally will be considered compensation income. In general terms, if a holder makes an 83(b) election (under Section 83(b) of the Internal Revenue Code) upon the award of restricted stock, the holder will recognize ordinary income on the date of the award of restricted stock, and we will be entitled to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deduction, equal to (i) the fair market value of the restricted stock as though the stock were (A) not subject to a substantial risk of forfeiture or (B) transferable, minus (ii) the amount, if any, paid for the restricted stock. If an 83(b) election is made, generally there will be no tax consequences to the holder upon the lifting of restrictions, and all subsequent appreciation or depreciation in the restricted stock generally will be eligible for capital gains treatment.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Shares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phantom shares have been designed with the intention that there will be no tax consequences as a result of the granting of a phantom share until payment is made to the participant with respect to the phantom share. When payment is made, the participant generally will recognize ordinary income, and we generally will be entitled to a deduction, equal to the fair market value of the common stock and/or cash, as applicable, received upon payment.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225"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There generally will be no tax consequences as a result of the award of a dividend equivalent. When payment is made, the holder of the dividend equivalent generally will recognize ordinary income, and we generally will be entitled to a deduction, equal to the amount received in respect of the dividend equivalent.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Exchange Act of 1934, as amended</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 special tax rules may apply to those award holders who are subject to the rules set forth in Section 16 of the Securities Exchange Act of 1934, as amended.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grants set forth in the table below have been allocated to each of the following individuals with respect to the additional shares to be reserved for issuance under the Amended 2005 Plan. Except as set forth below, the number of shares that may be granted to our executive officers, non-employee directors and other employees is indeterminable at this time, as such grants are subject to the discretion of our Compensation Committee.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Other Awards</w:t>
            </w: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Under the Plan in Shares</w:t>
            </w:r>
          </w:p>
        </w:tc>
      </w:tr>
      <w:tr>
        <w:trPr>
          <w:trHeight w:val="161"/>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Name of Executive or Group</w:t>
            </w:r>
          </w:p>
        </w:tc>
        <w:tc>
          <w:tcPr>
            <w:tcW w:w="2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(Fungible Units)(1)</w:t>
            </w:r>
          </w:p>
        </w:tc>
      </w:tr>
      <w:tr>
        <w:trPr>
          <w:trHeight w:val="201"/>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Marc Holliday,</w:t>
            </w:r>
          </w:p>
        </w:tc>
        <w:tc>
          <w:tcPr>
            <w:tcW w:w="5300" w:type="dxa"/>
            <w:vAlign w:val="bottom"/>
            <w:gridSpan w:val="2"/>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0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96,343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(158,966)</w:t>
            </w:r>
          </w:p>
        </w:tc>
      </w:tr>
      <w:tr>
        <w:trPr>
          <w:trHeight w:val="208"/>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0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040" w:type="dxa"/>
            <w:vAlign w:val="bottom"/>
          </w:tcPr>
          <w:p>
            <w:pPr>
              <w:jc w:val="right"/>
              <w:ind w:right="118"/>
              <w:spacing w:after="0"/>
              <w:rPr>
                <w:sz w:val="20"/>
                <w:szCs w:val="20"/>
                <w:color w:val="auto"/>
              </w:rPr>
            </w:pPr>
            <w:r>
              <w:rPr>
                <w:rFonts w:ascii="Arial" w:cs="Arial" w:eastAsia="Arial" w:hAnsi="Arial"/>
                <w:sz w:val="18"/>
                <w:szCs w:val="18"/>
                <w:color w:val="auto"/>
              </w:rPr>
              <w:t>42,498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(70,122)</w:t>
            </w:r>
          </w:p>
        </w:tc>
      </w:tr>
      <w:tr>
        <w:trPr>
          <w:trHeight w:val="210"/>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Investment Officer</w:t>
            </w:r>
          </w:p>
        </w:tc>
        <w:tc>
          <w:tcPr>
            <w:tcW w:w="10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67,997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(112,195)</w:t>
            </w:r>
          </w:p>
        </w:tc>
      </w:tr>
      <w:tr>
        <w:trPr>
          <w:trHeight w:val="208"/>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Gregory F. Hughes,</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0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 and Chief Financial Officer</w:t>
            </w:r>
          </w:p>
        </w:tc>
        <w:tc>
          <w:tcPr>
            <w:tcW w:w="1040" w:type="dxa"/>
            <w:vAlign w:val="bottom"/>
          </w:tcPr>
          <w:p>
            <w:pPr>
              <w:jc w:val="right"/>
              <w:ind w:right="118"/>
              <w:spacing w:after="0"/>
              <w:rPr>
                <w:sz w:val="20"/>
                <w:szCs w:val="20"/>
                <w:color w:val="auto"/>
              </w:rPr>
            </w:pPr>
            <w:r>
              <w:rPr>
                <w:rFonts w:ascii="Arial" w:cs="Arial" w:eastAsia="Arial" w:hAnsi="Arial"/>
                <w:sz w:val="18"/>
                <w:szCs w:val="18"/>
                <w:color w:val="auto"/>
              </w:rPr>
              <w:t>42,498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(70,122)</w:t>
            </w:r>
          </w:p>
        </w:tc>
      </w:tr>
      <w:tr>
        <w:trPr>
          <w:trHeight w:val="210"/>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Legal Officer and General Counsel</w:t>
            </w:r>
          </w:p>
        </w:tc>
        <w:tc>
          <w:tcPr>
            <w:tcW w:w="10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18,146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(29,941)</w:t>
            </w: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1040" w:type="dxa"/>
            <w:vAlign w:val="bottom"/>
          </w:tcPr>
          <w:p>
            <w:pPr>
              <w:jc w:val="right"/>
              <w:ind w:right="118"/>
              <w:spacing w:after="0"/>
              <w:rPr>
                <w:sz w:val="20"/>
                <w:szCs w:val="20"/>
                <w:color w:val="auto"/>
              </w:rPr>
            </w:pPr>
            <w:r>
              <w:rPr>
                <w:rFonts w:ascii="Arial" w:cs="Arial" w:eastAsia="Arial" w:hAnsi="Arial"/>
                <w:sz w:val="18"/>
                <w:szCs w:val="18"/>
                <w:color w:val="auto"/>
              </w:rPr>
              <w:t>267,782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(441,345)</w:t>
            </w: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All current employees who are not executive officers, as a group</w:t>
            </w:r>
          </w:p>
        </w:tc>
        <w:tc>
          <w:tcPr>
            <w:tcW w:w="1040" w:type="dxa"/>
            <w:vAlign w:val="bottom"/>
          </w:tcPr>
          <w:p>
            <w:pPr>
              <w:jc w:val="right"/>
              <w:ind w:right="118"/>
              <w:spacing w:after="0"/>
              <w:rPr>
                <w:sz w:val="20"/>
                <w:szCs w:val="20"/>
                <w:color w:val="auto"/>
              </w:rPr>
            </w:pPr>
            <w:r>
              <w:rPr>
                <w:rFonts w:ascii="Arial" w:cs="Arial" w:eastAsia="Arial" w:hAnsi="Arial"/>
                <w:sz w:val="18"/>
                <w:szCs w:val="18"/>
                <w:color w:val="auto"/>
              </w:rPr>
              <w:t>151,084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(249,289)</w:t>
            </w:r>
          </w:p>
        </w:tc>
      </w:tr>
      <w:tr>
        <w:trPr>
          <w:trHeight w:val="102"/>
        </w:trPr>
        <w:tc>
          <w:tcPr>
            <w:tcW w:w="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LTIP Units to be granted under the 2010 Notional Unit Plan, subject to the terms thereof, upon approval of the Amended 2005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RATIFICATION OF APPOINTMENT OF INDEPENDENT REGISTERED PUBLIC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ACCOUNTING FIRM</w:t>
      </w:r>
    </w:p>
    <w:p>
      <w:pPr>
        <w:spacing w:after="0" w:line="21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2010, subject to ratification by our stockholders.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2010 annual meeting. If the stockholders fail to ratify the appointment of Ernst &amp; Young LLP, the Audit Committee will reconsider the matter, taking into consideration the stockholder vote on the ratification and the advisability of appointing a new independent registered public accounting firm prior to the completion of the 2010 audit and may decide to retain Ernst &amp; Young LLP notwithstanding the vote.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7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all of the votes cast at the annual meeting at which a quorum is present is required for the ratification of the appointment of Ernst &amp;</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Young LLP as our independent registered public accounting firm for the fiscal year ending December 31, 2010. We will treat abstentions as shares that are present and entitled to vote for purposes of determining the presence or absence of a quorum. Abstentions do not constitute a vote "for," "against" or "withheld" and will not be counted as "votes cast". Therefore, abstentions will have no effect on this proposal, assuming a quorum is present.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$2,665,626 in fiscal year 2009 and $2,622,400 in fiscal year 2008. Audit fees include fees associated with our annual audit and the reviews of our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approximately half of the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Fees for audit-related services totaled approximately $91,250 in 2009 and $71,900 in 2008. The audit-related services principally include fees for operating expense audits. In addition, the audit-related services include fees for agreed-upon procedures projects and acquisition due diligence.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2009 or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all other services not included above in 2009 or in 2008.</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Our Audit Committee must pre-approve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approved by our Audit Committee pursuant to this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All services provided by Ernst &amp; Young LLP in 2009 were pre-approved by our Audit Committee. Our Audit Committee may delegate to one or more of its members who is an independent director the authority to grant pre-approvals.</w:t>
      </w:r>
    </w:p>
    <w:p>
      <w:pPr>
        <w:spacing w:after="0" w:line="166"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our independent registered public accounting firm.</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report of the Audit Committee of the Board regarding the responsibilities and functions of our Audit Committee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2009 with management, including a discussion of the quality, not just the acceptability, of the accounting principles, the reasonableness of significant judgments and the clarity of disclosures in the financial statements.</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Audit Committee reviewed and discussed with Ernst &amp; Young LLP, our independent registered public accounting firm, who is responsible for auditing our financial statements and for expressing an opinion on the conformity of those audited financial statements with accounting principles generally accepted in the United States, their judgments as to the quality, not just the acceptability, of our accounting principles and such other matters as are required to be discussed with the Audit Committee under Statement on Auditing Standards No. 61, as adopted by the Public Company Accounting Oversight Board in Rule 3200T. Our Audit Committee received from Ernst &amp; Young LLP the written disclosures and the letter required by the applicable requirements of the Public Company Accounting Oversight Board regarding communications with the Audit Committee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Audit Committee discussed with Ernst &amp; Young LLP the overall scope and plans for their audit. Our Audit Committee met with Ernst &amp; Young LLP,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6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reliance on the reviews and discussions referred to above, but subject to the limitations on the role and responsibilities of our Audit Committee referred in the Report, our Audit Committee recommended to the Board (and the Board has approved) that the audited financial statements be included in the Annual Report on Form 10-K for the year ended December 31, 2009 for filing with the SEC.</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Board has determined that each member of our Audit Committee is financially literate and has accounting or related financial management expertise, as such qualifications are defined under the rules of the New York Stock Exchange. The Board also has determined that our Audit Committee has at least one "audit committee financial expert," as defined in Item 401(h) of Securities and Exchange Commission Regulation S-K, such expert being Mr. Edwin Thomas Burton, III, and that he is "independent," as that term is used in Item 7(d)(3)(iv) of Schedule 14A under the Securities Exchange Act of 1934, as amended.</w:t>
      </w:r>
    </w:p>
    <w:p>
      <w:pPr>
        <w:spacing w:after="0" w:line="16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Our Audit Committee held ten meetings during fiscal year 2009 (including sessions with only non-management directors attending after certain of these meetings). The members of our Audit Committee are not engaged professionally in the practice of auditing or accounting.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(United States), that the financial statements are presented in accordance with accounting principles generally accepted in the United States or that our registered public accounting firm is in fact "independent."</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H. Alschuler, Jr.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We are committed to operating our business under strong and accountable corporate governance practices. You are encouraged to visit the "Investors— Corporate Governance" section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Ethics, Corporate Governance Guidelines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corporate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Board has adopted Corporate Governance Guidelines that address significant issues of corporate governance and set forth procedures by which the Board carries out its responsibilities. Among the areas addressed by the Corporate Governance Guidelines are categorical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among other things, for assessing and periodically reviewing the adequacy of the Corporate Governance Guidelines and will recommend, as appropriate, proposed changes to the Board.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Corporate Governance Guidelines provide that a majority of our directors serving on the Board must be independent as required by the listing standards of the NYSE and the applicable rules promulgated by the SEC. In addition, the Board has adopted categorical director independence standards that assist the Board in making its determinations with respect to the independence of directors. These standards are included in this proxy statement as Appendix B.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and John S. Levy. The Board has determined that Messrs. Green and Holliday, our two other directors, are not independent because they are also executive officers of the Company.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The Board has adopted a Code of Ethics that applies to our directors, executive officers and employees. The Code of Ethics is designed to assist our directors, executive officers and employees in complying with law,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and harassment and health and safety.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Board has determined that Edwin T. Burton, III is our "audit committee financial expert," as defined in Item 401(h) of SEC Regulation S-K, and that he is "independent," as that term is used in Item 7(d)(3)(iv) of Schedule 14A under the Securities Exchange Act of 1934, as amended. Mr. Burton has agreed to serve as our audit committee financial expert.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Messrs. Holliday and Green attended the annual meeting of stockholders held on June 11, 2009.</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making recommendations to the Board, our Nominating and Corporate Governance Committee considers such factors as it deems appropriate. These factors may include judgment, skill, diversity, experience with businesses and other organizations comparable to the Company, the interplay of the candidate's experience with the experience of other Board members, the candidate's industry knowledge and experience, the ability of a nominee to devote sufficient time to the affairs of the Company, any actual or potential conflicts of interest and the extent to which the candidate generally would be a desirable addition to the Board and any committees of the Board.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60" w:firstLine="348"/>
        <w:spacing w:after="0" w:line="370" w:lineRule="auto"/>
        <w:rPr>
          <w:sz w:val="20"/>
          <w:szCs w:val="20"/>
          <w:color w:val="auto"/>
        </w:rPr>
      </w:pPr>
      <w:r>
        <w:rPr>
          <w:rFonts w:ascii="Arial" w:cs="Arial" w:eastAsia="Arial" w:hAnsi="Arial"/>
          <w:sz w:val="15"/>
          <w:szCs w:val="15"/>
          <w:color w:val="auto"/>
        </w:rPr>
        <w:t>While the Nominating and Corporate Governance Committee does not have a written diversity policy, it considers diversity of knowledge, skills, professional experience, education, expertise, and representation in industries relevant to the Company, as factors as it evaluates director candidates.</w:t>
      </w:r>
    </w:p>
    <w:p>
      <w:pPr>
        <w:spacing w:after="0" w:line="11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should follow the procedures outlined under "Stockholder Proposals" in this proxy statement and should provide the reasons supporting a candidate's recommendation, the candidate's qualifications and the candidate's written consent to being considered as a director nominee. No director candidates were recommended by our stockholders for election at the 2010 annual meeting.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In accordance with the Corporate Governance Guidelines, the non-management directors serving on the Board generally meet in an executive session after each regularly scheduled meeting of the Audit Committee without the presence of any directors or other persons who are part of our management. The executive sessions are regularly chaired by the chair of the Board committee (other than the Executive Committee) having jurisdiction over the particular subject matter to be discussed at the particular session or portion of a session.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 the members are aware that should be considered for disclosure in our public SEC filings. Our Disclosure Committee reports to our Chief Executive Officer and Chief Financial Officer.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Majority Voting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February 19, 2010, we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policy, the Board will take formal action on the recommendation no later than 90 days following the date of the stockholders' meeting.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noted above, our Board currently is comprised of three independent and two employee directors. Mr. Green has served as Chairman of the Board since 1997 and serves as an executive officer, working in conjunction with Mr. Holliday, our Chief Executive Officer. The Board has designated Mr. Alschuler, one of the independent directors, as Lead Independent Director. We believe that the number of independent, experienced directors that make up our Board, along with the independent oversight of our Lead Independent Director, benefits the Company and its stockholders.</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suppliers, customers and other stakeholders that the Company is under strong leadership, coordinated closely between a separate Chief Executive Officer and Chairman of the Board. In our judgment, the Company, like many U.S. companies, has been well-served by this leadership structure.</w:t>
      </w:r>
    </w:p>
    <w:p>
      <w:pPr>
        <w:spacing w:after="0" w:line="167" w:lineRule="exact"/>
        <w:rPr>
          <w:sz w:val="20"/>
          <w:szCs w:val="20"/>
          <w:color w:val="auto"/>
        </w:rPr>
      </w:pPr>
    </w:p>
    <w:p>
      <w:pPr>
        <w:ind w:right="60" w:firstLine="348"/>
        <w:spacing w:after="0" w:line="306" w:lineRule="auto"/>
        <w:rPr>
          <w:sz w:val="20"/>
          <w:szCs w:val="20"/>
          <w:color w:val="auto"/>
        </w:rPr>
      </w:pPr>
      <w:r>
        <w:rPr>
          <w:rFonts w:ascii="Arial" w:cs="Arial" w:eastAsia="Arial" w:hAnsi="Arial"/>
          <w:sz w:val="15"/>
          <w:szCs w:val="15"/>
          <w:color w:val="auto"/>
        </w:rPr>
        <w:t>To facilitate the role of the Independent Directors, the Board has determined that it is appropriate for the Independent Directors to elect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 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currently is serving as the Lead Independent Director.</w:t>
      </w:r>
    </w:p>
    <w:p>
      <w:pPr>
        <w:spacing w:after="0" w:line="16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Board conducts an annual evaluation in order to determine whether it and its committees are functioning effectively. As part of this annual self-evaluation, the Board evaluates whether the current leadership structure continues to be optimal for the Company and its stockholders. Our Corporate Governance Guidelines provide the flexibility for our Board to modify or continue our leadership structure in the future, as it deems appropriate.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has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the Compensation Committee considers the risks to the Company's stockholders and to achievement of our goals that may be inherent in the Company's compensation program.</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our Board leadership structure supports this approach.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31"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color w:val="auto"/>
        </w:rPr>
        <w:t>On April 27, 2010, we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16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Throughout this proxy statement, the individuals who served as our Chief Executive Officer and Chief Financial Officer during our 2009 fiscal year, as well as the other individuals included in the "Summary Compensation Table" on page 45, are referred to as the "named executive officers," or our "executives."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While the global and domestic public equity markets rebounded in 2009 off historic lows, the REIT industry continued to face difficult operating conditions in 2009, marked by further sustained layoffs throughout various sectors of the economy and rising unemployment levels, persisting dislocations in the debt markets and lowered demand for various types of commercial real estate, including office space. Notwithstanding these difficult economic conditions, we achieved several important goals in 2009, including (i) annual total return to stockholders ("TRS") of approximately 102%, which placed us at the very top of our peer group, (ii) as of December 31, 2009, a Manhattan combined same store occupancy rate of 95.8%, compared to an overall Manhattan occupancy rate of 88%, and an occupancy rate of 88.7% for our Suburban portfolio as compared to a weighted average occupancy rate for the markets comprising the suburban portfolio of 85.1%, (iii) successful completion of an approximately $405 million capital offering in May 2009, (iv) continued execution of a prudent risk- and debt-management strategy that included the repurchase of outstanding unsecured notes and convertible bonds, which resulted in a gain to stockholders of approximately $86 million due to the early extinguishment of debt and (v) "same store" net operating income growth of approximately 3.7%. In keeping with our strong pay-for-performance policy, the following actions were taken during fiscal year 2009 or shortly after the end of fiscal year 2009:</w:t>
      </w:r>
    </w:p>
    <w:p>
      <w:pPr>
        <w:spacing w:after="0" w:line="190" w:lineRule="exact"/>
        <w:rPr>
          <w:sz w:val="20"/>
          <w:szCs w:val="20"/>
          <w:color w:val="auto"/>
        </w:rPr>
      </w:pPr>
    </w:p>
    <w:p>
      <w:pPr>
        <w:ind w:left="10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the Company's industry-leading TRS performance and sound fundamental operating performance, 2009 cash bonuses awarded by the Compensation Committee to our named executive officers were generally approximately -5% to -16% below 2008 levels, which the Compensation Committee determined was prudent and appropriate given the continued challenging operating environment, yet adequate to reward management for its strong performance;</w:t>
      </w:r>
    </w:p>
    <w:p>
      <w:pPr>
        <w:spacing w:after="0" w:line="224"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direct compensation levels for 2009 for our named executive officers were higher than 2008 levels, which was strictly due to equity awards granted to the officers in 2009 as part of the Company's continued efforts to ensure strong alignment of management and stockholder interests; however, 2009 total direct compensation for such individuals remained approximately 30% to 45% below our 2007 peak total direct compensation levels, which was prior to the global economic downturn;</w:t>
      </w:r>
    </w:p>
    <w:p>
      <w:pPr>
        <w:spacing w:after="0" w:line="210"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part of our Compensation Committee's monitoring and review of evolving "best practices," at year-end 2009, as part of the execution of a new employment agreement with our Chief Executive Officer, we eliminated, on a prospective basis, the practice of providing excise tax gross-up provisions in executive employment agreements with respect to payments and benefits received in connection with a change in control, and additionally modified the conditions 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306" w:lineRule="auto"/>
        <w:rPr>
          <w:sz w:val="20"/>
          <w:szCs w:val="20"/>
          <w:color w:val="auto"/>
        </w:rPr>
      </w:pPr>
      <w:r>
        <w:rPr>
          <w:rFonts w:ascii="Arial" w:cs="Arial" w:eastAsia="Arial" w:hAnsi="Arial"/>
          <w:sz w:val="16"/>
          <w:szCs w:val="16"/>
          <w:color w:val="auto"/>
        </w:rPr>
        <w:t>which such payments and benefits would be paid in connection with a change in control from a single trigger to a double trigger. The elimination of excise tax gross-up payments and the modification of the change of control payment conditions from a single to a double trigger will be applicable to any new or materially amended employment agreements entered into with our named executive officers; and</w:t>
      </w:r>
    </w:p>
    <w:p>
      <w:pPr>
        <w:spacing w:after="0" w:line="174" w:lineRule="exact"/>
        <w:rPr>
          <w:sz w:val="20"/>
          <w:szCs w:val="20"/>
          <w:color w:val="auto"/>
        </w:rPr>
      </w:pPr>
    </w:p>
    <w:p>
      <w:pPr>
        <w:ind w:left="10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2009, we adopted the 2010 Notional Unit Long-Term Compensation Program ("2010 Notional Unit Plan"), under which participants have the opportunity to earn equity awards if and only if designated share appreciation targets are achieved over a three-year performance period and so long as the participants remain employees of the Company for a three to five year period, thus further creating alignment of management and stockholder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has adopted an executive compensation philosophy designed to achieve the following objectives:</w:t>
      </w:r>
    </w:p>
    <w:p>
      <w:pPr>
        <w:spacing w:after="0" w:line="25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performance-based incentives that create a strong alignment of management and stockholder interests;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attract and retain leadership talent in a market that remains highly competitive for New York City commercial real estate management talent;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achieve an appropriate balance between risk and reward in our compensation programs that does not incentivize unnecessary or excessive risk taking.</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order to reach these goals, our Compensation Committee, in consultation with our Chief Executive Officer and independent compensation consultant, has adopted executive compensation practices that follow a pay-for-performance philosophy. Our primary business objective of maximizing TRS through growth in funds from operations ("FFO") while seeking appreciation in the value of our investment properties demands a long-term focus. Our executive compensation programs, therefore, both currently and historically, have been based heavily on the achievement of both annual and multi-year performance measures.</w:t>
      </w:r>
    </w:p>
    <w:p>
      <w:pPr>
        <w:spacing w:after="0" w:line="167"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 substantial portion of the named executive officers' compensation has been provided in the form of equity subject to significant back-ended vesting requirements. These equity incentives were designed in order to (i) ensure that management maintains a long-term focus that serves the best interests of stockholders and (ii) attract, retain and motivate an experienced and talented executive management team in the highly competitive New York City commercial real estate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Our Compensation Committee determines compensation for our named executive officers and is comprised of our three independent directors, John H. Alschuler, Jr. (Chairman), Edwin Thomas Burton, III and John S. Levy. Our Compensation Committee exercises independent discretion in respect of executive compensation matters and administers our equity incentive programs, including reviewing and approving equity grants to our executives pursuant to our Amended and Restated 2005 Stock Option and Incentive Plan (our "2005 Plan"). Our Compensation Committee operates under a written charter adopted by the Board, a copy of which is available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Compensation Committee has retained Gressle &amp; McGinley LLC as its independent outside compensation consulting firm and has engaged Gressle &amp; McGinley to provide the Compensation Committee with relevant data concerning the marketplace, our peer group and its own independent analysis and recommendations concerning executive compensation. Gressle &amp; McGinley regularly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participates in Compensation Committee meetings. Our Compensation Committee has the authority to replace Gressle &amp; McGinley as its independent outside compensation consultant or hire additional consultants at any time. Gressle &amp; McGinley does not provide any additional services either to our Compensation Committee or otherwise to the Company.</w:t>
      </w:r>
    </w:p>
    <w:p>
      <w:pPr>
        <w:spacing w:after="0" w:line="194"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 respect to the compensation of our named executive officers, our Compensation Committee solicits recommendations from our Chief Executive Officer regarding total compensation for the other named executive officers and reviews his recommendations regarding total compensation, the allocation of this compensation among base salary, annual bonus amounts and other long-term incentive compensation, as well as the portion of overall compensation to be provided in cash or equity. Our Chairman also advises our Compensation Committee on these matters as they pertain to the compensation of our Chief Executive Officer. The Company's advisor FTI Schonbraun McCann Group, a real estate advisory firm, also advises the Chief Executive Officer and Chairman with regard to the above-described compensation recommendations and provides data to them. The recommendations with respect to compensation are formulated by our Chief Executive Officer and Chairman and are communicated to our Compensation Committee by them along with such advice and data from the Company's advisor. Such recommendations also are communicated to our Compensation Committee by the Company's advisor. The other named executive officers do not play a role in determining their own compensation, other than discussing their performance with our Chief Executive Officer. In analyzing these recommendations, our Compensation Committee also reviews materials and data provided by the Committee's independent consulting firm, Gressle &amp; McGinley, as well as the analysis and recommendations provided by that firm. In making compensation decisions, our Compensation Committee considers the cash compensation and the after-tax value of stock that vested during the fiscal year. The ultimate determination of total compensation and the elements that comprise that total compensation is made solely by our Compensation Committee.</w:t>
      </w:r>
    </w:p>
    <w:p>
      <w:pPr>
        <w:spacing w:after="0" w:line="17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Compensation Committee meets during the year to evaluate executive performance, to monitor market conditions in light of our goals and objectives, to solicit input from our independent compensation consultants on market practices, including peer group pay practices, and new developments and to review our executive compensation practices. As part of these meetings, in formulation of its executive compensation policies and practices for 2009, the Compensation Committee reviewed then-existing policies of the RiskMetrics Group and other governance groups. The Compensation Committee periodically reviews our executive compensation policies and practices to insure that such policies are in line with current market practices. Our Compensation Committee makes regular reports to the Board.</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named executive officers' compensation and performance for 2009 was evaluated on both an absolute basis and by reference to a "peer group" that was selected based upon the following characteristics: (i) industry sector/business model; (ii) equity market capitalization; (iii) peer group continuity from year to year; (iv) peer group utilized for performance review; and (v) geographic location. However, peer groups are used only as a point of reference; our Compensation Committee does not specifically target a percentile or range of percentiles when determining executive compensation. Further, the Compensation Committee does not determine compensation formulaically based on the attainment of pre-determined performance hurdles (other than performance-based share grants and awards earned under our Outperformance Plans and 2010 Notional Unit Plan, as described in detail below), but rather the Committee retains discretion to set compensation at levels it deems appropriate based on Company and individual performance and prevailing market practices. Depending upon the Company's business and individual performance results, a named executive officer's total direct compensation may be within, below or above the market range for that position. The peer group for named executive officer compensation consisted of the following 14 REITs: Alexandria Real Estate Equities, Inc.; AMB Property Corporation; Boston Properties, Inc.; Brandywine Realty Trust; Corporate Office Properties Trust Inc.; Douglas Emmett, Inc.; Duke Realty Corporation; iStar Financial Inc.; Kilroy Realty Corporation; Lexington Realty Trust; Liberty Property Trust; Mack-Cali Realty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Corporation; ProLogis Trust; and Vornado Realty Trust. During fiscal year 2009, the composition of the peer group that we used in 2008 was re-evaluated, and, as a result, First Industrial Realty Trust, Inc. was removed due to significant year-over-year turnover in its executive management team.</w:t>
      </w:r>
    </w:p>
    <w:p>
      <w:pPr>
        <w:spacing w:after="0" w:line="139" w:lineRule="exact"/>
        <w:rPr>
          <w:sz w:val="20"/>
          <w:szCs w:val="20"/>
          <w:color w:val="auto"/>
        </w:rPr>
      </w:pPr>
    </w:p>
    <w:p>
      <w:pPr>
        <w:ind w:right="120" w:firstLine="341"/>
        <w:spacing w:after="0" w:line="253" w:lineRule="auto"/>
        <w:rPr>
          <w:sz w:val="20"/>
          <w:szCs w:val="20"/>
          <w:color w:val="auto"/>
        </w:rPr>
      </w:pPr>
      <w:r>
        <w:rPr>
          <w:rFonts w:ascii="Arial" w:cs="Arial" w:eastAsia="Arial" w:hAnsi="Arial"/>
          <w:sz w:val="18"/>
          <w:szCs w:val="18"/>
          <w:color w:val="auto"/>
        </w:rPr>
        <w:t>Additionally, in order to be more exhaustive and evaluate a broader scope of information in connection with the compensation of our Chief Executive Officer, a selective chief executive officer peer group was utilized as a reference point by our Compensation Committee for 2009 that consisted of the following 11 companies: Annaly Mortgage Management, Inc.; Boston Properties, Inc.; CapitalSource, Inc.; Healthcare Property Investors, Inc.; iStar Financial Inc.; Kilroy Realty Corporation; Maguire Properties, Inc.; NorthStar Realty Finance Corporation; Public Storage, Inc.; Starwood Hotels &amp; Resorts Worldwide; and Vornado Realty Trust. During fiscal year 2009, the composition of the selective chief executive officer peer group was re-evaluated and Douglas Emmett, Inc., Marriott International, Inc., MGM Mirage Incorporated, Ventas, Inc. and Wynn Resorts, Limited, companies that formed part of the 2008 peer group, were removed and were replaced for 2009 with Boston Properties, Inc., Healthcare Property Investors, Inc., Maguire Properties, Inc., Public Storage, Inc. and Starwood Hotels &amp; Resorts Worldwide.</w:t>
      </w:r>
    </w:p>
    <w:p>
      <w:pPr>
        <w:spacing w:after="0" w:line="199"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Further, consistent with prior years, our Compensation Committee recognized that our primary peer group contained an insufficient number of executive chairmen and therefore, in order to be more exhaustive and evaluate a broader scope of information in connection with the compensation of our Executive Chairman, a selective chairman peer group was also utilized as a reference point for 2009 that was comprised of executives who function exclusively as chairman and not as chief executive officer. For 2009, the selective chairman peer group consisted of the following 9 companies: Ashford Hospital Trust, Inc.; Boston Properties, Inc.; Digital Realty Trust, Inc.; Douglas Emmett, Inc.; Hersha Hospitality Trust; Host Hotels &amp; Resorts, Inc.; Lexington Realty Trust; W.P.</w:t>
      </w:r>
    </w:p>
    <w:p>
      <w:pPr>
        <w:spacing w:after="0" w:line="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Carey &amp; Co. LLC; and Weingarten Realty Investors. During fiscal year 2009, in order to ensure that this peer group continues to consist of companies with executives who function exclusively as chairman and not as chief executive officer, the peer group was re-evaluated and, as a result, Washington Real Estate Investment Trust, which formed part of the 2008 peer group, was removed.</w:t>
      </w:r>
    </w:p>
    <w:p>
      <w:pPr>
        <w:spacing w:after="0" w:line="19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i w:val="1"/>
          <w:iCs w:val="1"/>
          <w:color w:val="auto"/>
        </w:rPr>
        <w:t xml:space="preserve">Analysis of Risk Associated with Our Executive Compensation Plans. </w:t>
      </w:r>
      <w:r>
        <w:rPr>
          <w:rFonts w:ascii="Arial" w:cs="Arial" w:eastAsia="Arial" w:hAnsi="Arial"/>
          <w:sz w:val="16"/>
          <w:szCs w:val="16"/>
          <w:color w:val="auto"/>
        </w:rPr>
        <w:t>In setting compensation, our Compensation Committee also considers the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stockholders and to achievement of our goals that may be inherent in the compensation program. At the direction of our Compensation Committee, our Board conducted a risk assessment of our compensation programs, including our executive compensation programs. The Compensation Committee and its compensation consultant, Gressle &amp; McGinley, reviewed and discussed the findings of this assessment and concluded that our compensation programs are designed with the appropriate balance of risk and reward in relation to our overall business strategy and do not encourage executives to take unnecessary or excessive risks. Although a significant portion of our executive's compensation is performance-based and "at-risk," we believe our executive compensation plans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186" w:lineRule="exact"/>
        <w:rPr>
          <w:sz w:val="20"/>
          <w:szCs w:val="20"/>
          <w:color w:val="auto"/>
        </w:rPr>
      </w:pPr>
    </w:p>
    <w:p>
      <w:pPr>
        <w:ind w:left="108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evaluate performance based upon the achievement of a variety of business objectives and goals including, without limitation, strength of our balance sheet, FFO growth, occupancy and leasing rates, TRS performance and completion of successful debt and equity offerings, that we believe correlate to long-term creation of stockholder value and that are affected by management decisions;</w:t>
      </w:r>
    </w:p>
    <w:p>
      <w:pPr>
        <w:spacing w:after="0" w:line="187" w:lineRule="exact"/>
        <w:rPr>
          <w:rFonts w:ascii="Arial" w:cs="Arial" w:eastAsia="Arial" w:hAnsi="Arial"/>
          <w:sz w:val="16"/>
          <w:szCs w:val="16"/>
          <w:color w:val="auto"/>
        </w:rPr>
      </w:pPr>
    </w:p>
    <w:p>
      <w:pPr>
        <w:ind w:left="1080" w:right="62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material component of our equity compensation mix is restricted stock, which, when compared to stock options or other market-based performance equity compensation vehicles, retains value even in a depressed market and thus provides executives with a baseline of value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that lessens the likelihood that executives will take unreasonable risks to get, or keep, their options or other market-based performance vehicles "in-the-money";</w:t>
      </w:r>
    </w:p>
    <w:p>
      <w:pPr>
        <w:spacing w:after="0" w:line="199" w:lineRule="exact"/>
        <w:rPr>
          <w:sz w:val="20"/>
          <w:szCs w:val="20"/>
          <w:color w:val="auto"/>
        </w:rPr>
      </w:pPr>
    </w:p>
    <w:p>
      <w:pPr>
        <w:ind w:left="1080" w:right="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provide a significant portion of long-term incentive compensation in the form of Long-Term Incentive Awards. The amounts ultimately earned under these awards are tied to how we perform over a three-to-five-year period, which focuses management on sustaining our long-term performance;</w:t>
      </w:r>
    </w:p>
    <w:p>
      <w:pPr>
        <w:spacing w:after="0" w:line="221"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Assuming achievement of at least a minimum level of performance, payouts under our performance-based awards may result in some compensation at levels below full target achievement, rather than an "all-or-nothing" approach;</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Compensation Committee's ability to consider non-financial and other qualitative performance factors in determining actual compensation payouts;</w:t>
      </w:r>
    </w:p>
    <w:p>
      <w:pPr>
        <w:spacing w:after="0" w:line="199" w:lineRule="exact"/>
        <w:rPr>
          <w:rFonts w:ascii="Arial" w:cs="Arial" w:eastAsia="Arial" w:hAnsi="Arial"/>
          <w:sz w:val="18"/>
          <w:szCs w:val="18"/>
          <w:color w:val="auto"/>
        </w:rPr>
      </w:pPr>
    </w:p>
    <w:p>
      <w:pPr>
        <w:jc w:val="both"/>
        <w:ind w:left="1080" w:right="24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Through providing a significant portion of each executive's annual compensation in the form of stock-based compensation, our executives have built sizable holdings of equity in the Company, which aligns an appropriate portion of their personal wealth to our long-term performance; and</w:t>
      </w:r>
    </w:p>
    <w:p>
      <w:pPr>
        <w:spacing w:after="0" w:line="143" w:lineRule="exact"/>
        <w:rPr>
          <w:rFonts w:ascii="Arial" w:cs="Arial" w:eastAsia="Arial" w:hAnsi="Arial"/>
          <w:sz w:val="15"/>
          <w:szCs w:val="15"/>
          <w:color w:val="auto"/>
        </w:rPr>
      </w:pPr>
    </w:p>
    <w:p>
      <w:pPr>
        <w:ind w:left="1080" w:right="14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39" w:lineRule="exact"/>
        <w:rPr>
          <w:sz w:val="20"/>
          <w:szCs w:val="20"/>
          <w:color w:val="auto"/>
        </w:rPr>
      </w:pPr>
    </w:p>
    <w:p>
      <w:pPr>
        <w:jc w:val="both"/>
        <w:ind w:right="380"/>
        <w:spacing w:after="0" w:line="305" w:lineRule="auto"/>
        <w:rPr>
          <w:sz w:val="20"/>
          <w:szCs w:val="20"/>
          <w:color w:val="auto"/>
        </w:rPr>
      </w:pPr>
      <w:r>
        <w:rPr>
          <w:rFonts w:ascii="Arial" w:cs="Arial" w:eastAsia="Arial" w:hAnsi="Arial"/>
          <w:sz w:val="15"/>
          <w:szCs w:val="15"/>
          <w:color w:val="auto"/>
        </w:rPr>
        <w:t>In sum, our executive compensation program is structured so that (i) we avoid the type of disproportionately large short-term incentives that could encourage executives to take risks that may not be in the Company's long-term interests, (ii) we provide incentives to manage the Company for long-term performance,</w:t>
      </w:r>
    </w:p>
    <w:p>
      <w:pPr>
        <w:ind w:firstLine="8"/>
        <w:spacing w:after="0" w:line="361" w:lineRule="auto"/>
        <w:tabs>
          <w:tab w:leader="none" w:pos="30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have adopted a policy for recoupment of incentive payments under certain circumstances and (iv) a considerable amount of the wealth of our executives is tied to the long-term success of the Company. We believe this combination of factors encourages our executives to manage the Company in a prudent manner.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Our Compensation Program is Designed to Reward</w:t>
      </w:r>
    </w:p>
    <w:p>
      <w:pPr>
        <w:spacing w:after="0" w:line="225"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noted above, our Compensation Committee has designed our executive compensation program to achieve the following objectives: (i) to provide performance-based incentives to align management and stockholder interests and (ii) to attract and retain leadership talent in the New York City real estate market that remains highly competitive for management talent, while (iii) ensuring that our executive compensation programs do not encourage unnecessary or excessive risk taking. Our compensation program rewards the achievement of annual, long-term and strategic goals of both the Company and the individual executive. Our Compensation Committee evaluates performance on an absolute basis against financial and other measures, as well as on a relative basis by comparing the Company's performance against other office REITs and against the REIT industry generally. Comparative performance is an important metric since market conditions may affect the ability to meet specific performance criteria. Historically, our Compensation Committee has structured our compensation program so that half or more of the total compensation provided to our named executive officers has been provided in the form of equity incentive compensation based on the superior long-term performance of the Company. Our equity awards have taken the form of incentive awards under our 2006 Outperformance Plan, 2005 Outperformance Plan and 2003 Outperformance Plan (collectively, our "Outperformance Plans") and our restricted stock and option grants under our 2005 Plan. The remainder of the incentive award is paid in cash. To address our retention objective, a substantial portion of long-term performance-based awards have time-based vesting requirements with significant back-end vesting after the award has been earned.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incentive awards, which include cash and equity bonuses; and</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long-term equity incentives, which include restricted stock awards, stock options and long-term performance unit awards, which may be granted pursuant to an employment agreement, our 2005 Plan, our Outperformance Plans and our 2010 Notional Unit Plan.</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overall levels of compensation as well as the allocation between these elements are determined by our Compensation Committee based upon an analysis of the Company's performance during the year. Historically, our compensation has been divided among base salary, cash bonus payments, stock options and restricted stock grants, and multi-year awards under our Outperformance Plans. Restricted share grants and awards under our Outperformance Plans are designed to align management's focus and stockholder interest and to provide incentives for each executive to successfully implement our long-term strategic goals. Our named executive officers have historically received a substantial portion of their compensation in the form of equity of the Company.</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the aforementioned elements of our compensation program that currently are applicable to each of our named executive officers, at year-end 2009, in connection with Mr. Holliday's new employment agreement and the automatic one-year renewal of Mr. Green's employment agreement, the Company entered into deferred compensation agreements with Messrs. Holliday and Green. Under the terms of the agreements, beginning in 2010 Mr. Holliday will receive an annual contribution during each year of his employment agreement, and Mr. Green received a one-time contribution, of deferred notional stock units with a grant date value equal to $450,000 and $150,000, respectively. Upon a qualifying separation from service, Messrs. Holliday and Green will receive a lump-sum cash payment equal to the value of deferred notional units based on the Company's ten-trading day trailing average stock price on the date of separation. By tying the value of the deferred notional units to the future value of the Company, the deferred compensation program further aids in establishing alignment of management and stockholder interests and ensuring the executives remain focused on long-term stockholder value creation. See "Employment and Non-Competition Agreements" on page 52 for additional details concerning the deferred compensation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We Chose Each Element and How Each Element Fits into Our Overall Compensation Objectives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named executive officers and our stockholders. Each of our named executive officers has an employment agreement with us, which is described under "Potential Payments Upon Termination or Change of Control."</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i w:val="1"/>
          <w:iCs w:val="1"/>
          <w:color w:val="auto"/>
        </w:rPr>
        <w:t xml:space="preserve">Annual Base Salary. </w:t>
      </w:r>
      <w:r>
        <w:rPr>
          <w:rFonts w:ascii="Arial" w:cs="Arial" w:eastAsia="Arial" w:hAnsi="Arial"/>
          <w:sz w:val="16"/>
          <w:szCs w:val="16"/>
          <w:color w:val="auto"/>
        </w:rPr>
        <w:t>Our Compensation Committee pays our named executive officers' annual base salaries to compensate them for services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fiscal year. The base salaries for our named executive officers have historically been near or below the median of those in the peer group. We intentionally structure an executive's annual base salary to be a relatively low percentage of total compensation. In 2009, Mr. Holliday was the only named executive officer to receive an increase in his base salary, as his then-current employment agreement contained a provision that required the Company to make bi-annual cost-of-living salary increases, which resulted in an increase in his base salary from $688,490 to $715,341. Mr. Holliday's amended and restated employment agreement, which became effective January 1, 2010, does not provide for cost-of-living salary increases.</w:t>
      </w:r>
    </w:p>
    <w:p>
      <w:pPr>
        <w:spacing w:after="0" w:line="174"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i w:val="1"/>
          <w:iCs w:val="1"/>
          <w:color w:val="auto"/>
        </w:rPr>
        <w:t xml:space="preserve">Annual Incentive Awards. </w:t>
      </w:r>
      <w:r>
        <w:rPr>
          <w:rFonts w:ascii="Arial" w:cs="Arial" w:eastAsia="Arial" w:hAnsi="Arial"/>
          <w:sz w:val="18"/>
          <w:szCs w:val="18"/>
          <w:color w:val="auto"/>
        </w:rPr>
        <w:t>Annual incentive awards are provided in the form of cash bonuses and equity awards designed to focus a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on achieving key corporate financial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objectives (both individually and Company-based), to motivate certain desired individual behaviors and to reward substantial achievement of these objectives and individual goals. While the Compensation Committee does not set specific fixed targets that entitle the executive officers to formulaic bonuses, the named executive officers are made aware, at the beginning of the year, of the business objectives and goals the Committee will consider when evaluating corporate and individual performance and determining annual incentive awards. For 2009, the Compensation Committee considered the following performance criteria, among others, in its determination of annual incentive awards:</w:t>
      </w:r>
    </w:p>
    <w:p>
      <w:pPr>
        <w:spacing w:after="0" w:line="21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return to stockholders, both on an absolute basis and relative to the performance of the peer group and the REIT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Leasing performance and occupancy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markets performance and maintenance of a strong balance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same store net operating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Funds from operations, both on an absolute basis and relative to the performance of the peer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Implementation and achievement of strategic goals, including expense control and adherence to annual budget;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Tenant satisfaction performance relative to local and national markets.</w:t>
      </w:r>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evaluation of 2009 performance and determination of 2009 annual incentive awards is consistent with the Committee's historical practice of linking pay to performance in a non-formulaic manner, thereby providing the Committee the discretion it feels is necessary in order to take into account changing market conditions. For a discussion of 2009 annual incentive payments, see "Measuring 2009 Performance."</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Long-Term Equity Incentives. </w:t>
      </w:r>
      <w:r>
        <w:rPr>
          <w:rFonts w:ascii="Arial" w:cs="Arial" w:eastAsia="Arial" w:hAnsi="Arial"/>
          <w:sz w:val="16"/>
          <w:szCs w:val="16"/>
          <w:color w:val="auto"/>
        </w:rPr>
        <w:t>Long-term equity incentives have been provided to our named executive officers through the grant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stock options and performance awards pursuant to our 2005 Plan, our Outperformance Plans and our 2010 Notional Unit Plan. The grant of equity awards links a named executive officer's compensation and net worth directly to the performance of our stock price. This encourages our named executive officers to make decisions with an ownership mentality. The vesting provisions of these equity awards (generally three to five years) are designed with significant back-end vesting, to act as a retention device and provide a strong incentive to the executives to increase stockholder value long after they performed the services for which the equity awards were initially granted. The awards also contain forfeiture provisions, which result in immediate cancellation of the award if the executive voluntarily leaves or is terminated with cause. For a discussion of these awards, see "Employment and Noncompetition Agreements."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Equity awards under our 2010 Notional Unit Plan are designed to compensate our named executive officers upon the attainment of designated stock price appreciation targets over a three-year performance period and to provide an incentive for executives to remain with the Company and focus on long-term stockholder value creation. Under our 2010 Notional Unit Plan, the executives may earn LTIP Units in our operating partnership, or LTIP Units, contingent upon the achievement of stock price appreciation targets at levels ranging from 25% at the minimum to 50% at the maximum of stock appreciation over a three-year performance period; provided that a portion of such awards may be earned after the first and second years of the performance period contingent upon the achievement of the maximum stock appreciation of 50% for 45 consecutive days. Upon achievement of the designated stock price appreciation thresholds, awards that may be earned under the 2010 Notional Unit Plan will not exceed an aggregate of $75 million, determined at the time of achievement against the stock price appreciation targets. Following such performance period, the date on which such awards have been earned or deemed earned will be subject to two years of additional, time-based vesting requirements.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creates, in the aggregate, up to a five-year retention period with respect to our executives who are participants in the 2010 Notional Unit Plan. See "SL Green Realty Corp. 2010 Notional Unit Plan" on page 49 for additional details concerning the 2010 Notional Unit Plan.</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Equity awards under our prior Outperformance Plans were designed to compensate our named executive officers upon the attainment of certain goals with respect to TRS and to provide an incentive for executives to remain with the Company and focus on long-term stockholder value creation. Under our Outperformance Plans, the executives had the opportunity to earn restricted stock, LTIP Units or other equity-based awards contingent upon the extent to which, if at all, our TRS exceeded a threshold of 10% per annum over a three- or four-year performance period (or earlier upon achieving performance levels that trigger certain acceleration provisions). Upon the achievement of the designated performance thresholds, awards earned under our Outperformance Plans further included time-based vesting requirements following the achievement of the performance thresholds. This created, in the aggregate, up to a seven-year retention period with respect to our executives who are participants in our Outperformance Plans. Even after achieving the performance thresholds, during the remaining three or four years until full vesting, the named executive officers continue to bear the same share price and total return risk as our stockholders. TRS goals have been attained under our 2003 and 2005 Outperformance Plans; accordingly, awards earned under the 2003 Outperformance Plan have fully vested and awards earned under the 2005 Outperformance Plan currently are subject only to such additional time-based vesting requirements.</w:t>
      </w:r>
    </w:p>
    <w:p>
      <w:pPr>
        <w:spacing w:after="0" w:line="17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awards made to our named executive officers under the 2005 Outperformance Plan provide a useful illustration of the Compensation Committee's philosophy of aligning the interests of management with those of our stockholders and the effect of the back-ended vesting requirements included in the various long-term equity awards. In June 2006, as a result of industry-leading TRS, the performance thresholds under the 2005 Outperformance Plan were achieved and surpassed at a time when our stock price was $100.30 per share. The underlying awards, however, remained subject to a vesting schedule with (i) the first tranche of 129,984 units vesting on November 30, 2008, when our stock price was $18.96 per share, a decrease of approximately 81% from the price at which such awards were earned, and (ii) the second tranche of 129,984 units vesting on November 30, 2009, when our stock price was $44.42 per share, a decrease of 55.7% from the price at which such awards were earned and an increase of 134.3% from the price at which the first tranche of units vested. The remaining 129,983 unvested units awarded to our named executive officers under the 2005 Outperformance Plan are scheduled to vest on November 30, 2010, with the ultimate value realized by our named executive officers being dependent on the price of our stock on that date (see "LTIP Units" below for a discussion of the features of this separate class of units of limited partnership interest in our operating partnership).</w:t>
      </w:r>
    </w:p>
    <w:p>
      <w:pPr>
        <w:spacing w:after="0" w:line="17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structure of our 2010 Notional Unit Plan and our Outperformance Plans ties a large portion of a named executive officer's compensation to creation of stockholder value on a long-term basis. As discussed above with respect to the 2005 Outperformance Plan, even after reaching TRS targets, the back-ended vesting feature of the awards creates a strong alignment between management and stockholders and provides our executives with a very strong economic incentive to continue their employment with the Company and maximize our stock price.</w:t>
      </w:r>
    </w:p>
    <w:p>
      <w:pPr>
        <w:spacing w:after="0" w:line="167"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All stock options are priced in accordance with the terms of our 2005 Plan and are based on the price of our common stock at the close of business on the day prior to the date of grant.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Recent Changes in Equity Compensation Practices. </w:t>
      </w:r>
      <w:r>
        <w:rPr>
          <w:rFonts w:ascii="Arial" w:cs="Arial" w:eastAsia="Arial" w:hAnsi="Arial"/>
          <w:sz w:val="18"/>
          <w:szCs w:val="18"/>
          <w:color w:val="auto"/>
        </w:rPr>
        <w:t>The Company has historically provided, pursuant to employment agreements with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income tax gross-up payments relating to restricted stock awards and certain other equity awards. These tax payments were primarily awarded in connection with the vesting of restricted stock in order to avoid requiring the named executive officers to sell shares of our common stock to satisfy withholding obligations, and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generally equal to 40% of the total value of the shares that were vesting on the applicable date. The Compensation Committee took into consideration the value of these tax gross-ups when determining the level of compensation paid to our named executive officers. In connection with its ongoing monitoring and review of "best practices" relating to executive compensation, including policies announced by RiskMetrics Group and other governance groups, our Compensation Committee determined to discontinue the inclusion of income tax gross-up provisions in restricted stock awards granted after December 31, 2008. This discontinuation does not apply to previously awarded restricted stock grants, including awards granted on or prior to December 31, 2008, under which we are contractually obligated to make such income tax gross-up payments.</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Further, our performance-based equity awards have historically provided for dividend payments prior to vesting. In early 2009, in connection with its periodic review of our executive compensation practices, the Compensation Committee discontinued, on a prospective basis, the practice of paying dividends on performance-based equity awards prior to achieving the performance criteria. These dividends will be accrued and paid to the executives if and when the performance metrics are met.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evidenced by examining our executive compensation programs over the past several years, the executive compensation philosophy adopted by us and our Compensation Committee demonstrates the implementation of a pay-for-performance culture that ensures the alignment of management and stockholder interests. Our named executive officers were paid well relative to their peers during times of industry-leading performance (</w:t>
      </w:r>
      <w:r>
        <w:rPr>
          <w:rFonts w:ascii="Arial" w:cs="Arial" w:eastAsia="Arial" w:hAnsi="Arial"/>
          <w:sz w:val="16"/>
          <w:szCs w:val="16"/>
          <w:i w:val="1"/>
          <w:iCs w:val="1"/>
          <w:color w:val="auto"/>
        </w:rPr>
        <w:t>e.g.</w:t>
      </w:r>
      <w:r>
        <w:rPr>
          <w:rFonts w:ascii="Arial" w:cs="Arial" w:eastAsia="Arial" w:hAnsi="Arial"/>
          <w:sz w:val="16"/>
          <w:szCs w:val="16"/>
          <w:color w:val="auto"/>
        </w:rPr>
        <w:t>, 2007 and 2006), yet during more challenging times, (</w:t>
      </w:r>
      <w:r>
        <w:rPr>
          <w:rFonts w:ascii="Arial" w:cs="Arial" w:eastAsia="Arial" w:hAnsi="Arial"/>
          <w:sz w:val="16"/>
          <w:szCs w:val="16"/>
          <w:i w:val="1"/>
          <w:iCs w:val="1"/>
          <w:color w:val="auto"/>
        </w:rPr>
        <w:t>e.g.</w:t>
      </w:r>
      <w:r>
        <w:rPr>
          <w:rFonts w:ascii="Arial" w:cs="Arial" w:eastAsia="Arial" w:hAnsi="Arial"/>
          <w:sz w:val="16"/>
          <w:szCs w:val="16"/>
          <w:color w:val="auto"/>
        </w:rPr>
        <w:t>, 2009 and 2008), their aggregate compensation was substantially lower than in those peak years and they experienced what our Compensation Committee believes was a comparatively larger decrease in compensation relative to our peer group.</w:t>
      </w:r>
    </w:p>
    <w:p>
      <w:pPr>
        <w:spacing w:after="0" w:line="170"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For example, while the amount of compensation provided to our executives in 2007 and 2006 was in the upper quartile of our peer group, these amounts were directly linked to exceptional corporate performance. For 2007 and 2006 we achieved year-over-year FFO growth in excess of 20% and 10%, respectively,</w:t>
      </w:r>
    </w:p>
    <w:p>
      <w:pPr>
        <w:ind w:right="120"/>
        <w:spacing w:after="0" w:line="259" w:lineRule="auto"/>
        <w:rPr>
          <w:sz w:val="20"/>
          <w:szCs w:val="20"/>
          <w:color w:val="auto"/>
        </w:rPr>
      </w:pPr>
      <w:r>
        <w:rPr>
          <w:rFonts w:ascii="Arial" w:cs="Arial" w:eastAsia="Arial" w:hAnsi="Arial"/>
          <w:sz w:val="16"/>
          <w:szCs w:val="16"/>
          <w:color w:val="auto"/>
        </w:rPr>
        <w:t>representing fundamental performance at the 93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and 73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percentile, respectively, of our peer group. In addition, our multi-year TRS through the periods ended December 31, 2007 and 2006, respectively, was at or near the top of our peer group and significantly outperformed the broader REIT industry. Specifically, we outperformed the MSCI US REIT Index by 40.71% and 124.24%, respectively, for the three- and five-year periods ended December 31, 2007, and we outperformed the MSCI US REIT Index by 155.80% and 245.84%, respectively, for the three- and five-year periods ending December 31, 2006.</w:t>
      </w:r>
    </w:p>
    <w:p>
      <w:pPr>
        <w:spacing w:after="0" w:line="196"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further discussed below, as a result of our industry leading TRS performance and sound fundamental operating performance for 2009, compensation determined by our Compensation Committee for 2009 resulted in a moderate increase over 2008 levels. It is important to note that despite the moderate increase in total 2009 compensation over 2008 levels, which was solely the result of equity awards designed to further strengthen the alignment of management and stockholder interests, total cash compensation decreased in 2009 over 2008 levels and total direct compensation for our executive officers remains substantially below 2007 and 2006 levels prior to the downturn in macroeconomic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2009 Performance</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 further illustration of our strong pay-for-performance philosophy is evidenced in the manner in which 2009 performance bonuses were determined and the ultimate amounts of these bonuses. While, as previously discussed, the global and domestic public equity markets rebounded off historic lows in 2009, the operating environment confronting the REIT industry continued to pose challenges across several fronts in 2009, marked by sustained layoffs across various sectors of the economy and a significant rise in unemployment levels, persistent dislocations in the debt markets, and decreased demand for various types of commercial real estate, including office space. Such challenges continued to be magnified in the New York City metropolitan area due to the significant presence and role in the local economy of the financial services industry, which has been more heavily affected by the downturn in economic conditions than most other industries. Nevertheless, our sound execution of our capital markets strategy and prudent risk and debt management strategy was rewarded by the marketplace in 2009, as represented by our industry-leading TRS performance for the one-year period ended December 31, 2009, which outgained the MSCI US REIT Index by approximately 73%. For the five-year period ended December 31, 2009, our TRS was approximately at the mid-point of the MSCI US REIT Index.</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continued challenges posed by the economic environment, we managed to attain significant market and operational achievements.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achieved the following select milestones in 2009:</w:t>
      </w:r>
    </w:p>
    <w:p>
      <w:pPr>
        <w:spacing w:after="0" w:line="232" w:lineRule="exact"/>
        <w:rPr>
          <w:sz w:val="20"/>
          <w:szCs w:val="20"/>
          <w:color w:val="auto"/>
        </w:rPr>
      </w:pPr>
    </w:p>
    <w:p>
      <w:pPr>
        <w:ind w:left="1080" w:right="1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Achieved an annual TRS of approximately 102% in 2009, which placed us at the top of the peer group and represented the highest one-calendar-year return in our Company's history;</w:t>
      </w:r>
    </w:p>
    <w:p>
      <w:pPr>
        <w:spacing w:after="0" w:line="21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executed a multi-faceted capital markets strategy that included the completion of an approximately $405 million capital offering and the repurchase of outstanding unsecured notes and convertible bonds that resulted in a gain to stockholders of approximately $86 million due to the early extinguishment of debt;</w:t>
      </w:r>
    </w:p>
    <w:p>
      <w:pPr>
        <w:spacing w:after="0" w:line="207" w:lineRule="exact"/>
        <w:rPr>
          <w:rFonts w:ascii="Arial" w:cs="Arial" w:eastAsia="Arial" w:hAnsi="Arial"/>
          <w:sz w:val="18"/>
          <w:szCs w:val="18"/>
          <w:color w:val="auto"/>
        </w:rPr>
      </w:pPr>
    </w:p>
    <w:p>
      <w:pPr>
        <w:ind w:left="1080" w:right="80" w:hanging="532"/>
        <w:spacing w:after="0" w:line="335"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Demonstrated strong leasing performance resiliency across our property portfolio, as evidenced by maintaining, as of December 31, 2009, a Manhattan combined same store occupancy rate of 95.8%, compared to an overall Manhattan occupancy rate of 88%, and an occupancy rate of 88.7% for our Suburban portfolio as compared to a weighted average occupancy rate for the markets comprising the suburban portfolio of 85.1%;</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Achieved same-store net operating income growth of approximately 3.7%; and</w:t>
      </w:r>
    </w:p>
    <w:p>
      <w:pPr>
        <w:spacing w:after="0" w:line="252" w:lineRule="exact"/>
        <w:rPr>
          <w:rFonts w:ascii="Arial" w:cs="Arial" w:eastAsia="Arial" w:hAnsi="Arial"/>
          <w:sz w:val="18"/>
          <w:szCs w:val="18"/>
          <w:color w:val="auto"/>
        </w:rPr>
      </w:pPr>
    </w:p>
    <w:p>
      <w:pPr>
        <w:ind w:left="1080" w:right="240" w:hanging="532"/>
        <w:spacing w:after="0" w:line="282"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Attained a tenant satisfaction rating in our core New York City property portfolio of 93%, or approximately 5% basis points above the Kingsley Index</w:t>
      </w:r>
      <w:r>
        <w:rPr>
          <w:rFonts w:ascii="Arial" w:cs="Arial" w:eastAsia="Arial" w:hAnsi="Arial"/>
          <w:sz w:val="29"/>
          <w:szCs w:val="29"/>
          <w:color w:val="auto"/>
          <w:vertAlign w:val="superscript"/>
        </w:rPr>
        <w:t>SM</w:t>
      </w:r>
      <w:r>
        <w:rPr>
          <w:rFonts w:ascii="Arial" w:cs="Arial" w:eastAsia="Arial" w:hAnsi="Arial"/>
          <w:sz w:val="18"/>
          <w:szCs w:val="18"/>
          <w:color w:val="auto"/>
        </w:rPr>
        <w:t>, a leading survey-based performance benchmarking tool in the commercial real estate industry.</w:t>
      </w:r>
    </w:p>
    <w:p>
      <w:pPr>
        <w:spacing w:after="0" w:line="54"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As 2009 year-end bonus decisions were being contemplated, our Compensation Committee sought to find a balance between (i) acknowledging the significant TRS and operational achievements attained by our named executive officers during the year, as highlighted above, (ii) ensuring that bonus and total compensation amounts were in line with the prevailing market and adequate to address retention needs in the competitive New York City commercial real estate markets and (iii) recognizing the continued challenges posed by the macroeconomic environment. In light of the aforementioned considerations, our Compensation Committee approved the following aggregate 2009 bonuses for the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40" w:type="dxa"/>
            <w:vAlign w:val="bottom"/>
            <w:gridSpan w:val="3"/>
          </w:tcPr>
          <w:p>
            <w:pPr>
              <w:ind w:left="2300"/>
              <w:spacing w:after="0"/>
              <w:rPr>
                <w:sz w:val="20"/>
                <w:szCs w:val="20"/>
                <w:color w:val="auto"/>
              </w:rPr>
            </w:pPr>
            <w:r>
              <w:rPr>
                <w:rFonts w:ascii="Arial" w:cs="Arial" w:eastAsia="Arial" w:hAnsi="Arial"/>
                <w:sz w:val="14"/>
                <w:szCs w:val="14"/>
                <w:b w:val="1"/>
                <w:bCs w:val="1"/>
                <w:color w:val="auto"/>
              </w:rPr>
              <w:t>Executive</w:t>
            </w: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3"/>
          </w:tcPr>
          <w:p>
            <w:pPr>
              <w:ind w:left="120"/>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4,000,000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3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3,400,000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Gregory Hughes</w:t>
            </w:r>
          </w:p>
        </w:tc>
        <w:tc>
          <w:tcPr>
            <w:tcW w:w="3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2,300,000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Levine</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20" w:type="dxa"/>
            <w:vAlign w:val="bottom"/>
          </w:tcPr>
          <w:p>
            <w:pPr>
              <w:jc w:val="right"/>
              <w:ind w:right="2172"/>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2008-2009 Bonuses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percentage changes in 2009 bonuses as compared with bonuses for 2008: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4,750,000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Stephen Green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2,659,000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3,562,500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Gregory Hughes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2,300,000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2,375,000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Andrew Levine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illustrated above, 2009 bonus levels for our named executive officers were generally flat to approximately 16% below 2008 levels. Preliminary market indications at the time 2009 bonus amounts were being determined suggested that 2009 compensation levels among equity REITs and specifically among our peer group constituents were going to be relatively comparable to 2008 levels. However, in light of the continued challenges posed by the macroeconomic environment, our Compensation Committee determined that, despite industry-leading TRS performance, it was prudent to generally maintain our named executive officers' cash bonuses at flat to slightly decreased levels over the prior year's amounts.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Moreover, as the Compensation Committee was determining 2009 bonus levels, in addition to evaluating bonuses relative to prior year levels, the Committee further examined 2009 bonuses relative to bonuses for 2007 that represented peak levels prior to the downturn in global macroeconomic conditions. The following table highlights the percentage change in 2009 bonuses as compared with bonuses for 2007: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8"/>
              <w:spacing w:after="0" w:line="149"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Cash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Stock Bonus(1)</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 Holliday</w:t>
            </w:r>
          </w:p>
        </w:tc>
        <w:tc>
          <w:tcPr>
            <w:tcW w:w="4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Stephen Green</w:t>
            </w:r>
          </w:p>
        </w:tc>
        <w:tc>
          <w:tcPr>
            <w:tcW w:w="4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3,500,000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4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Gregory Hughes</w:t>
            </w:r>
          </w:p>
        </w:tc>
        <w:tc>
          <w:tcPr>
            <w:tcW w:w="4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Andrew Levine</w:t>
            </w:r>
          </w:p>
        </w:tc>
        <w:tc>
          <w:tcPr>
            <w:tcW w:w="4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540" w:right="140" w:hanging="532"/>
        <w:spacing w:after="0" w:line="318" w:lineRule="auto"/>
        <w:tabs>
          <w:tab w:leader="none" w:pos="5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 shown includes grant date fair value and an additional 40% of such value, representing the amounts of the related income tax gross-up payments. As previously discussed, for awards granted after December 31, 2008, the Company has discontinued its practice of providing income tax gross-up payments in connection with the vesting of restricted stock.</w:t>
      </w:r>
    </w:p>
    <w:p>
      <w:pPr>
        <w:spacing w:after="0" w:line="150"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illustrated above, 2009 bonus levels for our named executive officers have generally decreased by over 50% from 2007 levels. The Compensation Committee felt that such decreases, which represent materially greater decreases from 2007 levels than those of the Company's peer group constituents or the REIT industry in general, were prudent and appropriate in light of the challenging operating environment confronting the REIT industry and the material decrease in market equity valuations from 2007 levels.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2009, in addition to awarding our named executive officers with cash bonuses that were significantly below prior year levels, the Compensation Committee issued equity awards to our named executive officers in January 2009 as set forth in the column "Grant Date Fair Value of Stock Awards" in the table set forth under "Comparison of 2007-2009 Total Direct Compensation." The equity awards were granted to the named executive officers to reward them for maintaining sound fundamental operating performance despite the unprecedented challenges posed by the global economic downturn and to further strengthen the alignment between management and stockholder interests.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2007-2009 Total Direct Compensation</w:t>
      </w:r>
    </w:p>
    <w:p>
      <w:pPr>
        <w:spacing w:after="0" w:line="225"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In order to provide our stockholders with an analysis of compensation directly attributable to a calendar year we are including below a Total Direct Compensation Table. The Total Direct Compensation Table enables a more meaningful year-over-year compensation comparison than the Summary Compensation Table presented page 45. The Total Direct Compensation Table consists solely of (i) the actual salary paid for the year, (ii) the annual cash bonus and grant date fair value of any stock bonus awarded for the year irrespective of when such amounts were ultimately granted, paid and/or vested, (iii) any income tax gross-ups associated with the vesting of any shares referenced in (ii) above, based upon the grant date fair value of the stock bonus (as noted above, for awards granted after December 31, 2008, the Company discontinued the use of such income tax gross-ups on a prospective basis) and (iv) the annual grant date fair value of any other stock awards awarded for the year irrespective of when such amounts ultimately were granted, paid and/or vested. This table illustrates one of the analyses undertaken by our Compensation Committee in determining each element of our named executive officers' compensation for the particular year in light of such executive's performance during the year, and it further demonstrates the correlation between the executive's pay and overall company performance.</w:t>
      </w:r>
    </w:p>
    <w:p>
      <w:pPr>
        <w:spacing w:after="0" w:line="16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principal differences between the Total Direct Compensation Table and the Summary Compensation Table, presented on page 45, are that (i) the full-value of equity awards is shown in the year(s) to which such grants relate rather than the year in which such grants were made as reflected in the Summary Compensation Table, and (ii) the amount of the related income tax gross-up is based upon the grant date value of the equity award, rather than on the value of the shares at the date of vesting. Accordingly, the Summary Compensation Table, as presented on page 45, includes the full grant date value of each executive's allocation in the 2010 Notional Unit Plan. The grant date value of each executive's allocation in the 2010 Notional Unit Plan has been excluded from the Total Direct Compensation Table, since the 2010 Notional Unit Plan represents a long-term compensation program that provides participants the opportunity to earn equity awards only if designated stock price appreciation thresholds are achieved over a multi-year period beginning on December 1, 2009 and ending on November 30, 2012; accordingly, such potential awards are only marginally related to 2009 performance.</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Gross-up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2-Year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of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Total Direct</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 from</w:t>
            </w:r>
          </w:p>
        </w:tc>
        <w:tc>
          <w:tcPr>
            <w:tcW w:w="0" w:type="dxa"/>
            <w:vAlign w:val="bottom"/>
          </w:tcPr>
          <w:p>
            <w:pPr>
              <w:spacing w:after="0"/>
              <w:rPr>
                <w:sz w:val="1"/>
                <w:szCs w:val="1"/>
                <w:color w:val="auto"/>
              </w:rPr>
            </w:pPr>
          </w:p>
        </w:tc>
      </w:tr>
      <w:tr>
        <w:trPr>
          <w:trHeight w:val="161"/>
        </w:trPr>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Bonus(1)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Compensation(2)</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2007 Levels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2009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$ 715,341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1,625,004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6,340,345</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1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0"/>
              </w:rPr>
              <w:t>$ 824,446(3)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5,574,446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$ 600,000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Stephen Green</w:t>
            </w:r>
          </w:p>
        </w:tc>
        <w:tc>
          <w:tcPr>
            <w:tcW w:w="16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2009</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$ 600,000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854,168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3,954,168</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2008</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$ 600,000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2,659,000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3,259,000</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2007</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$ 600,000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2,500,000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4,100,000</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Mathias</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2009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$ 500,000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5,025,014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$ 500,000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3,562,500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$ 500,000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Gregory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Hughes</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2009</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$ 500,000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2,300,000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1,125,014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3,925,014</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2008</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$ 500,000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2,375,000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2,875,000</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2007</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$ 500,000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3,750,000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1,250,000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Andrew Levine</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2009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$ 350,000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1,225,019</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$ 350,000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$ 350,000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60" w:hanging="531"/>
        <w:spacing w:after="0" w:line="318" w:lineRule="auto"/>
        <w:tabs>
          <w:tab w:leader="none" w:pos="1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income tax gross-up was taken into account in determining the value of the stock bonus that is granted to the named executive officer. As previously discussed, for awards granted after December 31, 2008, the Company has discontinued its practice of providing income tax gross-up payments on equity grants.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the value of perquisites, including automobile benefits provided to Mr. Green and Mr. Holliday.</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Holliday's 2008 base salary includes a $135,956 catch-up payment in lieu of previous contractual salary increases to which Mr. Holliday was entitled.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"IRC"). The employees' elective deferrals are immediately vested and non-forfeitable upon contribution to the 401(k) Plan. We do not provide our named executive officers with a supplemental pension or any other retirement benefits that are in addition to the 401(k) benefits provided generally to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 and our Chief Executive Officer receives certain insurance benefits. The costs of these benefits constitute only a small percentage of the applicable executive's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Tax Treatment. </w:t>
      </w:r>
      <w:r>
        <w:rPr>
          <w:rFonts w:ascii="Arial" w:cs="Arial" w:eastAsia="Arial" w:hAnsi="Arial"/>
          <w:sz w:val="16"/>
          <w:szCs w:val="16"/>
          <w:color w:val="auto"/>
        </w:rPr>
        <w:t>Our Compensation Committee reviews and considers the tax efficiency of executive compensation as part of its decision-making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IRC generally limits the deductibility of compensation over $1 million to a corporation's named executive officers. The Company is a real estate investment trust and therefore generally does not pay income taxes. In addition, our named executive officers provide most of their services to our operating partnership. We have received a private letter ruling from the Internal Revenue Service to the effect that the deduction limitation of Section 162(m) does not apply with respect to compensation to our named executive officers for services rendered to our operating partnership.</w:t>
      </w:r>
    </w:p>
    <w:p>
      <w:pPr>
        <w:spacing w:after="0" w:line="170"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i w:val="1"/>
          <w:iCs w:val="1"/>
          <w:color w:val="auto"/>
        </w:rPr>
        <w:t xml:space="preserve">Tax Gross-up Payments. </w:t>
      </w:r>
      <w:r>
        <w:rPr>
          <w:rFonts w:ascii="Arial" w:cs="Arial" w:eastAsia="Arial" w:hAnsi="Arial"/>
          <w:sz w:val="16"/>
          <w:szCs w:val="16"/>
          <w:color w:val="auto"/>
        </w:rPr>
        <w:t>As discussed above, under "Long-Term Equity Incentives," for any equity awards granted after December 31, 2008,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the use of income tax gross-up payments made in connection with the vesting of restricted stock and other equity grants.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LTIP Units. </w:t>
      </w:r>
      <w:r>
        <w:rPr>
          <w:rFonts w:ascii="Arial" w:cs="Arial" w:eastAsia="Arial" w:hAnsi="Arial"/>
          <w:sz w:val="16"/>
          <w:szCs w:val="16"/>
          <w:color w:val="auto"/>
        </w:rPr>
        <w:t>Under our 2010 Notional Unit Plan as well as both our 2005 Outperformance Plan and our 2006 Outperformance Plan, in lieu of issuing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restricted stock, we issued a separate class of units of limited partnership interest in our operating partnership, which we refer to as LTIP Units.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2008, our named executive officers agreed to the cancellation of their awards under our 2006 Outperformance Plan.</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2010 Notional Unit Plan, our 2005 Outperformance Plan and our 2006 Outperformance Plan. We believe that the use of LTIP Units in these plans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 We also believe that these benefits outweigh the loss of the U.S. federal income tax business-expense deduction from the issuance of LTIP Units, as compared to restricted stock. Although we have chosen to use LTIP Units for our 2010 Notional Unit Plan, 2005 Outperformance Plan and our 2006 Outperformance Plan, we have not chosen to utilize LTIP Units for our other equity awards primarily because we have not viewed the additional economic risk associated with the structure of the LTIP Units as appropriate for our other equity awards, which do not include performance-based vesting hurdles based solely on our total return to stockholders.</w:t>
      </w:r>
    </w:p>
    <w:p>
      <w:pPr>
        <w:spacing w:after="0" w:line="182"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i w:val="1"/>
          <w:iCs w:val="1"/>
          <w:color w:val="auto"/>
        </w:rPr>
        <w:t xml:space="preserve">Accounting Treatment. </w:t>
      </w:r>
      <w:r>
        <w:rPr>
          <w:rFonts w:ascii="Arial" w:cs="Arial" w:eastAsia="Arial" w:hAnsi="Arial"/>
          <w:sz w:val="18"/>
          <w:szCs w:val="18"/>
          <w:color w:val="auto"/>
        </w:rPr>
        <w:t>Beginning on January 1, 2003, we began accounting for stock-based payments through our equity incentive plans,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Outperformance Plans, in accordance with the requirements of FASB ASC Topic 718.</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Funds from Operations (FFO). </w:t>
      </w:r>
      <w:r>
        <w:rPr>
          <w:rFonts w:ascii="Arial" w:cs="Arial" w:eastAsia="Arial" w:hAnsi="Arial"/>
          <w:sz w:val="16"/>
          <w:szCs w:val="16"/>
          <w:color w:val="auto"/>
        </w:rPr>
        <w:t>We compute FFO in accordance with standards established by the National Association of Real Estate Investment Trusts,</w:t>
      </w:r>
      <w:r>
        <w:rPr>
          <w:rFonts w:ascii="Arial" w:cs="Arial" w:eastAsia="Arial" w:hAnsi="Arial"/>
          <w:sz w:val="16"/>
          <w:szCs w:val="16"/>
          <w:i w:val="1"/>
          <w:iCs w:val="1"/>
          <w:color w:val="auto"/>
        </w:rPr>
        <w:t xml:space="preserve"> </w:t>
      </w:r>
      <w:r>
        <w:rPr>
          <w:rFonts w:ascii="Arial" w:cs="Arial" w:eastAsia="Arial" w:hAnsi="Arial"/>
          <w:sz w:val="16"/>
          <w:szCs w:val="16"/>
          <w:color w:val="auto"/>
        </w:rPr>
        <w:t>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defines FFO as net income (loss) (computed in accordance with GAAP), excluding gains (or losses) from debt restructuring and sales of properties,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No Material Adverse Effect. </w:t>
      </w:r>
      <w:r>
        <w:rPr>
          <w:rFonts w:ascii="Arial" w:cs="Arial" w:eastAsia="Arial" w:hAnsi="Arial"/>
          <w:sz w:val="18"/>
          <w:szCs w:val="18"/>
          <w:color w:val="auto"/>
        </w:rPr>
        <w:t>Based on our analysis of the foregoing, we have concluded that our compensation policies and procedures are not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have a material adverse effect on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Compensation Matters</w:t>
      </w:r>
    </w:p>
    <w:p>
      <w:pPr>
        <w:spacing w:after="0" w:line="225" w:lineRule="exact"/>
        <w:rPr>
          <w:sz w:val="20"/>
          <w:szCs w:val="20"/>
          <w:color w:val="auto"/>
        </w:rPr>
      </w:pPr>
    </w:p>
    <w:p>
      <w:pPr>
        <w:jc w:val="both"/>
        <w:ind w:right="180" w:firstLine="351"/>
        <w:spacing w:after="0" w:line="291" w:lineRule="auto"/>
        <w:rPr>
          <w:sz w:val="20"/>
          <w:szCs w:val="20"/>
          <w:color w:val="auto"/>
        </w:rPr>
      </w:pPr>
      <w:r>
        <w:rPr>
          <w:rFonts w:ascii="Arial" w:cs="Arial" w:eastAsia="Arial" w:hAnsi="Arial"/>
          <w:sz w:val="16"/>
          <w:szCs w:val="16"/>
          <w:color w:val="auto"/>
        </w:rPr>
        <w:t>Similar to prior years, in 2010 the named executive officers will have the opportunity to earn annual incentive awards in the form of annual discretionary bonuses generally paid either in cash or stock based on the achievement of corporate financial objectives and individual performance. While the Compensation Committee has not established any specific fixed targets that would entitle the named executive officers to formulaic bonuses, the Committee has informed the named executive officers of several business objectives and goals the Committee will consider when evaluating corporate and individual performance for 2010 and determining annual incentive awards. For 2010, the Compensation Committee has informed the named executive officers that it will evaluate the following performance criteria, among others, as part of its determination of 2010 bonuses and:</w:t>
      </w:r>
    </w:p>
    <w:p>
      <w:pPr>
        <w:spacing w:after="0" w:line="188" w:lineRule="exact"/>
        <w:rPr>
          <w:sz w:val="20"/>
          <w:szCs w:val="20"/>
          <w:color w:val="auto"/>
        </w:rPr>
      </w:pPr>
    </w:p>
    <w:p>
      <w:pPr>
        <w:ind w:left="1080" w:right="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Leasing performance, with the objective of signing leases covering over 1.5 million square feet of office space and achieving a mark-to-market on new leases within our New York City office portfolio of -5% to 5%;</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occupancy levels within our same-store combined New York City office portfolio of greater than 94%;</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management performance, including the repositioning of select properties such as 333 W. 34 Street and the retail space at 1515 Broadway in New York, New York;</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Continued execution of prudent balance sheet management strategy and maintenance of appropriate liquidity levels, such as the generation of $25 million of free cash flow available for, among other things, debt reduction after payment of all dividends;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Completion of approximately $250 million or more of new investment activity;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Adherence to annual fiscal operating budget objectives;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to shareholders, both on an absolute basis and relative to the performance of the peer group and the REIT industry, with the objective of finishing in the top quartile of our peer group.</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the Compensation Committee will consider the above criteria, among others, as part of its 2010 performance evaluation process when it determines annual cash bonuses or equity awards for 2010, the Committee continues to retain discretion in determining the ultimate amounts, if any, and components of 2010 annual incentive awards and its historical practice of linking pay to performance in a non-formulaic manner. The Compensation Committee believes maintaining discretion in determining annual cash bonuses or equity awards is a prudent practice as it will provide the Committee with necessary flexibility to establish and adjust executive compensation levels based on corporate and individual performance and prevailing market and industry conditions.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and incorporated by reference in the Company's Annual Report on Form 10-K for the year ended December 31, 2009.</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H. Alschuler, Jr. (Chairman)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S. Levy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following table* sets forth information regarding the compensation paid to our Chief Executive Officer, our Chief Financial Officer and each of our three most highly compensated executive officers, other than our Chief Executive Officer and Chief Financial Officer, whose total compensation exceeded $100,000 during the fiscal year ended December 31, 2009, or collectively, the "named executive officers".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1"/>
              </w:rPr>
              <w:t>Bonus</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Awards(1)(2)</w:t>
            </w:r>
          </w:p>
        </w:tc>
        <w:tc>
          <w:tcPr>
            <w:tcW w:w="220" w:type="dxa"/>
            <w:vAlign w:val="bottom"/>
          </w:tcPr>
          <w:p>
            <w:pPr>
              <w:spacing w:after="0"/>
              <w:rPr>
                <w:sz w:val="12"/>
                <w:szCs w:val="12"/>
                <w:color w:val="auto"/>
              </w:rPr>
            </w:pPr>
          </w:p>
        </w:tc>
        <w:tc>
          <w:tcPr>
            <w:tcW w:w="6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Awards(3)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Compensation(4)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715,341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4,000,000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5,279,408</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1,420,202</w:t>
            </w:r>
          </w:p>
        </w:tc>
        <w:tc>
          <w:tcPr>
            <w:tcW w:w="3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11,414,951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824,446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4,750,000</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1,026,889</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9,101,335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7,500,000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3,190,190</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3,599,090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14,889,280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48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2,500,000</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2,466,168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1,087,602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6,653,770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80" w:type="dxa"/>
            <w:vAlign w:val="bottom"/>
            <w:gridSpan w:val="3"/>
          </w:tcPr>
          <w:p>
            <w:pPr>
              <w:spacing w:after="0"/>
              <w:rPr>
                <w:sz w:val="20"/>
                <w:szCs w:val="20"/>
                <w:color w:val="auto"/>
              </w:rPr>
            </w:pPr>
            <w:r>
              <w:rPr>
                <w:rFonts w:ascii="Arial" w:cs="Arial" w:eastAsia="Arial" w:hAnsi="Arial"/>
                <w:sz w:val="14"/>
                <w:szCs w:val="14"/>
                <w:color w:val="auto"/>
              </w:rPr>
              <w:t>Chairman of the Board</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2,659,000</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4,182,335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1,027,173</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8,468,508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600,000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3,378,414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2,413,898</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6,392,312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3,400,000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3,704,214</w:t>
            </w:r>
          </w:p>
        </w:tc>
        <w:tc>
          <w:tcPr>
            <w:tcW w:w="2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8,530,514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w:t>
            </w: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3,562,500</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1,874,955</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487,620</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6,425,075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 Officer</w:t>
            </w: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5,625,000</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11,821,266</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4,979,865</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1,735,100</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24,661,231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480" w:type="dxa"/>
            <w:vAlign w:val="bottom"/>
            <w:gridSpan w:val="3"/>
          </w:tcPr>
          <w:p>
            <w:pPr>
              <w:spacing w:after="0"/>
              <w:rPr>
                <w:sz w:val="20"/>
                <w:szCs w:val="20"/>
                <w:color w:val="auto"/>
              </w:rPr>
            </w:pPr>
            <w:r>
              <w:rPr>
                <w:rFonts w:ascii="Arial" w:cs="Arial" w:eastAsia="Arial" w:hAnsi="Arial"/>
                <w:sz w:val="14"/>
                <w:szCs w:val="14"/>
                <w:color w:val="auto"/>
              </w:rPr>
              <w:t>Gregory F. Hughes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2,300,000</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2,737,014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593,008</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6,130,022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80" w:type="dxa"/>
            <w:vAlign w:val="bottom"/>
            <w:gridSpan w:val="3"/>
          </w:tcPr>
          <w:p>
            <w:pPr>
              <w:spacing w:after="0" w:line="149" w:lineRule="exact"/>
              <w:rPr>
                <w:sz w:val="20"/>
                <w:szCs w:val="20"/>
                <w:color w:val="auto"/>
              </w:rPr>
            </w:pPr>
            <w:r>
              <w:rPr>
                <w:rFonts w:ascii="Arial" w:cs="Arial" w:eastAsia="Arial" w:hAnsi="Arial"/>
                <w:sz w:val="14"/>
                <w:szCs w:val="14"/>
                <w:color w:val="auto"/>
              </w:rPr>
              <w:t>Chief Operating Officer and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2,375,000</w:t>
            </w: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1,250,028</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243,651</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4,368,679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Chief Financial Officer</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2007</w:t>
            </w: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3,750,000</w:t>
            </w:r>
          </w:p>
        </w:tc>
        <w:tc>
          <w:tcPr>
            <w:tcW w:w="3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6,673,940</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3,319,910</w:t>
            </w:r>
          </w:p>
        </w:tc>
        <w:tc>
          <w:tcPr>
            <w:tcW w:w="2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1,030,007</w:t>
            </w: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4"/>
              </w:rPr>
              <w:t>15,273,857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625,000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938,343</w:t>
            </w:r>
          </w:p>
        </w:tc>
        <w:tc>
          <w:tcPr>
            <w:tcW w:w="2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2,104,451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Legal Officer and</w:t>
            </w: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593,750</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312,530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96,789</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1,353,069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Counsel</w:t>
            </w: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937,500</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2,439,179</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1,105,909</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387,819</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5,220,407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columns for "Non-Equity Incentive Plan Compensation" and "Change in Pension Value and Nonqualified Deferred Compensation Earnings" have been omitted because they are not applicable.</w:t>
      </w:r>
    </w:p>
    <w:p>
      <w:pPr>
        <w:spacing w:after="0" w:line="112" w:lineRule="exact"/>
        <w:rPr>
          <w:sz w:val="20"/>
          <w:szCs w:val="20"/>
          <w:color w:val="auto"/>
        </w:rPr>
      </w:pPr>
    </w:p>
    <w:p>
      <w:pPr>
        <w:ind w:left="1680" w:hanging="531"/>
        <w:spacing w:after="0" w:line="263"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2009, 2008 and 2007, respectively. In accordance with SEC disclosure requirements, the amounts for 2009 include the full grant date fair value of the executives' allocation in the 2010 Notional Unit Plan, which were as follows: Mr. Holliday—$3,654,404; Mr. Green—$1,162,000; Mr. Mathias—$2,579,200; Mr. Hughes— $1,612,000; and Mr. Levine—$688,324. The grant date fair value of the notional units is computed in accordance with ASC 718, "Compensation–Stock Compensation" by the use of a Monte Carlo simulation model. This model considers the probable outcomes of the market-based performance conditions governing the notional units. The analysis uses an assumed stock price volatility on the Company's common stock, risk-free interest rate, and total dividends over the three-year measurement period. The actual value of the executives' allocation in the Plan, if any, will be contingent upon the attainment of stock price appreciation targets over a three-year performance period ending November 30, 2012 and will be subject to two additional years of time-based vesting. Assuming that maximum performance is achieved under the 2010 Notional Unit Plan, the value of the awards made under the 2010 Notional Unit Plan in 2009 at the grant date would have been as follows: Mr. Holliday—$8,041,049; Mr. Green—$3,546,990; Mr. Mathias—$5,675,184; Mr. Hughes—$3,546,990; and Mr. Levine—$1,514,588. The assumptions used to calculate the grant date value of stock awards for 2009, 2008 and 2007 are set forth under Notes 2 and 6 of the Notes to Consolidated Financial Statements included in our Annual Report on Form 10-K for the year ended December 31, 2009, which was filed with the SEC on February 16, 2010, on Form 10-K for the year ended December 31, 2008, which was filed with the SEC on February 27, 2009, and on Form 10-K for the year ended December 31, 2007, which was filed with the SEC on February 27, 2008,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the value of stock awards that became vested during fiscal year 2009, see "—Stock Awards Table—Options Exercises and Stock Vested."</w:t>
      </w:r>
    </w:p>
    <w:p>
      <w:pPr>
        <w:spacing w:after="0" w:line="122" w:lineRule="exact"/>
        <w:rPr>
          <w:rFonts w:ascii="Arial" w:cs="Arial" w:eastAsia="Arial" w:hAnsi="Arial"/>
          <w:sz w:val="14"/>
          <w:szCs w:val="14"/>
          <w:color w:val="auto"/>
        </w:rPr>
      </w:pPr>
    </w:p>
    <w:p>
      <w:pPr>
        <w:ind w:left="1680" w:right="100" w:hanging="531"/>
        <w:spacing w:after="0" w:line="273"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options granted in 2007 were forfeited by the grantees in 2008 when the named executive officers forfeited outstanding stock options with an exercise price above $75.00. In accordance with SEC rules, the amounts shown reflect the full grant date fair value of stock options issued to the named executive officers in 2007 and do not reflect the compensation costs recognized by the Company during the fiscal years ended December 31, 2009 and 2008. The assumptions used to calculate the value of option awards granted in 2007 are set forth under Note 2 of the Notes to Consolidated Financial Statements included in our Annual Report on Form 10-K for the year ended December 31, 2007, which was filed with the SEC on February 27, 2008. No stock option awards were issued to the named executive officers in 2009 or 2008.</w:t>
      </w:r>
    </w:p>
    <w:p>
      <w:pPr>
        <w:spacing w:after="0" w:line="93" w:lineRule="exact"/>
        <w:rPr>
          <w:rFonts w:ascii="Arial" w:cs="Arial" w:eastAsia="Arial" w:hAnsi="Arial"/>
          <w:sz w:val="12"/>
          <w:szCs w:val="12"/>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table below shows the components of this column, which include perquisites, tax gross-ups and loan forgiveness amounts.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Total "All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Tax Gross-Ups</w:t>
            </w:r>
          </w:p>
        </w:tc>
        <w:tc>
          <w:tcPr>
            <w:tcW w:w="10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1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2009</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36,650(b)</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1,383,552</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1,420,202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spacing w:after="0" w:line="149" w:lineRule="exact"/>
              <w:rPr>
                <w:sz w:val="20"/>
                <w:szCs w:val="20"/>
                <w:color w:val="auto"/>
              </w:rPr>
            </w:pPr>
            <w:r>
              <w:rPr>
                <w:rFonts w:ascii="Arial" w:cs="Arial" w:eastAsia="Arial" w:hAnsi="Arial"/>
                <w:sz w:val="14"/>
                <w:szCs w:val="14"/>
                <w:color w:val="auto"/>
              </w:rPr>
              <w:t>Stephen L. Green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224,479(c)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863,123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1,087,602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7,350(d)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918,950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926,300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tcPr>
          <w:p>
            <w:pPr>
              <w:spacing w:after="0" w:line="149" w:lineRule="exact"/>
              <w:rPr>
                <w:sz w:val="20"/>
                <w:szCs w:val="20"/>
                <w:color w:val="auto"/>
              </w:rPr>
            </w:pPr>
            <w:r>
              <w:rPr>
                <w:rFonts w:ascii="Arial" w:cs="Arial" w:eastAsia="Arial" w:hAnsi="Arial"/>
                <w:sz w:val="14"/>
                <w:szCs w:val="14"/>
                <w:color w:val="auto"/>
              </w:rPr>
              <w:t>Gregory F. Hughes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7,350(d)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585,658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593,008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7,350(d)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183,758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840" w:hanging="550"/>
        <w:spacing w:after="0" w:line="233" w:lineRule="auto"/>
        <w:tabs>
          <w:tab w:leader="none" w:pos="2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cash payments made with respect to tax payments due upon the vesting of certain restricted stock awards made to the named executive officers. For awards granted after December 31, 2008, the Company discontinued its policy of providing income tax gross-ups with respect to vesting restricted stock awards.</w:t>
      </w:r>
    </w:p>
    <w:p>
      <w:pPr>
        <w:spacing w:after="0" w:line="111" w:lineRule="exact"/>
        <w:rPr>
          <w:rFonts w:ascii="Arial" w:cs="Arial" w:eastAsia="Arial" w:hAnsi="Arial"/>
          <w:sz w:val="14"/>
          <w:szCs w:val="14"/>
          <w:color w:val="auto"/>
        </w:rPr>
      </w:pPr>
    </w:p>
    <w:p>
      <w:pPr>
        <w:ind w:left="2840" w:right="460" w:hanging="550"/>
        <w:spacing w:after="0" w:line="233" w:lineRule="auto"/>
        <w:tabs>
          <w:tab w:leader="none" w:pos="2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deferred by the named executive officer under our 401(k) plan ($7,350), (ii) leased car payments ($20,890) and (iii) life insurance premiums ($8,410).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2840" w:hanging="550"/>
        <w:spacing w:after="0"/>
        <w:tabs>
          <w:tab w:leader="none" w:pos="2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leased car and full-time driver payments.</w:t>
      </w:r>
    </w:p>
    <w:p>
      <w:pPr>
        <w:spacing w:after="0" w:line="122" w:lineRule="exact"/>
        <w:rPr>
          <w:rFonts w:ascii="Arial" w:cs="Arial" w:eastAsia="Arial" w:hAnsi="Arial"/>
          <w:sz w:val="14"/>
          <w:szCs w:val="14"/>
          <w:color w:val="auto"/>
        </w:rPr>
      </w:pPr>
    </w:p>
    <w:p>
      <w:pPr>
        <w:ind w:left="2840" w:right="240" w:hanging="550"/>
        <w:spacing w:after="0" w:line="239" w:lineRule="auto"/>
        <w:tabs>
          <w:tab w:leader="none" w:pos="2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deferred by the named executive officer under our 401(k) plan. The Company's 401(k) matching contributions are credited in the year subsequent to which employees make their contributions.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Grants of Plan-Based Awards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2009.</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Estimated Future Payouts Under Equity</w:t>
            </w:r>
          </w:p>
        </w:tc>
        <w:tc>
          <w:tcPr>
            <w:tcW w:w="160" w:type="dxa"/>
            <w:vAlign w:val="bottom"/>
          </w:tcPr>
          <w:p>
            <w:pPr>
              <w:spacing w:after="0"/>
              <w:rPr>
                <w:sz w:val="14"/>
                <w:szCs w:val="14"/>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All Other Stock</w:t>
            </w:r>
          </w:p>
        </w:tc>
        <w:tc>
          <w:tcPr>
            <w:tcW w:w="13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5"/>
          </w:tcPr>
          <w:p>
            <w:pPr>
              <w:jc w:val="center"/>
              <w:ind w:left="561"/>
              <w:spacing w:after="0" w:line="135" w:lineRule="exact"/>
              <w:rPr>
                <w:sz w:val="20"/>
                <w:szCs w:val="20"/>
                <w:color w:val="auto"/>
              </w:rPr>
            </w:pPr>
            <w:r>
              <w:rPr>
                <w:rFonts w:ascii="Arial" w:cs="Arial" w:eastAsia="Arial" w:hAnsi="Arial"/>
                <w:sz w:val="14"/>
                <w:szCs w:val="14"/>
                <w:b w:val="1"/>
                <w:bCs w:val="1"/>
                <w:color w:val="auto"/>
                <w:w w:val="88"/>
              </w:rPr>
              <w:t>Incentive Plan Awards (#)(1)</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560" w:type="dxa"/>
            <w:vAlign w:val="bottom"/>
            <w:gridSpan w:val="2"/>
            <w:vMerge w:val="restart"/>
          </w:tcPr>
          <w:p>
            <w:pPr>
              <w:jc w:val="center"/>
              <w:ind w:right="280"/>
              <w:spacing w:after="0" w:line="136" w:lineRule="exact"/>
              <w:rPr>
                <w:sz w:val="20"/>
                <w:szCs w:val="20"/>
                <w:color w:val="auto"/>
              </w:rPr>
            </w:pPr>
            <w:r>
              <w:rPr>
                <w:rFonts w:ascii="Arial" w:cs="Arial" w:eastAsia="Arial" w:hAnsi="Arial"/>
                <w:sz w:val="14"/>
                <w:szCs w:val="14"/>
                <w:b w:val="1"/>
                <w:bCs w:val="1"/>
                <w:color w:val="auto"/>
                <w:w w:val="89"/>
              </w:rPr>
              <w:t>Awards; Number of</w:t>
            </w:r>
          </w:p>
        </w:tc>
        <w:tc>
          <w:tcPr>
            <w:tcW w:w="120" w:type="dxa"/>
            <w:vAlign w:val="bottom"/>
          </w:tcPr>
          <w:p>
            <w:pPr>
              <w:spacing w:after="0"/>
              <w:rPr>
                <w:sz w:val="2"/>
                <w:szCs w:val="2"/>
                <w:color w:val="auto"/>
              </w:rPr>
            </w:pPr>
          </w:p>
        </w:tc>
        <w:tc>
          <w:tcPr>
            <w:tcW w:w="118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2"/>
                <w:szCs w:val="12"/>
                <w:color w:val="auto"/>
              </w:rPr>
            </w:pPr>
          </w:p>
        </w:tc>
        <w:tc>
          <w:tcPr>
            <w:tcW w:w="940" w:type="dxa"/>
            <w:vAlign w:val="bottom"/>
            <w:gridSpan w:val="2"/>
          </w:tcPr>
          <w:p>
            <w:pPr>
              <w:jc w:val="right"/>
              <w:ind w:right="96"/>
              <w:spacing w:after="0" w:line="149" w:lineRule="exact"/>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Equity Awards</w:t>
            </w:r>
          </w:p>
        </w:tc>
        <w:tc>
          <w:tcPr>
            <w:tcW w:w="0" w:type="dxa"/>
            <w:vAlign w:val="bottom"/>
          </w:tcPr>
          <w:p>
            <w:pPr>
              <w:spacing w:after="0"/>
              <w:rPr>
                <w:sz w:val="1"/>
                <w:szCs w:val="1"/>
                <w:color w:val="auto"/>
              </w:rPr>
            </w:pPr>
          </w:p>
        </w:tc>
      </w:t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Grant Date</w:t>
            </w:r>
          </w:p>
        </w:tc>
        <w:tc>
          <w:tcPr>
            <w:tcW w:w="940" w:type="dxa"/>
            <w:vAlign w:val="bottom"/>
          </w:tcPr>
          <w:p>
            <w:pPr>
              <w:jc w:val="right"/>
              <w:ind w:right="32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3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or Units (#)</w:t>
            </w:r>
          </w:p>
        </w:tc>
        <w:tc>
          <w:tcPr>
            <w:tcW w:w="12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01/06/2009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68,973(2)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122,834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171,159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Stephen L. Green</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01/06/2009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36,255(2)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854,168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54,183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75,500</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1,612,000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01/06/2009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47,751(2)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Gregory F. Hughes</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01/06/2009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47,751(2)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1,125,014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54,183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75,500</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1,612,000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01/06/2009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40" w:hanging="531"/>
        <w:spacing w:after="0" w:line="228" w:lineRule="auto"/>
        <w:tabs>
          <w:tab w:leader="none" w:pos="16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awards made under the 2010 Notional Unit Plan. See " SL Green Realty Corp. 2010 Notional Unit Plan" for a description of the terms of the 2010 Notional Unit Plan. The "Threshold (#)" column represents the number of LTIP Units that would be earned if we achieved 25% stock price appreciation during the performance period under the 2010 Notional Unit Plan, which represents the minimum stock price appreciation that would entitle recipients to awards under the 2010 Notional Unit Plan. The "Maximum (#)" column represents the maximum number of LTIP Units that could be earned under the 2010 Notional Unit Plan. The "Target (#)" column represents the number of LTIP Units that would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80"/>
        <w:spacing w:after="0" w:line="270" w:lineRule="auto"/>
        <w:rPr>
          <w:sz w:val="20"/>
          <w:szCs w:val="20"/>
          <w:color w:val="auto"/>
        </w:rPr>
      </w:pPr>
      <w:r>
        <w:rPr>
          <w:rFonts w:ascii="Arial" w:cs="Arial" w:eastAsia="Arial" w:hAnsi="Arial"/>
          <w:sz w:val="12"/>
          <w:szCs w:val="12"/>
          <w:color w:val="auto"/>
        </w:rPr>
        <w:t>earned if we achieved the same per year percentage stock price appreciation during the three-year performance period under the 2010 Notional Unit Plan as we did during 2009, which equals approximately 93.98% stock price appreciation per year. Even though both the "Target (#)" and the "Maximum (#)" columns represent achievement of the maximum award under the 2010 Notional Unit Plan, the total number of LTIP Units set forth in the "Target (#)" column is less than the total number set forth in the "Maximum (#)" column. This results from the fact that the value of the total awards under the 2010 Notional Unit Plan is capped at $75 million and, therefore, as the percentage stock price appreciation exceeds 50% during the relevant period, which is the case for the target percentage stock price appreciation, the total number of LTIP Units earned will be reduced as it will take fewer LTIP Units to achieve this $75 million cap.</w:t>
      </w:r>
    </w:p>
    <w:p>
      <w:pPr>
        <w:spacing w:after="0" w:line="17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Grants were made pursuant to the 2005 Stock Option and Incentive Plan. The executives are entitled (i) to vote the underlying shares and (ii) to receive any cash dividends on shares of stock (whether or not then subject to restrictions) that have not been forfeited. See "Potential Payments Upon Termination or a Change in Control" below, for a discussion regarding potential acceleration of the restricted shares and a material description of the material terms of each named executive officer's employment agreement.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2009</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2"/>
              </w:rPr>
              <w:t>Option Awards</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Equity</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Plan</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Market</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Unearned</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w:t>
            </w: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Value of</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Shares,</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 or</w:t>
            </w:r>
          </w:p>
        </w:tc>
        <w:tc>
          <w:tcPr>
            <w:tcW w:w="12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Units or</w:t>
            </w:r>
          </w:p>
        </w:tc>
        <w:tc>
          <w:tcPr>
            <w:tcW w:w="180" w:type="dxa"/>
            <w:vAlign w:val="bottom"/>
          </w:tcPr>
          <w:p>
            <w:pPr>
              <w:spacing w:after="0"/>
              <w:rPr>
                <w:sz w:val="7"/>
                <w:szCs w:val="7"/>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7"/>
                <w:szCs w:val="7"/>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12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7"/>
                <w:szCs w:val="7"/>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7"/>
                <w:szCs w:val="7"/>
                <w:color w:val="auto"/>
              </w:rPr>
            </w:pPr>
          </w:p>
        </w:tc>
        <w:tc>
          <w:tcPr>
            <w:tcW w:w="6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That</w:t>
            </w: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6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0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tcPr>
          <w:p>
            <w:pPr>
              <w:spacing w:after="0"/>
              <w:rPr>
                <w:sz w:val="7"/>
                <w:szCs w:val="7"/>
                <w:color w:val="auto"/>
              </w:rPr>
            </w:pPr>
          </w:p>
        </w:tc>
        <w:tc>
          <w:tcPr>
            <w:tcW w:w="62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7"/>
                <w:szCs w:val="7"/>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12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Have Not</w:t>
            </w:r>
          </w:p>
        </w:tc>
        <w:tc>
          <w:tcPr>
            <w:tcW w:w="10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Options (#)</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Options (#)</w:t>
            </w: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8"/>
                <w:szCs w:val="8"/>
                <w:color w:val="auto"/>
              </w:rPr>
            </w:pPr>
          </w:p>
        </w:tc>
        <w:tc>
          <w:tcPr>
            <w:tcW w:w="8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8"/>
                <w:szCs w:val="8"/>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12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Vested</w:t>
            </w:r>
          </w:p>
        </w:tc>
        <w:tc>
          <w:tcPr>
            <w:tcW w:w="10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Unexercisable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ind w:right="92"/>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165,521(1)</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6"/>
              </w:rPr>
              <w:t>8,315,775</w:t>
            </w:r>
          </w:p>
        </w:tc>
        <w:tc>
          <w:tcPr>
            <w:tcW w:w="1260" w:type="dxa"/>
            <w:vAlign w:val="bottom"/>
            <w:gridSpan w:val="2"/>
            <w:shd w:val="clear" w:color="auto" w:fill="CCEEFF"/>
          </w:tcPr>
          <w:p>
            <w:pPr>
              <w:jc w:val="right"/>
              <w:ind w:right="54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135,332(2)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6,799,076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6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1060" w:type="dxa"/>
            <w:vAlign w:val="bottom"/>
            <w:gridSpan w:val="4"/>
          </w:tcPr>
          <w:p>
            <w:pPr>
              <w:jc w:val="right"/>
              <w:ind w:right="160"/>
              <w:spacing w:after="0"/>
              <w:rPr>
                <w:sz w:val="20"/>
                <w:szCs w:val="20"/>
                <w:color w:val="auto"/>
              </w:rPr>
            </w:pPr>
            <w:r>
              <w:rPr>
                <w:rFonts w:ascii="Arial" w:cs="Arial" w:eastAsia="Arial" w:hAnsi="Arial"/>
                <w:sz w:val="14"/>
                <w:szCs w:val="14"/>
                <w:color w:val="auto"/>
              </w:rPr>
              <w:t>60,000</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29.53</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11/09/2011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color w:val="auto"/>
              </w:rPr>
              <w:t>147,000</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28.10</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10/10/2012</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119,797(3)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6,018,601</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54,183(4)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2,722,177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130,468(5)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6,554,712</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104,861(6)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5,268,194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60" w:type="dxa"/>
            <w:vAlign w:val="bottom"/>
            <w:gridSpan w:val="3"/>
          </w:tcPr>
          <w:p>
            <w:pPr>
              <w:spacing w:after="0"/>
              <w:rPr>
                <w:sz w:val="20"/>
                <w:szCs w:val="20"/>
                <w:color w:val="auto"/>
              </w:rPr>
            </w:pPr>
            <w:r>
              <w:rPr>
                <w:rFonts w:ascii="Arial" w:cs="Arial" w:eastAsia="Arial" w:hAnsi="Arial"/>
                <w:sz w:val="14"/>
                <w:szCs w:val="14"/>
                <w:color w:val="auto"/>
              </w:rPr>
              <w:t>Gregory F. Hughes</w:t>
            </w:r>
          </w:p>
        </w:tc>
        <w:tc>
          <w:tcPr>
            <w:tcW w:w="1060" w:type="dxa"/>
            <w:vAlign w:val="bottom"/>
            <w:gridSpan w:val="4"/>
          </w:tcPr>
          <w:p>
            <w:pPr>
              <w:jc w:val="right"/>
              <w:ind w:right="160"/>
              <w:spacing w:after="0"/>
              <w:rPr>
                <w:sz w:val="20"/>
                <w:szCs w:val="20"/>
                <w:color w:val="auto"/>
              </w:rPr>
            </w:pPr>
            <w:r>
              <w:rPr>
                <w:rFonts w:ascii="Arial" w:cs="Arial" w:eastAsia="Arial" w:hAnsi="Arial"/>
                <w:sz w:val="14"/>
                <w:szCs w:val="14"/>
                <w:color w:val="auto"/>
              </w:rPr>
              <w:t>20,000</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43.25</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02/02/2014</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91,356(7)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4,589,725</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59,517(8)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2,990,158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28,477(9)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1,430,684</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23,136(10)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1,162,370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right="60" w:hanging="532"/>
        <w:spacing w:after="0" w:line="233"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restricted stock awards granted on: (i) 02/01/2005, 16,200 shares which vest on 2/01/2010; (ii) 01/01/2008, 26,750 shares which vest on 01/01/2010; and (iii) 01/06/2009, 68,973 shares which vested on 01/06/2010. Also includes 8,019 shares which vested on 04/01/2010 granted under our 2003 Outperformance Plan and 45,579 LTIP Units which will vest on 11/30/2010 granted under our 2005 Outperformance Plan.</w:t>
      </w:r>
    </w:p>
    <w:p>
      <w:pPr>
        <w:spacing w:after="0" w:line="111" w:lineRule="exact"/>
        <w:rPr>
          <w:rFonts w:ascii="Arial" w:cs="Arial" w:eastAsia="Arial" w:hAnsi="Arial"/>
          <w:sz w:val="14"/>
          <w:szCs w:val="14"/>
          <w:color w:val="auto"/>
        </w:rPr>
      </w:pPr>
    </w:p>
    <w:p>
      <w:pPr>
        <w:ind w:left="540" w:right="120" w:hanging="532"/>
        <w:spacing w:after="0" w:line="288" w:lineRule="auto"/>
        <w:tabs>
          <w:tab w:leader="none" w:pos="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a restricted stock award granted on 01/01/2004, of which 12,498 shares vested on 01/01/2010 based on the attainment of specified performance goals during the vesting period. Also includes 122,834 LTIP Units, which represents the number of LTIP Units that would be earned if we achieved the same per year percentage stock price appreciation during the three-year performance period under the 2010 Notional Unit Plan as we did during 2009, which equals approximately 93.98% stock price appreciation per year.</w:t>
      </w:r>
    </w:p>
    <w:p>
      <w:pPr>
        <w:spacing w:after="0" w:line="83" w:lineRule="exact"/>
        <w:rPr>
          <w:rFonts w:ascii="Arial" w:cs="Arial" w:eastAsia="Arial" w:hAnsi="Arial"/>
          <w:sz w:val="12"/>
          <w:szCs w:val="12"/>
          <w:color w:val="auto"/>
        </w:rPr>
      </w:pPr>
    </w:p>
    <w:p>
      <w:pPr>
        <w:ind w:left="540" w:right="220" w:hanging="532"/>
        <w:spacing w:after="0" w:line="233"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restricted stock awards made on: (i) 02/01/2005, 16,200 shares which vested on 02/01/2010; (ii) 01/01/2008, 26,750 shares which vested on 01/01/2010; and (iii) 01/06/2009, 36,255 shares which vested on 01/06/2010. Also includes 10,206 shares which vested on 04/01/2010 granted under our 2003 Outperformance Plan and 30,386 LTIP Units which will vest on 11/30/2010 granted under our 2005 Outperformance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540" w:hanging="532"/>
        <w:spacing w:after="0" w:line="239"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54,183 LTIP Units, which represents the number of LTIP Units that would be earned if we achieved the same per year percentage stock price appreciation during the three-year performance period under the 2010 Notional Unit Plan as we did during 2009, which equals approximately 93.98% stock price appreciation per year.</w:t>
      </w:r>
    </w:p>
    <w:p>
      <w:pPr>
        <w:spacing w:after="0" w:line="111" w:lineRule="exact"/>
        <w:rPr>
          <w:rFonts w:ascii="Arial" w:cs="Arial" w:eastAsia="Arial" w:hAnsi="Arial"/>
          <w:sz w:val="14"/>
          <w:szCs w:val="14"/>
          <w:color w:val="auto"/>
        </w:rPr>
      </w:pPr>
    </w:p>
    <w:p>
      <w:pPr>
        <w:ind w:left="540" w:right="180" w:hanging="532"/>
        <w:spacing w:after="0" w:line="288" w:lineRule="auto"/>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restricted stock awards granted on: (i) 02/01/2005, 9,000 shares which vested on 02/01/2010; (ii) 06/01/2007, 8,333 shares which vested on 01/01/2010 and 9,834 shares which will vest on 01/01/2011; (iii) 01/01/2008, 20,062 shares which vested on 01/01/2010; and (iv) 01/06/2009, 47,751 shares which vested on 01/06/2010. Also includes 5,102 shares which vested on 04/01/2010 granted under our 2003 Outperformance Plan and 30,386 LTIP Units which will vest on 11/30/2010 granted under our 2005 Outperformance Plan.</w:t>
      </w:r>
    </w:p>
    <w:p>
      <w:pPr>
        <w:spacing w:after="0" w:line="83" w:lineRule="exact"/>
        <w:rPr>
          <w:rFonts w:ascii="Arial" w:cs="Arial" w:eastAsia="Arial" w:hAnsi="Arial"/>
          <w:sz w:val="12"/>
          <w:szCs w:val="12"/>
          <w:color w:val="auto"/>
        </w:rPr>
      </w:pPr>
    </w:p>
    <w:p>
      <w:pPr>
        <w:ind w:left="540" w:right="80" w:hanging="532"/>
        <w:spacing w:after="0" w:line="288" w:lineRule="auto"/>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the unvested portion of a restricted stock award granted on 06/01/2007, of which 8,333 shares vested on 01/01/2010 and 9,834 shares will vest on 01/01/2011 based on the attainment of specified performance goals during the vesting period. Also includes 86,694 LTIP Units, which represents the number of LTIP Units that would be earned if we achieved the same per year percentage stock price appreciation during the three-year performance period under the 2010 Notional Unit Plan as we did during 2009, which equals approximately 93.98% stock price appreciation per year.</w:t>
      </w:r>
    </w:p>
    <w:p>
      <w:pPr>
        <w:spacing w:after="0" w:line="83" w:lineRule="exact"/>
        <w:rPr>
          <w:rFonts w:ascii="Arial" w:cs="Arial" w:eastAsia="Arial" w:hAnsi="Arial"/>
          <w:sz w:val="12"/>
          <w:szCs w:val="12"/>
          <w:color w:val="auto"/>
        </w:rPr>
      </w:pPr>
    </w:p>
    <w:p>
      <w:pPr>
        <w:ind w:left="540" w:hanging="532"/>
        <w:spacing w:after="0" w:line="233"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restricted stock awards granted on: (i) 02/01/2005, 5,100 shares which vested on 02/01/2010; (ii) 06/01/2007, 5,334 shares which vested on 01/01/2010; (iii) 01/01/2008, 13,375 shares which vested on 01/012010; and (iv) 01/06/2009, 47,751 shares which vested on 01/06/2010. Also includes 2,915 shares which vested on 04/01/2010 granted under our 2003 Outperformance Plan and 16,881 LTIP Units which will vest on 11/30/2010 granted under our 2005 Outperformance Plan.</w:t>
      </w:r>
    </w:p>
    <w:p>
      <w:pPr>
        <w:spacing w:after="0" w:line="111" w:lineRule="exact"/>
        <w:rPr>
          <w:rFonts w:ascii="Arial" w:cs="Arial" w:eastAsia="Arial" w:hAnsi="Arial"/>
          <w:sz w:val="14"/>
          <w:szCs w:val="14"/>
          <w:color w:val="auto"/>
        </w:rPr>
      </w:pPr>
    </w:p>
    <w:p>
      <w:pPr>
        <w:ind w:left="540" w:right="40" w:hanging="532"/>
        <w:spacing w:after="0" w:line="288" w:lineRule="auto"/>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the unvested portion of a restricted stock award granted on 06/01/2007, of which 5,334 shares vested on 01/01/2010 based on the attainment of specified performance goals during the vesting period. Also includes 54,183 LTIP Units, which represents the number of LTIP Units that would be earned if we achieved the same per year percentage stock price appreciation during the three-year performance period under the 2010 Notional Unit Plan as we did during 2009, which equals approximately 93.98% stock price appreciation per year.</w:t>
      </w:r>
    </w:p>
    <w:p>
      <w:pPr>
        <w:spacing w:after="0" w:line="83" w:lineRule="exact"/>
        <w:rPr>
          <w:rFonts w:ascii="Arial" w:cs="Arial" w:eastAsia="Arial" w:hAnsi="Arial"/>
          <w:sz w:val="12"/>
          <w:szCs w:val="12"/>
          <w:color w:val="auto"/>
        </w:rPr>
      </w:pPr>
    </w:p>
    <w:p>
      <w:pPr>
        <w:ind w:left="540" w:right="20" w:hanging="532"/>
        <w:spacing w:after="0" w:line="233"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restricted stock awards granted on: (i) 02/01/2005, 1,800 shares which vested on 02/01/2010; (ii) 06/01/2007, 4,000 shares which vested on 01/01/2010; (iii) 01/01/2008, 3,344 shares which vested on 01/01/2010; and (iv) 01/06/2009, 10,612 shares which vested on 01/06/2010. Also includes 1,968 shares which vested on 04/01/2010 granted under our 2003 Outperformance Plan and 6,753 LTIP Units which will vest on 11/30/2010.</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23,136 LTIP Units, which represents the number of LTIP Units that would be earned if we achieved the same per year percentage stock price appreciation during the three-year performance period under the 2010 Notional Unit Plan as we did during 2009, which equals approximately 93.98% stock price appreciation per year.</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2009.</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4"/>
                <w:szCs w:val="14"/>
                <w:color w:val="auto"/>
              </w:rPr>
            </w:pPr>
          </w:p>
        </w:tc>
        <w:tc>
          <w:tcPr>
            <w:tcW w:w="2660" w:type="dxa"/>
            <w:vAlign w:val="bottom"/>
            <w:gridSpan w:val="4"/>
          </w:tcPr>
          <w:p>
            <w:pPr>
              <w:ind w:left="8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Value Realized on</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16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Exercise(1)</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Vesting(2)</w:t>
            </w:r>
          </w:p>
        </w:tc>
        <w:tc>
          <w:tcPr>
            <w:tcW w:w="0" w:type="dxa"/>
            <w:vAlign w:val="bottom"/>
          </w:tcPr>
          <w:p>
            <w:pPr>
              <w:spacing w:after="0"/>
              <w:rPr>
                <w:sz w:val="1"/>
                <w:szCs w:val="1"/>
                <w:color w:val="auto"/>
              </w:rPr>
            </w:pPr>
          </w:p>
        </w:tc>
      </w:tr>
      <w:tr>
        <w:trPr>
          <w:trHeight w:val="16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4,182,201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93,626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2,667,264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F. Hughes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1,324,573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Andrew Mathias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82,140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2,520,797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455,267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 2010 Notional Unit Plan</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December 2009, our Compensation Committee approved the general terms of the SL Green Realty Corp. 2010 Notional Unit Long-Term Compensation Plan, or the 2010 Notional Unit Plan. The 2010 Notional Unit Plan is a long-term incentive compensation plan pursuant to which award recipients may earn, in the aggregate, from approximately $15 million up to approximately $75 million of LTIP Units in our operating partnership based on our stock price appreciation over three years beginning on December 1, 2009. If our aggregate stock price appreciation during this period is less than 25%, then award recipients will not earn any LTIP Units under the 2010 Notional Unit Plan. For stock price appreciation between 25% and 50% during this period, award recipients will earn LTIP Units with a value ranging from approximately $15 million to approximately $75 million based on a sliding scale. If our aggregate stock price appreciation during this period equals or exceeds 50%, then award recipients will earn the maximum award of $75 million under the 2010 Notional Unit Plan. The actual number of LTIP units earned by each award recipient will equal the recipient's share of 337,139 notional units awarded under the 2010 Notional Unit Plan multiplied by a conversion ratio ranging from 0.84:1, at 25% stock price appreciation, to 3.5:1, at 50% or higher stock price appreciation. However, if our aggregate stock price appreciation during this period exceeds 50%, the number of LTIP Units earned will be reduced so that the aggregate value of such units will not exceed the $75 million maximum award. In all events, the value of the LTIP Units awarded will not exceed a $75 million aggregate cap on the value of awards earned.</w:t>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prior to the end of the three-year performance period, we achieve the maximum stock price appreciation of 50% for 45 consecutive days, then a portion of the total awards may be earned early as described in this paragraph. If this 45 consecutive day maximum performance period is completed at any point during the second year of the performance period, then approximately $25 million of LTIP Units will be earned. If this 45 consecutive day maximum performance period is completed at any point during the third year of the performance period, then approximately $25 million (or if the maximum performance was not also achieved at any point during the second year, then approximately $50 million) of LTIP Units will be earned. Other than in connection with a change in control of our company, no acceleration may occur prior to the commencement of the second year or with respect to the final $25 million of LTIP Units. After the awards are earned, they will remain subject to vesting, with 50% of any LTIP Units earned vesting on January 1, 2013 and an additional 25% vesting on each of January 1, 2014 and 2015, in each case, subject to continued employment through the vesting date.</w:t>
      </w:r>
    </w:p>
    <w:p>
      <w:pPr>
        <w:spacing w:after="0" w:line="17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Overall, the 2010 Notional Unit Plan contemplates maximum potential awards of 1,179,987 LTIP Units and a cap of approximately $75 million when earned. On April 2, 2010, we issued 744,128 LTIP Units under the 2010 Notional Unit Plan, subject to the performance-based and time-based vesting described above, and committed to issue up to 418,866 additional LTIP Units, subject to the same terms, if sufficient shares are available under the Second Amended and Restated 2005 Stock Option and Incentive Plan, which is subject to the approval by our stockholders. In the event that sufficient shares do not become available under the Second Amended and Restated 2005 Stock Option and Incentive Plan prior to the end of the performance period, then award recipients will be limited in the LTIP Units they may earn under the 2010 Notional Unit Plan to those that have been granted plus any additional shares that become available prior to the end of the performance period under our Amended and Restated 2005 Stock Option and Incentive Plan.</w:t>
      </w:r>
    </w:p>
    <w:p>
      <w:pPr>
        <w:spacing w:after="0" w:line="17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LTIP Units granted to award recipients will not entitle them to receive any distributions before the LTIP Units are earned (i.e., the performance-based vesting hurdles have been met). If LTIP Units are earned, then award recipients will be entitled to receive all distributions that would have been paid had the number of LTIP Units been issued at the beginning of the performance period. Distributions will be paid currently with respect to all LTIP Units that are earned, whether or not the time-based vesting hurdles have been met.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the event of a change in control of our company prior to December 1, 2010, then the three-year performance period will be shortened to end on the date of such change in control and the awards earned will equal the greater of (i) the award earned without any adjustments to the stock price appreciation hurdles or</w:t>
      </w:r>
    </w:p>
    <w:p>
      <w:pPr>
        <w:ind w:firstLine="8"/>
        <w:spacing w:after="0" w:line="286"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 pro rated award, based on the portion of the original three-year performance period that had elapsed prior to the change in control, calculated using similarly pro rated stock appreciation hurdles. In the event of a change in control of our company on or after December 1, 2010, the performance period will be shortened to end on the date of such change in control and the awards earned under the 2010 Notional Unit Plan will be calculated assuming the performance period ended on November 30, 2012 and our stock price appreciation continued at the same annualized rate from the date of the change in control to November 30, 2012 as was achieved from December 1, 2009 to the date of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stock price appreciation to be utilized may not exceed 200% of what it would have been if it was calculated using the stock price appreciation from December 1, 2009 to the date of the change in control. In either case, all earned awards will be fully vested upon the change in control. If a change in control occurs after the performance period has ended, all unvested awards issued under the 2010 Notional Unit Plan will become fully vested upon the change in control. Additionally, under the 2010 Notional Unit Plan, an award recipient's termination due to death or disability will be treated in the same manner, for that award recipient, as if a change in control had occurred on the date of such termination.</w:t>
      </w:r>
    </w:p>
    <w:p>
      <w:pPr>
        <w:spacing w:after="0" w:line="178"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awards made to our named executive officers under the 2010 Notional Unit Plan also provide that if that named executive officer's employment is terminated by us without cause or by the executive officer for good reason, then the executive officer is treated under the 2010 Notional Unit Plan as if he had remained employed by us for 12 months after the date of his termination.</w:t>
      </w:r>
    </w:p>
    <w:p>
      <w:pPr>
        <w:spacing w:after="0" w:line="194"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foregoing description assumes that we maintain our dividend payments at the current rate of $0.10 per share per quarter. In the event that this rate changes, the stock price appreciation percentages needed to earn awards under the 2010 Notional Unit Plan will be adjusted to reflect the change.</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the event that the Amended 2005 Plan is not approved by our stockholders, the 2010 Notional Unit Plan will be implemented on a proportionally smaller basis.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Table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summarizes information, as of December 31, 2009, relating to our equity compensation plans pursuant to which shares of our common stock or other equity securities may be granted from time to time.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87"/>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78"/>
              </w:rPr>
              <w:t>exercise</w:t>
            </w:r>
          </w:p>
        </w:tc>
        <w:tc>
          <w:tcPr>
            <w:tcW w:w="16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for future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issuance under</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equity compensation</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0"/>
              </w:rPr>
              <w:t>options,</w:t>
            </w: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6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 reflected</w:t>
            </w:r>
          </w:p>
        </w:tc>
      </w:tr>
      <w:tr>
        <w:trPr>
          <w:trHeight w:val="161"/>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and rights(1)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67"/>
              <w:spacing w:after="0"/>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column (a))</w:t>
            </w:r>
          </w:p>
        </w:tc>
      </w:tr>
      <w:tr>
        <w:trPr>
          <w:trHeight w:val="142"/>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87"/>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security holders(2)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3,016,952(3)</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3,016,952</w:t>
            </w:r>
          </w:p>
        </w:tc>
        <w:tc>
          <w:tcPr>
            <w:tcW w:w="30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Excludes vested and unvested restricted stock awards, as well as 48,410 deferred stock units and 200,916 LTIP Units that may be settled or redeemed for shares of common stock.</w:t>
      </w:r>
    </w:p>
    <w:p>
      <w:pPr>
        <w:spacing w:after="0" w:line="145" w:lineRule="exact"/>
        <w:rPr>
          <w:rFonts w:ascii="Arial" w:cs="Arial" w:eastAsia="Arial" w:hAnsi="Arial"/>
          <w:sz w:val="12"/>
          <w:szCs w:val="12"/>
          <w:color w:val="auto"/>
        </w:rPr>
      </w:pPr>
    </w:p>
    <w:p>
      <w:pPr>
        <w:ind w:left="1680" w:right="520" w:hanging="531"/>
        <w:spacing w:after="0" w:line="239" w:lineRule="auto"/>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information related to our 2005 Amended and Restated Stock Option and Incentive Plan, Amended 1997 Stock Option and Incentive Plan, as amended, and 2008 Employee Stock Purchase Plan.</w:t>
      </w:r>
    </w:p>
    <w:p>
      <w:pPr>
        <w:spacing w:after="0" w:line="111" w:lineRule="exact"/>
        <w:rPr>
          <w:rFonts w:ascii="Arial" w:cs="Arial" w:eastAsia="Arial" w:hAnsi="Arial"/>
          <w:sz w:val="14"/>
          <w:szCs w:val="14"/>
          <w:color w:val="auto"/>
        </w:rPr>
      </w:pPr>
    </w:p>
    <w:p>
      <w:pPr>
        <w:ind w:left="1680" w:right="780" w:hanging="531"/>
        <w:spacing w:after="0" w:line="239" w:lineRule="auto"/>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Balance represents Fungible Units that were remaining for future issuance as of December 31, 2009 after reserving for shares to be issued under our 2005 Long-Term Outperformance Compensation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312" w:lineRule="auto"/>
        <w:rPr>
          <w:sz w:val="20"/>
          <w:szCs w:val="20"/>
          <w:color w:val="auto"/>
        </w:rPr>
      </w:pPr>
      <w:r>
        <w:rPr>
          <w:rFonts w:ascii="Arial" w:cs="Arial" w:eastAsia="Arial" w:hAnsi="Arial"/>
          <w:sz w:val="15"/>
          <w:szCs w:val="15"/>
          <w:color w:val="auto"/>
        </w:rPr>
        <w:t>As of April 26, 2010, the number of securities to be issued upon the exercise of outstanding options, warrants and rights is equal to 1,275,447, the weighted average exercise price of outstanding options, warrants and rights is equal to $57.92 and the weighted average term is 5.31 years. The foregoing excludes vested and unvested restricted stock awards, as well as 48,410 deferred stock units and 200,916 LTIP Units that may be settled or redeemed for shares of common stock. In addition, a total of 1,339,469 unvested full-value awards were outstanding as of April 26, 2010, which includes all outstanding deferred stock units and outstanding awards under all of our previous and current multi-year performance plans, including all remaining unvested awards under the 2005 Outperformance Plan and 744,128 issued under the 2010 Notional Unit Plan. As of April 26, 2010, there are 19,643 full-value securities remaining for future issuance under equity compensation plans, representing a total of 58,931 Fungible Units available under our Amended and Restated 2005 Stock Option and Incentive Plan.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Company does not provide supplemental pension or other retirement benefits other than our tax-qualified 401(k) Plan. See "Summary Compensation Table." In addition, the Company does not have a nonqualified deferred compensation plan that provides for deferral of compensation on a basis that is not tax-qualified for our named executive officers.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 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immaterial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8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amounts shown below assume that such Change-in-Control or such termination was effective as of December 31, 2009 and are estimates of the amounts that would be paid out to the named executive officers upon such Change-in-Control or termination of employment. In the case of Mr. Holliday, such amounts were calculated based on the terms of his amended and restated employment agreement, which became effective January 1, 2010. The value of the acceleration of vesting of shares of restricted stock and the LTIP Units is based on the value of unvested awards set forth in the "Outstanding Equity Awards" table above.</w:t>
      </w:r>
    </w:p>
    <w:p>
      <w:pPr>
        <w:spacing w:after="0" w:line="15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Health and welfare benefits are valued based on the estimated amount of future premiums that would be paid on behalf of the named executive officer under our existing plans, based on the premiums in effect as of December 31, 2009. The actual amounts to be paid out can only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in the employment agreements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an executive leave our employment without Good Reason.</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Compensation Committee believes it is fair to provide severance protection and accelerated vesting of equity grants upon a Change-in-Control. Very often, senior managers lose their jobs in connection with a Change-in-Control. By agreeing up-front to provide severance benefits and accelerated vesting or equity grants in the event of a Change-in-Control, our Compensation Committee believes we can reinforce and encourage the continued attention and dedication of senior management to their assigned duties without distraction in the face of an actual or threatened Change-in-Control and ensure that management is motivated to negotiate the best acquisition consideration for our stockholders. Further, because the amount of severance benefits is negotiated in advance and set forth in the executive's employment agreement, it makes it easier for the Board to terminate executives for performance reasons without the need for protracted negotiations over severance.</w:t>
      </w:r>
    </w:p>
    <w:p>
      <w:pPr>
        <w:spacing w:after="0" w:line="172"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these agreements expire, they will be re-evaluated based on peer group analysis, market conditions, and prevailing practices in the REIT industry to determine whether they should be re-negotiated. During fiscal year 2009, we negotiated and entered into an amended and restated employment agreement with Marc Holliday, which became effective January 1, 2010.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Employment and Non-Competition Agreements</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Stephen L. Green's employment and non-competition agreement was originally set to expire on December 31, 2007.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for an automatic renewal for successive one-year terms unless notice of non-renewal is given at least three months prior to the expiration of such renewal term. No such notice was given and the agreement was automatically renewed through December 31, 2010. Pursuant to the agreement, Mr. Green receives an annual base salary of $600,000 and such annual bonuses as we, in our sole discretion, may deem appropriate. Pursuant to the agreement, Mr. Green received a grant of 175,000 shares of restricted common stock in January 2003, 50% of which vested equally over five years subject to continued employment, and the remaining 50% of which vested equally over five years, subject to the attainment of specified financial performance goals during the vesting period. The performance-based vesting each year was based on the achievement of either of the following financial performance goals during the prior year (or on a cumulative basis since 2002): (i) 7% or greater increase in FFO on a per-share basis, (ii) a 10% or greater total return to stockholders, or (iii) total return to stockholders in the top one-third of a peer group of companies determined each year by our Compensation Committee. Mr. Green was also entitled to cash payments intended to serve as a tax gross-up (or a Gross-Up Payment) upon the vesting of the shares of restricted stock granted under his agreement in an amount equal to 40% of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value of the shares vesting. As of December 31, 2009, all such awards have vested fully. Mr. Green is also eligible for health and welfare benefits provided by us to our senior executive officers, and we will maintain a life insurance policy on Mr. Green's behalf, equal to $5 million, or if such policy is not available at reasonable rates, we will self-insure Mr. Green up to an amount equal to (i) the sum of (A) Mr. Green's average base salary during the current year and the immediately prior year and (B) the average of the annual performance bonuses paid to him for the immediately preceding two years multiplied by (ii) the lesser of (A) three or (B) the number of years remaining in his then current employment term.</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December 18, 2009, we entered into a deferred compensation agreement with Mr. Green. The agreement provides for a contribution of notional stock units with a value equal to $150,000 on January 1, 2010 into a deferred compensation account maintained on behalf of Mr. Green. Such notional stock units will vest on December 31, 2010 subject to Mr. Green's continued employment with us through such date. Additionally, the agreement provides that, in the event Mr. Green's employment is terminated by us without Cause, by Mr. Green for Good Reason or upon Mr. Green's death or disability, the vesting of such notional stock units will accelerate to the same extent they would if they were restricted stock awards under Mr. Green's employment agreement.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Pursuant to Mr. Green's employment and noncompetition agreement, if Mr. Green is terminated for any reason, he will be subject to the following obligations: (i) non-competition with the Company for 18 months; (ii) non-solicitation of our employees for 18 months; (iii) non-disparagement of the Company for one year; and (iv) perpetual nondisclosure of confidential information. In connection with a Triggering Event occurring as of December 31, 2009, Mr. Green would have been entitled to the following payments and benefits:</w:t>
      </w:r>
    </w:p>
    <w:p>
      <w:pPr>
        <w:spacing w:after="0" w:line="211" w:lineRule="exact"/>
        <w:rPr>
          <w:sz w:val="20"/>
          <w:szCs w:val="20"/>
          <w:color w:val="auto"/>
        </w:rPr>
      </w:pPr>
    </w:p>
    <w:p>
      <w:pPr>
        <w:ind w:left="1080" w:right="3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Change-in-Control without termination. </w:t>
      </w:r>
      <w:r>
        <w:rPr>
          <w:rFonts w:ascii="Arial" w:cs="Arial" w:eastAsia="Arial" w:hAnsi="Arial"/>
          <w:sz w:val="18"/>
          <w:szCs w:val="18"/>
          <w:color w:val="auto"/>
        </w:rPr>
        <w:t>Under the terms of our Outperformance Plans, outstanding time-based restricted stock and LTIP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would have vested and Mr. Green would have received a payment of $2,039,342.</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would have received no payments or benefits.</w:t>
      </w:r>
    </w:p>
    <w:p>
      <w:pPr>
        <w:spacing w:after="0" w:line="238"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Green's employment agreement, Mr. Green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 an amount of $11,038,500 which is equal to three times the sum of (i) his average base salary during the current year and the immediately prior year and (ii) the average of the annual performance bonuses paid to him for the immediately preceding two years. Mr. Green also would have received his medical and welfare benefits for 36 months, the cost of which to us is projected to aggregate approximately $52,201. All of Mr. Green's outstanding restricted stock and stock option awards would have fully vested at termination. In addition, he would have received a Gross-Up Payment in respect of the vesting of his restricted stock awards granted on or before December 31, 2008, other than those made under the Outperformance Plans, in an amount equal to 40% of the value of the shares vesting. Under the Outperformance Plans, Mr. Green also would have received 12 months of additional vesting for his award under the 2005 Outperformance Plan. The combination of the accelerated vesting and the Gross-Up Payment results in a total value of $7,097,556.</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Green's employment agreement, Mr. Green would have received a cash</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payment in an amount of $11,038,500 which is equal to three times the sum of (i) his average base salary during the current year and the immediately prior year and (ii) the average of the annual performance bonuses paid to him for the immediately preceding two years. In addition, Mr. Green also would have received his medical and welfare benefits for 36 months, the cost of which to us is projected to aggregate approximately $52,201. All of Mr. Green's outstanding restricted stock and stock option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302" w:lineRule="auto"/>
        <w:rPr>
          <w:sz w:val="20"/>
          <w:szCs w:val="20"/>
          <w:color w:val="auto"/>
        </w:rPr>
      </w:pPr>
      <w:r>
        <w:rPr>
          <w:rFonts w:ascii="Arial" w:cs="Arial" w:eastAsia="Arial" w:hAnsi="Arial"/>
          <w:sz w:val="15"/>
          <w:szCs w:val="15"/>
          <w:color w:val="auto"/>
        </w:rPr>
        <w:t>would have fully vested at termination. In addition, he would have received a Gross-Up Payment in respect of the vesting of his restricted stock awards granted on or before December 31, 2008, other than those made under the Outperformance Plans, in an amount equal to 40% of the value of the shares vesting. The combination of the accelerated vesting and the Gross-Up Payment results in a total value of $7,610,305. In addition, in the event that any payment or benefit constituted an excess "parachute payment" under Section 280G of the IRC subject to an excise tax,</w:t>
      </w:r>
    </w:p>
    <w:p>
      <w:pPr>
        <w:spacing w:after="0" w:line="3" w:lineRule="exact"/>
        <w:rPr>
          <w:sz w:val="20"/>
          <w:szCs w:val="20"/>
          <w:color w:val="auto"/>
        </w:rPr>
      </w:pPr>
    </w:p>
    <w:p>
      <w:pPr>
        <w:ind w:left="1080" w:right="20"/>
        <w:spacing w:after="0" w:line="331" w:lineRule="auto"/>
        <w:rPr>
          <w:sz w:val="20"/>
          <w:szCs w:val="20"/>
          <w:color w:val="auto"/>
        </w:rPr>
      </w:pPr>
      <w:r>
        <w:rPr>
          <w:rFonts w:ascii="Arial" w:cs="Arial" w:eastAsia="Arial" w:hAnsi="Arial"/>
          <w:sz w:val="15"/>
          <w:szCs w:val="15"/>
          <w:color w:val="auto"/>
        </w:rPr>
        <w:t>Mr. Green would have been entitled to received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2009 Change-in-Control, Mr. Green would not have received an excise tax gross-up payment.</w:t>
      </w:r>
    </w:p>
    <w:p>
      <w:pPr>
        <w:spacing w:after="0" w:line="15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Green's employment agreement, Mr. Green would have received a cash payment in an amount of</w:t>
      </w:r>
    </w:p>
    <w:p>
      <w:pPr>
        <w:spacing w:after="0" w:line="38" w:lineRule="exact"/>
        <w:rPr>
          <w:rFonts w:ascii="Arial" w:cs="Arial" w:eastAsia="Arial" w:hAnsi="Arial"/>
          <w:sz w:val="16"/>
          <w:szCs w:val="16"/>
          <w:color w:val="auto"/>
        </w:rPr>
      </w:pPr>
    </w:p>
    <w:p>
      <w:pPr>
        <w:ind w:left="1080" w:right="40"/>
        <w:spacing w:after="0" w:line="312" w:lineRule="auto"/>
        <w:rPr>
          <w:rFonts w:ascii="Arial" w:cs="Arial" w:eastAsia="Arial" w:hAnsi="Arial"/>
          <w:sz w:val="16"/>
          <w:szCs w:val="16"/>
          <w:color w:val="auto"/>
        </w:rPr>
      </w:pPr>
      <w:r>
        <w:rPr>
          <w:rFonts w:ascii="Arial" w:cs="Arial" w:eastAsia="Arial" w:hAnsi="Arial"/>
          <w:sz w:val="15"/>
          <w:szCs w:val="15"/>
          <w:color w:val="auto"/>
        </w:rPr>
        <w:t>$11,038,500, which is equal to three times the sum of (i) his average base salary during the current year and the immediately prior year and (ii) the average of the annual performance bonuses paid to him for the immediately preceding two years. All of Mr. Green's outstanding restricted stock and stock option awards would have fully vested at termination. Under the terms of our Outperformance Plans, outstanding time-based restricted stock and LTIP Unit awards would have fully vested. In addition, he would have received a Gross-Up Payment in respect of the vesting of his restricted stock awards granted on or before December 31, 2008, other than those made under the Outperformance Plans, in an amount equal to 40% of the value of the shares vesting. The combination of the accelerated vesting and the Gross-Up Payment results in total value of $7,610,305.</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Green's employment agreement, Mr. Green's estate would have been entitled to receive a payment of</w:t>
      </w:r>
    </w:p>
    <w:p>
      <w:pPr>
        <w:spacing w:after="0" w:line="38" w:lineRule="exact"/>
        <w:rPr>
          <w:rFonts w:ascii="Arial" w:cs="Arial" w:eastAsia="Arial" w:hAnsi="Arial"/>
          <w:sz w:val="16"/>
          <w:szCs w:val="16"/>
          <w:color w:val="auto"/>
        </w:rPr>
      </w:pPr>
    </w:p>
    <w:p>
      <w:pPr>
        <w:ind w:left="1080"/>
        <w:spacing w:after="0" w:line="300" w:lineRule="auto"/>
        <w:rPr>
          <w:rFonts w:ascii="Arial" w:cs="Arial" w:eastAsia="Arial" w:hAnsi="Arial"/>
          <w:sz w:val="16"/>
          <w:szCs w:val="16"/>
          <w:color w:val="auto"/>
        </w:rPr>
      </w:pPr>
      <w:r>
        <w:rPr>
          <w:rFonts w:ascii="Arial" w:cs="Arial" w:eastAsia="Arial" w:hAnsi="Arial"/>
          <w:sz w:val="15"/>
          <w:szCs w:val="15"/>
          <w:color w:val="auto"/>
        </w:rPr>
        <w:t>$3,679,500, which equals the sum of (i) Mr. Green's average base salary during the current year and the immediately prior year and (ii) the average of the annual performance bonuses paid to him for the immediately preceding two years, as we have elected to self-insure Mr. Green. All of</w:t>
      </w:r>
    </w:p>
    <w:p>
      <w:pPr>
        <w:ind w:left="1080" w:right="20"/>
        <w:spacing w:after="0" w:line="253" w:lineRule="auto"/>
        <w:rPr>
          <w:rFonts w:ascii="Arial" w:cs="Arial" w:eastAsia="Arial" w:hAnsi="Arial"/>
          <w:sz w:val="16"/>
          <w:szCs w:val="16"/>
          <w:color w:val="auto"/>
        </w:rPr>
      </w:pPr>
      <w:r>
        <w:rPr>
          <w:rFonts w:ascii="Arial" w:cs="Arial" w:eastAsia="Arial" w:hAnsi="Arial"/>
          <w:sz w:val="18"/>
          <w:szCs w:val="18"/>
          <w:color w:val="auto"/>
        </w:rPr>
        <w:t>Mr. Green's outstanding restricted stock awards and stock option awards would have fully vested at death. Under the terms of our Outperformance Plans, outstanding time-based restricted stock and LTIP Unit awards would have fully vested. In addition, his estate would have received a Gross-Up Payment in respect of the vesting of his restricted stock awards granted on or before December 31, 2008, other than those made under the Outperformance Plans, in an amount equal to 40% of the value of the shares vesting. The combination of the accelerated vesting and the Gross-Up Payment results in total value of $7,610,305.</w:t>
      </w:r>
    </w:p>
    <w:p>
      <w:pPr>
        <w:spacing w:after="0" w:line="193" w:lineRule="exact"/>
        <w:rPr>
          <w:sz w:val="20"/>
          <w:szCs w:val="20"/>
          <w:color w:val="auto"/>
        </w:rPr>
      </w:pPr>
    </w:p>
    <w:p>
      <w:pPr>
        <w:jc w:val="both"/>
        <w:ind w:right="260" w:firstLine="351"/>
        <w:spacing w:after="0" w:line="304" w:lineRule="auto"/>
        <w:rPr>
          <w:sz w:val="20"/>
          <w:szCs w:val="20"/>
          <w:color w:val="auto"/>
        </w:rPr>
      </w:pPr>
      <w:r>
        <w:rPr>
          <w:rFonts w:ascii="Arial" w:cs="Arial" w:eastAsia="Arial" w:hAnsi="Arial"/>
          <w:sz w:val="15"/>
          <w:szCs w:val="15"/>
          <w:b w:val="1"/>
          <w:bCs w:val="1"/>
          <w:color w:val="auto"/>
        </w:rPr>
        <w:t xml:space="preserve">Marc Holliday. </w:t>
      </w:r>
      <w:r>
        <w:rPr>
          <w:rFonts w:ascii="Arial" w:cs="Arial" w:eastAsia="Arial" w:hAnsi="Arial"/>
          <w:sz w:val="15"/>
          <w:szCs w:val="15"/>
          <w:color w:val="auto"/>
        </w:rPr>
        <w:t>Marc Holliday's amended and restated (as of January 1, 2010) employment and non-competition agreement has a term commencing on</w:t>
      </w:r>
      <w:r>
        <w:rPr>
          <w:rFonts w:ascii="Arial" w:cs="Arial" w:eastAsia="Arial" w:hAnsi="Arial"/>
          <w:sz w:val="15"/>
          <w:szCs w:val="15"/>
          <w:b w:val="1"/>
          <w:bCs w:val="1"/>
          <w:color w:val="auto"/>
        </w:rPr>
        <w:t xml:space="preserve"> </w:t>
      </w:r>
      <w:r>
        <w:rPr>
          <w:rFonts w:ascii="Arial" w:cs="Arial" w:eastAsia="Arial" w:hAnsi="Arial"/>
          <w:sz w:val="15"/>
          <w:szCs w:val="15"/>
          <w:color w:val="auto"/>
        </w:rPr>
        <w:t>January 1, 2010 and ending on January 17, 2013, which will automatically renew for successive one-year periods unless either party delivers six months' prior written notice of non-renewal under the agreement; provided, in the event that Mr. Holliday gives prior written notice of non-renewal, the Company, in its sole discretion, may extend the current term or a renewal term by 90 days (such extension, the "Extension Period"), upon written notice to Mr. Holliday at least</w:t>
      </w:r>
    </w:p>
    <w:p>
      <w:pPr>
        <w:spacing w:after="0" w:line="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120 days before the end of the current term or such renewal term, as applicable. The agreement provides for an annual salary of no less than $725,000 from the beginning of the employment period through December 31, 2010 and no less than $1,000,000 from January 1, 2011 through the end of the employment period, and such discretionary annual bonuses as we, in our sole discretion, may deem appropriate to reward Mr. Holliday for job performance. Under the agreement, Mr. Holliday was also entitled to receive a one-time bonus of $1,000,000, which was to be paid in cash on January 18, 2010; provided that Mr. Holliday's employment with us had not been terminated by us with Cause or by Mr. Holliday without Good Reason prior to such date. This bonus was paid to Mr. Holliday on January 18, 2010. In the event that Mr. Holliday's employment is terminated by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with Cause or by Mr. Holliday without Good Reason on or before June 30, 2010, Mr. Holliday has agreed to repay this bonus to us. In addition to annual salary and bonuses, the agreement provides for (i) annual contributions of notional stock units with a value equal to $450,000, on January 18th of each year during the employment period (but excluding the Extension Period), into a deferred compensation account maintained on Mr. Holliday's behalf, with vesting of each annual contribution occurring on January 17th of the following year subject to continued employment and (ii) a grant of an award under the 2010 Notional Unit Plan equal to at least 20% of the total units available under such plan. The agreement also contemplates that we would grant 300,000 restricted stock units to</w:t>
      </w:r>
    </w:p>
    <w:p>
      <w:pPr>
        <w:spacing w:after="0" w:line="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Mr. Holliday on January 1, 2010, with 200,000 of such units subject to time-based vesting occurring in three equal annual installments on January 17th of each of 2011, 2012 and 2013, and 100,000 of such units subject to performance-based vesting occurring in three equal annual installments on January 17th of each of 2011, 2012 and 2013. The vesting each year for the performance-based restricted stock units is to be based on the achievement of any of the following financial performance goals during the prior year (or on a cumulative basis beginning with 2010 (or 2009, with respect to stock price appreciation relative to our peers)):</w:t>
      </w:r>
    </w:p>
    <w:p>
      <w:pPr>
        <w:spacing w:after="0" w:line="2" w:lineRule="exact"/>
        <w:rPr>
          <w:sz w:val="20"/>
          <w:szCs w:val="20"/>
          <w:color w:val="auto"/>
        </w:rPr>
      </w:pPr>
    </w:p>
    <w:p>
      <w:pPr>
        <w:ind w:right="200" w:firstLine="8"/>
        <w:spacing w:after="0" w:line="288" w:lineRule="auto"/>
        <w:tabs>
          <w:tab w:leader="none" w:pos="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7% or greater increase in funds from operations on a per-share basis (with 2010 being measured against results from the third and fourth quarters of 2009 annualized), (ii) 7% or greater stock price appreciation or (iii) stock price appreciation or percentage increase in funds from operations in the top one-third of a peer group of companies determined each year by our Compensation Committee. On January 1, 2010, we granted restricted stock units to Mr. Holliday on the terms contemplated by the agreement. Under the agreement, we are also obligated to maintain a life insurance policy for the benefit of Mr. Holliday's beneficiaries in the face amount of $10 million, or if not available at reasonable rates, to self-insure Mr. Holliday up to the maximum cash severance payable under the agreement. The benefit payable under this policy to Mr. Holliday's beneficiaries will offset certain other benefits that would otherwise be provided to his estate under this agreement, as more fully described below.</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Holliday's employment is terminated for any reason, under the agreement he will be subject to the following continuing obligations after termination:</w:t>
      </w:r>
    </w:p>
    <w:p>
      <w:pPr>
        <w:spacing w:after="0" w:line="38" w:lineRule="exact"/>
        <w:rPr>
          <w:sz w:val="20"/>
          <w:szCs w:val="20"/>
          <w:color w:val="auto"/>
        </w:rPr>
      </w:pPr>
    </w:p>
    <w:p>
      <w:pPr>
        <w:ind w:right="80" w:firstLine="8"/>
        <w:spacing w:after="0" w:line="290" w:lineRule="auto"/>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Holliday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2009, Mr. Holliday would have been entitled to the following payments and benefits (assuming that his current employment agreement was effective as of December 31, 2009):</w:t>
      </w:r>
    </w:p>
    <w:p>
      <w:pPr>
        <w:spacing w:after="0" w:line="185" w:lineRule="exact"/>
        <w:rPr>
          <w:rFonts w:ascii="Arial" w:cs="Arial" w:eastAsia="Arial" w:hAnsi="Arial"/>
          <w:sz w:val="16"/>
          <w:szCs w:val="16"/>
          <w:color w:val="auto"/>
        </w:rPr>
      </w:pPr>
    </w:p>
    <w:p>
      <w:pPr>
        <w:ind w:left="1080" w:right="80" w:hanging="532"/>
        <w:spacing w:after="0" w:line="290" w:lineRule="auto"/>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terms of our Outperformance Plans, outstanding time-based restricted stock and LTIP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would have fully vested. In addition, under the 2010 Notional Unit Plan, a pro rated award, based on the portion of the original three-year performance period that had elapsed prior to the Change-in-Control, would have been earned, as we would have met the pro rated stock appreciation hurdles. The time-based vesting of the award under the 2010 Notional Unit Plan also would have fully vested. The earning of a portion of the 2010 Notional Unit Plan award and this accelerated vesting of outstanding awards under our Outperformance Plans results in total value of $3,022,137. Mr. Holliday's employment agreement no longer provides for an excise tax gross-up with respect to payments and benefits received in connection with a change in control.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would have received no payments or benefits.</w:t>
      </w:r>
    </w:p>
    <w:p>
      <w:pPr>
        <w:spacing w:after="0" w:line="252" w:lineRule="exact"/>
        <w:rPr>
          <w:rFonts w:ascii="Arial" w:cs="Arial" w:eastAsia="Arial" w:hAnsi="Arial"/>
          <w:sz w:val="18"/>
          <w:szCs w:val="18"/>
          <w:color w:val="auto"/>
        </w:rPr>
      </w:pPr>
    </w:p>
    <w:p>
      <w:pPr>
        <w:ind w:left="1080" w:hanging="532"/>
        <w:spacing w:after="0" w:line="285"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for Good Reason. </w:t>
      </w:r>
      <w:r>
        <w:rPr>
          <w:rFonts w:ascii="Arial" w:cs="Arial" w:eastAsia="Arial" w:hAnsi="Arial"/>
          <w:sz w:val="16"/>
          <w:szCs w:val="16"/>
          <w:color w:val="auto"/>
        </w:rPr>
        <w:t>Under Mr. Holliday's employment agreement, Mr. Holliday would have received a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severance payment of $8,576,916,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(4)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Holliday's employment was terminated (and the prior year if such bonus had not yet been determined) based on Mr. Holliday's Average Annual Cash Bonus. Under Mr. Holliday's employment agreement, Mr. Holliday also would have received his medical and welfare benefits for 12 months, the cost of which to us is projected to aggregate approximately $17,727. Under Mr. Holliday's employment agreement, all of his outstanding equity awards, other than those made under the Outperformance Plans and the 2010 Notional Unit Plan, and all of his outstanding unvested deferred compensation contributions would have fully vested upon termination. In addition, Mr. Holliday would have become entitled to receive a Gross-Up Payment in respect of the vesting of the shares of restricted stock granted on or before December 31, 2008, other than those made under the Outperformance Plans, in an amount equal to 40% of the value of the shares vesting and would have been payable upon vesting. Under Mr. Holliday's employment agreement and the Outperformance Plans, Mr. Holliday also would have received 12 months of additional vesting for his awards under the 2003 Outperformance Plan and the 2005 Outperformance Plan. The combination of the accelerated vesting and his Gross-Up Payment results in total value of $11,444,002. Mr. Holliday only would have been entitled to receive the severance payments, accelerated vesting and other benefits provided for in his employment agreement, as described above, if he executed a general release of claims with us.</w:t>
      </w:r>
    </w:p>
    <w:p>
      <w:pPr>
        <w:spacing w:after="0" w:line="188" w:lineRule="exact"/>
        <w:rPr>
          <w:rFonts w:ascii="Arial" w:cs="Arial" w:eastAsia="Arial" w:hAnsi="Arial"/>
          <w:sz w:val="16"/>
          <w:szCs w:val="16"/>
          <w:color w:val="auto"/>
        </w:rPr>
      </w:pPr>
    </w:p>
    <w:p>
      <w:pPr>
        <w:ind w:left="1080" w:right="20" w:hanging="532"/>
        <w:spacing w:after="0" w:line="28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Holliday's employment agreement, if Mr. Holliday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Cause or by Mr. Holliday for Good Reason in connection with or within 18 months after a Change-in-Control, Mr. Holliday would have received a cash severance payment of $25,730,747, which is equal to the sum of (i) three times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Holliday's employment agreement, Mr. Holliday also would have received his medical and welfare benefits for 24 months, the cost of which to us is projected to aggregate approximately $35,453. Mr. Holliday's equity awards would have fully vested in the same manner (and Mr. Holliday would have received a Gross-Up Payment in respect of such equity vesting) as described in the preceding paragraph, except with respect to</w:t>
      </w:r>
    </w:p>
    <w:p>
      <w:pPr>
        <w:spacing w:after="0" w:line="5" w:lineRule="exact"/>
        <w:rPr>
          <w:rFonts w:ascii="Arial" w:cs="Arial" w:eastAsia="Arial" w:hAnsi="Arial"/>
          <w:sz w:val="16"/>
          <w:szCs w:val="16"/>
          <w:color w:val="auto"/>
        </w:rPr>
      </w:pPr>
    </w:p>
    <w:p>
      <w:pPr>
        <w:ind w:left="1080" w:right="340"/>
        <w:spacing w:after="0" w:line="281" w:lineRule="auto"/>
        <w:rPr>
          <w:rFonts w:ascii="Arial" w:cs="Arial" w:eastAsia="Arial" w:hAnsi="Arial"/>
          <w:sz w:val="16"/>
          <w:szCs w:val="16"/>
          <w:color w:val="auto"/>
        </w:rPr>
      </w:pPr>
      <w:r>
        <w:rPr>
          <w:rFonts w:ascii="Arial" w:cs="Arial" w:eastAsia="Arial" w:hAnsi="Arial"/>
          <w:sz w:val="16"/>
          <w:szCs w:val="16"/>
          <w:color w:val="auto"/>
        </w:rPr>
        <w:t>Mr. Holliday's awards under our Outperformance Plans and the 2010 Notional Unit Plan. In connection with the Change-in-Control, under the 2010 Notional Unit Plan, a pro rated award, based on the portion of the original three-year performance period that had elapsed prior to the Change-in-Control, would have been earned, as we would have met the pro rated stock appreciation hurdles. The time-based vesting of</w:t>
      </w:r>
    </w:p>
    <w:p>
      <w:pPr>
        <w:spacing w:after="0" w:line="2" w:lineRule="exact"/>
        <w:rPr>
          <w:rFonts w:ascii="Arial" w:cs="Arial" w:eastAsia="Arial" w:hAnsi="Arial"/>
          <w:sz w:val="16"/>
          <w:szCs w:val="16"/>
          <w:color w:val="auto"/>
        </w:rPr>
      </w:pPr>
    </w:p>
    <w:p>
      <w:pPr>
        <w:ind w:left="1080" w:right="20"/>
        <w:spacing w:after="0" w:line="254" w:lineRule="auto"/>
        <w:rPr>
          <w:rFonts w:ascii="Arial" w:cs="Arial" w:eastAsia="Arial" w:hAnsi="Arial"/>
          <w:sz w:val="16"/>
          <w:szCs w:val="16"/>
          <w:color w:val="auto"/>
        </w:rPr>
      </w:pPr>
      <w:r>
        <w:rPr>
          <w:rFonts w:ascii="Arial" w:cs="Arial" w:eastAsia="Arial" w:hAnsi="Arial"/>
          <w:sz w:val="18"/>
          <w:szCs w:val="18"/>
          <w:color w:val="auto"/>
        </w:rPr>
        <w:t>Mr. Holliday's awards under our Outperformance Plans and the 2010 Notional Unit Plan also would have fully vested. The combination of earning a portion of the 2010 Notional Unit Plan award, the accelerated vesting and his Gross-Up Payment results in total value of $11,773,412. However, if any payments and benefits to be paid or provided to Mr. Holliday, whether under his employment agreement or otherwise, would be subject to "golden parachute" excise taxes under the Internal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80"/>
        <w:spacing w:after="0" w:line="335" w:lineRule="auto"/>
        <w:rPr>
          <w:sz w:val="20"/>
          <w:szCs w:val="20"/>
          <w:color w:val="auto"/>
        </w:rPr>
      </w:pPr>
      <w:r>
        <w:rPr>
          <w:rFonts w:ascii="Arial" w:cs="Arial" w:eastAsia="Arial" w:hAnsi="Arial"/>
          <w:sz w:val="15"/>
          <w:szCs w:val="15"/>
          <w:color w:val="auto"/>
        </w:rPr>
        <w:t>Code, Mr. Holliday's payments and benefits under his employment agreement would have been reduced to the extent necessary to avoid such excise taxes, but only if such a reduction of pay or benefits would result in a greater after-tax benefit to Mr. Holliday. Based on an assumed December 31, 2009 Change-in-Control, Mr. Holliday's payments and benefits would not have been reduced as a result of this provision.</w:t>
      </w:r>
    </w:p>
    <w:p>
      <w:pPr>
        <w:spacing w:after="0" w:line="156" w:lineRule="exact"/>
        <w:rPr>
          <w:sz w:val="20"/>
          <w:szCs w:val="20"/>
          <w:color w:val="auto"/>
        </w:rPr>
      </w:pPr>
    </w:p>
    <w:p>
      <w:pPr>
        <w:ind w:left="1080" w:hanging="532"/>
        <w:spacing w:after="0" w:line="285"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Holliday's employment agreement, Mr. Holliday would have received a cash severance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$8,576,916, which is equal to the sum of (i) the sum of his Average Annual Base Salary, Average Annual Cash Bonus and Average Deferred Compensation,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Holliday's employment agreement, Mr. Holliday also would have continued to receive his medical and welfare benefits for 36 months, the cost of which to us is projected to aggregate approximately $53,180. Mr. Holliday also would have received 24 months of additional vesting for his outstanding equity awards, other than awards made under the Outperformance Plans and the 2010 Notional Unit Plan, and full vesting for his stock options, equity awards granted in lieu of cash bonuses and any unvested deferred compensation contributions. In addition, under the terms of the restricted stock award agreements entered into on or before December 31, 2008, Mr. Holliday would have received, or become entitled to receive, a Gross-Up Payment in respect of the vesting of the shares of stock subject to such agreements. Under the Outperformance Plans, Mr. Holliday's awards under the 2003 Outperformance Plan and the 2005 Outperformance Plan would have fully vested. In addition, under the 2010 Notional Unit Plan, a pro rated award, based on the portion of the original three-year performance period that had elapsed prior to Mr. Holliday's termination, would have been earned, as we would have met the pro rated stock appreciation hurdles. The time-based vesting of the award under the 2010 Notional Unit Plan also would have fully vested. The combination of earning a portion of the 2010 Notional Unit Plan award, the accelerated vesting and his Gross-Up Payment results in total value of $11,773,412. Mr. Holliday only would have been entitled to receive the severance payments, accelerated vesting and other benefits provided for in his employment agreement, as described above, if he had executed a general release of claims with us.</w:t>
      </w:r>
    </w:p>
    <w:p>
      <w:pPr>
        <w:spacing w:after="0" w:line="204"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death. </w:t>
      </w:r>
      <w:r>
        <w:rPr>
          <w:rFonts w:ascii="Arial" w:cs="Arial" w:eastAsia="Arial" w:hAnsi="Arial"/>
          <w:sz w:val="15"/>
          <w:szCs w:val="15"/>
          <w:color w:val="auto"/>
        </w:rPr>
        <w:t>Under Mr. Holliday's employment agreement, Mr. Holliday's estate would have received (i) a cash severance payment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equal to his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his employment was terminated (and the prior year if such bonus had not yet been determined) based on his Average Annual Cash Bonus, (ii) 24 months of additional vesting for his outstanding equity awards, other than awards made under the Outperformance Plans and the 2010 Notional Unit Plan, and (iii) full vesting for his equity awards granted in lieu of cash bonuses and his outstanding unvested deferred compensation contributions. Under the terms of the restricted stock award agreements entered into on or before December 31, 2008, Mr. Holliday's estate would have received, or become entitled to receive, a Gross-Up Payment in respect of the vesting of the shares of stock subject to such agreements. Under the general terms of our equity plans, all of the stock options granted to Mr. Holliday would have fully vested. Under the Outperformance Plans, Mr. Holliday's awards under the 2003 Outperformance Plan and the 2005 Outperformance Plan would have fully vested. In addition, under the 2010 Notional Unit Plan, a pro rated award, based on the portion of the original three-year performance period that had elapsed prior to Mr. Holliday's death, would have been earned, as we would have met the pro rated stock appreciation hurdles. The time-based vesting of the award under the 2010 Notional Unit Plan also would have fully vested. However, notwithstanding the foregoing, Mr. Holliday's estate only would have been entitled to receive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vesting credit, payments and other benefits described above to the extent that the aggregate value of such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vesting credit, payments and other benefits exceeds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80"/>
        <w:spacing w:after="0" w:line="298" w:lineRule="auto"/>
        <w:rPr>
          <w:sz w:val="20"/>
          <w:szCs w:val="20"/>
          <w:color w:val="auto"/>
        </w:rPr>
      </w:pPr>
      <w:r>
        <w:rPr>
          <w:rFonts w:ascii="Arial" w:cs="Arial" w:eastAsia="Arial" w:hAnsi="Arial"/>
          <w:sz w:val="16"/>
          <w:szCs w:val="16"/>
          <w:color w:val="auto"/>
        </w:rPr>
        <w:t>amount payable to Mr. Holliday's beneficiaries under the life insurance policy, or self-insurance, maintained by us. As we maintained a life insurance policy for the benefit of Mr. Holliday's beneficiaries in the face amount of $10 million as of December 31, 2009, the aggregate value that Mr. Holliday's estate would have received with respect to the pro rata bonus, vesting credit, payments and other benefits described above would have been $1,773,412, which equals the amount by which their value exceeded $10 million.</w:t>
      </w:r>
    </w:p>
    <w:p>
      <w:pPr>
        <w:spacing w:after="0" w:line="161" w:lineRule="exact"/>
        <w:rPr>
          <w:sz w:val="20"/>
          <w:szCs w:val="20"/>
          <w:color w:val="auto"/>
        </w:rPr>
      </w:pPr>
    </w:p>
    <w:p>
      <w:pPr>
        <w:ind w:firstLine="341"/>
        <w:spacing w:after="0" w:line="284"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Andrew Mathias' amended and restated (as of April 16, 2007) employment and non-competition agreement has a term of four years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on January 1, 2007, which term will automatically renew for successive six-month periods unless either party serves the required notice under the agreement. The original four-year term was to be automatically reduced by six months if Marc Holliday did not remain employed as our Chief Executive Officer as of January 18, 2010. The agreement provides for an annual salary of at least $500,000 during the first three years of the employment term and at least $550,000 for each year thereafter, which we agreed to review annually, and such annual bonuses as we, in our sole discretion, may deem appropriate. Mr. Mathias has also received, among other benefits, 68,000 shares of restricted common stock on June 1, 2007, 10,000 of which vested immediately. The aggregate of the remaining 58,000 shares and the 14,000 shares of restricted common stock that were granted under Mr. Mathias' prior employment agreement that remained outstanding as of April 16, 2007 vest as follows: 14,000 shares vested on January 1, 2008; 21,666 shares vested on January 1, 2009; 16,666 shares vested on January 1, 2010; and the remaining 19,688 shares will vest on January 1, 2011. The vesting of one-half of each tranche was (or with respect to the shares scheduled to vest on January 1, 2011, is) further conditioned upon the attainment of performance-based vesting criteria. The performance-based vesting will be based on the achievement of either of the following financial performance goals during the prior year (or on a cumulative basis since 2007): (i) 7% or greater increase in funds from operations on a per-share basis, (ii) a 10% or greater total return to stockholders or (iii) total return to stockholders in the top one-third of a peer group of companies determined each year by our Compensation Committee. Mr. Mathias is also entitled to a Gross-Up Payment in respect of these shares of restricted common stock, in an amount equal to 40% of the value of the shares vesting. Mr. Mathias is also eligible for the health and welfare benefits provided by us to our senior executive officers. Pursuant to the agreement, if Mr. Mathias is terminated for any reason (other than (A) non-renewal of the term of employment in the case of clause (i) below and (B) termination by us without Cause or by Mr. Mathias with Good Reason in connection with or within 18 months after a Change-in-Control in the case of clause (i) and (ii) below), he will be subject to the following obligations: (i) non-competition with the Company for one year; (ii) non-solicitation of our employees for two years; (iii) non-disparagement of the Company and non-interference with its business for one year; and (iv) perpetual nondisclosure of confidential information. In connection with a Triggering Event occurring as of December 31, 2009, Mr. Mathias would have been entitled to the following payments and benefits:</w:t>
      </w:r>
    </w:p>
    <w:p>
      <w:pPr>
        <w:spacing w:after="0" w:line="203" w:lineRule="exact"/>
        <w:rPr>
          <w:sz w:val="20"/>
          <w:szCs w:val="20"/>
          <w:color w:val="auto"/>
        </w:rPr>
      </w:pPr>
    </w:p>
    <w:p>
      <w:pPr>
        <w:ind w:left="1080" w:right="20" w:hanging="532"/>
        <w:spacing w:after="0" w:line="288"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Mathias' employment agreement, all of his outstanding equity awards would have fully vested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Change-in-Control. In addition, he would have received, or become entitled to receive, a Gross-Up Payment in respect of the vesting of shares of restricted stock granted on or before December 31, 2008, in an amount equal to 40% of the value of the shares vesting, other than those made under the Outperformance Plans. The combination of the accelerated vesting and his Gross-Up Payment results in total value of $9,741,225. Under the employment agreement, in the event that any payment or benefit constitutes an excess "parachute payment" under Section 280G of the IRC subject to an excise tax, Mr. Mathias would have been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2009 Change-in-Control, Mr. Mathias would not have received an excise tax gross-up payment.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would have received no payments or benefits.</w:t>
      </w:r>
    </w:p>
    <w:p>
      <w:pPr>
        <w:spacing w:after="0" w:line="252" w:lineRule="exact"/>
        <w:rPr>
          <w:rFonts w:ascii="Arial" w:cs="Arial" w:eastAsia="Arial" w:hAnsi="Arial"/>
          <w:sz w:val="18"/>
          <w:szCs w:val="18"/>
          <w:color w:val="auto"/>
        </w:rPr>
      </w:pPr>
    </w:p>
    <w:p>
      <w:pPr>
        <w:ind w:left="1080" w:right="20" w:hanging="532"/>
        <w:spacing w:after="0" w:line="283"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Mathias' employment agreement, Mr. Mathias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of $6,406,250, which is equal to the sum of (i) his Average Annual Base Salary, plus (ii) his Average Annual Cash Bonus, plus (iii)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bonus for the year in which Mr. Mathias' employment was terminated (and a bonus for the prior year if such bonus had not yet been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based on Mr. Mathias' Average Annual Cash Bonus. Under Mr. Mathias' employment agreement, Mr. Mathias also would have received his medical and welfare benefits for 12 months, the cost of which to us is projected to aggregate approximately $17,723. Under</w:t>
      </w:r>
    </w:p>
    <w:p>
      <w:pPr>
        <w:spacing w:after="0" w:line="2" w:lineRule="exact"/>
        <w:rPr>
          <w:rFonts w:ascii="Arial" w:cs="Arial" w:eastAsia="Arial" w:hAnsi="Arial"/>
          <w:sz w:val="16"/>
          <w:szCs w:val="16"/>
          <w:color w:val="auto"/>
        </w:rPr>
      </w:pPr>
    </w:p>
    <w:p>
      <w:pPr>
        <w:ind w:left="1080"/>
        <w:spacing w:after="0" w:line="286" w:lineRule="auto"/>
        <w:rPr>
          <w:rFonts w:ascii="Arial" w:cs="Arial" w:eastAsia="Arial" w:hAnsi="Arial"/>
          <w:sz w:val="16"/>
          <w:szCs w:val="16"/>
          <w:color w:val="auto"/>
        </w:rPr>
      </w:pPr>
      <w:r>
        <w:rPr>
          <w:rFonts w:ascii="Arial" w:cs="Arial" w:eastAsia="Arial" w:hAnsi="Arial"/>
          <w:sz w:val="16"/>
          <w:szCs w:val="16"/>
          <w:color w:val="auto"/>
        </w:rPr>
        <w:t>Mr. Mathias' employment agreement, all of his outstanding equity awards, other than those made under the Outperformance Plans, would have fully vested at termination.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Under Mr. Mathias' employment agreement and the Outperformance Plans, Mr. Mathias also would have received 12 months of additional vesting for his awards under the 2003 Outperformance Plan and the 2005 Outperformance Plan. The combination of the accelerated vesting and his Gross-Up Payment results in total value to be received of $9,741,225. Mr. Mathias only would have been entitled to the severance payments and the acceleration of vesting of equity awards provided for in his employment agreement, as described above, upon Mr. Mathias' execution of a mutual release agreement that released us from all claims he may have against us; provided, however, that such release would not have been required if there was a termination of the executive by us without Cause or by the executive with Good Reason within 18 months of a Change-in-Control.</w:t>
      </w:r>
    </w:p>
    <w:p>
      <w:pPr>
        <w:spacing w:after="0" w:line="191" w:lineRule="exact"/>
        <w:rPr>
          <w:rFonts w:ascii="Arial" w:cs="Arial" w:eastAsia="Arial" w:hAnsi="Arial"/>
          <w:sz w:val="16"/>
          <w:szCs w:val="16"/>
          <w:color w:val="auto"/>
        </w:rPr>
      </w:pPr>
    </w:p>
    <w:p>
      <w:pPr>
        <w:ind w:left="1080" w:right="80" w:hanging="532"/>
        <w:spacing w:after="0" w:line="285"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Mathias' employment agreement, if Mr. Mathias was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Mathias for any reason in connection with or within 18 months after a Change-in-Control, Mr. Mathias would have received a cash severance payment of $16,015,625, which is equal to the sum of (i) two and one-half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Mathias' employment agreement, Mr. Mathias would have received outplacement benefits provided by a nationally-recognized outplacement firm of Mr. Mathias' selection, for a period of up to two years following termination, subject to a maximum cost to us of $125,000, which equals 25% of his Average Annual Base Salary. Under Mr. Mathias' employment agreement, Mr. Mathias also would have received his medical and welfare benefits for 36 months, the cost of which to us is projected to aggregate approximately $53,168. Under Mr. Mathias' employment agreement, all of his outstanding equity awards would have fully vested upon a Change-in-Control.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$9,741,225. Under the employment agreement, in the event that any payment or benefit constitutes an excess "parachute payment" under Section 280G of the IRC subject to an excise tax, Mr. Mathias would have received a tax gross-up payment. Based on an assumed December 31, 2009 Change-in-Control, Mr. Mathias would not have received an excise tax gross-up payment.</w:t>
      </w:r>
    </w:p>
    <w:p>
      <w:pPr>
        <w:spacing w:after="0" w:line="193"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upon disability. </w:t>
      </w:r>
      <w:r>
        <w:rPr>
          <w:rFonts w:ascii="Arial" w:cs="Arial" w:eastAsia="Arial" w:hAnsi="Arial"/>
          <w:sz w:val="18"/>
          <w:szCs w:val="18"/>
          <w:color w:val="auto"/>
        </w:rPr>
        <w:t>Under Mr. Mathias' employment agreement, Mr. Mathias would have received a cash severance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$6,406,250, which is equal to the sum of (i) 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spacing w:after="0" w:line="286" w:lineRule="auto"/>
        <w:rPr>
          <w:sz w:val="20"/>
          <w:szCs w:val="20"/>
          <w:color w:val="auto"/>
        </w:rPr>
      </w:pPr>
      <w:r>
        <w:rPr>
          <w:rFonts w:ascii="Arial" w:cs="Arial" w:eastAsia="Arial" w:hAnsi="Arial"/>
          <w:sz w:val="16"/>
          <w:szCs w:val="16"/>
          <w:color w:val="auto"/>
        </w:rPr>
        <w:t xml:space="preserve">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w:t>
      </w:r>
    </w:p>
    <w:p>
      <w:pPr>
        <w:ind w:left="1080" w:right="20"/>
        <w:spacing w:after="0" w:line="287" w:lineRule="auto"/>
        <w:rPr>
          <w:sz w:val="20"/>
          <w:szCs w:val="20"/>
          <w:color w:val="auto"/>
        </w:rPr>
      </w:pPr>
      <w:r>
        <w:rPr>
          <w:rFonts w:ascii="Arial" w:cs="Arial" w:eastAsia="Arial" w:hAnsi="Arial"/>
          <w:sz w:val="16"/>
          <w:szCs w:val="16"/>
          <w:color w:val="auto"/>
        </w:rPr>
        <w:t>Mr. Mathias' employment agreement, Mr. Mathias also would have received his medical and welfare benefits for 36 months, the cost of which to us is projected to aggregate approximately $53,168. Mr. Mathias also would have received 12 months of additional vesting for his outstanding equity awards, other than those made under the Outperformance Plans, and full vesting for his stock options and his equity awards granted in lieu of cash bonuses. Under the terms of our Outperformance Plans, outstanding time-based restricted stock and LTIP Unit awards will vest.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$8,357,645. Mr. Mathias only would have received the severance payments and the acceleration of vesting of equity awards provided for in his employment agreement, as described above, upon Mr. Mathias' execution of a mutual release agreement that released us from all claims he may have against us.</w:t>
      </w:r>
    </w:p>
    <w:p>
      <w:pPr>
        <w:spacing w:after="0" w:line="188" w:lineRule="exact"/>
        <w:rPr>
          <w:sz w:val="20"/>
          <w:szCs w:val="20"/>
          <w:color w:val="auto"/>
        </w:rPr>
      </w:pPr>
    </w:p>
    <w:p>
      <w:pPr>
        <w:ind w:left="1080" w:hanging="532"/>
        <w:spacing w:after="0" w:line="28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Mathias' employment agreement, Mr. Mathias'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equal to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Mr. Mathias' estate also would have received 12 months of additional vesting for his outstanding equity awards, other than those made under the Outperformance Plans, and full vesting for his stock options and his equity awards granted in lieu of cash bonuses. Under the terms of our Outperformance Plans, outstanding time-based restricted stock and LTIP Unit awards would have fully vested. In addition, his estate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$8,357,645.</w:t>
      </w:r>
    </w:p>
    <w:p>
      <w:pPr>
        <w:spacing w:after="0" w:line="200"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at end of employment term. </w:t>
      </w:r>
      <w:r>
        <w:rPr>
          <w:rFonts w:ascii="Arial" w:cs="Arial" w:eastAsia="Arial" w:hAnsi="Arial"/>
          <w:sz w:val="18"/>
          <w:szCs w:val="18"/>
          <w:color w:val="auto"/>
        </w:rPr>
        <w:t>Generally, Mr. Mathias would not have been entitled to any severance payments, continuation of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or acceleration of vesting of equity awards in the event that his employment is terminated as a result of the non-renewal of his employment term under his employment agreement.</w:t>
      </w:r>
    </w:p>
    <w:p>
      <w:pPr>
        <w:spacing w:after="0" w:line="18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Gregory F. Hughes. </w:t>
      </w:r>
      <w:r>
        <w:rPr>
          <w:rFonts w:ascii="Arial" w:cs="Arial" w:eastAsia="Arial" w:hAnsi="Arial"/>
          <w:sz w:val="16"/>
          <w:szCs w:val="16"/>
          <w:color w:val="auto"/>
        </w:rPr>
        <w:t>Gregory F. Hughes' amended and restated (as of April 16, 2007) employment and non-competition agreement has a term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years commencing on January 1, 2007, which term automatically renewed on January 1, 2010, and will automatically renew for successive three-month periods unless either party serves the required notice under the agreement. To date, no such notice has been given. The agreement provides for an annual salary of at least $500,000, which we agreed to review annually, and such annual bonuses as we, in our sole discretion, may deem appropriate. Mr. Hughes has also received, among other benefits, 37,000 shares of restricted stock on June 1, 2007, 5,000 of which vested immediately. The aggregate of the remaining shares vested as follows: 10,666 shares vested on January 1, 2008; 10,666 shares vested on January 1, 2009; and the remaining 10,668 shares vested on January 1, 2010. The vesting of one-half of each such tranche was further conditioned upon the attainment of performance-based vesting criteria. The performance-based vesting each year was based on the achievement of either of the following financial performance goals during the prior year (or on a cumulative basis since 2007): (i) 7% or greater increase in funds from operations on a per-share basis, (ii) a 10% or greater total return to stockholders, or (iii) total return to stockholders in the top one-third of a peer group of companies determined each year by our Compensation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Committee. Mr. Hughes was also entitled to a Gross-Up Payment in respect of such shares, in an amount equal to 40% of the value of the shares vesting. Additionally, with respect to an option to purchase 100,000 shares of Common Stock granted on February 1, 2004 with an exercise price of $43.25, 10,000 of the 30,000 shares otherwise scheduled to vest thereunder in 2009 became immediately vested upon execution of the agreement. Mr. Hughes is also eligible for the health and welfare benefits provided by us to our senior executive officers. Pursuant to the agreement, as extended to date, if Mr. Hughes is terminated for any reason (other than (A) non-renewal of the term of employment in the case of clause (i) below or (B) termination by us without Cause or by Mr. Hughes with Good Reason in connection with or within 18 months after a Change-in-Control in the case of clause (i) and (ii) below), he will be subject to the following obligations:</w:t>
      </w:r>
    </w:p>
    <w:p>
      <w:pPr>
        <w:spacing w:after="0" w:line="1" w:lineRule="exact"/>
        <w:rPr>
          <w:sz w:val="20"/>
          <w:szCs w:val="20"/>
          <w:color w:val="auto"/>
        </w:rPr>
      </w:pPr>
    </w:p>
    <w:p>
      <w:pPr>
        <w:ind w:right="300" w:firstLine="8"/>
        <w:spacing w:after="0" w:line="255" w:lineRule="auto"/>
        <w:tabs>
          <w:tab w:leader="none" w:pos="2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non-competition with the Company for six months; (ii) non-solicitation of our employees for two years; (iii) non-disparagement of the Company and non-interference with its business for one year; and (iv) perpetual nondisclosure of confidential information. In connection with a Triggering Event occurring as of December 31, 2009, Mr. Hughes would have been entitled to the following payments and benefits:</w:t>
      </w:r>
    </w:p>
    <w:p>
      <w:pPr>
        <w:spacing w:after="0" w:line="211" w:lineRule="exact"/>
        <w:rPr>
          <w:rFonts w:ascii="Arial" w:cs="Arial" w:eastAsia="Arial" w:hAnsi="Arial"/>
          <w:sz w:val="18"/>
          <w:szCs w:val="18"/>
          <w:color w:val="auto"/>
        </w:rPr>
      </w:pPr>
    </w:p>
    <w:p>
      <w:pPr>
        <w:ind w:left="1080" w:right="20" w:hanging="532"/>
        <w:spacing w:after="0" w:line="288" w:lineRule="auto"/>
        <w:tabs>
          <w:tab w:leader="none" w:pos="1080"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Hughes' employment agreement, all of his outstanding equity awards would have fully vested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Change-in-Control.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to be received of $6,402,967. Under the employment agreement, in the event that any payment or benefit constitutes an excess "parachute payment" under Section 280G of the IRC subject to an excise tax, Mr. Hughes would have been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2009 Change-in-Control, Mr. Hughes would not have received an excise tax gross-up payment.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Hughes would have received no payments or benefits.</w:t>
      </w:r>
    </w:p>
    <w:p>
      <w:pPr>
        <w:spacing w:after="0" w:line="238" w:lineRule="exact"/>
        <w:rPr>
          <w:rFonts w:ascii="Arial" w:cs="Arial" w:eastAsia="Arial" w:hAnsi="Arial"/>
          <w:sz w:val="18"/>
          <w:szCs w:val="18"/>
          <w:color w:val="auto"/>
        </w:rPr>
      </w:pPr>
    </w:p>
    <w:p>
      <w:pPr>
        <w:ind w:left="1080" w:right="80" w:hanging="532"/>
        <w:spacing w:after="0" w:line="283" w:lineRule="auto"/>
        <w:tabs>
          <w:tab w:leader="none" w:pos="1080"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Hughes' employment agreement, Mr. Hughes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of $4,437,500, which is equal to the sum of (i) his Average Annual Base Salary, plus (ii) his Average Annual Cash Bonus, plus (iii)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bonus for the year in which Mr. Hughes' employment was terminated (and a bonus for the prior year if such bonus had not yet been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based on Mr. Hughes' Average Annual Cash Bonus. Under Mr. Hughes' employment agreement, Mr. Hughes also would have received his medical and welfare benefits for 12 months, the cost of which to us is projected to aggregate approximately $17,723. Under</w:t>
      </w:r>
    </w:p>
    <w:p>
      <w:pPr>
        <w:spacing w:after="0" w:line="2" w:lineRule="exact"/>
        <w:rPr>
          <w:rFonts w:ascii="Arial" w:cs="Arial" w:eastAsia="Arial" w:hAnsi="Arial"/>
          <w:sz w:val="16"/>
          <w:szCs w:val="16"/>
          <w:color w:val="auto"/>
        </w:rPr>
      </w:pPr>
    </w:p>
    <w:p>
      <w:pPr>
        <w:ind w:left="1080" w:right="140"/>
        <w:spacing w:after="0" w:line="287" w:lineRule="auto"/>
        <w:rPr>
          <w:rFonts w:ascii="Arial" w:cs="Arial" w:eastAsia="Arial" w:hAnsi="Arial"/>
          <w:sz w:val="16"/>
          <w:szCs w:val="16"/>
          <w:color w:val="auto"/>
        </w:rPr>
      </w:pPr>
      <w:r>
        <w:rPr>
          <w:rFonts w:ascii="Arial" w:cs="Arial" w:eastAsia="Arial" w:hAnsi="Arial"/>
          <w:sz w:val="16"/>
          <w:szCs w:val="16"/>
          <w:color w:val="auto"/>
        </w:rPr>
        <w:t>Mr. Hughes' employment agreement, all of his outstanding equity awards, other than those made under the Outperformance Plans, would have fully vested at termination.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Under Mr. Hughes' employment agreement and the Outperformance Plans, Mr. Hughes also would have 12 months of additional vesting for his awards under the 2003 Outperformance Plan and the 2005 Outperformance Plan. The combination of the accelerated vesting and his Gross-Up Payment results in total value to be received of $6,402,967. Mr. Hughes only would be entitled to the severance payments and the acceleration of vesting of equity awards described above upon Mr. Hughes' execution of a mutual release agreement that released us from all claims he may have against us; provided, however, that such release would not be required if there was a termination of the executive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 without Cause or by the executive with Good Reason within 18 months of a Change-in-Control.</w:t>
      </w:r>
    </w:p>
    <w:p>
      <w:pPr>
        <w:spacing w:after="0" w:line="239" w:lineRule="exact"/>
        <w:rPr>
          <w:sz w:val="20"/>
          <w:szCs w:val="20"/>
          <w:color w:val="auto"/>
        </w:rPr>
      </w:pPr>
    </w:p>
    <w:p>
      <w:pPr>
        <w:ind w:left="1080" w:hanging="532"/>
        <w:spacing w:after="0" w:line="283"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Hughes' employment agreement, if Mr. Hughes was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Hughes for any reason in connection with or within 18 months after a Change-in-Control, Mr. Hughes would have received a cash severance payment of $11,093,750, which is equal to the sum of (i) two and one-half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Hughes' employment agreement, Mr. Hughes would have received outplacement benefits provided by a nationally-recognized outplacement firm of Mr. Hughes' selection, for a period of up to two years following termination, subject to a maximum cost to us of $125,000, which equals 25% of his Average Annual Base Salary. Under</w:t>
      </w:r>
    </w:p>
    <w:p>
      <w:pPr>
        <w:ind w:left="1080" w:right="40"/>
        <w:spacing w:after="0" w:line="287" w:lineRule="auto"/>
        <w:rPr>
          <w:rFonts w:ascii="Arial" w:cs="Arial" w:eastAsia="Arial" w:hAnsi="Arial"/>
          <w:sz w:val="16"/>
          <w:szCs w:val="16"/>
          <w:color w:val="auto"/>
        </w:rPr>
      </w:pPr>
      <w:r>
        <w:rPr>
          <w:rFonts w:ascii="Arial" w:cs="Arial" w:eastAsia="Arial" w:hAnsi="Arial"/>
          <w:sz w:val="16"/>
          <w:szCs w:val="16"/>
          <w:color w:val="auto"/>
        </w:rPr>
        <w:t>Mr. Hughes' employment agreement, Mr. Hughes also would have continued to receive his medical and welfare benefits for 36 months, the cost of which to us is projected to aggregate approximately $53,168. Under Mr. Hughes' employment agreement, all of his outstanding equity awards would have fully vested upon a Change-in-Control.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The combination of the accelerated vesting and his Gross-Up Payment results in total value of $6,402,967. Under the employment agreement, in the event that any payment or benefit constitutes an excess "parachute payment" under Section 280G of the IRC subject to an excise tax, Mr. Hughes would have been entitled to receive a tax gross-up payment. Based on an assumed December 31, 2009 change-in-control, Mr. Hughes would not have received an excise tax gross-up payment.</w:t>
      </w:r>
    </w:p>
    <w:p>
      <w:pPr>
        <w:spacing w:after="0" w:line="20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Hughes' employment agreement, Mr. Hughes would have received a cash severance payment of</w:t>
      </w:r>
    </w:p>
    <w:p>
      <w:pPr>
        <w:spacing w:after="0" w:line="38" w:lineRule="exact"/>
        <w:rPr>
          <w:rFonts w:ascii="Arial" w:cs="Arial" w:eastAsia="Arial" w:hAnsi="Arial"/>
          <w:sz w:val="16"/>
          <w:szCs w:val="16"/>
          <w:color w:val="auto"/>
        </w:rPr>
      </w:pPr>
    </w:p>
    <w:p>
      <w:pPr>
        <w:ind w:left="1080" w:right="1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$4,437,500, 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Hughes' employment agreement, Mr. Hughes also would have continued to receive his medical and welfare benefits for 36 months, the cost of which to us is projected to aggregate approximately $53,168. Mr. Hughes also would have received</w:t>
      </w:r>
    </w:p>
    <w:p>
      <w:pPr>
        <w:spacing w:after="0" w:line="2" w:lineRule="exact"/>
        <w:rPr>
          <w:rFonts w:ascii="Arial" w:cs="Arial" w:eastAsia="Arial" w:hAnsi="Arial"/>
          <w:sz w:val="16"/>
          <w:szCs w:val="16"/>
          <w:color w:val="auto"/>
        </w:rPr>
      </w:pPr>
    </w:p>
    <w:p>
      <w:pPr>
        <w:ind w:left="1080" w:right="40"/>
        <w:spacing w:after="0" w:line="287" w:lineRule="auto"/>
        <w:rPr>
          <w:rFonts w:ascii="Arial" w:cs="Arial" w:eastAsia="Arial" w:hAnsi="Arial"/>
          <w:sz w:val="16"/>
          <w:szCs w:val="16"/>
          <w:color w:val="auto"/>
        </w:rPr>
      </w:pPr>
      <w:r>
        <w:rPr>
          <w:rFonts w:ascii="Arial" w:cs="Arial" w:eastAsia="Arial" w:hAnsi="Arial"/>
          <w:sz w:val="16"/>
          <w:szCs w:val="16"/>
          <w:color w:val="auto"/>
        </w:rPr>
        <w:t>12 months of additional vesting for his outstanding equity awards, other than those made under the Outperformance Plans, and full vesting for his stock options and his equity awards granted in lieu of cash bonuses. Under the terms of our Outperformance Plans, outstanding time-based restricted stock and LTIP Unit awards would have fully vested.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$6,402,967. Mr. Hughes only would have been entitled to the severance payments and the acceleration of vesting of equity awards provided for in his employment agreement, as described above, upon Mr. Hughes' execution of a mutual release agreement that released us from all claims he may have against us.</w:t>
      </w:r>
    </w:p>
    <w:p>
      <w:pPr>
        <w:spacing w:after="0" w:line="191"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upon death. </w:t>
      </w:r>
      <w:r>
        <w:rPr>
          <w:rFonts w:ascii="Arial" w:cs="Arial" w:eastAsia="Arial" w:hAnsi="Arial"/>
          <w:sz w:val="18"/>
          <w:szCs w:val="18"/>
          <w:color w:val="auto"/>
        </w:rPr>
        <w:t>Under Mr. Hughes' employment agreement, Mr. Hughes' estate would have received a cash severance payment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equal to his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in which his employment was terminated (and a bonus for the prior year if such bonus had not yet been determined) based on his Average Annual Cash Bonus. Mr. Hughes' estate also would have received 12 months of additional vesting for his outstanding equity awards, other than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94" w:lineRule="auto"/>
        <w:rPr>
          <w:sz w:val="20"/>
          <w:szCs w:val="20"/>
          <w:color w:val="auto"/>
        </w:rPr>
      </w:pPr>
      <w:r>
        <w:rPr>
          <w:rFonts w:ascii="Arial" w:cs="Arial" w:eastAsia="Arial" w:hAnsi="Arial"/>
          <w:sz w:val="16"/>
          <w:szCs w:val="16"/>
          <w:color w:val="auto"/>
        </w:rPr>
        <w:t>those made under the Outperformance Plans, and full vesting for his stock options and his equity awards granted in lieu of cash bonuses. Under the terms of our Outperformance Plans, outstanding time-based restricted stock and LTIP Unit awards would have fully vested. In addition, his estate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$6,402,967.</w:t>
      </w:r>
    </w:p>
    <w:p>
      <w:pPr>
        <w:spacing w:after="0" w:line="16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b w:val="1"/>
          <w:bCs w:val="1"/>
          <w:color w:val="auto"/>
        </w:rPr>
        <w:t xml:space="preserve">Andrew Levine. </w:t>
      </w:r>
      <w:r>
        <w:rPr>
          <w:rFonts w:ascii="Arial" w:cs="Arial" w:eastAsia="Arial" w:hAnsi="Arial"/>
          <w:sz w:val="16"/>
          <w:szCs w:val="16"/>
          <w:color w:val="auto"/>
        </w:rPr>
        <w:t>Andrew Levine entered into an employment and non-competition agreement with us on April 16, 2007. The agreement has a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years commencing on January 1, 2007, which term automatically renewed on January 1, 2010 and will automatically renew for successive six-month periods unless either party serves the required notice under the agreement. To date, no such notice has been given. The agreement provides for an annual salary of at least $350,000, which we agreed to review annually, and such annual bonuses as we, in our sole discretion, may deem appropriate. Mr. Levine has also received, among other benefits, 14,000 shares of restricted stock on June 1, 2007, 2,000 of which vested immediately. The aggregate of the remaining shares vested as follows: 4,000 shares vested on January 1, 2008; 4,000 shares vested on January 1, 2009; and the remaining 4,000 shares vested on January 1, 2010. Mr. Levine is also entitled to a Gross-Up Payment in respect of these shares. Mr. Levine is also eligible for the health and welfare benefits provided by us to our senior executive officers. Pursuant to the agreement, if Mr. Levine is terminated for any reason (other than (A) non-renewal of the term of employment in the case of clause (i) below or (B) termination by us without Cause or by Mr. Levine with Good Reason in connection with or within 18 months after a Change-in-Control in the case of clause (i) and (ii) below), he will be subject to the following obligations: (i) non-competition with the Company for one year; (ii) non-solicitation of our employees for two years; (iii) non-disparagement of the Company and non-interference with its business for one year; and (iv) perpetual nondisclosure of confidential information. In connection with a Triggering Event occurring as of December 31, 2009, Mr. Levine would have been entitled to the following payments and benefits:</w:t>
      </w:r>
    </w:p>
    <w:p>
      <w:pPr>
        <w:spacing w:after="0" w:line="194" w:lineRule="exact"/>
        <w:rPr>
          <w:sz w:val="20"/>
          <w:szCs w:val="20"/>
          <w:color w:val="auto"/>
        </w:rPr>
      </w:pPr>
    </w:p>
    <w:p>
      <w:pPr>
        <w:ind w:left="1080" w:hanging="532"/>
        <w:spacing w:after="0" w:line="289"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Levine's employment agreement, all of his outstanding equity awards would have fully vested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Change-in-Control. In addition, he would have received, or become entitled to receive, a Gross-Up Payment in respect of the vesting of shares of restricted stock granted on or before December 31, 2008, other than those made under the Outperformance Plans. The combination of the accelerated vesting and his Gross-Up Payment results in total value of $1,827,701. Under the employment agreement, in the event that any payment or benefit constitutes an excess "parachute payment" under Section 280G of the IRC subject to an excise tax, Mr. Levine would have been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2009 Change-in-Control, Mr. Levine would not have received an excise tax gross-up payment.</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have received no payments or benefits.</w:t>
      </w:r>
    </w:p>
    <w:p>
      <w:pPr>
        <w:spacing w:after="0" w:line="238"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of $1,334,375, which is equal to the sum of (i) his Average Annual Base Salary, plus (ii) his Average Annual Cash Bonus, plus (iii)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bonus for the year in which Mr. Levine's employment was terminated (and a bonus for the prior year if such bonus had not yet been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based on Mr. Levine's Average Annual Cash Bonus. Under Mr. Levine's employment agreement, Mr. Levine also would have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received his medical and welfare benefits for 12 months, the cost of which to us is projected to aggregate approximately $17,723. Under</w:t>
      </w:r>
    </w:p>
    <w:p>
      <w:pPr>
        <w:spacing w:after="0" w:line="38" w:lineRule="exact"/>
        <w:rPr>
          <w:sz w:val="20"/>
          <w:szCs w:val="20"/>
          <w:color w:val="auto"/>
        </w:rPr>
      </w:pPr>
    </w:p>
    <w:p>
      <w:pPr>
        <w:ind w:left="1080" w:right="20"/>
        <w:spacing w:after="0" w:line="286" w:lineRule="auto"/>
        <w:rPr>
          <w:sz w:val="20"/>
          <w:szCs w:val="20"/>
          <w:color w:val="auto"/>
        </w:rPr>
      </w:pPr>
      <w:r>
        <w:rPr>
          <w:rFonts w:ascii="Arial" w:cs="Arial" w:eastAsia="Arial" w:hAnsi="Arial"/>
          <w:sz w:val="16"/>
          <w:szCs w:val="16"/>
          <w:color w:val="auto"/>
        </w:rPr>
        <w:t>Mr. Levine's employment agreement, all of his outstanding equity awards, other than those made under the Outperformance Plans, would have fully vested at termination. In addition, he would have received, or become entitled to receive, a Gross-Up Payment in respect of the vesting of such shares of restricted stock granted on or before December 31, 2008, other than those made under the Outperformance Plans, in an amount equal to 40% of the value of the shares vesting. Under Mr. Levine's employment agreement and the Outperformance Plans, Mr. Levine also would have received 12 months of additional vesting for his awards under the 2003 Outperformance Plan and the 2005 Outperformance Plan. The combination of the accelerated vesting and his Gross-Up Payment results in total value of $1,827,701. 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 provided, however, that such release would not have been required if there is a termination of the executive by us without Cause or by the executive with Good Reason within 18 months of a Change-in-Control.</w:t>
      </w:r>
    </w:p>
    <w:p>
      <w:pPr>
        <w:spacing w:after="0" w:line="192" w:lineRule="exact"/>
        <w:rPr>
          <w:sz w:val="20"/>
          <w:szCs w:val="20"/>
          <w:color w:val="auto"/>
        </w:rPr>
      </w:pPr>
    </w:p>
    <w:p>
      <w:pPr>
        <w:ind w:left="1080" w:hanging="532"/>
        <w:spacing w:after="0" w:line="285"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Levine's employment agreement, if Mr. Levine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Cause or by Mr. Levine for any reason in connection with or within 18 months after a Change-in-Control, Mr. Levine would have received a cash severance payment of $2,668,750 which is equal to the sum of (i) two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Levine's employment agreement, Mr. Levine would have received outplacement benefits provided by a nationally-recognized outplacement firm of Mr. Levine's selection, for a period of up to two years following termination, subject to a maximum cost to us of $87,500, which equals 25% of his Average Annual Base Salary. Under Mr. Levine's employment agreement, Mr. Levine also would have received his medical and welfare benefits for 36 months, the cost of which to us is projected to aggregate approximately $53,168. Under Mr. Levine's employment agreement, all of his outstanding equity awards would have fully vested upon a Change-in-Control. 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$1,827,701. Under the employment agreement, in the event that any payment or benefit constituted an excess "parachute payment" under Section 280G of the IRC subject to an excise tax, Mr. Levine would have been entitled to receive a tax gross-up payment. Based on an assumed December 31, 2009 change-in-control, Mr. Levine would not have received an excise tax gross-up payment.</w:t>
      </w:r>
    </w:p>
    <w:p>
      <w:pPr>
        <w:spacing w:after="0" w:line="207"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Levine's employment agreement, Mr. Levine would have received a cash severance payment of</w:t>
      </w:r>
    </w:p>
    <w:p>
      <w:pPr>
        <w:spacing w:after="0" w:line="38" w:lineRule="exact"/>
        <w:rPr>
          <w:rFonts w:ascii="Arial" w:cs="Arial" w:eastAsia="Arial" w:hAnsi="Arial"/>
          <w:sz w:val="16"/>
          <w:szCs w:val="16"/>
          <w:color w:val="auto"/>
        </w:rPr>
      </w:pPr>
    </w:p>
    <w:p>
      <w:pPr>
        <w:ind w:left="1080" w:right="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$1,334,375, which is equal to the sum of (i) his Average Annual Base Salary, plus (ii) his Average Annual Cash Bonus, plus (iii)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in which his employment was terminated (and a bonus for the prior year if such bonus had not yet been determined) based on his Average Annual Cash Bonus. Under Mr. Levine's employment agreement, Mr. Levine also would have received his medical and welfare benefits for 36 months, the cost of which to us is projected to aggregate approximately $53,168. Mr. Levine also would have received six months of additional vesting for his outstanding equity awards, other than those made under the Outperformance Plans, and full vesting for his stock options and his equity awards granted in lieu of cash bonuses. Under the terms of our Outperformance Plans, outstanding time-based restricted stock and LTIP Unit awards will vest.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94" w:lineRule="auto"/>
        <w:rPr>
          <w:sz w:val="20"/>
          <w:szCs w:val="20"/>
          <w:color w:val="auto"/>
        </w:rPr>
      </w:pPr>
      <w:r>
        <w:rPr>
          <w:rFonts w:ascii="Arial" w:cs="Arial" w:eastAsia="Arial" w:hAnsi="Arial"/>
          <w:sz w:val="16"/>
          <w:szCs w:val="16"/>
          <w:color w:val="auto"/>
        </w:rPr>
        <w:t>In addition, he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$1,827,701. 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w:t>
      </w:r>
    </w:p>
    <w:p>
      <w:pPr>
        <w:spacing w:after="0" w:line="183" w:lineRule="exact"/>
        <w:rPr>
          <w:sz w:val="20"/>
          <w:szCs w:val="20"/>
          <w:color w:val="auto"/>
        </w:rPr>
      </w:pPr>
    </w:p>
    <w:p>
      <w:pPr>
        <w:ind w:left="1080" w:hanging="532"/>
        <w:spacing w:after="0" w:line="288"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would have received a cash severance payment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have been equal to 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Mr. Levine's estate also would have received six months of additional vesting for his outstanding equity awards, other than those made under the Outperformance Plans, and full vesting for his stock options and his equity awards granted in lieu of cash bonuses. Under the terms of our Outperformance Plans, outstanding time-based restricted stock and LTIP Unit awards would have fully vested. In addition, his estate would have received, or become entitled to receive, a Gross-Up Payment in respect of the vesting of shares of restricted stock granted on or before December 31, 2008, other than those made under the Outperformance Plans, in an amount equal to 40% of the value of the shares vesting. The combination of the accelerated vesting and his Gross-Up Payment results in total value of $1,827,701.</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Compensation Committee is comprised of John H. Alschuler, Jr., Edwin Thomas Burton, III and John S. Levy. There are no Compensation Committee interlocks and none of our employees is a member of the Compensation Committee.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sets forth the beneficial ownership of our common stock, $0.01 par value per share as of April 26, 2010, unless otherwise noted, for</w:t>
      </w:r>
    </w:p>
    <w:p>
      <w:pPr>
        <w:spacing w:after="0" w:line="38" w:lineRule="exact"/>
        <w:rPr>
          <w:sz w:val="20"/>
          <w:szCs w:val="20"/>
          <w:color w:val="auto"/>
        </w:rPr>
      </w:pPr>
    </w:p>
    <w:p>
      <w:pPr>
        <w:ind w:right="80" w:firstLine="8"/>
        <w:spacing w:after="0" w:line="253"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the Company's outstanding common stock, (2) each of our directors, (3) each of our named executive officers who is not a director and (4)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26, 2010, there were 77,963,290 shares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Amount And Nature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 Ownership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Percent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 Inc.(1)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6,746,658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BlackRock, Inc.(2)</w:t>
            </w:r>
          </w:p>
        </w:tc>
        <w:tc>
          <w:tcPr>
            <w:tcW w:w="1520" w:type="dxa"/>
            <w:vAlign w:val="bottom"/>
          </w:tcPr>
          <w:p>
            <w:pPr>
              <w:jc w:val="right"/>
              <w:spacing w:after="0"/>
              <w:rPr>
                <w:sz w:val="20"/>
                <w:szCs w:val="20"/>
                <w:color w:val="auto"/>
              </w:rPr>
            </w:pPr>
            <w:r>
              <w:rPr>
                <w:rFonts w:ascii="Arial" w:cs="Arial" w:eastAsia="Arial" w:hAnsi="Arial"/>
                <w:sz w:val="18"/>
                <w:szCs w:val="18"/>
                <w:color w:val="auto"/>
              </w:rPr>
              <w:t>6,693,655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LLC(3)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6,677,451</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Cohen &amp; Steers, Inc.(4)</w:t>
            </w:r>
          </w:p>
        </w:tc>
        <w:tc>
          <w:tcPr>
            <w:tcW w:w="1520" w:type="dxa"/>
            <w:vAlign w:val="bottom"/>
          </w:tcPr>
          <w:p>
            <w:pPr>
              <w:jc w:val="right"/>
              <w:spacing w:after="0"/>
              <w:rPr>
                <w:sz w:val="20"/>
                <w:szCs w:val="20"/>
                <w:color w:val="auto"/>
              </w:rPr>
            </w:pPr>
            <w:r>
              <w:rPr>
                <w:rFonts w:ascii="Arial" w:cs="Arial" w:eastAsia="Arial" w:hAnsi="Arial"/>
                <w:sz w:val="18"/>
                <w:szCs w:val="18"/>
                <w:color w:val="auto"/>
              </w:rPr>
              <w:t>4,431,683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 Rowe Price Associates, Inc.(5)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4,267,555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Invesco Ltd.(6)</w:t>
            </w:r>
          </w:p>
        </w:tc>
        <w:tc>
          <w:tcPr>
            <w:tcW w:w="1520" w:type="dxa"/>
            <w:vAlign w:val="bottom"/>
          </w:tcPr>
          <w:p>
            <w:pPr>
              <w:jc w:val="right"/>
              <w:spacing w:after="0"/>
              <w:rPr>
                <w:sz w:val="20"/>
                <w:szCs w:val="20"/>
                <w:color w:val="auto"/>
              </w:rPr>
            </w:pPr>
            <w:r>
              <w:rPr>
                <w:rFonts w:ascii="Arial" w:cs="Arial" w:eastAsia="Arial" w:hAnsi="Arial"/>
                <w:sz w:val="18"/>
                <w:szCs w:val="18"/>
                <w:color w:val="auto"/>
              </w:rPr>
              <w:t>3,896,443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H. Alschuler, Jr.(7)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56,439</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Edwin Thomas Burton, III(8)</w:t>
            </w:r>
          </w:p>
        </w:tc>
        <w:tc>
          <w:tcPr>
            <w:tcW w:w="1520" w:type="dxa"/>
            <w:vAlign w:val="bottom"/>
          </w:tcPr>
          <w:p>
            <w:pPr>
              <w:jc w:val="right"/>
              <w:spacing w:after="0"/>
              <w:rPr>
                <w:sz w:val="20"/>
                <w:szCs w:val="20"/>
                <w:color w:val="auto"/>
              </w:rPr>
            </w:pPr>
            <w:r>
              <w:rPr>
                <w:rFonts w:ascii="Arial" w:cs="Arial" w:eastAsia="Arial" w:hAnsi="Arial"/>
                <w:sz w:val="18"/>
                <w:szCs w:val="18"/>
                <w:color w:val="auto"/>
              </w:rPr>
              <w:t>53,860</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L. Green(9)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1,561,267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Marc Holliday(10)</w:t>
            </w:r>
          </w:p>
        </w:tc>
        <w:tc>
          <w:tcPr>
            <w:tcW w:w="1520" w:type="dxa"/>
            <w:vAlign w:val="bottom"/>
          </w:tcPr>
          <w:p>
            <w:pPr>
              <w:jc w:val="right"/>
              <w:spacing w:after="0"/>
              <w:rPr>
                <w:sz w:val="20"/>
                <w:szCs w:val="20"/>
                <w:color w:val="auto"/>
              </w:rPr>
            </w:pPr>
            <w:r>
              <w:rPr>
                <w:rFonts w:ascii="Arial" w:cs="Arial" w:eastAsia="Arial" w:hAnsi="Arial"/>
                <w:sz w:val="18"/>
                <w:szCs w:val="18"/>
                <w:color w:val="auto"/>
              </w:rPr>
              <w:t>444,689</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F. Hughes(11)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63,443</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Andrew S. Levine</w:t>
            </w:r>
          </w:p>
        </w:tc>
        <w:tc>
          <w:tcPr>
            <w:tcW w:w="1520" w:type="dxa"/>
            <w:vAlign w:val="bottom"/>
          </w:tcPr>
          <w:p>
            <w:pPr>
              <w:jc w:val="right"/>
              <w:spacing w:after="0"/>
              <w:rPr>
                <w:sz w:val="20"/>
                <w:szCs w:val="20"/>
                <w:color w:val="auto"/>
              </w:rPr>
            </w:pPr>
            <w:r>
              <w:rPr>
                <w:rFonts w:ascii="Arial" w:cs="Arial" w:eastAsia="Arial" w:hAnsi="Arial"/>
                <w:sz w:val="18"/>
                <w:szCs w:val="18"/>
                <w:color w:val="auto"/>
              </w:rPr>
              <w:t>40,621</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Levy(12)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108,020</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Andrew Mathias(13)</w:t>
            </w:r>
          </w:p>
        </w:tc>
        <w:tc>
          <w:tcPr>
            <w:tcW w:w="1520" w:type="dxa"/>
            <w:vAlign w:val="bottom"/>
          </w:tcPr>
          <w:p>
            <w:pPr>
              <w:jc w:val="right"/>
              <w:spacing w:after="0"/>
              <w:rPr>
                <w:sz w:val="20"/>
                <w:szCs w:val="20"/>
                <w:color w:val="auto"/>
              </w:rPr>
            </w:pPr>
            <w:r>
              <w:rPr>
                <w:rFonts w:ascii="Arial" w:cs="Arial" w:eastAsia="Arial" w:hAnsi="Arial"/>
                <w:sz w:val="18"/>
                <w:szCs w:val="18"/>
                <w:color w:val="auto"/>
              </w:rPr>
              <w:t>282,296</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2,610,635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1680" w:hanging="531"/>
        <w:spacing w:after="0"/>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1680" w:right="80" w:hanging="531"/>
        <w:spacing w:after="0" w:line="230" w:lineRule="auto"/>
        <w:tabs>
          <w:tab w:leader="none" w:pos="16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3, 2010, as of December 31, 2009, The Vanguard Group, Inc. may be deemed to beneficially own an aggregate of 6,746,658 shares of our common stock in its capacity as an investment advisor, which includes 47,362 shares of our common stock held by Vanguard Fiduciary Trust Company as a result of its serving as investment manager of collective trust accounts. The business address of Vanguard is 100 Vanguard Blvd., Malvern, PA 19355.</w:t>
      </w:r>
    </w:p>
    <w:p>
      <w:pPr>
        <w:spacing w:after="0" w:line="112" w:lineRule="exact"/>
        <w:rPr>
          <w:rFonts w:ascii="Arial" w:cs="Arial" w:eastAsia="Arial" w:hAnsi="Arial"/>
          <w:sz w:val="14"/>
          <w:szCs w:val="14"/>
          <w:color w:val="auto"/>
        </w:rPr>
      </w:pPr>
    </w:p>
    <w:p>
      <w:pPr>
        <w:ind w:left="1680" w:hanging="531"/>
        <w:spacing w:after="0" w:line="273"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January 29, 2010, as of December 31, 2009, BlackRock, Inc., BlackRock Asset Management Japan Limited, BlackRock Advisors (UK) Limited, BlackRock Institutional Trust Company, N.A., BlackRock Fund Advisors, BlackRock Asset Management Canada Limited, BlackRock Asset Management Australia Limited, BlackRock Advisors, LLC, BlackRock Capital Management, Inc., BlackRock Financial Management, Inc., BlackRock Investment Management, LLC, BlackRock Investment Management (Australia) Limited, BlackRock (Luxembourg) S.A., BlackRock International Ltd, or, collectively, BlackRock, may be deemed to beneficially own an aggregate of 6,693,655 shares of our common stock. The business address for BlackRock is 40 East 52nd Street, New York, NY 10022.</w:t>
      </w:r>
    </w:p>
    <w:p>
      <w:pPr>
        <w:spacing w:after="0" w:line="93" w:lineRule="exact"/>
        <w:rPr>
          <w:rFonts w:ascii="Arial" w:cs="Arial" w:eastAsia="Arial" w:hAnsi="Arial"/>
          <w:sz w:val="12"/>
          <w:szCs w:val="12"/>
          <w:color w:val="auto"/>
        </w:rPr>
      </w:pPr>
    </w:p>
    <w:p>
      <w:pPr>
        <w:ind w:left="1680" w:right="80" w:hanging="531"/>
        <w:spacing w:after="0" w:line="278"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12, 2010, as of December 31, 2009, FMR LLC, Edward C. Johnson 3d, Fidelity Management &amp; Research Company, Real Estate Investment Portfolio, Pyramis Global Advisors, LLC, Pyramis Global Advisors Trust Company and FIL Limited, or, collectively, Fidelity, may be deemed to beneficially own an aggregate of 6,677,451 shares of our common stock, which includes 6,657,544 shares of our common stock and 19,907 share-equivalents issuable upon the conversion of our 3% convertible bonds. The business address for Fidelity is 82 Devonshire Street, Boston, MA 02109.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line="230" w:lineRule="auto"/>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12, 2010, as of December 31, 2009, Cohen &amp; Steers, Inc., Cohen &amp; Steers Capital Management, Inc. and Cohen &amp; Steers Europe S.A., collectively, may be deemed to beneficially own an aggregate of 4,431,683 shares of our common stock. The business address for Cohen &amp; Steers, Inc. and Cohen &amp; Steers Capital Management, Inc. is 280 Park Avenue, 10th Floor, New York, NY 10017. The business address for Cohen &amp; Steers Europe S.A. is Chausee de la Hulpe 116, 1170 Brussels, Belgium.</w:t>
      </w:r>
    </w:p>
    <w:p>
      <w:pPr>
        <w:spacing w:after="0" w:line="112" w:lineRule="exact"/>
        <w:rPr>
          <w:rFonts w:ascii="Arial" w:cs="Arial" w:eastAsia="Arial" w:hAnsi="Arial"/>
          <w:sz w:val="14"/>
          <w:szCs w:val="14"/>
          <w:color w:val="auto"/>
        </w:rPr>
      </w:pPr>
    </w:p>
    <w:p>
      <w:pPr>
        <w:ind w:left="1680" w:right="240" w:hanging="531"/>
        <w:spacing w:after="0" w:line="318" w:lineRule="auto"/>
        <w:tabs>
          <w:tab w:leader="none" w:pos="1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11, 2010, as of December 31, 2009, T. Rowe Price Associates, Inc. may be deemed to beneficially own an aggregate of 4,267,555 shares of our common stock. The business address for T. Rowe Price Associates, Inc. is 100 E. Pratt Street, Baltimore, MD 21202.</w:t>
      </w:r>
    </w:p>
    <w:p>
      <w:pPr>
        <w:spacing w:after="0" w:line="66" w:lineRule="exact"/>
        <w:rPr>
          <w:rFonts w:ascii="Arial" w:cs="Arial" w:eastAsia="Arial" w:hAnsi="Arial"/>
          <w:sz w:val="12"/>
          <w:szCs w:val="12"/>
          <w:color w:val="auto"/>
        </w:rPr>
      </w:pPr>
    </w:p>
    <w:p>
      <w:pPr>
        <w:ind w:left="1680" w:right="140" w:hanging="531"/>
        <w:spacing w:after="0" w:line="230" w:lineRule="auto"/>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12, 2010, as of December 31, 2009, Invesco Ltd., Invesco Institutional (N.A.), Inc., Invesco Global Asset Management (N.A.), Inc., Invesco PowerShares Capital Management, Invesco Management S.A., Invesco PowerShares Capital Management Ireland Ltd. and Invesco National Trust Company, or, collectively, Invesco, may be deemed to beneficially own an aggregate of 3,896,443 shares of our common stock. The business address for Invesco is 1555 Peachtree Street NE; Atlanta, GA 30309.</w:t>
      </w:r>
    </w:p>
    <w:p>
      <w:pPr>
        <w:spacing w:after="0" w:line="112" w:lineRule="exact"/>
        <w:rPr>
          <w:rFonts w:ascii="Arial" w:cs="Arial" w:eastAsia="Arial" w:hAnsi="Arial"/>
          <w:sz w:val="14"/>
          <w:szCs w:val="14"/>
          <w:color w:val="auto"/>
        </w:rPr>
      </w:pPr>
    </w:p>
    <w:p>
      <w:pPr>
        <w:ind w:left="1680" w:hanging="531"/>
        <w:spacing w:after="0"/>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42,000 shares of our common stock subject to options exercisable within 60 days of April 29, 2009 and 12,405 phantom units.</w:t>
      </w:r>
    </w:p>
    <w:p>
      <w:pPr>
        <w:spacing w:after="0" w:line="122" w:lineRule="exact"/>
        <w:rPr>
          <w:rFonts w:ascii="Arial" w:cs="Arial" w:eastAsia="Arial" w:hAnsi="Arial"/>
          <w:sz w:val="14"/>
          <w:szCs w:val="14"/>
          <w:color w:val="auto"/>
        </w:rPr>
      </w:pPr>
    </w:p>
    <w:p>
      <w:pPr>
        <w:ind w:left="1680" w:right="260" w:hanging="531"/>
        <w:spacing w:after="0" w:line="239" w:lineRule="auto"/>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18,000 shares of our common stock subject to options exercisable within 60 days of April 29, 2009 and 21,859 phantom units. Mr. Burton holds 14,000 shares of our common stock in a margin brokerage account, and therefore such shares may from time to time be pledged as collateral.</w:t>
      </w:r>
    </w:p>
    <w:p>
      <w:pPr>
        <w:spacing w:after="0" w:line="111" w:lineRule="exact"/>
        <w:rPr>
          <w:rFonts w:ascii="Arial" w:cs="Arial" w:eastAsia="Arial" w:hAnsi="Arial"/>
          <w:sz w:val="14"/>
          <w:szCs w:val="14"/>
          <w:color w:val="auto"/>
        </w:rPr>
      </w:pPr>
    </w:p>
    <w:p>
      <w:pPr>
        <w:ind w:left="1680" w:right="60" w:hanging="531"/>
        <w:spacing w:after="0" w:line="239" w:lineRule="auto"/>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1,113,925 limited partnership units in SL Green Operating Partnership, L.P. held directly or indirectly through certain partnerships and other similar entities and 207,000 shares of our common stock issuable upon the exercise of options exercisable within 60 days of April 29, 2009.</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10,157 LTIP Units issued under the 2005 Outperformance Plan.</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20,000 shares of our common stock subject to options exercisable within 60 days of April 29,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66,000 shares of our common stock subject to options exercisable within 60 days of April 29, 2009 and 21,196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60,771 LTIP Units issued under the 2005 Outperformance Plan.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are not involved in any legal proceeding in which any of our directors or executive officers is adverse to the Company. Certain lawsuits in which we are involved are discussed under Note 17 in Notes to Consolidated Financial Statements included in our Annual Report on Form 10-K.</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owned by Gary Green, a son of Stephen L. Green, the chairman of our board of directors. First Quality also provides additional services directly to tenants on a separately negotiated basis. In addition, First Quality has the non-exclusive opportunity to provide cleaning and related services to individual tenants at our properties on a separately negotiated basis with any tenant seeking such additional services. SL Green Operating Partnership, L.P. has entered into an arrangement with Alliance whereby it will receive a profit participation above a certain threshold for services provided by Alliance to tenants above the base services specified in their lease agreements. SL Green Operating Partnership, L.P. received approximately $1.6 million for the year ended December 31, 2009. We paid Alliance approximately $14.9 million for the year ended December 31, 2009 for these services (excluding services provided directly to tenants).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 L. Green Management Corp., one of our subsidiaries, receives property management fees from certain entities in which Stephen L. Green, our Chairman, owns an interest. The aggregate amount of fees paid to S. L. Green Management Corp. from such entities was approximately $351,700 in 2009.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Cushman &amp; Wakefield Sonnenblick-Goldman, LLC, or Sonnenblick, a nationally recognized real estate investment banking firm, provided mortgage brokerage services to us. Mr. Morton Holliday, the father of Mr. Marc Holliday, was a Managing Director of Sonnenblick at the time such services were provided. In 2009, we paid approximately $428,000 to Sonnenblick in connection with the purchase of a sub-leasehold interest and the refinancing of 420 Lexington Avenue.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Interests in Gramercy</w:t>
      </w:r>
    </w:p>
    <w:p>
      <w:pPr>
        <w:spacing w:after="0" w:line="225"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April 2004, we formed Gramercy as a commercial real estate finance business. Gramercy qualified as a REIT for federal income tax purposes and we believe Gramercy expects to qualify as a REIT for its current fiscal year. At December 31, 2009, we held 6,219,370 shares, or approximately 12.47% of Gramercy's common stock. Our total investment had a net book value of zero at December 31, 2009. The market value of our common stock investment in Gramercy was approximately $16.1 million at December 31, 2009. Gramercy is a variable interest entity, but we are not the primary beneficiary.</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Prior to Gramercy's internalization on April 24, 2009 (which we refer to as the GKK Internalization) of GKK Manager LLC, or the Manager (our former wholly-owned subsidiary which was the external manager to Gramercy), we were entitled to an incentive return payable through Class B limited partner interests we held in Gramercy's operating partnership. The incentive return was equal to 25% of the amount by which funds from operations (as defined in Gramercy's amended and restated partnership agreement) plus certain accounting gains exceeded the product of the weighted average stockholders' equity of Gramercy multiplied by 9.5% (divided by four to adjust for quarterly calculations). We earned no fees under this agreement for the year ended December 31, 2009. This arrangement was terminated when the GKK Internalization was completed.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Agreement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connection with Gramercy's initial public offering, the Manager, which at the time was an affiliate of ours, entered into a management agreement with Gramercy, which provided for an initial term through December 2007, and which subsequently was extended through December 2009. The management agreement was further amended in September 2007 and amended and restated in October 2008 and subsequently was terminated on April 24, 2009 in connection with the GKK Internalization. For the year ended December 31, 2009, we received no fees under the management agreement.</w:t>
      </w:r>
    </w:p>
    <w:p>
      <w:pPr>
        <w:spacing w:after="0" w:line="16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2008, we, as well as Gramercy, each formed special committees comprised solely of independent directors to consider whether the GKK Internalization and/or amendment to the management agreement would be in the best interest of each company and its respective stockholders. The GKK Internalization was completed on April 24, 2009 through the direct acquisition by Gramercy of the Manager.</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October 27, 2008, the Manager entered into a Second Amended and Restated Management Agreement (the "Second Amended Management Agreement") with Gramercy and GKK Capital LP. The Second Amended Management Agreement generally contained the same terms and conditions as the Amended and Restated Management Agreement, dated as of April 19, 2006, except it provided that all management, service and similar fees relating to Gramercy's CDOs that the Manager was entitled to receive were to be remitted by the Manager to Gramercy for any period subsequent to July 1, 2008. The Second Amended Management Agreement was terminated in connection with the GKK Internalization.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Management Agreement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connection with the closing of Gramercy's first CDO in July 2005, Gramercy entered into a collateral management agreement with the Manager. Pursuant to the collateral management agreement, the Manager agreed to provide certain advisory and administrative services in relation to the collateral debt securities and other eligible investments securing the CDO notes. As compensation for the performance of its obligations as collateral manager under the first CDO, Gramercy's board of directors had allocated to the Manager the subordinate collateral management fee paid on securities not held by Gramercy. The senior collateral management fee and balance of the subordinate collateral management fee was allocated to Gramercy. For the year ended December 31, 2009, we received no fees under the collateral management agreement. Fees payable to the Manager under the collateral management agreement were remitted to Gramercy for all periods subsequent to June 30, 2008.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Agreement and Outsourcing Agreement</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Prior to the GKK Internalization, Gramercy was obligated to reimburse the Manager for its costs incurred under an asset servicing agreement and an outsourcing agreement between the Manager and us. The asset servicing agreement, which was amended and restated in April 2006, provided for an annual fee payable to us of 0.05% of the book value of all Gramercy's credit tenant lease assets and non-investment grade bonds and 0.15% of the book value of all other Gramercy assets. The outsourcing agreement provided for a fee of $2.7 million per year, increasing 3% annually over the prior year. For the year ended December 31, 2009 the Manager received an aggregate of approximately $1.0 million under the outsourcing and asset servicing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October 27, 2008, we, Gramercy and GKK Capital LP entered into a services agreement (the "Services Agreement") pursuant to which we provided consulting and other services to Gramercy. We made certain members of management available in connection with the provision of the services until the completion of the GKK Internalization on April 24, 2009. In consideration for the consulting services, we received from Gramercy a fee of $200,000 per month. We also provided Gramercy with certain other services described in the Services Agreement for a fee of $100,000 per month until April 24, 2009. The Services Agreement was terminated in connection with the GKK Internalization. Since October 27, 2008, an affiliate of ours has served as special servicer for certain assets held by Gramercy or its affiliates and assigned its duties to a subsidiary of the Manager.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Agreement</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were party to an origination agreement with Gramercy, which was amended and restated in April 2006 and which was terminated as of April 24, 2009. Pursuant to this agreement, we were not permitted to originate, acquire or participate in fixed income investments in the United States, subject to certain conditions and exclusions. Fixed income investments included debt obligations or interests in debt obligations bearing a fixed-rate of return and collateralized by real property or interests in real property. We also agreed not to acquire, originate or participate in preferred equity investments that bear a fixed rate of return related primarily to real property or interests in real property in the United States, unless Gramercy had determined not to pursue that opportunity. This agreement was terminated on April 24, 2009 in connection with the GKK Internalization.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Effective May 2005, June 2009 and October 2009, Gramercy entered into lease agreements with an affiliate of ours, for their corporate offices at 420 Lexington Avenue, New York, NY. The first lease is for approximately 7,300 square feet and carries a term of ten years with rents of approximately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$249,000 per annum for year one increasing to $315,000 per annum in year ten. The second lease is for approximately 900 square feet pursuant to a lease which ends in April 2015, with annual rent under this lease of approximately $35,300 per annum for year one increasing to $42,800 per annum in year six. The third lease is for approximately 1,400 square feet pursuant to a lease that ends in April 2015, with annual rent under this lease of approximately $67,300 per annum for year one increasing to $80,500 per annum in year six.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25"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We entered into a registration rights agreement with Gramercy in connection with its private placement transaction whereby Gramercy agreed to file a registration statement with the SEC no later than August 31, 2005, covering the shares it sold (which includes the shares we acquired) in the private placement. On August 31, 2005, Gramercy filed a registration statement relating to such shares, which was declared effective by the SEC on September 16, 2005.</w:t>
      </w:r>
    </w:p>
    <w:p>
      <w:pPr>
        <w:spacing w:after="0" w:line="14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April 19, 2006, SL Green Operating Partnership, L.P. entered into a Second Amended and Restated Registration Rights Agreement with Gramercy. This agreement was amended to reflect the rules adopted by the SEC effective December 1, 2005, and modified to limit to two the number of times per year that Gramercy or its underwriters are permitted, as holder of registerable securities, to cause SL Green Operating Partnership, L.P. to delay any offer or sale of such registerable securities.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April 7, 2008, SL Green Operating Partnership, L.P. entered into a Third Amended and Restated Registration Rights Agreement with Gramercy. This agreement was amended to reflect certain ministerial changes.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September 25, 2009, SL Green Operating Partnership, L.P. exercised its right under the Third Amended and Restated Registration Rights Agreement to request that additional shares be registered pursuant to the August 31, 2005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Gramercy holds tenancy-in-common interests along with us in 2 Herald Square and 885 Third Avenue in New York, New York. See Note 5 to our financial statements for information on our structured finance investments in which Gramercy also holds an interest.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affiliate of ours held an investment in Gramercy's preferred stock with a book value of approximately $0.6 million at December 31, 2009.</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October 27, 2008, Marc Holliday, our Chief Executive Officer, Andrew Mathias, our President and Chief Investment Officer and Gregory F. Hughes, our Chief Financial Officer and Chief Operating Officer resigned as Chief Executive Officer, Chief Investment Officer and Chief Credit Officer, respectively, of Gramercy. Mr. Holliday also resigned as President of Gramercy effective as of October 28, 2008. Mr. Holliday and Mr. Mathias remained as consultants to Gramercy through September 30, 2009. This agreement was terminated in connection with the GKK Internalization. Also, Mr. Holliday notified the Board of Directors of Gramercy that he would not stand for election as a director for a new term. However, Mr. Holliday has agreed with the Board of Directors of Gramercy that he would remain as a director for a unspecified period of time following Gramercy's 2010 annual meeting to allow Gramercy to search for and appoint a replacement director.</w:t>
      </w:r>
    </w:p>
    <w:p>
      <w:pPr>
        <w:spacing w:after="0" w:line="20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October 28, 2008, Gramercy announced the appointment of Roger M. Cozzi, as President and Chief Executive Officer, effective immediately. Effective as of November 13, 2008, Timothy J. O'Connor was appointed as President of Gramercy. Mr. Holliday remains a board member of Gramercy.</w:t>
      </w:r>
    </w:p>
    <w:p>
      <w:pPr>
        <w:spacing w:after="0" w:line="139"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2009, we, as well as an affiliate of ours, entered into consulting agreements with Gramercy which will provide services required for the evaluation, acquisition, disposition and portfolio management of CMBS investments. We will pay 10 basis points and our affiliate will pay 25 basis points of the principal amount of all trades executed. We, as well as our affiliate, paid an aggregate of approximately $0.1 million for such services in 2009.</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$7,500 plus out-of-pocket expenses.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Stockholders who, in accordance with the Rule 14a-8 under the Securities Exchange Act of 1934, as amended, wish to present proposals for inclusion in the proxy materials to be distributed by us in connection with our 2011 annual meeting must submit their proposals to our Corporate Secretary on or before December 31, 2010.</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annual meeting:</w:t>
      </w:r>
    </w:p>
    <w:p>
      <w:pPr>
        <w:spacing w:after="0" w:line="183"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less than 90 days nor more than 180 days prior to the first anniversary of the preceding year's annual meeting; or</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earlier than the 180th day prior to such annual meeting and not later than the close of business on the later of the 90th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7"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Assuming that our 2011 annual meeting is not advanced by more than seven calendar days or delayed by more than 60 days from the anniversary date of the 2010 annual meeting, we must receive notice of your intention to introduce a nomination or other item of business at the 2011 annual meeting after December 12, 2010 and no later than March 13, 2011.</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notice of a nomination must contain all information relating to such person (the "Proposed Nominee") and relating to the stockholder giving the notice that is required by our bylaws, including information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notice of a nomination or of a proposed item of business must contain, as to the stockholder giving the notice, any Proposed Nominee and any person acting in concert with such stockholder, any beneficial owner of Company Securities (as defined below) with such stockholder, any beneficial owner of Company Securities owned of record or beneficially by such stockholder (other than a stockholder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that is a depositary) and any person that, directly or indirectly through one or more intermediaries, controls, is controlled by or is under common control with such stockholder or Stockholder Associated Person (a "Stockholder Associated Person"), the information required by our bylaws, including (1) the name and address of such stockholder, as they appear on SL Green's books, and the current name, business address and residence address of any such Stockholder Associated Person or Proposed Nominee, (2) as of the date of the notice, the number of shares, if any, of each class of stock or other security of the Company or any affiliate thereof (the "Company Securities") which are owned beneficially and/or of record by such stockholder, Proposed Nominee or Stockholder Associated Person, the date on which each such Company Security was acquired and the investment intent of such acquisition, and (3) as of the date of the notice, whether and the extent to which, such stockholder, Proposed Nominee or Stockholder Associated Person is subject to, or during the past six months has, directly or indirectly (through brokers, nominees or otherwise),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(x) for any such stockholder, Proposed Nominee or Stockholder Associated Person, to mitigate loss to or manage risk or benefit from changes in the price of Company Securities or (y) to increase or decrease, disproportionately to the economic interest, the voting power of any such stockholder, Proposed Nominee or Stockholder Associated Person in the Company or any affiliate thereof.</w:t>
      </w:r>
    </w:p>
    <w:p>
      <w:pPr>
        <w:spacing w:after="0" w:line="178"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7"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165735</wp:posOffset>
            </wp:positionV>
            <wp:extent cx="1826895" cy="565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2010</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360" w:type="dxa"/>
            <w:vAlign w:val="bottom"/>
            <w:vMerge w:val="restart"/>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1. DEFINITIONS.</w:t>
              </w:r>
            </w:hyperlink>
          </w:p>
        </w:tc>
        <w:tc>
          <w:tcPr>
            <w:tcW w:w="7380" w:type="dxa"/>
            <w:vAlign w:val="bottom"/>
            <w:gridSpan w:val="17"/>
            <w:vMerge w:val="restart"/>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0000EE"/>
            </w:tcBorders>
            <w:vMerge w:val="continue"/>
          </w:tcPr>
          <w:p>
            <w:pPr>
              <w:spacing w:after="0"/>
              <w:rPr>
                <w:sz w:val="14"/>
                <w:szCs w:val="14"/>
                <w:color w:val="auto"/>
              </w:rPr>
            </w:pPr>
          </w:p>
        </w:tc>
        <w:tc>
          <w:tcPr>
            <w:tcW w:w="7380" w:type="dxa"/>
            <w:vAlign w:val="bottom"/>
            <w:gridSpan w:val="17"/>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0000EE"/>
            </w:tcBorders>
          </w:tcPr>
          <w:p>
            <w:pPr>
              <w:jc w:val="right"/>
              <w:spacing w:after="0" w:line="170"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A-1</w:t>
              </w:r>
            </w:hyperlink>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2. EFFECTIVE DATE AND TERMINATION OF PLAN.</w:t>
              </w:r>
            </w:hyperlink>
          </w:p>
        </w:tc>
        <w:tc>
          <w:tcPr>
            <w:tcW w:w="46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A-4</w:t>
              </w:r>
            </w:hyperlink>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3. ADMINISTRATION OF PLAN.</w:t>
              </w:r>
            </w:hyperlink>
          </w:p>
        </w:tc>
        <w:tc>
          <w:tcPr>
            <w:tcW w:w="6200" w:type="dxa"/>
            <w:vAlign w:val="bottom"/>
            <w:gridSpan w:val="13"/>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A-5</w:t>
              </w:r>
            </w:hyperlink>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4. SHARES AND UNITS SUBJECT TO THE PLAN.</w:t>
              </w:r>
            </w:hyperlink>
          </w:p>
        </w:tc>
        <w:tc>
          <w:tcPr>
            <w:tcW w:w="486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A-6</w:t>
              </w:r>
            </w:hyperlink>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5. PROVISIONS APPLICABLE TO STOCK OPTIONS.</w:t>
              </w:r>
            </w:hyperlink>
          </w:p>
        </w:tc>
        <w:tc>
          <w:tcPr>
            <w:tcW w:w="464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A-7</w:t>
              </w:r>
            </w:hyperlink>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6. PROVISIONS APPLICABLE TO RESTRICTED STOCK.</w:t>
              </w:r>
            </w:hyperlink>
          </w:p>
        </w:tc>
        <w:tc>
          <w:tcPr>
            <w:tcW w:w="43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A-10</w:t>
              </w:r>
            </w:hyperlink>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7. PROVISIONS APPLICABLE TO PHANTOM SHARES.</w:t>
              </w:r>
            </w:hyperlink>
          </w:p>
        </w:tc>
        <w:tc>
          <w:tcPr>
            <w:tcW w:w="44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A-11</w:t>
              </w:r>
            </w:hyperlink>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8. PROVISIONS APPLICABLE TO DIVIDEND EQUIVALENT RIGHTS.</w:t>
              </w:r>
            </w:hyperlink>
          </w:p>
        </w:tc>
        <w:tc>
          <w:tcPr>
            <w:tcW w:w="3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A-14</w:t>
              </w:r>
            </w:hyperlink>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9. OTHER EQUITY-BASED AWARDS</w:t>
              </w:r>
            </w:hyperlink>
          </w:p>
        </w:tc>
        <w:tc>
          <w:tcPr>
            <w:tcW w:w="5860" w:type="dxa"/>
            <w:vAlign w:val="bottom"/>
            <w:gridSpan w:val="10"/>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A-15</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10. PERFORMANCE GOALS.</w:t>
              </w:r>
            </w:hyperlink>
          </w:p>
        </w:tc>
        <w:tc>
          <w:tcPr>
            <w:tcW w:w="646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A-15</w:t>
              </w:r>
            </w:hyperlink>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11. TAX WITHHOLDING.</w:t>
              </w:r>
            </w:hyperlink>
          </w:p>
        </w:tc>
        <w:tc>
          <w:tcPr>
            <w:tcW w:w="674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A-15</w:t>
              </w:r>
            </w:hyperlink>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99">
              <w:r>
                <w:rPr>
                  <w:rFonts w:ascii="Arial" w:cs="Arial" w:eastAsia="Arial" w:hAnsi="Arial"/>
                  <w:sz w:val="18"/>
                  <w:szCs w:val="18"/>
                  <w:color w:val="0000EE"/>
                  <w:w w:val="94"/>
                </w:rPr>
                <w:t>12. REGULATIONS AND APPROVALS.</w:t>
              </w:r>
            </w:hyperlink>
          </w:p>
        </w:tc>
        <w:tc>
          <w:tcPr>
            <w:tcW w:w="570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A-17</w:t>
              </w:r>
            </w:hyperlink>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13. INTERPRETATION AND AMENDMENTS; OTHER RULES.</w:t>
              </w:r>
            </w:hyperlink>
          </w:p>
        </w:tc>
        <w:tc>
          <w:tcPr>
            <w:tcW w:w="39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A-18</w:t>
              </w:r>
            </w:hyperlink>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14. CHANGES IN CAPITAL STRUCTURE.</w:t>
              </w:r>
            </w:hyperlink>
          </w:p>
        </w:tc>
        <w:tc>
          <w:tcPr>
            <w:tcW w:w="548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A-18</w:t>
              </w:r>
            </w:hyperlink>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15. MISCELLANEOUS.</w:t>
              </w:r>
            </w:hyperlink>
          </w:p>
        </w:tc>
        <w:tc>
          <w:tcPr>
            <w:tcW w:w="6920" w:type="dxa"/>
            <w:vAlign w:val="bottom"/>
            <w:gridSpan w:val="1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A-20</w:t>
              </w:r>
            </w:hyperlink>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EXHIBIT A PERFORMANCE GOALS</w:t>
              </w:r>
            </w:hyperlink>
          </w:p>
        </w:tc>
        <w:tc>
          <w:tcPr>
            <w:tcW w:w="588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A-22</w:t>
              </w:r>
            </w:hyperlink>
          </w:p>
        </w:tc>
        <w:tc>
          <w:tcPr>
            <w:tcW w:w="0" w:type="dxa"/>
            <w:vAlign w:val="bottom"/>
          </w:tcPr>
          <w:p>
            <w:pPr>
              <w:spacing w:after="0"/>
              <w:rPr>
                <w:sz w:val="1"/>
                <w:szCs w:val="1"/>
                <w:color w:val="auto"/>
              </w:rPr>
            </w:pPr>
          </w:p>
        </w:tc>
      </w:tr>
      <w:tr>
        <w:trPr>
          <w:trHeight w:val="196"/>
        </w:trPr>
        <w:tc>
          <w:tcPr>
            <w:tcW w:w="8740" w:type="dxa"/>
            <w:vAlign w:val="bottom"/>
            <w:gridSpan w:val="1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EXHIBIT B PERFORMANCE GOALS</w:t>
              </w:r>
            </w:hyperlink>
          </w:p>
        </w:tc>
        <w:tc>
          <w:tcPr>
            <w:tcW w:w="40" w:type="dxa"/>
            <w:vAlign w:val="bottom"/>
          </w:tcPr>
          <w:p>
            <w:pPr>
              <w:spacing w:after="0"/>
              <w:rPr>
                <w:sz w:val="17"/>
                <w:szCs w:val="17"/>
                <w:color w:val="auto"/>
              </w:rPr>
            </w:pPr>
          </w:p>
        </w:tc>
        <w:tc>
          <w:tcPr>
            <w:tcW w:w="360" w:type="dxa"/>
            <w:vAlign w:val="bottom"/>
            <w:gridSpan w:val="2"/>
          </w:tcPr>
          <w:p>
            <w:pPr>
              <w:jc w:val="right"/>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A-23</w:t>
              </w:r>
            </w:hyperlink>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SL GREEN REALTY CORP.</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2005 STOCK OPTION AND INCENTIVE PLAN</w:t>
      </w:r>
    </w:p>
    <w:p>
      <w:pPr>
        <w:spacing w:after="0" w:line="21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SL Green Realty Corp., a Maryland corporation, wishes to attract and retain qualified key employees, Directors, officers, advisors, consultants and other personnel and encourage them to increase their efforts to make the Company's business more successful whether directly or through its Subsidiaries or other affiliates. In furtherance thereof, the SL Green Realty Corp. Second Amended and Restated 2005 Stock Option and Incentive Plan, as amended as of June 15, 2010, is designed to provide equity-based incentives to certain Eligible Persons. Awards under the Plan may be made to Eligible Persons in the form of Options, Restricted Stock, Phantom Shares, Dividend Equivalent Rights or other forms of equity-based compensation.</w:t>
      </w:r>
    </w:p>
    <w:p>
      <w:pPr>
        <w:spacing w:after="0" w:line="3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DEFINITIONS.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Whenever used herein, the following terms shall have the meanings set forth below:</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"Award," except where referring to a particular category of grant under the Plan, shall include Incentive Stock Options, Non-Qualified Stock Options, Restricted Stock, Phantom Shares, Dividend Equivalent Rights and other equity-based Awards as contemplated herein.</w:t>
      </w:r>
    </w:p>
    <w:p>
      <w:pPr>
        <w:spacing w:after="0" w:line="186"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"Award Agreement"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"Cause" means, unless otherwise provided in the Participant's Award Agreement, (i) engaging in (A) willful or gross misconduct or (B) willful or gross neglect; (ii) repeatedly failing to adhere to the directions of superiors or the Board or the written policies and practices of the Company or its Subsidiaries or its affiliates; (iii) the commission of a felony or a crime of moral turpitude, dishonesty, breach of trust or unethical business conduct, or any crime involving the Company or its Subsidiaries, or any affiliate thereof; (iv) fraud, misappropriation or embezzlement; (v) any illegal act detrimental to the Company its Subsidiaries or any affiliate thereof; (vi) repeated failure to devote substantially all of the Participant's business time and efforts to the Company or its Subsidiaries, or any affiliate thereof, if required by the Participant's employment agreement; or (vii) the Participant's failure adequately and competently to perform his duties after receiving notice from the Company or its Subsidiaries, or any affiliate thereof specifically identifying the manner in which the Participant has failed to perform; provided, however, that, if at any particular time the Participant is subject to an effective employment agreement or consulting agreement with the Company, then, in lieu of the foregoing definition, "Cause" shall at that time have such meaning as may be specified in such employment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Control" means:</w:t>
      </w:r>
    </w:p>
    <w:p>
      <w:pPr>
        <w:spacing w:after="0" w:line="225" w:lineRule="exact"/>
        <w:rPr>
          <w:sz w:val="20"/>
          <w:szCs w:val="20"/>
          <w:color w:val="auto"/>
        </w:rPr>
      </w:pPr>
    </w:p>
    <w:p>
      <w:pPr>
        <w:ind w:left="540" w:right="120" w:firstLine="447"/>
        <w:spacing w:after="0" w:line="254" w:lineRule="auto"/>
        <w:tabs>
          <w:tab w:leader="none" w:pos="12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Company's then outstanding securities having the right to vote in an election of the Board ("Voting Securities") or (B) the then outstanding shares of all classes of stock of the Company (in either such case other than as a result of the acquisition of securities directly from the Company);</w:t>
      </w:r>
    </w:p>
    <w:p>
      <w:pPr>
        <w:spacing w:after="0" w:line="198" w:lineRule="exact"/>
        <w:rPr>
          <w:rFonts w:ascii="Arial" w:cs="Arial" w:eastAsia="Arial" w:hAnsi="Arial"/>
          <w:sz w:val="18"/>
          <w:szCs w:val="18"/>
          <w:color w:val="auto"/>
        </w:rPr>
      </w:pPr>
    </w:p>
    <w:p>
      <w:pPr>
        <w:ind w:left="540" w:right="60" w:firstLine="403"/>
        <w:spacing w:after="0" w:line="332" w:lineRule="auto"/>
        <w:tabs>
          <w:tab w:leader="none" w:pos="123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members of the Board at the beginning of any consecutive 24-calendar-month period commencing on or after the initial effective date of the Plan (the "Incumbent Directors") cease for any reason other than death including without limitation, as a result of a tender offer,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contest, merger or similar transaction, to constitute at least a majority of the members of the Board; provided that any person becoming a director of the Company whose election or nomination was approved by a vote of at least a majority of the Incumbent Directors shall, for purposes hereof, be considered an Incumbent Director;</w:t>
      </w:r>
    </w:p>
    <w:p>
      <w:pPr>
        <w:spacing w:after="0" w:line="194" w:lineRule="exact"/>
        <w:rPr>
          <w:sz w:val="20"/>
          <w:szCs w:val="20"/>
          <w:color w:val="auto"/>
        </w:rPr>
      </w:pPr>
    </w:p>
    <w:p>
      <w:pPr>
        <w:ind w:left="540" w:right="60" w:firstLine="359"/>
        <w:spacing w:after="0" w:line="289" w:lineRule="auto"/>
        <w:tabs>
          <w:tab w:leader="none" w:pos="124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or any subsidiary that would result in the Voting Securities outstanding immediately prior to such merger or consolidation representing (either by remaining outstanding or by being converted into voting securities of the surviving entity) less than 50% of the total voting power of the voting securities of the surviving entity outstanding immediately after such merger or consolidation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of all or substantially all of the assets of the Company, if the stockholders of the Company and unitholders of SL Green Operating Partnership, L.P. taken as a whole and considered as one class immediately before such transaction own, immediately after consummation of such transaction, equity securities and partnership units possessing less than 50% of the surviving or acquiring company and partnership taken as a whole; or</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stockholders of the Company shall approve any plan or proposal for the liquidation or dissolution of the Company.</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 (y) the proportionate voting power represented by the Voting Securities beneficially owned by any "person" (as defined above) to 25% or more of the combined voting power of all then outstanding Voting Securities; provided, however,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17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Notwithstanding the foregoing, no event or condition shall constitute a Change in Control to the extent that, if it were, a 20% tax would be imposed under Section 409A of the Code; provided that, in such a case, the event or condition shall continue to constitute a Change in Control to the maximum extent possible (e.g., if applicable, in regard of vesting without an acceleration of distribution) without causing the imposition of such 20% tax.</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"Committee" means the Compensation Committee of the Board.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"Common Stock" means the shares of common stock of the Company as constituted on the effective date of the Plan, and any other shares into which such common stock shall thereafter be changed by reason of a recapitalization, merger, consolidation, split-up, combination, exchange of shares or the like.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"Company" means SL Green Realty Corp., a Maryland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means a non-employee director of the Company or its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"Disability" means, unless otherwise provided by the Committee in the Participant's Award Agreement, a disability which renders the Participant incapable of performing all of his or her material duties for a period of at least 150 consecutive or non-consecutive days during any consecutive twelve-month period. Notwithstanding the foregoing, no circumstances or condition shall constitute a Disability to the extent that, if it were, a 20% tax would be imposed under Section 409A of the Code; provided that, in such a case, the event or condition shall continue to constitute a Disability to the maximum extent possible (e.g., if applicable, in regard of vesting without an acceleration of distribution) without causing the imposition of such 20% tax.</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"Dividend Equivalent Right" means a right awarded under Section 8 of the Plan to receive (or have credited) the equivalent value of dividends paid on Common Stock.</w:t>
      </w:r>
    </w:p>
    <w:p>
      <w:pPr>
        <w:spacing w:after="0" w:line="186"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"Eligible Person" means a key employee, Director, officer, advisor, consultant or other personnel of the Company and its Subsidiaries or other person expected to provide significant services (of a type expressly approved by the Committee as covered services for these purposes) to the Company or its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"Fair Market Value" per Share as of a particular date means (i) if Shares are then listed on a national stock exchange, the closing sales price per Share on the exchange for the last preceding date on which there was a sale of Shares on such exchange, as determined by the Committee, (ii) if Shares are not then listed on a national stock exchange but are then traded on an over-the-counter market, the average of the closing bid and asked prices for the Shares in such over-the-counter market for the last preceding date on which there was a sale of such Shares in such market, as determined by the Committee, or (iii) if Shares are not then listed on a national stock exchange or traded on an over-the-counter market, such value as the Committee in its discretion may in good faith determine; provided that, where the Shares are so listed or traded, the Committee may make such discretionary determinations where the Shares have not been traded for 10 trading days.</w:t>
      </w:r>
    </w:p>
    <w:p>
      <w:pPr>
        <w:spacing w:after="0" w:line="15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"Full-Value Award" means an Award other than an Option, Stock Appreciation Right or other Award that does not deliver the full value at grant thereof of the underlying shares.</w:t>
      </w:r>
    </w:p>
    <w:p>
      <w:pPr>
        <w:spacing w:after="0" w:line="186"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"Fungible Pool Unit" shall be the measuring unit used for purposes of the Plan, as specified in Section 4, to determine the number of Shares which may be subject to Awards hereunder, which shall consist of Shares in the proportions (a) with respect to Awards granted prior to June 15, 2010 (ranging from 0.7 to 3.0) and (b) with respect to Awards granted on or after June 15, 2010 (ranging from 0.79 to 1.65), as set forth in Section 4(a).</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"Grantee" means an Eligible Person granted Restricted Stock, Phantom Shares, Dividend Equivalent Rights or such other equity-based Awards as may be granted pursuant to Section 9.</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Stock Option" means an "incentive stock option" within the meaning of Section 422(b) of the Code.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"Non-Qualified Stock Option" means an Option which is not an Incentive Stock Option.</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"Option"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"Optionee" means an Eligible Person to whom an Option is granted, or the Successors of the Optionee, as the context so requires.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 Price" means the price per Share, determined by the Board or the Committee, at which an Option may be exercised.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 means a Grantee or Optionee.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"Phantom Share" means a right, pursuant to the Plan, of the Grantee to payment of the Phantom Share Value.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"Phantom Share Value," per Phantom Share, means the Fair Market Value of a Share of Class A Common Stock, or, if so provided by the Committee, such Fair Market Value to the extent in excess of a base value established by the Committee at the time of grant.</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"Plan" means the Company's Second Amended and Restated 2005 Stock Option and Incentive Plan, as amended and restated on June 15, 2010, as set forth herein and as the same may from time to time be amended.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Stock" means an award of Shares that are subject to restrictions hereunder.</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"Retirement" means, unless otherwise provided by the Committee in the Participant's Award Agreement, the Termination of Service (other than for Cause) of a Participant on or after the Participant's attainment of age 65 or on or after the Participant's attainment of age 55 with five consecutive years of service with the Company and or its Subsidiaries or its affiliates.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"Settlement Date" means the date determined under Section 7.4(c).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"Shares" means shares of Common Stock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Appreciation Right" means the right to settle an Option as provided for in Section 5.7.</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"Subsidiary"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"Successor of the Optionee" means the legal representative of the estate of a deceased Optionee or the person or persons who shall acquire the right to exercise an Option by bequest or inheritance or by reason of the death of the Optionee.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"Termination of Service" means a Participant's termination of employment or other service, as applicable, with the Company and its Subsidiaries.</w:t>
      </w:r>
    </w:p>
    <w:p>
      <w:pPr>
        <w:spacing w:after="0" w:line="200" w:lineRule="exact"/>
        <w:rPr>
          <w:sz w:val="20"/>
          <w:szCs w:val="20"/>
          <w:color w:val="auto"/>
        </w:rPr>
      </w:pP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EFFECTIVE DATE AND TERMINATION OF PLAN.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effective date of the Plan is June 15, 2010. The amendments reflected in this Second Amended and Restated 2005 Stock Option and Incentive Plan shall not become effective unless and until it is approved by the requisite percentage of the holders of the Common Stock of the Company. The Plan shall terminate on, and no Award shall be granted hereunder on or after, the 10-year anniversary of the approval of this Second Amended and Restated 2005 Stock Option and Incentive Plan by the shareholders of the Company; provided, that no Incentive Stock Options shall be granted hereunder on or after the 10-year anniversary of the approval of this Second Amended and Restated 2005 Stock Option and Incentive Plan by the Board; provided further that the Board may at any time prior to that date terminate the Plan; and provided, further, that all Awards made under the Plan prior to a Plan termination shall remain in effect until such Awards have been satisfied or terminated in accordance with the terms and provisions of the Plan and the applicable Award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231" w:lineRule="exact"/>
        <w:rPr>
          <w:rFonts w:ascii="Arial" w:cs="Arial" w:eastAsia="Arial" w:hAnsi="Arial"/>
          <w:sz w:val="18"/>
          <w:szCs w:val="18"/>
          <w:b w:val="1"/>
          <w:bCs w:val="1"/>
          <w:color w:val="auto"/>
        </w:rPr>
      </w:pPr>
    </w:p>
    <w:p>
      <w:pPr>
        <w:ind w:firstLine="359"/>
        <w:spacing w:after="0" w:line="288" w:lineRule="auto"/>
        <w:tabs>
          <w:tab w:leader="none" w:pos="675"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Plan shall be administered by the Committee appointed by the Board. Unless otherwise determined by the Board, the Committee, upon and after such time as it is covered in Section 16 of the Exchange Act, shall consist of at least two individuals each of whom shall be a "nonemployee director" as defined in Rule 16b-3 as promulgated by the Securities and Exchange Commission ("Rule 16b-3") under the Exchange Act and shall, at such times as the Company is subject to Section 162(m) of the Code (to the extent relief from the limitation of Section 162(m) of the Code is sought with respect to Awards), qualify as "outside directors" for purposes of Section 162(m) of the Code; provided that no action taken by the Committee (including without limitation grants) shall be invalidated because any or all of the members of the Committee fails to satisfy the foregoing requirements of this sentence.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w:t>
      </w:r>
    </w:p>
    <w:p>
      <w:pPr>
        <w:spacing w:after="0" w:line="173" w:lineRule="exact"/>
        <w:rPr>
          <w:rFonts w:ascii="Arial" w:cs="Arial" w:eastAsia="Arial" w:hAnsi="Arial"/>
          <w:sz w:val="16"/>
          <w:szCs w:val="16"/>
          <w:color w:val="auto"/>
        </w:rPr>
      </w:pPr>
    </w:p>
    <w:p>
      <w:pPr>
        <w:jc w:val="both"/>
        <w:ind w:firstLine="359"/>
        <w:spacing w:after="0" w:line="298" w:lineRule="auto"/>
        <w:tabs>
          <w:tab w:leader="none" w:pos="688" w:val="left"/>
        </w:tabs>
        <w:numPr>
          <w:ilvl w:val="1"/>
          <w:numId w:val="63"/>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in its discretion (i) authorize the granting of Awards to Eligible Persons; and (ii) determine the eligibility of Eligible Persons to receive an Award, as well as determine the number of Shares to be covered under any Award Agreement, considering the position and responsibilities of the Eligible Persons, the nature and value to the Company of the Eligible Person's present and potential contribution to the success of the Company whether directly or through its Subsidiaries and such other factors as the Committee may deem relevant.</w:t>
      </w:r>
    </w:p>
    <w:p>
      <w:pPr>
        <w:spacing w:after="0" w:line="166" w:lineRule="exact"/>
        <w:rPr>
          <w:rFonts w:ascii="Arial" w:cs="Arial" w:eastAsia="Arial" w:hAnsi="Arial"/>
          <w:sz w:val="16"/>
          <w:szCs w:val="16"/>
          <w:color w:val="auto"/>
        </w:rPr>
      </w:pPr>
    </w:p>
    <w:p>
      <w:pPr>
        <w:ind w:right="40" w:firstLine="359"/>
        <w:spacing w:after="0" w:line="253" w:lineRule="auto"/>
        <w:tabs>
          <w:tab w:leader="none" w:pos="67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governing state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201" w:lineRule="exact"/>
        <w:rPr>
          <w:rFonts w:ascii="Arial" w:cs="Arial" w:eastAsia="Arial" w:hAnsi="Arial"/>
          <w:sz w:val="18"/>
          <w:szCs w:val="18"/>
          <w:color w:val="auto"/>
        </w:rPr>
      </w:pPr>
    </w:p>
    <w:p>
      <w:pPr>
        <w:jc w:val="both"/>
        <w:ind w:right="20" w:firstLine="359"/>
        <w:spacing w:after="0" w:line="306" w:lineRule="auto"/>
        <w:tabs>
          <w:tab w:leader="none" w:pos="684"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Committee may provide, in its discretion, that (i) all stock issued hereunder be initially maintained in separate brokerage account for the Participant at a brokerage firm selected by, and pursuant to an arrangement with, the Company; and (ii) in the case of vested Shares, the Participant may move such Shares to another brokerage account of the Participant's choosing or request that a stock certificate be issued and delivered to him or her.</w:t>
      </w:r>
    </w:p>
    <w:p>
      <w:pPr>
        <w:spacing w:after="0" w:line="160" w:lineRule="exact"/>
        <w:rPr>
          <w:rFonts w:ascii="Arial" w:cs="Arial" w:eastAsia="Arial" w:hAnsi="Arial"/>
          <w:sz w:val="16"/>
          <w:szCs w:val="16"/>
          <w:color w:val="auto"/>
        </w:rPr>
      </w:pPr>
    </w:p>
    <w:p>
      <w:pPr>
        <w:ind w:right="100" w:firstLine="359"/>
        <w:spacing w:after="0" w:line="253" w:lineRule="auto"/>
        <w:tabs>
          <w:tab w:leader="none" w:pos="67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Committee, in its discretion, may delegate to the Chief Executive Officer of the Company all or part of the Committee's authority and duties with respect to awards, including, without limitation, the granting of awards to individuals who are not subject to the reporting and other provisions of Section 16 of the Act and who are not and are not expected to be "covered employees" within the meaning of Section 162(m) of the Code. Any such delegation by the Committee may, in the sole discretion of the Committee, include a limitation as to the amount of awards that may be awarded during the period of the delegation and may contain guidelines as to the determination of the option exercise price, or price of other awards and the vesting criteria. The Committee may revoke or amend the terms of a delegation at any time but such action shall not invalidate any prior actions of the Committee's delegate that were consistent with the terms of the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SHARES AND UNITS SUBJECT TO THE PLAN.</w:t>
      </w:r>
    </w:p>
    <w:p>
      <w:pPr>
        <w:spacing w:after="0" w:line="231" w:lineRule="exact"/>
        <w:rPr>
          <w:rFonts w:ascii="Arial" w:cs="Arial" w:eastAsia="Arial" w:hAnsi="Arial"/>
          <w:sz w:val="18"/>
          <w:szCs w:val="18"/>
          <w:b w:val="1"/>
          <w:bCs w:val="1"/>
          <w:color w:val="auto"/>
        </w:rPr>
      </w:pPr>
    </w:p>
    <w:p>
      <w:pPr>
        <w:ind w:firstLine="359"/>
        <w:spacing w:after="0" w:line="285" w:lineRule="auto"/>
        <w:tabs>
          <w:tab w:leader="none" w:pos="678"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Subject to adjustments as provided in Section 14, the total number of Shares subject to Awards granted under the Plan, in the aggregate, may not exceed 10,730,000 (the "Fungible Pool Limit"). Each Share issued or to be issued in connection with Full-Value Awards that vest or are granted based on the achievement of the performance goals set forth in Exhibit A granted prior to June 15, 2010 shall be counted against the Fungible Pool Limit as 2.0 Fungible Pool Units. Each Share issued or to be issued in connection with any other Full-Value Awards granted prior to June 15, 2010 shall be counted against the Fungible Pool Limit as 3.0 Fungible Pool Units. Each Share issued or to be issued in connection with any Full-Value Awards granted on or after June 15, 2010 shall be counted against the Fungible Pool Limit as 1.65 Fungible Pool Units. Options, Stock Appreciation Rights and other Awards that do not deliver the full value at grant thereof of the underlying Shares and that expire 10 years from the date of grant shall be counted against the Fungible Pool Limit as 1 Fungible Pool Unit. Options, Stock Appreciation Rights and other Awards that do not deliver the full value at grant thereof of the underlying Shares and that expire five years from the date of grant (i) granted prior to June 15, 2010 shall be counted against the Fungible Pool Limit as 0.7 of a Fungible Pool Unit and (ii) granted on or after June 15, 2010 shall be counted against the Fungible Pool Limit as 0.79 of a Fungible Pool Unit. (For these purposes, the number of Shares taken into account with respect to a Stock Appreciation Right shall be the number of Shares underlying the Stock Appreciation Rights at grant (i.e., not the final number of Shares delivered upon exercise of the Stock Appreciation Rights).) Shares that have been granted as Restricted Stock or that have been reserved for distribution in payment for Options, Phantom Shares or other equity-based Awards but are later forfeited or for any other reason are not payable under the Plan may again be made the subject of Awards under the Plan. Such Shares shall be added back to the Plan using the same ratio as in effect when such Shares were granted. The following Shares shall not be added to the Shares authorized for grant under the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175" w:lineRule="exact"/>
        <w:rPr>
          <w:rFonts w:ascii="Arial" w:cs="Arial" w:eastAsia="Arial" w:hAnsi="Arial"/>
          <w:sz w:val="16"/>
          <w:szCs w:val="16"/>
          <w:color w:val="auto"/>
        </w:rPr>
      </w:pPr>
    </w:p>
    <w:p>
      <w:pPr>
        <w:ind w:right="140" w:firstLine="359"/>
        <w:spacing w:after="0" w:line="323" w:lineRule="auto"/>
        <w:tabs>
          <w:tab w:leader="none" w:pos="688" w:val="left"/>
        </w:tabs>
        <w:numPr>
          <w:ilvl w:val="1"/>
          <w:numId w:val="64"/>
        </w:numPr>
        <w:rPr>
          <w:rFonts w:ascii="Arial" w:cs="Arial" w:eastAsia="Arial" w:hAnsi="Arial"/>
          <w:sz w:val="15"/>
          <w:szCs w:val="15"/>
          <w:color w:val="auto"/>
        </w:rPr>
      </w:pPr>
      <w:r>
        <w:rPr>
          <w:rFonts w:ascii="Arial" w:cs="Arial" w:eastAsia="Arial" w:hAnsi="Arial"/>
          <w:sz w:val="15"/>
          <w:szCs w:val="15"/>
          <w:color w:val="auto"/>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4(a). If any Phantom Shares, Dividend Equivalent Rights or other equity-based Awards under Section 9 are paid out in cash, then, notwithstanding the first sentence of Section 4(a) above (but subject to the second sentence thereof) the underlying Shares may again be made the subject of Awards under the Plan.</w:t>
      </w:r>
    </w:p>
    <w:p>
      <w:pPr>
        <w:spacing w:after="0" w:line="151" w:lineRule="exact"/>
        <w:rPr>
          <w:rFonts w:ascii="Arial" w:cs="Arial" w:eastAsia="Arial" w:hAnsi="Arial"/>
          <w:sz w:val="15"/>
          <w:szCs w:val="15"/>
          <w:color w:val="auto"/>
        </w:rPr>
      </w:pPr>
    </w:p>
    <w:p>
      <w:pPr>
        <w:ind w:firstLine="359"/>
        <w:spacing w:after="0" w:line="268" w:lineRule="auto"/>
        <w:tabs>
          <w:tab w:leader="none" w:pos="67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certificates for Shares issued hereunder may include any legend which the Committee deems appropriate to reflect any rights of first refusal or other restrictions on transfer hereunder or under the Award Agreement, or as the Committee may otherwise deem appropriate.</w:t>
      </w:r>
    </w:p>
    <w:p>
      <w:pPr>
        <w:spacing w:after="0" w:line="185" w:lineRule="exact"/>
        <w:rPr>
          <w:rFonts w:ascii="Arial" w:cs="Arial" w:eastAsia="Arial" w:hAnsi="Arial"/>
          <w:sz w:val="18"/>
          <w:szCs w:val="18"/>
          <w:color w:val="auto"/>
        </w:rPr>
      </w:pPr>
    </w:p>
    <w:p>
      <w:pPr>
        <w:ind w:right="40" w:firstLine="359"/>
        <w:spacing w:after="0" w:line="290" w:lineRule="auto"/>
        <w:tabs>
          <w:tab w:leader="none" w:pos="688"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 award may be granted under the Plan to any person who, assuming exercise of all options and payment of all awards held by such person, would own or be deemed to own more than 9.8% of the outstanding shares of Common Stock. Subject to adjustments as provided in Section 14, no Eligible Person shall be granted Awards in any one year covering more than 700,000 Shares (with each Share subject to an Award being counted as one Share, notwithstanding the type of Award or the fact that it may count as more or less than one Fungible Pool Unit for purposes of Section 4(a)), it being expressly contemplated that Awards in exclusively one category (e.g., Options) can (but need not) be used in the discretion of the Committee to reach the limitation set forth in this sentence; provided that this limit shall only apply to Awards that are intended to qualify as "performance-based compensation" under Section 162(m) of the Code and the regulations promulgated thereunder.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PROVISIONS APPLICABLE TO STOCK OPTIONS.</w:t>
      </w:r>
    </w:p>
    <w:p>
      <w:pPr>
        <w:spacing w:after="0" w:line="23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Grant of Option.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Subject to the other terms of the Plan, the Committee (or, as expressly permitted by Section 3, the Chief Executive Officer) shall, in its discretion as reflected by the terms of the applicable Award Agreement: (i) determine and designate from time to time those Eligible Persons to whom Options are to be granted and the number of Shares to be optioned to each Eligible Person; (ii) determine whether to grant Incentive Stock Options or to grant Non-Qualified Stock Options, or both (to the extent that any Option does not qualify as an Incentive Stock Option, it shall constitute a separate Non-Qualified Stock 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Option Price.</w:t>
      </w:r>
    </w:p>
    <w:p>
      <w:pPr>
        <w:spacing w:after="0" w:line="225"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Option Price shall be determined by the Committee on the date the Option is granted and reflected in the Award Agreement, as the same may be amended from time to time. The Option Price shall not be less than 100% of the Fair Market Value of a Share on the day the Option is granted. Any particular Award Agreement may provide for different exercise prices for specified amounts of Shares subject to the Option.</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i w:val="1"/>
          <w:iCs w:val="1"/>
          <w:color w:val="auto"/>
        </w:rPr>
        <w:t>Period of Option and Vesting.</w:t>
      </w:r>
    </w:p>
    <w:p>
      <w:pPr>
        <w:spacing w:after="0" w:line="225" w:lineRule="exact"/>
        <w:rPr>
          <w:sz w:val="20"/>
          <w:szCs w:val="20"/>
          <w:color w:val="auto"/>
        </w:rPr>
      </w:pPr>
    </w:p>
    <w:p>
      <w:pPr>
        <w:ind w:right="40" w:firstLine="359"/>
        <w:spacing w:after="0" w:line="255" w:lineRule="auto"/>
        <w:tabs>
          <w:tab w:leader="none" w:pos="6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earlier expired, forfeited or otherwise terminated, each Option shall expire in its entirety upon the 10th anniversary of the date of grant or shall have such other term (which may be shorter, but not longer)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The Option shall also expire, be forfeited and terminate at such times and in such circumstances as otherwise provided hereunder or under the Award Agreement.</w:t>
      </w:r>
    </w:p>
    <w:p>
      <w:pPr>
        <w:spacing w:after="0" w:line="196" w:lineRule="exact"/>
        <w:rPr>
          <w:rFonts w:ascii="Arial" w:cs="Arial" w:eastAsia="Arial" w:hAnsi="Arial"/>
          <w:sz w:val="18"/>
          <w:szCs w:val="18"/>
          <w:color w:val="auto"/>
        </w:rPr>
      </w:pPr>
    </w:p>
    <w:p>
      <w:pPr>
        <w:ind w:firstLine="359"/>
        <w:spacing w:after="0" w:line="310" w:lineRule="auto"/>
        <w:tabs>
          <w:tab w:leader="none" w:pos="688"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Each Option, to the extent that the Optionee has not had a Termination of Service and the Option has not otherwise lapsed, expired, terminated or been forfeited, shall first become exercisable according to the terms and conditions set forth in the Award Agreement, as determined by the Committee at the time of grant. Unless otherwise provided in the Award Agreement, no Option (or portion thereof) shall ever be exercisable if the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Notwithstanding the foregoing provisions of this Section 5.3(b), Options exercisable pursuant to the schedule set forth by the Committee at the time of grant may be fully or more rapidly exercisable or otherwise vested at any time in the discretion of the Committee. Upon and after the death of an Optionee, such Optionee's Options, if and to the extent otherwise exercisable hereunder or under the applicable Award Agreement after the Optionee's death, may be exercised by the Successors of the Optionee.</w:t>
      </w:r>
    </w:p>
    <w:p>
      <w:pPr>
        <w:spacing w:after="0" w:line="16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Exercisability Upon and After Termination of Optionee.</w:t>
      </w:r>
    </w:p>
    <w:p>
      <w:pPr>
        <w:spacing w:after="0" w:line="225" w:lineRule="exact"/>
        <w:rPr>
          <w:sz w:val="20"/>
          <w:szCs w:val="20"/>
          <w:color w:val="auto"/>
        </w:rPr>
      </w:pPr>
    </w:p>
    <w:p>
      <w:pPr>
        <w:jc w:val="both"/>
        <w:ind w:right="40" w:firstLine="359"/>
        <w:spacing w:after="0" w:line="256" w:lineRule="auto"/>
        <w:tabs>
          <w:tab w:leader="none" w:pos="6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provisions of the Award Agreement, in the event the Optionee has a Termination of Service other than by the Company or its Subsidiaries for Cause, or other than by reason of death or Disability, no exercise of an Option may occur after the expiration of the three-month period to follow the termination, or if earlier, the expiration of the term of the Option as provided under Section 5.3(a); provided that, if the Optionee should die after the Termination of Service,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termination being for a reason other than Cause or Disability, but while the Option is still in effect, the Option (if and to the extent otherwise exercisable by the Optionee at the time of death) may be exercised until the earlier of (i) one year from the date of the Termination of Service of the Optionee, or (ii) the date on which the term of the Option expires in accordance with Section 5.3(a).</w:t>
      </w:r>
    </w:p>
    <w:p>
      <w:pPr>
        <w:spacing w:after="0" w:line="194" w:lineRule="exact"/>
        <w:rPr>
          <w:sz w:val="20"/>
          <w:szCs w:val="20"/>
          <w:color w:val="auto"/>
        </w:rPr>
      </w:pPr>
    </w:p>
    <w:p>
      <w:pPr>
        <w:ind w:right="320" w:firstLine="359"/>
        <w:spacing w:after="0" w:line="259" w:lineRule="auto"/>
        <w:tabs>
          <w:tab w:leader="none" w:pos="6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provisions of the Award Agreement, in the event the Optionee has a Termination of Service on account of death or Disability, the Option (whether or not otherwise exercisable) may be exercised until the earlier of (i) one year from the date of the Termination of Service of the Optionee, or (ii) the date on which the term of the Option expires in accordance with Section 5.3.</w:t>
      </w:r>
    </w:p>
    <w:p>
      <w:pPr>
        <w:spacing w:after="0" w:line="194" w:lineRule="exact"/>
        <w:rPr>
          <w:rFonts w:ascii="Arial" w:cs="Arial" w:eastAsia="Arial" w:hAnsi="Arial"/>
          <w:sz w:val="18"/>
          <w:szCs w:val="18"/>
          <w:color w:val="auto"/>
        </w:rPr>
      </w:pPr>
    </w:p>
    <w:p>
      <w:pPr>
        <w:ind w:right="300" w:firstLine="359"/>
        <w:spacing w:after="0" w:line="332" w:lineRule="auto"/>
        <w:tabs>
          <w:tab w:leader="none" w:pos="67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any other provision hereof, unless otherwise provided in the Award Agreement, if the Optionee has a Termination of Service by the Company for Cause, the Optionee's Options, to the extent then unexercised, shall thereupon cease to be exercisable and shall be forfeited forthwith.</w:t>
      </w:r>
    </w:p>
    <w:p>
      <w:pPr>
        <w:spacing w:after="0" w:line="13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i w:val="1"/>
          <w:iCs w:val="1"/>
          <w:color w:val="auto"/>
        </w:rPr>
        <w:t>Exercise of Options.</w:t>
      </w:r>
    </w:p>
    <w:p>
      <w:pPr>
        <w:spacing w:after="0" w:line="225" w:lineRule="exact"/>
        <w:rPr>
          <w:sz w:val="20"/>
          <w:szCs w:val="20"/>
          <w:color w:val="auto"/>
        </w:rPr>
      </w:pPr>
    </w:p>
    <w:p>
      <w:pPr>
        <w:jc w:val="both"/>
        <w:ind w:right="200" w:firstLine="359"/>
        <w:spacing w:after="0" w:line="259" w:lineRule="auto"/>
        <w:tabs>
          <w:tab w:leader="none" w:pos="6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vesting, restrictions on exercisability and other restrictions provided for hereunder or otherwise imposed in accordance herewith, an Option may be exercised, and payment in full of the aggregate Option Price made, by an Optionee only by written notice (in the form prescribed by the Committee) to the Company specifying the number of Shares to be purchased.</w:t>
      </w:r>
    </w:p>
    <w:p>
      <w:pPr>
        <w:spacing w:after="0" w:line="194" w:lineRule="exact"/>
        <w:rPr>
          <w:rFonts w:ascii="Arial" w:cs="Arial" w:eastAsia="Arial" w:hAnsi="Arial"/>
          <w:sz w:val="18"/>
          <w:szCs w:val="18"/>
          <w:color w:val="auto"/>
        </w:rPr>
      </w:pPr>
    </w:p>
    <w:p>
      <w:pPr>
        <w:ind w:right="400" w:firstLine="359"/>
        <w:spacing w:after="0" w:line="268" w:lineRule="auto"/>
        <w:tabs>
          <w:tab w:leader="none" w:pos="6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i w:val="1"/>
          <w:iCs w:val="1"/>
          <w:color w:val="auto"/>
        </w:rPr>
        <w:t>Payment.</w:t>
      </w:r>
    </w:p>
    <w:p>
      <w:pPr>
        <w:spacing w:after="0" w:line="225" w:lineRule="exact"/>
        <w:rPr>
          <w:sz w:val="20"/>
          <w:szCs w:val="20"/>
          <w:color w:val="auto"/>
        </w:rPr>
      </w:pPr>
    </w:p>
    <w:p>
      <w:pPr>
        <w:ind w:left="680" w:hanging="321"/>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aggregate Option Price shall be paid in full upon the exercise of the Option. Payment must be made by one of the following methods:</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certified or bank cashier's check or wire transfer;</w:t>
      </w:r>
    </w:p>
    <w:p>
      <w:pPr>
        <w:spacing w:after="0" w:line="225" w:lineRule="exact"/>
        <w:rPr>
          <w:rFonts w:ascii="Arial" w:cs="Arial" w:eastAsia="Arial" w:hAnsi="Arial"/>
          <w:sz w:val="18"/>
          <w:szCs w:val="18"/>
          <w:color w:val="auto"/>
        </w:rPr>
      </w:pPr>
    </w:p>
    <w:p>
      <w:pPr>
        <w:jc w:val="both"/>
        <w:ind w:left="540" w:right="80" w:firstLine="403"/>
        <w:spacing w:after="0" w:line="259" w:lineRule="auto"/>
        <w:tabs>
          <w:tab w:leader="none" w:pos="12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subject to Section 12(e),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194" w:lineRule="exact"/>
        <w:rPr>
          <w:rFonts w:ascii="Arial" w:cs="Arial" w:eastAsia="Arial" w:hAnsi="Arial"/>
          <w:sz w:val="18"/>
          <w:szCs w:val="18"/>
          <w:color w:val="auto"/>
        </w:rPr>
      </w:pPr>
    </w:p>
    <w:p>
      <w:pPr>
        <w:ind w:left="540" w:right="180" w:firstLine="359"/>
        <w:spacing w:after="0" w:line="332" w:lineRule="auto"/>
        <w:tabs>
          <w:tab w:leader="none" w:pos="1242"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approved by the Committee in its discretion, Shares of previously owned Common Stock, which have been previously owned for more than six months, having an aggregate Fair Market Value on the date of exercise equal to the aggregate Option Price; or</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by any combination of such methods of payment or any other method acceptable to the Committee in its discretion.</w:t>
      </w:r>
    </w:p>
    <w:p>
      <w:pPr>
        <w:spacing w:after="0" w:line="225" w:lineRule="exact"/>
        <w:rPr>
          <w:rFonts w:ascii="Arial" w:cs="Arial" w:eastAsia="Arial" w:hAnsi="Arial"/>
          <w:sz w:val="18"/>
          <w:szCs w:val="18"/>
          <w:color w:val="auto"/>
        </w:rPr>
      </w:pPr>
    </w:p>
    <w:p>
      <w:pPr>
        <w:ind w:firstLine="359"/>
        <w:spacing w:after="0" w:line="259" w:lineRule="auto"/>
        <w:tabs>
          <w:tab w:leader="none" w:pos="6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194" w:lineRule="exact"/>
        <w:rPr>
          <w:rFonts w:ascii="Arial" w:cs="Arial" w:eastAsia="Arial" w:hAnsi="Arial"/>
          <w:sz w:val="18"/>
          <w:szCs w:val="18"/>
          <w:color w:val="auto"/>
        </w:rPr>
      </w:pPr>
    </w:p>
    <w:p>
      <w:pPr>
        <w:ind w:right="200" w:firstLine="359"/>
        <w:spacing w:after="0" w:line="268" w:lineRule="auto"/>
        <w:tabs>
          <w:tab w:leader="none" w:pos="6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Committee may provide that no Option may be exercised with respect to any fractional Share. Any fractional Shares resulting from an Optionee's exercise that is accepted by the Company shall in the discretion of the Committee be paid in cash.</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i w:val="1"/>
          <w:iCs w:val="1"/>
          <w:color w:val="auto"/>
        </w:rPr>
        <w:t>Stock Appreciation Rights.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Committee, in its discretion, may also permit (taking into account, without limitation, the application of Section 409A of the Code, as the Committee may deem appropriate) the Optionee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elect to exercise an Option by receiving a combination of Shares and cash, or, in the discretion of the Committee, either Shares or solely in cash, with an aggregate Fair Market Value (or, to the extent of payment in cash, in an amount) equal to the excess of the Fair Market Value of the Shares with respect to which the Option is being exercised over the aggregate Option Price, as determined as of the day the Option is exercised.</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i w:val="1"/>
          <w:iCs w:val="1"/>
          <w:color w:val="auto"/>
        </w:rPr>
        <w:t>Exercise by Successors.</w:t>
      </w:r>
    </w:p>
    <w:p>
      <w:pPr>
        <w:spacing w:after="0" w:line="225"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An Option may be exercised, and payment in full of the aggregate Option Price made, by the Successors of the Optionee only by written notice (in the form prescribed by the Committee) to the Company specifying the number of Shares to be purchased. Such notice shall state that the aggregate Option Price will be paid in full, or that the Option will be exercised as otherwise provided hereunder, in the discretion of the Company or the Committee, if and as applicable.</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i w:val="1"/>
          <w:iCs w:val="1"/>
          <w:color w:val="auto"/>
        </w:rPr>
        <w:t>Nontransferability of Option.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Option granted under the Plan shall be nontransferable by the Optionee except by will or the laws of descent and distribution of the state wherein the Optionee is domiciled at the time of his death; provided, however, that the Committee may (but need not) permit other transfers, where the Committee concludes that such transferability (i) does not result in accelerated U.S. federal income taxation, (ii) does not cause any Option intended to be an Incentive Stock Option to fail to be described in Section 422(b) of the Code, and (iii) is otherwise appropriate and desirable; and provided, further, that in no event may an Option be transferred by the Optionee for consideration without shareholder approval.</w:t>
      </w:r>
    </w:p>
    <w:p>
      <w:pPr>
        <w:spacing w:after="0" w:line="17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i w:val="1"/>
          <w:iCs w:val="1"/>
          <w:color w:val="auto"/>
        </w:rPr>
        <w:t>Deferral.</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Except as provided in the Award Agreement, the Committee (taking into account, without limitation, the possible application of Section 409A of the Code, as the Committee may deem appropriate) may establish a program under which Participants will have Phantom Shares subject to Section 7 credited upon their exercise of Options, rather than receiving Shares at that time.</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i w:val="1"/>
          <w:iCs w:val="1"/>
          <w:color w:val="auto"/>
        </w:rPr>
        <w:t>Certain Incentive Stock Option Provisions</w:t>
      </w:r>
    </w:p>
    <w:p>
      <w:pPr>
        <w:spacing w:after="0" w:line="225" w:lineRule="exact"/>
        <w:rPr>
          <w:sz w:val="20"/>
          <w:szCs w:val="20"/>
          <w:color w:val="auto"/>
        </w:rPr>
      </w:pPr>
    </w:p>
    <w:p>
      <w:pPr>
        <w:ind w:right="60" w:firstLine="359"/>
        <w:spacing w:after="0" w:line="259"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an Option is granted, of the Common Stock for which any Optionee may be awarded Incentive Stock Options which are first exercisable by the Optionee during any calendar year under the Plan (or any other stock option plan required to be taken into account under Section 422(d) of the Code) shall not exceed $100,000.</w:t>
      </w:r>
    </w:p>
    <w:p>
      <w:pPr>
        <w:spacing w:after="0" w:line="194" w:lineRule="exact"/>
        <w:rPr>
          <w:rFonts w:ascii="Arial" w:cs="Arial" w:eastAsia="Arial" w:hAnsi="Arial"/>
          <w:sz w:val="18"/>
          <w:szCs w:val="18"/>
          <w:color w:val="auto"/>
        </w:rPr>
      </w:pPr>
    </w:p>
    <w:p>
      <w:pPr>
        <w:ind w:right="60" w:firstLine="359"/>
        <w:spacing w:after="0" w:line="254" w:lineRule="auto"/>
        <w:tabs>
          <w:tab w:leader="none" w:pos="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Option Price with respect to each Incentive Stock Option shall not be less than 100%, or 110% in the case of an individual described in</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422(b)(6) of the Code (relating to certain 10% owners), of the Fair Market Value of a Share on the day the Option is granted. In the case of an individual described in Section 422(b)(6) of the Code who is granted an Incentive Stock Option, the term of such Option shall be no more than five years from the date of grant.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APPLICABLE TO RESTRICTED STOCK.</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Restricted Stock.</w:t>
      </w:r>
    </w:p>
    <w:p>
      <w:pPr>
        <w:spacing w:after="0" w:line="225" w:lineRule="exact"/>
        <w:rPr>
          <w:rFonts w:ascii="Arial" w:cs="Arial" w:eastAsia="Arial" w:hAnsi="Arial"/>
          <w:sz w:val="18"/>
          <w:szCs w:val="18"/>
          <w:b w:val="1"/>
          <w:bCs w:val="1"/>
          <w:color w:val="auto"/>
        </w:rPr>
      </w:pPr>
    </w:p>
    <w:p>
      <w:pPr>
        <w:ind w:right="20" w:firstLine="359"/>
        <w:spacing w:after="0" w:line="291" w:lineRule="auto"/>
        <w:tabs>
          <w:tab w:leader="none" w:pos="678"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connection with the grant of Restricted Stock, whether or not performance goals (as provided for under Section 10) apply thereto, the Committee shall establish one or more vesting periods with respect to the shares of Restricted Stock granted, the length of which shall be determined in the discretion of the Committee. Subject to the provisions of this Section 6, the applicable Award Agreement and the other provisions of the Plan, restrictions on Restricted Stock shall lapse if the Grantee satisfies all applicable employment or other service requirements through the end of the applicable vesting period. Nothing in this Section 6 shall limit the Committee's authority, and the Committee is expressly authorized, to grant Shares which are fully vested upon grant (and for which there is no period of forfeiture), and which are subject to the rules of this Section 6.</w:t>
      </w:r>
    </w:p>
    <w:p>
      <w:pPr>
        <w:spacing w:after="0" w:line="174" w:lineRule="exact"/>
        <w:rPr>
          <w:rFonts w:ascii="Arial" w:cs="Arial" w:eastAsia="Arial" w:hAnsi="Arial"/>
          <w:sz w:val="16"/>
          <w:szCs w:val="16"/>
          <w:color w:val="auto"/>
        </w:rPr>
      </w:pPr>
    </w:p>
    <w:p>
      <w:pPr>
        <w:ind w:right="220" w:firstLine="359"/>
        <w:spacing w:after="0" w:line="298" w:lineRule="auto"/>
        <w:tabs>
          <w:tab w:leader="none" w:pos="688"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Subject to the other terms of the Plan, the Committee may, in its discretion as reflected by the terms of the applicable Award Agreement: (i) 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 (iv) determine or impose other conditions, including any applicable performance goals, to the grant of Restricted Stock under the Plan as it may deem appropriate.</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i w:val="1"/>
          <w:iCs w:val="1"/>
          <w:color w:val="auto"/>
        </w:rPr>
        <w:t>Certificates.</w:t>
      </w:r>
    </w:p>
    <w:p>
      <w:pPr>
        <w:spacing w:after="0" w:line="225" w:lineRule="exact"/>
        <w:rPr>
          <w:sz w:val="20"/>
          <w:szCs w:val="20"/>
          <w:color w:val="auto"/>
        </w:rPr>
      </w:pPr>
    </w:p>
    <w:p>
      <w:pPr>
        <w:ind w:right="60" w:firstLine="359"/>
        <w:spacing w:after="0" w:line="294" w:lineRule="auto"/>
        <w:tabs>
          <w:tab w:leader="none" w:pos="6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Unless otherwise provided by the Committee, each Grantee of Restricted Stock shall be issued a stock certificate in respect of Shares of Restricted Stock awarded under the Plan. Each such certificate shall be registered in the name of the Grantee. Without limiting the generality of Section 4(c), the certificates for Shares of Restricted Stock issued hereunder may include any legend which the Committee deems appropriate to reflect any restrictions on transfer hereunder or under the Award 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170" w:lineRule="exact"/>
        <w:rPr>
          <w:sz w:val="20"/>
          <w:szCs w:val="20"/>
          <w:color w:val="auto"/>
        </w:rPr>
      </w:pPr>
    </w:p>
    <w:p>
      <w:pPr>
        <w:ind w:left="1080" w:right="40"/>
        <w:spacing w:after="0" w:line="256"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SL Green Realty Corp. Second Amended and Restated 2005 Stock Option and Incentive Plan and an Award Agreement entered into between the registered owner and SL Green Realty Corp. Copies of such Plan and Award Agreement are on file in the offices of SL Green Realty Corp., at 420 Lexington Avenue, New York, New York 10170.</w:t>
      </w:r>
    </w:p>
    <w:p>
      <w:pPr>
        <w:spacing w:after="0" w:line="197" w:lineRule="exact"/>
        <w:rPr>
          <w:sz w:val="20"/>
          <w:szCs w:val="20"/>
          <w:color w:val="auto"/>
        </w:rPr>
      </w:pPr>
    </w:p>
    <w:p>
      <w:pPr>
        <w:ind w:firstLine="359"/>
        <w:spacing w:after="0" w:line="298" w:lineRule="auto"/>
        <w:tabs>
          <w:tab w:leader="none" w:pos="6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Committee may require that any stock certificates evidencing such Shares be held in custody by the Company until the restrictions hereunder shall have lapsed, and that, as a condition of any Award of Restricted Stock, the Grantee shall have delivered to the Company a stock power, endorsed in blank, relating to the stock covered by such Award. If and when such restrictions so lapse, the stock certificates shall be delivered by the Company to the Grantee or his or her designee as provided in Section 6.3 (and the stock power shall be so delivered or shall be discarded).</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i w:val="1"/>
          <w:iCs w:val="1"/>
          <w:color w:val="auto"/>
        </w:rPr>
        <w:t>Restrictions and Conditions.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Unless otherwise provided by the Committee, the Shares of Restricted Stock awarded pursuant to the Plan shall be subject to the following restrictions and conditions:</w:t>
      </w:r>
    </w:p>
    <w:p>
      <w:pPr>
        <w:spacing w:after="0" w:line="186" w:lineRule="exact"/>
        <w:rPr>
          <w:sz w:val="20"/>
          <w:szCs w:val="20"/>
          <w:color w:val="auto"/>
        </w:rPr>
      </w:pPr>
    </w:p>
    <w:p>
      <w:pPr>
        <w:ind w:left="540" w:right="260" w:firstLine="447"/>
        <w:spacing w:after="0" w:line="259" w:lineRule="auto"/>
        <w:tabs>
          <w:tab w:leader="none" w:pos="12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the provisions of the Plan and the Award Agreements, during a period commencing with the date of such Award and ending on the date the period of forfeiture with respect to such Shares lapses, the Grantee shall not be permitted voluntarily or involuntarily to sell, transfer, pledge, anticipate, alienate, encumber or assign Shares of Restricted Stock awarded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spacing w:after="0" w:line="306" w:lineRule="auto"/>
        <w:rPr>
          <w:sz w:val="20"/>
          <w:szCs w:val="20"/>
          <w:color w:val="auto"/>
        </w:rPr>
      </w:pPr>
      <w:r>
        <w:rPr>
          <w:rFonts w:ascii="Arial" w:cs="Arial" w:eastAsia="Arial" w:hAnsi="Arial"/>
          <w:sz w:val="16"/>
          <w:szCs w:val="16"/>
          <w:color w:val="auto"/>
        </w:rPr>
        <w:t>under the Plan (or have such Shares attached or garnished). Subject to the provisions of the Award Agreements and clause (iii) below, the period of forfeiture with respect to Shares granted hereunder shall lapse as provided in the applicable Award Agreement. Notwithstanding the foregoing, unless otherwise expressly provided by the Committee, the period of forfeiture with respect to such Shares shall only lapse as to whole Shares.</w:t>
      </w:r>
    </w:p>
    <w:p>
      <w:pPr>
        <w:spacing w:after="0" w:line="161" w:lineRule="exact"/>
        <w:rPr>
          <w:sz w:val="20"/>
          <w:szCs w:val="20"/>
          <w:color w:val="auto"/>
        </w:rPr>
      </w:pPr>
    </w:p>
    <w:p>
      <w:pPr>
        <w:ind w:left="540" w:firstLine="403"/>
        <w:spacing w:after="0" w:line="283" w:lineRule="auto"/>
        <w:tabs>
          <w:tab w:leader="none" w:pos="123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Except as provided in the foregoing clause (i), below in this clause (ii), in Section 10 or in Section 14, or as otherwise provided in the applicable Award Agreement, the Grantee shall have, in respect of the Shares of Restricted Stock, all of the rights of a shareholder of the Company, including the right to vote the Shares and the right to receive any cash dividends currently; provided, however that, if provided in an Award Agreement, cash dividends on such Shares shall (A) be held by the Company (unsegregated as a part of its general assets) until the period of forfeiture lapses (and forfeited if the underlying Shares are forfeited), and paid over to the Grantee (without interest) as soon as practicable after such period lapses (if not forfeited), or</w:t>
      </w:r>
    </w:p>
    <w:p>
      <w:pPr>
        <w:spacing w:after="0" w:line="2" w:lineRule="exact"/>
        <w:rPr>
          <w:rFonts w:ascii="Arial" w:cs="Arial" w:eastAsia="Arial" w:hAnsi="Arial"/>
          <w:sz w:val="16"/>
          <w:szCs w:val="16"/>
          <w:color w:val="auto"/>
        </w:rPr>
      </w:pPr>
    </w:p>
    <w:p>
      <w:pPr>
        <w:jc w:val="both"/>
        <w:ind w:left="540" w:right="60" w:firstLine="8"/>
        <w:spacing w:after="0" w:line="255" w:lineRule="auto"/>
        <w:tabs>
          <w:tab w:leader="none" w:pos="8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treated as may otherwise be provided in an Award Agreement. Certificates for Shares (not subject to restrictions) shall be delivered to the Grantee or his or her designee, at the request thereof, promptly after, and only after, the period of forfeiture shall lapse without forfeiture in respect of such Shares of Restricted Stock.</w:t>
      </w:r>
    </w:p>
    <w:p>
      <w:pPr>
        <w:spacing w:after="0" w:line="198" w:lineRule="exact"/>
        <w:rPr>
          <w:rFonts w:ascii="Arial" w:cs="Arial" w:eastAsia="Arial" w:hAnsi="Arial"/>
          <w:sz w:val="18"/>
          <w:szCs w:val="18"/>
          <w:color w:val="auto"/>
        </w:rPr>
      </w:pPr>
    </w:p>
    <w:p>
      <w:pPr>
        <w:ind w:left="540" w:right="20" w:firstLine="359"/>
        <w:spacing w:after="0" w:line="302" w:lineRule="auto"/>
        <w:tabs>
          <w:tab w:leader="none" w:pos="1242" w:val="left"/>
        </w:tabs>
        <w:numPr>
          <w:ilvl w:val="1"/>
          <w:numId w:val="76"/>
        </w:numPr>
        <w:rPr>
          <w:rFonts w:ascii="Arial" w:cs="Arial" w:eastAsia="Arial" w:hAnsi="Arial"/>
          <w:sz w:val="15"/>
          <w:szCs w:val="15"/>
          <w:color w:val="auto"/>
        </w:rPr>
      </w:pPr>
      <w:r>
        <w:rPr>
          <w:rFonts w:ascii="Arial" w:cs="Arial" w:eastAsia="Arial" w:hAnsi="Arial"/>
          <w:sz w:val="15"/>
          <w:szCs w:val="15"/>
          <w:color w:val="auto"/>
        </w:rPr>
        <w:t>Except as otherwise provided in the applicable Award Agreement, if the Grantee has a Termination of Service by the Company and its Subsidiaries for Cause, or by the Grantee for any reason, during the applicable period of forfeiture, then (A) all Shares still subject to restriction shall thereupon, and with no further action, be forfeited by the Grantee, and (B) in the event the Grantee has paid a cash purchase price for the forfeited Shares, the Company shall pay to the Grantee as soon as practicable (and in no event more than 30 days) after such termination an amount equal to the lesser of</w:t>
      </w:r>
    </w:p>
    <w:p>
      <w:pPr>
        <w:spacing w:after="0" w:line="2" w:lineRule="exact"/>
        <w:rPr>
          <w:rFonts w:ascii="Arial" w:cs="Arial" w:eastAsia="Arial" w:hAnsi="Arial"/>
          <w:sz w:val="15"/>
          <w:szCs w:val="15"/>
          <w:color w:val="auto"/>
        </w:rPr>
      </w:pPr>
    </w:p>
    <w:p>
      <w:pPr>
        <w:ind w:left="540" w:right="140"/>
        <w:spacing w:after="0" w:line="261" w:lineRule="auto"/>
        <w:rPr>
          <w:rFonts w:ascii="Arial" w:cs="Arial" w:eastAsia="Arial" w:hAnsi="Arial"/>
          <w:sz w:val="15"/>
          <w:szCs w:val="15"/>
          <w:color w:val="auto"/>
        </w:rPr>
      </w:pPr>
      <w:r>
        <w:rPr>
          <w:rFonts w:ascii="Arial" w:cs="Arial" w:eastAsia="Arial" w:hAnsi="Arial"/>
          <w:sz w:val="18"/>
          <w:szCs w:val="18"/>
          <w:color w:val="auto"/>
        </w:rPr>
        <w:t>(x) the amount paid by the Grantee (if any) for such forfeited Restricted Stock as contemplated by Section 6.1, and (y) the Fair Market Value on the date of termination of the forfeited Restricted Stock.</w:t>
      </w:r>
    </w:p>
    <w:p>
      <w:pPr>
        <w:spacing w:after="0" w:line="19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Notwithstanding the foregoing, cash dividends on Shares of Restricted Stock that remain subject to potential forfeiture due to failure to meet performance-based conditions (i.e., conditions other than the continued service or employment of the Grantee through a certain date) must be retained by, or repaid by the Grantee to, the Company; provided that, to the extent provided for in the applicable Award Agreement or by the Committee, an amount equal to such cash dividends retained or repaid by the Grantee may be paid to the Grantee upon the lapsing of such performance-based conditions with respect to such shares.</w:t>
      </w:r>
    </w:p>
    <w:p>
      <w:pPr>
        <w:spacing w:after="0" w:line="377" w:lineRule="exact"/>
        <w:rPr>
          <w:sz w:val="20"/>
          <w:szCs w:val="20"/>
          <w:color w:val="auto"/>
        </w:rPr>
      </w:pPr>
    </w:p>
    <w:p>
      <w:pPr>
        <w:ind w:left="360" w:right="6760" w:hanging="352"/>
        <w:spacing w:after="0" w:line="504" w:lineRule="auto"/>
        <w:tabs>
          <w:tab w:leader="none" w:pos="316"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PROVISIONS APPLICABLE TO PHANTOM SHARES. </w:t>
      </w:r>
      <w:r>
        <w:rPr>
          <w:rFonts w:ascii="Arial" w:cs="Arial" w:eastAsia="Arial" w:hAnsi="Arial"/>
          <w:sz w:val="18"/>
          <w:szCs w:val="18"/>
          <w:color w:val="auto"/>
        </w:rPr>
        <w:t xml:space="preserve">7.1 </w:t>
      </w:r>
      <w:r>
        <w:rPr>
          <w:rFonts w:ascii="Arial" w:cs="Arial" w:eastAsia="Arial" w:hAnsi="Arial"/>
          <w:sz w:val="18"/>
          <w:szCs w:val="18"/>
          <w:i w:val="1"/>
          <w:iCs w:val="1"/>
          <w:color w:val="auto"/>
        </w:rPr>
        <w:t>Grant of Phantom Shares.</w:t>
      </w:r>
    </w:p>
    <w:p>
      <w:pPr>
        <w:spacing w:after="0" w:line="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applicable Award Agreement: (i) authorize the granting of Phantom Shares to Eligible Persons and (ii) determine or impose other conditions to the grant of Phantom Shares under the Plan as it may deem appropriate.</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i w:val="1"/>
          <w:iCs w:val="1"/>
          <w:color w:val="auto"/>
        </w:rPr>
        <w:t>Term.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may provide in an Award Agreement that any particular Phantom Share shall expire at the end of a specified term.</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i w:val="1"/>
          <w:iCs w:val="1"/>
          <w:color w:val="auto"/>
        </w:rPr>
        <w:t>Vesting.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Phantom Shares shall vest as provided in the applicable Award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i w:val="1"/>
          <w:iCs w:val="1"/>
          <w:color w:val="auto"/>
        </w:rPr>
        <w:t>Settlement of Phantom Shares.</w:t>
      </w:r>
    </w:p>
    <w:p>
      <w:pPr>
        <w:spacing w:after="0" w:line="225" w:lineRule="exact"/>
        <w:rPr>
          <w:sz w:val="20"/>
          <w:szCs w:val="20"/>
          <w:color w:val="auto"/>
        </w:rPr>
      </w:pPr>
    </w:p>
    <w:p>
      <w:pPr>
        <w:ind w:firstLine="359"/>
        <w:spacing w:after="0" w:line="256" w:lineRule="auto"/>
        <w:tabs>
          <w:tab w:leader="none" w:pos="6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vested and outstanding Phantom Share shall be settled by the transfer to the Grantee of one Share; provided that the Committee at the time of grant may provide that a Phantom Share may be settled (i) in cash at the applicable Phantom Share Value or (ii) in cash or by transfer of Shares as elected by the Grantee in accordance with procedures established by the Committee (taking into account, without limitation, Section 409A of the Code, as the Committee may deem appropriate).</w:t>
      </w:r>
    </w:p>
    <w:p>
      <w:pPr>
        <w:spacing w:after="0" w:line="197" w:lineRule="exact"/>
        <w:rPr>
          <w:rFonts w:ascii="Arial" w:cs="Arial" w:eastAsia="Arial" w:hAnsi="Arial"/>
          <w:sz w:val="18"/>
          <w:szCs w:val="18"/>
          <w:color w:val="auto"/>
        </w:rPr>
      </w:pPr>
    </w:p>
    <w:p>
      <w:pPr>
        <w:ind w:right="120" w:firstLine="359"/>
        <w:spacing w:after="0" w:line="335" w:lineRule="auto"/>
        <w:tabs>
          <w:tab w:leader="none" w:pos="688" w:val="left"/>
        </w:tabs>
        <w:numPr>
          <w:ilvl w:val="0"/>
          <w:numId w:val="78"/>
        </w:numPr>
        <w:rPr>
          <w:rFonts w:ascii="Arial" w:cs="Arial" w:eastAsia="Arial" w:hAnsi="Arial"/>
          <w:sz w:val="15"/>
          <w:szCs w:val="15"/>
          <w:color w:val="auto"/>
        </w:rPr>
      </w:pPr>
      <w:r>
        <w:rPr>
          <w:rFonts w:ascii="Arial" w:cs="Arial" w:eastAsia="Arial" w:hAnsi="Arial"/>
          <w:sz w:val="15"/>
          <w:szCs w:val="15"/>
          <w:color w:val="auto"/>
        </w:rPr>
        <w:t>Phantom Shares shall be settled with a single-sum payment by the Company;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w:t>
      </w:r>
    </w:p>
    <w:p>
      <w:pPr>
        <w:spacing w:after="0" w:line="142" w:lineRule="exact"/>
        <w:rPr>
          <w:rFonts w:ascii="Arial" w:cs="Arial" w:eastAsia="Arial" w:hAnsi="Arial"/>
          <w:sz w:val="15"/>
          <w:szCs w:val="15"/>
          <w:color w:val="auto"/>
        </w:rPr>
      </w:pPr>
    </w:p>
    <w:p>
      <w:pPr>
        <w:ind w:right="40" w:firstLine="359"/>
        <w:spacing w:after="0" w:line="290" w:lineRule="auto"/>
        <w:tabs>
          <w:tab w:leader="none" w:pos="6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Unless otherwise provided in the applicable Award Agreement, the "Settlement Date" with respect to a Phantom Share is as soon as practicable after (but not later than the first day of the month to follow) the date on which the Phantom Share vests; provided that a Grantee may elect, in accordance with procedures to be established by the Committee, that such Settlement Date will be deferred as elected by the Grantee to as soon as practicable after (but not later than the first day of the month to follow) the Grantee's Termination of Service, or such other time as may be permitted by the Committee. Unless otherwise determined by the Committee, elections under this Section 7.4(c)(i) must, except as may otherwise be permitted under the rules applicable under Section 409A of the Code, (A) be effective at least one year after they are made, or, in the case of payments to commence at a specific time, be made at least one year before the first scheduled payment and (B) defer the commencement of distributions for at least five years.</w:t>
      </w:r>
    </w:p>
    <w:p>
      <w:pPr>
        <w:spacing w:after="0" w:line="172" w:lineRule="exact"/>
        <w:rPr>
          <w:rFonts w:ascii="Arial" w:cs="Arial" w:eastAsia="Arial" w:hAnsi="Arial"/>
          <w:sz w:val="16"/>
          <w:szCs w:val="16"/>
          <w:color w:val="auto"/>
        </w:rPr>
      </w:pPr>
    </w:p>
    <w:p>
      <w:pPr>
        <w:ind w:left="540" w:right="80" w:firstLine="403"/>
        <w:spacing w:after="0" w:line="259" w:lineRule="auto"/>
        <w:tabs>
          <w:tab w:leader="none" w:pos="1237"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p>
      <w:pPr>
        <w:spacing w:after="0" w:line="194" w:lineRule="exact"/>
        <w:rPr>
          <w:rFonts w:ascii="Arial" w:cs="Arial" w:eastAsia="Arial" w:hAnsi="Arial"/>
          <w:sz w:val="18"/>
          <w:szCs w:val="18"/>
          <w:color w:val="auto"/>
        </w:rPr>
      </w:pPr>
    </w:p>
    <w:p>
      <w:pPr>
        <w:ind w:left="1260" w:hanging="361"/>
        <w:spacing w:after="0"/>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Notwithstanding the foregoing, the Settlement Date, if not earlier pursuant to this Section 7.4(c), is the date of the Grantee's death.</w:t>
      </w:r>
    </w:p>
    <w:p>
      <w:pPr>
        <w:spacing w:after="0" w:line="248" w:lineRule="exact"/>
        <w:rPr>
          <w:rFonts w:ascii="Arial" w:cs="Arial" w:eastAsia="Arial" w:hAnsi="Arial"/>
          <w:sz w:val="16"/>
          <w:szCs w:val="16"/>
          <w:color w:val="auto"/>
        </w:rPr>
      </w:pPr>
    </w:p>
    <w:p>
      <w:pPr>
        <w:ind w:right="80" w:firstLine="359"/>
        <w:spacing w:after="0" w:line="306" w:lineRule="auto"/>
        <w:tabs>
          <w:tab w:leader="none" w:pos="6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160" w:lineRule="exact"/>
        <w:rPr>
          <w:rFonts w:ascii="Arial" w:cs="Arial" w:eastAsia="Arial" w:hAnsi="Arial"/>
          <w:sz w:val="16"/>
          <w:szCs w:val="16"/>
          <w:color w:val="auto"/>
        </w:rPr>
      </w:pPr>
    </w:p>
    <w:p>
      <w:pPr>
        <w:ind w:right="20" w:firstLine="359"/>
        <w:spacing w:after="0" w:line="314" w:lineRule="auto"/>
        <w:tabs>
          <w:tab w:leader="none" w:pos="678"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Notwithstanding any other provision of the Plan, a Grantee may receive any amounts to be paid in installments as provided in Section 7.4(b) or deferred by the Grantee as provided in Section 7.4(c) in the event of an "Unforeseeable Emergency." For these purposes, an "Unforeseeable Emergency," as determined by the Committee in its sole discretion, is a severe financial hardship to the Grantee resulting from a sudden and unexpected illness or accident of the Grantee or "dependent," as defined in Section 152(a) of the Code, of the Grantee, loss of the Grantee's property due to casualty, or other similar extraordinary and unforeseeable circumstances arising as a result of events beyond the control of the Grantee. The circumstances that will constitute an Unforeseeable Emergency will depend upon the facts of each case, but, in any case, payment may not be made to the extent that such hardship is or may be relieved:</w:t>
      </w:r>
    </w:p>
    <w:p>
      <w:pPr>
        <w:spacing w:after="0" w:line="158" w:lineRule="exact"/>
        <w:rPr>
          <w:rFonts w:ascii="Arial" w:cs="Arial" w:eastAsia="Arial" w:hAnsi="Arial"/>
          <w:sz w:val="15"/>
          <w:szCs w:val="15"/>
          <w:color w:val="auto"/>
        </w:rPr>
      </w:pPr>
    </w:p>
    <w:p>
      <w:pPr>
        <w:ind w:left="1240" w:hanging="253"/>
        <w:spacing w:after="0"/>
        <w:tabs>
          <w:tab w:leader="none" w:pos="12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by liquidation of the Grantee's assets, to the extent the liquidation of such assets would not itself cause severe financial hardship, or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by future cessation of the making of additional deferrals under Section 7.4 (b) and (c).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Without limitation, the need to send a Grantee's child to college or the desire to purchase a home shall not constitute an Unforeseeable Emergency.</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Distributions of amounts because of an Unforeseeable Emergency shall be permitted to the extent reasonably needed to satisfy the emergency need.</w:t>
      </w:r>
    </w:p>
    <w:p>
      <w:pPr>
        <w:spacing w:after="0" w:line="24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i w:val="1"/>
          <w:iCs w:val="1"/>
          <w:color w:val="auto"/>
        </w:rPr>
        <w:t>Other Phantom Share Provisions.</w:t>
      </w:r>
    </w:p>
    <w:p>
      <w:pPr>
        <w:spacing w:after="0" w:line="225" w:lineRule="exact"/>
        <w:rPr>
          <w:sz w:val="20"/>
          <w:szCs w:val="20"/>
          <w:color w:val="auto"/>
        </w:rPr>
      </w:pPr>
    </w:p>
    <w:p>
      <w:pPr>
        <w:jc w:val="both"/>
        <w:ind w:right="100" w:firstLine="359"/>
        <w:spacing w:after="0" w:line="256" w:lineRule="auto"/>
        <w:tabs>
          <w:tab w:leader="none" w:pos="6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p>
      <w:pPr>
        <w:spacing w:after="0" w:line="197" w:lineRule="exact"/>
        <w:rPr>
          <w:rFonts w:ascii="Arial" w:cs="Arial" w:eastAsia="Arial" w:hAnsi="Arial"/>
          <w:sz w:val="18"/>
          <w:szCs w:val="18"/>
          <w:color w:val="auto"/>
        </w:rPr>
      </w:pPr>
    </w:p>
    <w:p>
      <w:pPr>
        <w:ind w:right="20" w:firstLine="359"/>
        <w:spacing w:after="0" w:line="294" w:lineRule="auto"/>
        <w:tabs>
          <w:tab w:leader="none" w:pos="678"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the Grantee's estate. If a Grantee with a vested Phantom Share dies, such Phantom Share shall be settled and the Phantom Share Value in respect of such Phantom Shares paid, and any payments deferred pursuant to an election under Section 7.4(c) shall be accelerated and paid, as soon as practicable (but no later than 60 days) after the date of death to such Grantee's beneficiary or estate, as applicable.</w:t>
      </w:r>
    </w:p>
    <w:p>
      <w:pPr>
        <w:spacing w:after="0" w:line="169" w:lineRule="exact"/>
        <w:rPr>
          <w:rFonts w:ascii="Arial" w:cs="Arial" w:eastAsia="Arial" w:hAnsi="Arial"/>
          <w:sz w:val="16"/>
          <w:szCs w:val="16"/>
          <w:color w:val="auto"/>
        </w:rPr>
      </w:pPr>
    </w:p>
    <w:p>
      <w:pPr>
        <w:jc w:val="both"/>
        <w:ind w:right="140" w:firstLine="359"/>
        <w:spacing w:after="0" w:line="298" w:lineRule="auto"/>
        <w:tabs>
          <w:tab w:leader="none" w:pos="67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Committee may establish a program under which distributions with respect to Phantom Shares may be deferred for periods in addition to those otherwise contemplated by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66" w:lineRule="exact"/>
        <w:rPr>
          <w:rFonts w:ascii="Arial" w:cs="Arial" w:eastAsia="Arial" w:hAnsi="Arial"/>
          <w:sz w:val="16"/>
          <w:szCs w:val="16"/>
          <w:color w:val="auto"/>
        </w:rPr>
      </w:pPr>
    </w:p>
    <w:p>
      <w:pPr>
        <w:ind w:right="440" w:firstLine="359"/>
        <w:spacing w:after="0" w:line="268" w:lineRule="auto"/>
        <w:tabs>
          <w:tab w:leader="none" w:pos="6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7, any fractional Phantom Share will be paid out in cash at the Phantom Share Value as of the Settlement Date.</w:t>
      </w:r>
    </w:p>
    <w:p>
      <w:pPr>
        <w:spacing w:after="0" w:line="185" w:lineRule="exact"/>
        <w:rPr>
          <w:rFonts w:ascii="Arial" w:cs="Arial" w:eastAsia="Arial" w:hAnsi="Arial"/>
          <w:sz w:val="18"/>
          <w:szCs w:val="18"/>
          <w:color w:val="auto"/>
        </w:rPr>
      </w:pPr>
    </w:p>
    <w:p>
      <w:pPr>
        <w:jc w:val="both"/>
        <w:ind w:firstLine="359"/>
        <w:spacing w:after="0" w:line="259" w:lineRule="auto"/>
        <w:tabs>
          <w:tab w:leader="none" w:pos="6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i w:val="1"/>
          <w:iCs w:val="1"/>
          <w:color w:val="auto"/>
        </w:rPr>
        <w:t>Claims Procedures.</w:t>
      </w:r>
    </w:p>
    <w:p>
      <w:pPr>
        <w:spacing w:after="0" w:line="225" w:lineRule="exact"/>
        <w:rPr>
          <w:sz w:val="20"/>
          <w:szCs w:val="20"/>
          <w:color w:val="auto"/>
        </w:rPr>
      </w:pPr>
    </w:p>
    <w:p>
      <w:pPr>
        <w:ind w:right="80" w:firstLine="359"/>
        <w:spacing w:after="0" w:line="255" w:lineRule="auto"/>
        <w:tabs>
          <w:tab w:leader="none" w:pos="6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extent that the Plan is determined by the Committee to be subject to the Employee Retirement Income Security Act of 1974, as amended, the Grantee, or his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196" w:lineRule="exact"/>
        <w:rPr>
          <w:rFonts w:ascii="Arial" w:cs="Arial" w:eastAsia="Arial" w:hAnsi="Arial"/>
          <w:sz w:val="18"/>
          <w:szCs w:val="18"/>
          <w:color w:val="auto"/>
        </w:rPr>
      </w:pPr>
    </w:p>
    <w:p>
      <w:pPr>
        <w:ind w:left="1240" w:hanging="253"/>
        <w:spacing w:after="0"/>
        <w:tabs>
          <w:tab w:leader="none" w:pos="124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approve the claim and take appropriate steps for satisfaction of the claim; or</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2"/>
          <w:numId w:val="81"/>
        </w:numPr>
        <w:rPr>
          <w:rFonts w:ascii="Arial" w:cs="Arial" w:eastAsia="Arial" w:hAnsi="Arial"/>
          <w:sz w:val="16"/>
          <w:szCs w:val="16"/>
          <w:color w:val="auto"/>
        </w:rPr>
      </w:pPr>
      <w:r>
        <w:rPr>
          <w:rFonts w:ascii="Arial" w:cs="Arial" w:eastAsia="Arial" w:hAnsi="Arial"/>
          <w:sz w:val="16"/>
          <w:szCs w:val="16"/>
          <w:color w:val="auto"/>
        </w:rPr>
        <w:t>if the claim is wholly or partially denied, advise the claimant of such denial by furnishing to him a written notice of such denial setting forth</w:t>
      </w:r>
    </w:p>
    <w:p>
      <w:pPr>
        <w:spacing w:after="0" w:line="38" w:lineRule="exact"/>
        <w:rPr>
          <w:rFonts w:ascii="Arial" w:cs="Arial" w:eastAsia="Arial" w:hAnsi="Arial"/>
          <w:sz w:val="16"/>
          <w:szCs w:val="16"/>
          <w:color w:val="auto"/>
        </w:rPr>
      </w:pPr>
    </w:p>
    <w:p>
      <w:pPr>
        <w:ind w:left="540" w:firstLine="8"/>
        <w:spacing w:after="0" w:line="253" w:lineRule="auto"/>
        <w:tabs>
          <w:tab w:leader="none" w:pos="8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 (D) a reference to this Section 7.6 as the provision setting forth the claims procedure under the Plan.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9"/>
        <w:spacing w:after="0" w:line="255" w:lineRule="auto"/>
        <w:tabs>
          <w:tab w:leader="none" w:pos="68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claimant may request a review of any denial of his claim by written application to the Committee within 60 days after receipt of the notice of denial of such claim. Within 60 days (or, if special circumstances require an extension of time for processing, 120 days, in which case notice of such special circumstances should be provided within the initial 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APPLICABLE TO DIVIDEND EQUIVALENT RIGHTS.</w:t>
      </w:r>
    </w:p>
    <w:p>
      <w:pPr>
        <w:spacing w:after="0" w:line="23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Grant of Dividend Equivalent Rights.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provided, however, that in no event may a Dividend Equivalent Right be granted in connection with an Option or a Stock Appreciation Right. Such Dividend Equivalent Rights shall be converted to cash or additional Shares by such formula and at such time and subject to such limitation as may be determined by the Committee. If a Dividend Equivalent Right is granted in respect of an Award hereunder (other than an Option or Stock Appreciation Right), then, unless otherwise stated in the Award Agreement, in no event shall the Dividend Equivalent Right be in effect for a period beyond the time during which the applicable portion of the underlying Award is in effect.</w:t>
      </w:r>
    </w:p>
    <w:p>
      <w:pPr>
        <w:spacing w:after="0" w:line="19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Certain Terms.</w:t>
      </w:r>
    </w:p>
    <w:p>
      <w:pPr>
        <w:spacing w:after="0" w:line="225" w:lineRule="exact"/>
        <w:rPr>
          <w:sz w:val="20"/>
          <w:szCs w:val="20"/>
          <w:color w:val="auto"/>
        </w:rPr>
      </w:pPr>
    </w:p>
    <w:p>
      <w:pPr>
        <w:ind w:left="680" w:hanging="321"/>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 of a Dividend Equivalent Right shall be set by the Committee in its discretion.</w:t>
      </w:r>
    </w:p>
    <w:p>
      <w:pPr>
        <w:spacing w:after="0" w:line="225" w:lineRule="exact"/>
        <w:rPr>
          <w:rFonts w:ascii="Arial" w:cs="Arial" w:eastAsia="Arial" w:hAnsi="Arial"/>
          <w:sz w:val="18"/>
          <w:szCs w:val="18"/>
          <w:color w:val="auto"/>
        </w:rPr>
      </w:pPr>
    </w:p>
    <w:p>
      <w:pPr>
        <w:ind w:right="360" w:firstLine="359"/>
        <w:spacing w:after="0" w:line="268" w:lineRule="auto"/>
        <w:tabs>
          <w:tab w:leader="none" w:pos="6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Unless otherwise determined by the Committee, except as contemplated by Section 8.4, a Dividend Equivalent Right is exercisable or payable only while the Participant is an Eligible Person.</w:t>
      </w:r>
    </w:p>
    <w:p>
      <w:pPr>
        <w:spacing w:after="0" w:line="185" w:lineRule="exact"/>
        <w:rPr>
          <w:rFonts w:ascii="Arial" w:cs="Arial" w:eastAsia="Arial" w:hAnsi="Arial"/>
          <w:sz w:val="18"/>
          <w:szCs w:val="18"/>
          <w:color w:val="auto"/>
        </w:rPr>
      </w:pPr>
    </w:p>
    <w:p>
      <w:pPr>
        <w:ind w:right="220" w:firstLine="359"/>
        <w:spacing w:after="0" w:line="268" w:lineRule="auto"/>
        <w:tabs>
          <w:tab w:leader="none" w:pos="6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 of the amount determined in accordance with Section 8.1 shall be in cash, in Common Stock or a combination of the both, as determined by the Committee.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Committee may impose such employment-related conditions on the grant of a Dividend Equivalent Right as it deems appropriate in its discretion.</w:t>
      </w:r>
    </w:p>
    <w:p>
      <w:pPr>
        <w:spacing w:after="0" w:line="248" w:lineRule="exact"/>
        <w:rPr>
          <w:rFonts w:ascii="Arial" w:cs="Arial" w:eastAsia="Arial" w:hAnsi="Arial"/>
          <w:sz w:val="16"/>
          <w:szCs w:val="16"/>
          <w:color w:val="auto"/>
        </w:rPr>
      </w:pPr>
    </w:p>
    <w:p>
      <w:pPr>
        <w:ind w:right="160" w:firstLine="359"/>
        <w:spacing w:after="0" w:line="259" w:lineRule="auto"/>
        <w:tabs>
          <w:tab w:leader="none" w:pos="6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Dividend Equivalent Right granted with respect to an Award subject to performance-based vesting, or forfeiture based on the failure to meet performance-based conditions (i.e., conditions other than the continued service or employment of the Grantee through a certain date), may not be exercisable or payable unless and until the performance-based conditions have been met.</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i w:val="1"/>
          <w:iCs w:val="1"/>
          <w:color w:val="auto"/>
        </w:rPr>
        <w:t>Other Types of Dividend Equivalent Rights.</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with respect to a Phantom Share, which right would consist of the right (subject to Section 8.4) to receive a cash payment in an amount equal to the dividend distributions paid on a Share from time to time.</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Deferral.</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8"/>
        <w:spacing w:after="0" w:line="306" w:lineRule="auto"/>
        <w:tabs>
          <w:tab w:leader="none" w:pos="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will have payments with respect to Dividend Equivalent Rights deferred. In the case of the foregoing clause (ii),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3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OTHER EQUITY-BASED AWARDS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Committee shall have the right (i) to grant other Awards based upon the Common Stock having such terms and conditions as the Committee may determine, including, without limitation, the grant of shares based upon certain conditions, the grant of convertible preferred shares, convertible debentures and other exchangeable or redeemable securities or equity interests, and the grant of stock appreciation rights, (ii) to grant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an interest granted under the authority of this clause (ii) to be subject, for the avoidance of doubt, to Section 4 and the other provisions of the Plan, and (iii) to grant Awards valued by reference to book value, fair value or performance parameters relative to the Company or any Subsidiary or group of Subsidiaries. Notwithstanding the foregoing, any cash dividends or distributions otherwise payable pursuant to an Award granted pursuant to this Section 9 that remains subject to performance-based vesting, or forfeiture based on the failure to meet performance-based conditions (i.e., conditions other than the continued service or employment of the Grantee through a certain date), must be retained by, or repaid by the Grantee to, the Company or the applicable entity granting the Award; provided that, to the extent provided for in the applicable Award Agreement or by the Committee, an amount equal to such cash dividends or distributions retained or repaid by the Grantee may be paid to the Grantee upon the satisfaction or lapsing of such performance-based conditions with respect to such Award.</w:t>
      </w:r>
    </w:p>
    <w:p>
      <w:pPr>
        <w:spacing w:after="0" w:line="3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PERFORMANCE GOALS.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Committee, in its discretion, (i) may establish one or more performance goals as a precondition to the issuance or vesting of Awards, and (ii) may provide, in connection with the establishment of the performance goals, for predetermined Awards to those Participants (who continue to meet all applicable eligibility requirements) with respect to whom the applicable performance goals are satisfied. In the case of any grant intended to qualify as performance based compensation under Section 162(m) of the Code (including, for these purposes, grants constituting performance based compensation, as determined without regard to certain shareholder approval and disclosure requirements by virtue of an applicable transition rule), the Committee (i) may use one or a combination of the performance goals set forth in Exhibit B; and (ii) may establish other goals (with shareholder approval of other types of goals) intended to be performance goals as contemplated by Section 162(m) of the Code and the regulations thereunder.</w:t>
      </w:r>
    </w:p>
    <w:p>
      <w:pPr>
        <w:spacing w:after="0" w:line="3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TAX WITHHOLDING.</w:t>
      </w:r>
    </w:p>
    <w:p>
      <w:pPr>
        <w:spacing w:after="0" w:line="23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In General.</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right="3640" w:hanging="352"/>
        <w:spacing w:after="0" w:line="501" w:lineRule="auto"/>
        <w:tabs>
          <w:tab w:leader="none" w:pos="30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other applicable income-recognition event (for example, an election under Section 83(b) of the Code). 11.2 </w:t>
      </w:r>
      <w:r>
        <w:rPr>
          <w:rFonts w:ascii="Arial" w:cs="Arial" w:eastAsia="Arial" w:hAnsi="Arial"/>
          <w:sz w:val="18"/>
          <w:szCs w:val="18"/>
          <w:i w:val="1"/>
          <w:iCs w:val="1"/>
          <w:color w:val="auto"/>
        </w:rPr>
        <w:t>Share Withholding.</w:t>
      </w:r>
    </w:p>
    <w:p>
      <w:pPr>
        <w:ind w:firstLine="359"/>
        <w:spacing w:after="0" w:line="289" w:lineRule="auto"/>
        <w:tabs>
          <w:tab w:leader="none" w:pos="678"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Upon exercise of an Option, the Optionee may, if approved by the Committee in its discretion, make a written election to have Shares then issued withheld by the Company from the Shares otherwise to be received, or to deliver previously owned Shares, in order to satisfy the liability for the minimum withholding taxes due. Alternatively, if so provided in an Award Agreement, the Committee may require the Optionee to satisfy such liability by having Shares then issued withheld by the Company from the Shares otherwise to be received, or require the Optionee to do so, subject to the Optionee's ability to elect to satisfy such liability in cash. In the event that the Optionee is to satisfy such liability in Shares, the number of Shares so withheld or delivered shall have an aggregate Fair Market Value on the date of exercise sufficient to satisfy the applicable minimum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p>
      <w:pPr>
        <w:spacing w:after="0" w:line="172" w:lineRule="exact"/>
        <w:rPr>
          <w:rFonts w:ascii="Arial" w:cs="Arial" w:eastAsia="Arial" w:hAnsi="Arial"/>
          <w:sz w:val="16"/>
          <w:szCs w:val="16"/>
          <w:color w:val="auto"/>
        </w:rPr>
      </w:pPr>
    </w:p>
    <w:p>
      <w:pPr>
        <w:ind w:right="60" w:firstLine="359"/>
        <w:spacing w:after="0" w:line="290" w:lineRule="auto"/>
        <w:tabs>
          <w:tab w:leader="none" w:pos="688"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Upon lapsing of restrictions on Restricted Stock (or other income-recognition event), the Grantee may, if approved by the Committee in its discretion, make a written election to have Shares withheld by the Company from the Shares otherwise to be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the lapsing of restrictions (or other income-recognition event) sufficient to satisfy the applicable minimum withholding taxes.</w:t>
      </w:r>
    </w:p>
    <w:p>
      <w:pPr>
        <w:spacing w:after="0" w:line="172" w:lineRule="exact"/>
        <w:rPr>
          <w:rFonts w:ascii="Arial" w:cs="Arial" w:eastAsia="Arial" w:hAnsi="Arial"/>
          <w:sz w:val="16"/>
          <w:szCs w:val="16"/>
          <w:color w:val="auto"/>
        </w:rPr>
      </w:pPr>
    </w:p>
    <w:p>
      <w:pPr>
        <w:ind w:right="20" w:firstLine="359"/>
        <w:spacing w:after="0" w:line="290" w:lineRule="auto"/>
        <w:tabs>
          <w:tab w:leader="none" w:pos="678"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Upon the making of a distribution in respect of Phantom Shares or Dividend Equivalent Rights, the Grantee may, if approved by the Committee in its discretion, make a written election to have amounts (which may include Shares) withheld by the Company from the distribution otherwise to be made,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distribution otherwise to be made, or require the Grantee to do so, subject to the Grantee's ability to elect to satisfy such liability in cash. In the event that the Grantee is to satisfy such liability in Shares, any Shares so withheld or delivered shall have an aggregate Fair Market Value on the date of distribution sufficient to satisfy the applicable minimum withholding taxes.</w:t>
      </w:r>
    </w:p>
    <w:p>
      <w:pPr>
        <w:spacing w:after="0" w:line="172" w:lineRule="exact"/>
        <w:rPr>
          <w:rFonts w:ascii="Arial" w:cs="Arial" w:eastAsia="Arial" w:hAnsi="Arial"/>
          <w:sz w:val="16"/>
          <w:szCs w:val="16"/>
          <w:color w:val="auto"/>
        </w:rPr>
      </w:pPr>
    </w:p>
    <w:p>
      <w:pPr>
        <w:ind w:right="20" w:firstLine="359"/>
        <w:spacing w:after="0" w:line="290" w:lineRule="auto"/>
        <w:tabs>
          <w:tab w:leader="none" w:pos="688"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Upon the occurrence of any other income-recognition event with respect to an Award granted under the Plan that occurs upon or concurrently with the issuance or vesting of, or lapsing of restrictions on, Common Stock, the Grantee may, if approved by the Committee in its discretion, make a written election to have Shares withheld by the Company from the Shares otherwise to be issued, vested or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issued, vested or released from restriction, or require the Grantee to do so, subject to the Grantee's ability to elect to satisfy such liability in cash. In the event that the Grantee is to satisfy such liability in Shares, the number of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so withheld or delivered shall have an aggregate Fair Market Value on the date of such income-recognition event sufficient to satisfy the applicable minimum withholding taxes.</w:t>
      </w:r>
    </w:p>
    <w:p>
      <w:pPr>
        <w:spacing w:after="0" w:line="186" w:lineRule="exact"/>
        <w:rPr>
          <w:sz w:val="20"/>
          <w:szCs w:val="20"/>
          <w:color w:val="auto"/>
        </w:rPr>
      </w:pPr>
    </w:p>
    <w:p>
      <w:pPr>
        <w:ind w:right="380" w:firstLine="359"/>
        <w:spacing w:after="0" w:line="259" w:lineRule="auto"/>
        <w:tabs>
          <w:tab w:leader="none" w:pos="678"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determining the number of Shares to be withheld or delivered to satisfy the applicable minimum withholding taxes pursuant to Section 11.2 of the Plan, the Fair Market Value of the Shares shall be calculated in the same manner as the Shares are valued for purposes of determining the amount of withholding taxes due.</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Withholding Required.</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Notwithstanding anything contained in the Plan or the Award Agreement to the contrary, the Participant's satisfaction of any tax-withholding requirements imposed by the Committee shall be a condition precedent to the Company's obligation as may otherwise be provided hereunder to provide Shares to the Participant and to the release of any restrictions as may otherwise be provided hereunder, as applicable; and the applicable Option, Restricted Stock, Phantom Shares, Dividend Equivalent Rights or other Award shall be forfeited upon the failure of the Participant to satisfy such requirements with respect to, as applicable,</w:t>
      </w:r>
    </w:p>
    <w:p>
      <w:pPr>
        <w:spacing w:after="0" w:line="3" w:lineRule="exact"/>
        <w:rPr>
          <w:sz w:val="20"/>
          <w:szCs w:val="20"/>
          <w:color w:val="auto"/>
        </w:rPr>
      </w:pPr>
    </w:p>
    <w:p>
      <w:pPr>
        <w:ind w:right="520" w:firstLine="8"/>
        <w:spacing w:after="0" w:line="323" w:lineRule="auto"/>
        <w:tabs>
          <w:tab w:leader="none" w:pos="2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exercise of the Option, (ii) the lapsing of restrictions on the Restricted Stock (or other income-recognition event), (iii) distributions in respect of any Phantom Share or Dividend Equivalent Right or (iv) any other income-recognition event with respect an Award granted under the Plan.</w:t>
      </w:r>
    </w:p>
    <w:p>
      <w:pPr>
        <w:spacing w:after="0" w:line="357"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AND APPROVALS.</w:t>
      </w:r>
    </w:p>
    <w:p>
      <w:pPr>
        <w:spacing w:after="0" w:line="231" w:lineRule="exact"/>
        <w:rPr>
          <w:rFonts w:ascii="Arial" w:cs="Arial" w:eastAsia="Arial" w:hAnsi="Arial"/>
          <w:sz w:val="18"/>
          <w:szCs w:val="18"/>
          <w:b w:val="1"/>
          <w:bCs w:val="1"/>
          <w:color w:val="auto"/>
        </w:rPr>
      </w:pPr>
    </w:p>
    <w:p>
      <w:pPr>
        <w:ind w:right="580" w:firstLine="359"/>
        <w:spacing w:after="0" w:line="259" w:lineRule="auto"/>
        <w:tabs>
          <w:tab w:leader="none" w:pos="67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94" w:lineRule="exact"/>
        <w:rPr>
          <w:rFonts w:ascii="Arial" w:cs="Arial" w:eastAsia="Arial" w:hAnsi="Arial"/>
          <w:sz w:val="18"/>
          <w:szCs w:val="18"/>
          <w:color w:val="auto"/>
        </w:rPr>
      </w:pPr>
    </w:p>
    <w:p>
      <w:pPr>
        <w:ind w:right="320" w:firstLine="359"/>
        <w:spacing w:after="0" w:line="268" w:lineRule="auto"/>
        <w:tabs>
          <w:tab w:leader="none" w:pos="684"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Committee may make such changes to the Plan as may be necessary or appropriate to comply with the rules and regulations of any government authority or to obtain tax benefits applicable to an Award.</w:t>
      </w:r>
    </w:p>
    <w:p>
      <w:pPr>
        <w:spacing w:after="0" w:line="185" w:lineRule="exact"/>
        <w:rPr>
          <w:rFonts w:ascii="Arial" w:cs="Arial" w:eastAsia="Arial" w:hAnsi="Arial"/>
          <w:sz w:val="18"/>
          <w:szCs w:val="18"/>
          <w:color w:val="auto"/>
        </w:rPr>
      </w:pPr>
    </w:p>
    <w:p>
      <w:pPr>
        <w:ind w:firstLine="359"/>
        <w:spacing w:after="0" w:line="290" w:lineRule="auto"/>
        <w:tabs>
          <w:tab w:leader="none" w:pos="678" w:val="left"/>
        </w:tabs>
        <w:numPr>
          <w:ilvl w:val="1"/>
          <w:numId w:val="89"/>
        </w:numPr>
        <w:rPr>
          <w:rFonts w:ascii="Arial" w:cs="Arial" w:eastAsia="Arial" w:hAnsi="Arial"/>
          <w:sz w:val="16"/>
          <w:szCs w:val="16"/>
          <w:color w:val="auto"/>
        </w:rPr>
      </w:pPr>
      <w:r>
        <w:rPr>
          <w:rFonts w:ascii="Arial" w:cs="Arial" w:eastAsia="Arial" w:hAnsi="Arial"/>
          <w:sz w:val="16"/>
          <w:szCs w:val="16"/>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172" w:lineRule="exact"/>
        <w:rPr>
          <w:rFonts w:ascii="Arial" w:cs="Arial" w:eastAsia="Arial" w:hAnsi="Arial"/>
          <w:sz w:val="16"/>
          <w:szCs w:val="16"/>
          <w:color w:val="auto"/>
        </w:rPr>
      </w:pPr>
    </w:p>
    <w:p>
      <w:pPr>
        <w:ind w:right="200" w:firstLine="359"/>
        <w:spacing w:after="0" w:line="294" w:lineRule="auto"/>
        <w:tabs>
          <w:tab w:leader="none" w:pos="6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p>
      <w:pPr>
        <w:spacing w:after="0" w:line="169" w:lineRule="exact"/>
        <w:rPr>
          <w:rFonts w:ascii="Arial" w:cs="Arial" w:eastAsia="Arial" w:hAnsi="Arial"/>
          <w:sz w:val="16"/>
          <w:szCs w:val="16"/>
          <w:color w:val="auto"/>
        </w:rPr>
      </w:pPr>
    </w:p>
    <w:p>
      <w:pPr>
        <w:ind w:right="780" w:firstLine="359"/>
        <w:spacing w:after="0" w:line="268" w:lineRule="auto"/>
        <w:tabs>
          <w:tab w:leader="none" w:pos="678"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not be required to take or permit any action under the Plan or any Award Agreement which, in the good-faith determination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would result in a material risk of a violation by the Company of Section 13(k) of the Exchange Act.</w:t>
      </w:r>
    </w:p>
    <w:p>
      <w:pPr>
        <w:spacing w:after="0" w:line="200" w:lineRule="exact"/>
        <w:rPr>
          <w:sz w:val="20"/>
          <w:szCs w:val="20"/>
          <w:color w:val="auto"/>
        </w:rPr>
      </w:pPr>
    </w:p>
    <w:p>
      <w:pPr>
        <w:spacing w:after="0" w:line="23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INTERPRETATION AND AMENDMENTS; OTHER RULES.</w:t>
      </w:r>
    </w:p>
    <w:p>
      <w:pPr>
        <w:spacing w:after="0" w:line="231"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or Dividend Equivalent Rights shall be forfeited (whether or not such forfeiture is expressly contemplated hereunder); (ii) interpret the Plan and the Award Agreements hereunder, with such interpretations to be conclusive and binding on all persons and otherwise accorded the maximum deference permitted by law, provided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w:t>
      </w:r>
    </w:p>
    <w:p>
      <w:pPr>
        <w:spacing w:after="0" w:line="1" w:lineRule="exact"/>
        <w:rPr>
          <w:sz w:val="20"/>
          <w:szCs w:val="20"/>
          <w:color w:val="auto"/>
        </w:rPr>
      </w:pPr>
    </w:p>
    <w:p>
      <w:pPr>
        <w:ind w:firstLine="8"/>
        <w:spacing w:after="0" w:line="305" w:lineRule="auto"/>
        <w:tabs>
          <w:tab w:leader="none" w:pos="307" w:val="left"/>
        </w:tabs>
        <w:numPr>
          <w:ilvl w:val="0"/>
          <w:numId w:val="90"/>
        </w:numPr>
        <w:rPr>
          <w:rFonts w:ascii="Arial" w:cs="Arial" w:eastAsia="Arial" w:hAnsi="Arial"/>
          <w:sz w:val="15"/>
          <w:szCs w:val="15"/>
          <w:color w:val="auto"/>
        </w:rPr>
      </w:pPr>
      <w:r>
        <w:rPr>
          <w:rFonts w:ascii="Arial" w:cs="Arial" w:eastAsia="Arial" w:hAnsi="Arial"/>
          <w:sz w:val="15"/>
          <w:szCs w:val="15"/>
          <w:color w:val="auto"/>
        </w:rPr>
        <w:t>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The Committee may, in its discretion, delegate the authority and responsibility to act pursuant to the Plan with respect to ministerial administrative matters, which actions shall at all times be subject to the supervision of the Committee, and the actions of such a delegee in accordance with the foregoing shall be considered the actions of the Committee hereunder. Unless otherwise expressly provided hereunder, the Committee, with respect to any grant, may exercise its discretion hereunder at the time of the Award or thereafter. The Board may amend the Plan as it shall deem advisable, except that no amendment may adversely affect a Participant with respect to an Award previously granted unless such amendments are required in order to comply with applicable laws; provided, however, that the Plan may not be amended without shareholder approval in any case in which amendment in the absence of shareholder approval would cause the Plan to fail to comply with any applicable legal requirement or applicable exchange or similar rule. Except as provided in Section 14(a) or (f), without prior stockholder approval, in no event may the Board exercise its discretion to reduce the Option Price of outstanding Options or Stock Appreciation Rights or cancel, exchange, substitute, buyout or surrender outstanding Options or Stock Appreciation Rights in exchange for cash, other awards or Options or Stock Appreciation Rights with an Option Price that is less than the Option Price of the original Options or Stock Appreciation Rights.</w:t>
      </w:r>
    </w:p>
    <w:p>
      <w:pPr>
        <w:spacing w:after="0" w:line="379" w:lineRule="exact"/>
        <w:rPr>
          <w:sz w:val="20"/>
          <w:szCs w:val="20"/>
          <w:color w:val="auto"/>
        </w:rPr>
      </w:pPr>
    </w:p>
    <w:p>
      <w:pPr>
        <w:ind w:left="400" w:hanging="392"/>
        <w:spacing w:after="0"/>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w:t>
      </w:r>
    </w:p>
    <w:p>
      <w:pPr>
        <w:spacing w:after="0" w:line="231" w:lineRule="exact"/>
        <w:rPr>
          <w:rFonts w:ascii="Arial" w:cs="Arial" w:eastAsia="Arial" w:hAnsi="Arial"/>
          <w:sz w:val="18"/>
          <w:szCs w:val="18"/>
          <w:b w:val="1"/>
          <w:bCs w:val="1"/>
          <w:color w:val="auto"/>
        </w:rPr>
      </w:pPr>
    </w:p>
    <w:p>
      <w:pPr>
        <w:ind w:right="140" w:firstLine="359"/>
        <w:spacing w:after="0" w:line="294" w:lineRule="auto"/>
        <w:tabs>
          <w:tab w:leader="none" w:pos="678"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Committee necessitates action by way of adjusting the terms of the outstanding Awards, then:</w:t>
      </w:r>
    </w:p>
    <w:p>
      <w:pPr>
        <w:spacing w:after="0" w:line="170" w:lineRule="exact"/>
        <w:rPr>
          <w:sz w:val="20"/>
          <w:szCs w:val="20"/>
          <w:color w:val="auto"/>
        </w:rPr>
      </w:pPr>
    </w:p>
    <w:p>
      <w:pPr>
        <w:ind w:left="540" w:firstLine="403"/>
        <w:spacing w:after="0" w:line="306" w:lineRule="auto"/>
        <w:tabs>
          <w:tab w:leader="none" w:pos="12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maximum aggregate number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shall be appropriately adjusted by the Committee;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403"/>
        <w:spacing w:after="0" w:line="287" w:lineRule="auto"/>
        <w:tabs>
          <w:tab w:leader="none" w:pos="12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 respect to Awards issued under the Plan, the Committee shall take any such action as shall be necessary to maintain each Participants' rights hereunder (including under their Award Agreements) with respect to Options, Phantom Shares and Dividend Equivalent Rights (and, as appropriate, other Awards under Section 9), so that they are substantially proportionate to the rights existing in such Options, Phantom Shares and Dividend Equivalent Rights (and other Awards under Section 9)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performance-based criteria established in connection with Awards; provided that, the foregoing clause (D) shall also be applied in the case of any event relating to a Subsidiary if the event would have been covered under this Section 14(a) had the event related to the Company. For purposes of clause (x) and this clause (y), the manner in which any of the above described adjustments are made shall in all events be subject to approval of the Committee.</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w:t>
      </w:r>
    </w:p>
    <w:p>
      <w:pPr>
        <w:spacing w:after="0" w:line="194" w:lineRule="exact"/>
        <w:rPr>
          <w:sz w:val="20"/>
          <w:szCs w:val="20"/>
          <w:color w:val="auto"/>
        </w:rPr>
      </w:pPr>
    </w:p>
    <w:p>
      <w:pPr>
        <w:ind w:firstLine="359"/>
        <w:spacing w:after="0" w:line="259" w:lineRule="auto"/>
        <w:tabs>
          <w:tab w:leader="none" w:pos="6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194" w:lineRule="exact"/>
        <w:rPr>
          <w:rFonts w:ascii="Arial" w:cs="Arial" w:eastAsia="Arial" w:hAnsi="Arial"/>
          <w:sz w:val="18"/>
          <w:szCs w:val="18"/>
          <w:color w:val="auto"/>
        </w:rPr>
      </w:pPr>
    </w:p>
    <w:p>
      <w:pPr>
        <w:ind w:right="60" w:firstLine="359"/>
        <w:spacing w:after="0" w:line="294" w:lineRule="auto"/>
        <w:tabs>
          <w:tab w:leader="none" w:pos="67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the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169" w:lineRule="exact"/>
        <w:rPr>
          <w:rFonts w:ascii="Arial" w:cs="Arial" w:eastAsia="Arial" w:hAnsi="Arial"/>
          <w:sz w:val="16"/>
          <w:szCs w:val="16"/>
          <w:color w:val="auto"/>
        </w:rPr>
      </w:pPr>
    </w:p>
    <w:p>
      <w:pPr>
        <w:ind w:right="180" w:firstLine="359"/>
        <w:spacing w:after="0" w:line="259" w:lineRule="auto"/>
        <w:tabs>
          <w:tab w:leader="none" w:pos="6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 Change in Control shall occur, then the Committee, as constituted immediately before the Change in Control, may make such adjustments as it, in its discretion, determines are necessary or appropriate in light of the Change in Control, provided that the Committee determines that such adjustments do not have an adverse economic impact on the Participant as determined at the time of the adjustments.</w:t>
      </w:r>
    </w:p>
    <w:p>
      <w:pPr>
        <w:spacing w:after="0" w:line="194" w:lineRule="exact"/>
        <w:rPr>
          <w:rFonts w:ascii="Arial" w:cs="Arial" w:eastAsia="Arial" w:hAnsi="Arial"/>
          <w:sz w:val="18"/>
          <w:szCs w:val="18"/>
          <w:color w:val="auto"/>
        </w:rPr>
      </w:pPr>
    </w:p>
    <w:p>
      <w:pPr>
        <w:ind w:right="160" w:firstLine="359"/>
        <w:spacing w:after="0" w:line="268" w:lineRule="auto"/>
        <w:tabs>
          <w:tab w:leader="none" w:pos="6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judgment of the Committee with respect to any matter referred to in this Section 13 shall be conclusive and binding upon each Participant without the need for any amendment to the Plan.</w:t>
      </w:r>
    </w:p>
    <w:p>
      <w:pPr>
        <w:spacing w:after="0" w:line="185" w:lineRule="exact"/>
        <w:rPr>
          <w:rFonts w:ascii="Arial" w:cs="Arial" w:eastAsia="Arial" w:hAnsi="Arial"/>
          <w:sz w:val="18"/>
          <w:szCs w:val="18"/>
          <w:color w:val="auto"/>
        </w:rPr>
      </w:pPr>
    </w:p>
    <w:p>
      <w:pPr>
        <w:ind w:right="60" w:firstLine="359"/>
        <w:spacing w:after="0" w:line="290" w:lineRule="auto"/>
        <w:tabs>
          <w:tab w:leader="none" w:pos="7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the effective time of a Sale Event, with respect to Awards granted on or after December 9, 2009, at the election of the Committee, either (i) (A) such Options and Stock Appreciation Rights that are not exercisable immediately prior to the effective time of the Sale Event shall become fully exercisable as of the effective time of the Sale Event, (B) all such other Awards with time-based vesting, conditions or restrictions shall become fully vested and nonforfeitable as of the effective time of the Sale Event, (C) all such Awards with conditions and restrictions relating to the attainment of performance goals may become vested and nonforfeitable in connection with a Sale Event in the Committee's discretion (to the extent not provided for in the Award) and (D) all such outstanding Awards shall terminate or (ii) such Awards shall be assumed by the successor entity and continue with appropriate adjustment pursuant to Section 14(a) above. In the event of the termination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of Awards pursuant to clause (i) of the prior sentence,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Common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Committee, to exercise all outstanding Options and Stock Appreciation Rights held by such grantee effective as of the effective time of such Sale Event. For purposes of the Plan, (i) "Sale Event" shall mean (A) the sale of all or substantially all of the assets of the Company on a consolidated basis to an unrelated person or entity, (B) a merger, reorganization or consolidation in which the outstanding shares of Common Stock are converted into or exchanged for securities of the successor entity and the voting securities of the Company outstanding immediately prior to such merger, reorganization or consolidation would represent (either by remaining outstanding or by being converted into voting securities of the surviving entity) less than 50% of the total voting power of the voting securities of the surviving entity outstanding immediately after such merger, reorganization or consolidation or cease to have the power to elect at least a majority of the board of directors or other governing body of such surviving entity, or (C) the sale of all of the Common Stock of the Company to an unrelated person or entity and</w:t>
      </w:r>
    </w:p>
    <w:p>
      <w:pPr>
        <w:spacing w:after="0" w:line="3" w:lineRule="exact"/>
        <w:rPr>
          <w:sz w:val="20"/>
          <w:szCs w:val="20"/>
          <w:color w:val="auto"/>
        </w:rPr>
      </w:pPr>
    </w:p>
    <w:p>
      <w:pPr>
        <w:ind w:right="380" w:firstLine="8"/>
        <w:spacing w:after="0" w:line="261" w:lineRule="auto"/>
        <w:tabs>
          <w:tab w:leader="none" w:pos="2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"Sale Price" shall mean the value as determined by the Committee of the consideration payable, or otherwise to be received by stockholders, per share of Common Stock pursuant to a Sale Event.</w:t>
      </w: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MISCELLANEOUS.</w:t>
      </w:r>
    </w:p>
    <w:p>
      <w:pPr>
        <w:spacing w:after="0" w:line="23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i w:val="1"/>
          <w:iCs w:val="1"/>
          <w:color w:val="auto"/>
        </w:rPr>
        <w:t>No Rights to Employment or Other Service.</w:t>
      </w:r>
    </w:p>
    <w:p>
      <w:pPr>
        <w:spacing w:after="0" w:line="225"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i w:val="1"/>
          <w:iCs w:val="1"/>
          <w:color w:val="auto"/>
        </w:rPr>
        <w:t>Right of First Refusal; Right of Repurchase.</w:t>
      </w:r>
    </w:p>
    <w:p>
      <w:pPr>
        <w:spacing w:after="0" w:line="225"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At the time of grant, the Committee may provide in connection with any grant made under the Plan that Shares received hereunder shall be subject to a right of first refusal pursuant to which the Company shall be entitled to purchase such Shares in the event of a prospective sale of the Shares, subject to such terms and conditions as the Committee may specify at the time of grant or (if permitted by the Award Agreement) thereafter, and to a right of repurchase, pursuant to which the Company shall be entitled to purchase such Shares at a price determined by, or under a formula set by, the Committee at the time of grant or (if permitted by the Award Agreement) thereafter.</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i w:val="1"/>
          <w:iCs w:val="1"/>
          <w:color w:val="auto"/>
        </w:rPr>
        <w:t>No Fiduciary Relationship.</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16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i w:val="1"/>
          <w:iCs w:val="1"/>
          <w:color w:val="auto"/>
        </w:rPr>
        <w:t>No Fund Created.</w:t>
      </w:r>
    </w:p>
    <w:p>
      <w:pPr>
        <w:spacing w:after="0" w:line="225" w:lineRule="exact"/>
        <w:rPr>
          <w:sz w:val="20"/>
          <w:szCs w:val="20"/>
          <w:color w:val="auto"/>
        </w:rPr>
      </w:pPr>
    </w:p>
    <w:p>
      <w:pPr>
        <w:ind w:right="300" w:firstLine="341"/>
        <w:spacing w:after="0" w:line="370" w:lineRule="auto"/>
        <w:rPr>
          <w:sz w:val="20"/>
          <w:szCs w:val="20"/>
          <w:color w:val="auto"/>
        </w:rPr>
      </w:pPr>
      <w:r>
        <w:rPr>
          <w:rFonts w:ascii="Arial" w:cs="Arial" w:eastAsia="Arial" w:hAnsi="Arial"/>
          <w:sz w:val="15"/>
          <w:szCs w:val="15"/>
          <w:color w:val="auto"/>
        </w:rPr>
        <w:t>Any and all payments hereunder to any Participant under the Plan shall be made from the general funds of the Company (or, if applicable, a Participating Company), no special or separate fund shall be established or other segregation of assets made to assure such payments, and the Phantom Shares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(including for purposes of this Section 15.4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each Grantee's right in the Phantom Shares and any such other devices is limited to the right to receive payment, if any, as may herein be provided.</w:t>
      </w:r>
    </w:p>
    <w:p>
      <w:pPr>
        <w:spacing w:after="0" w:line="17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All notices under the Plan shall be in writing, and if to the Company, shall be delivered to the Board or mailed to its principal office, addressed to the attention of the Board; and if to the Participant, shall be delivered personally, sent by facsimile transmission or mailed to the Participant at the address appearing in the records of the Company. Such addresses may be changed at any time by written notice to the other party given in accordance with this Section 15.5.</w:t>
      </w:r>
    </w:p>
    <w:p>
      <w:pPr>
        <w:spacing w:after="0" w:line="14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i w:val="1"/>
          <w:iCs w:val="1"/>
          <w:color w:val="auto"/>
        </w:rPr>
        <w:t>Exculpation and Indemnification.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i w:val="1"/>
          <w:iCs w:val="1"/>
          <w:color w:val="auto"/>
        </w:rPr>
        <w:t>Captions.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captions in this Plan is for convenience. The captions are not intended to provide substantive rights.</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PLAN SHALL BE GOVERNED BY THE LAWS OF MARYLAND WITHOUT REFERENCE TO PRINCIPLES OF CONFLICT OF 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ind w:left="700" w:hanging="253"/>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7% FFO growth.</w:t>
      </w:r>
    </w:p>
    <w:p>
      <w:pPr>
        <w:spacing w:after="0" w:line="225" w:lineRule="exact"/>
        <w:rPr>
          <w:rFonts w:ascii="Arial" w:cs="Arial" w:eastAsia="Arial" w:hAnsi="Arial"/>
          <w:sz w:val="18"/>
          <w:szCs w:val="18"/>
          <w:color w:val="auto"/>
        </w:rPr>
      </w:pPr>
    </w:p>
    <w:p>
      <w:pPr>
        <w:ind w:left="700" w:hanging="297"/>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 total return to shareholders.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Total return to shareholders in the top one-third of the "peer group".</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purposes of this Exhibit A, "peer group" shall be Alexandria Real Estate Equities, Inc., American Financial Realty Trust, Boston Properties, Inc., Brandywine Realty Trust, Corporate Office Properties Trust, Crescent Real Estate Equities Company, Douglas Emmett, Duke Realty Corporation, Highwoods Properties, Inc., HRPT Properties, Kilroy Realty Corporation, Liberty Property Trust, Mack-Cali Realty Corporation, Maguire Properties, Parkway Properties, SL Green Realty Corp., and Washington REIT. Such "peer group" may not change with respect to any particular Award.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Performance-Based Awards intended to qualify as "performance based" compensation under Section 162(m) of the Code, may be payable upon the attainment of objective performance goals that are established by the Committee and relate to one or more Performance Criteria, in each case on specified date or over any period, up to 10 years, as determined by the Committee. Performance Criteria may (but need not) be based on the achievement of the specified levels of performance under one or more of the measures set out below relative to the performance of one or more other corporations or indices.</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"Performance Criteria" means the following business criteria (or any combination thereof) with respect to one or more of the Company, any Subsidiary or any division or operating unit thereof:</w:t>
      </w:r>
    </w:p>
    <w:p>
      <w:pPr>
        <w:spacing w:after="0" w:line="19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after-tax income,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 income (meaning net income as reflected in the Company's financial reports for the applicable period, on an aggregate, diluted and/or per share basis),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cash flow,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return on invested capital or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cash and/or funds available for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appreciation in the fair market value of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total return to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 earnings growth,</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appreciation (meaning an increase in the price or value of the Common Stock after the date of grant of an award and during the applicable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related return ratios,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increase in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changes (or the absence of changes) in the per share or aggregate market price of the Company's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number of securities sold,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items: interest, taxes, depreciation or amortization for the applicable period, as reflected in the Company's financial reports for the applicable period,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total revenue growth (meaning the increase in total revenues after the date of grant of an award and during the applicable period, as reflected in the Company's financial reports for the applicable period),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published ranking against its peer group of real estate investment trusts based on total shareholder return,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FFO.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Goals may be absolute amounts or percentages of amounts or may be relative to the performance of other companies or of indexes.</w:t>
      </w:r>
    </w:p>
    <w:p>
      <w:pPr>
        <w:spacing w:after="0" w:line="248"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Except as otherwise expressly provided, all financial terms are used as defined under Generally Accepted Accounting Principles ("GAAP") and all determinations shall be made in accordance with GAAP, as applied by the Company in the preparation of its periodic reports to shareholders.</w:t>
      </w:r>
    </w:p>
    <w:p>
      <w:pPr>
        <w:spacing w:after="0" w:line="13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To the extent permitted by Section 162(m) of the Code, unless the Committee provides otherwise at the time of establishing the Performance Goals, for each fiscal year of the Company, the Committee may provide for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 (D) related to discontinued operations that do not qualify as a segment of a business under GAAP, and (E) attributable to the business operations of any entity acquired by the Company during the fiscal year.</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 DIRECTOR INDEPENDENCE STANDARDS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Corporate Governance Guidelines provide that a majority of the members of our Board of Directors meet the independence requirements set forth, from time to time, in the listing standards of the New York Stock Exchange and any other applicable laws, rules or regulations, including, without limitation, any rules promulgated by the Securities and Exchange Commission. For a director to be deemed "independent," the Board of Directors must affirmatively determine that the director has no material relationship with SL Green Realty Corp. ("SLG"), either directly or as a partner, stockholder or officer of an organization that has a relationship with SLG. In making its determination, the Board of Directors will be assisted by the following independence standards. Any director who does not satisfy all of the following standards will be precluded from qualifying as "independent." The determination of the Board of Directors will be disclosed in SLG's annual proxy statement distributed to stockholders.</w:t>
      </w:r>
    </w:p>
    <w:p>
      <w:pPr>
        <w:spacing w:after="0" w:line="186" w:lineRule="exact"/>
        <w:rPr>
          <w:sz w:val="20"/>
          <w:szCs w:val="20"/>
          <w:color w:val="auto"/>
        </w:rPr>
      </w:pPr>
    </w:p>
    <w:p>
      <w:pPr>
        <w:ind w:left="540" w:right="640" w:hanging="532"/>
        <w:spacing w:after="0" w:line="268"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the last three years, SLG has not employed the director or (except in a non-executive officer capacity) any of his or her immediate family members.</w:t>
      </w:r>
    </w:p>
    <w:p>
      <w:pPr>
        <w:spacing w:after="0" w:line="212" w:lineRule="exact"/>
        <w:rPr>
          <w:rFonts w:ascii="Arial" w:cs="Arial" w:eastAsia="Arial" w:hAnsi="Arial"/>
          <w:sz w:val="18"/>
          <w:szCs w:val="18"/>
          <w:color w:val="auto"/>
        </w:rPr>
      </w:pPr>
    </w:p>
    <w:p>
      <w:pPr>
        <w:ind w:left="540" w:right="40" w:hanging="532"/>
        <w:spacing w:after="0" w:line="306"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During any twelve-month period within the last three years, neither the director, nor any of his or her immediate family members, has received more than $120,000 in direct compensation from SLG or any of its subsidiaries, other than fees for board and board committee service, pension or other forms of deferred compensation for prior service (provided such compensation is not contingent in any way on continued service).</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director is not a current partner or employee of a firm that is SLG's internal or external auditor.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director does not have an immediate family member who is a current partner of a firm that is SLG's internal or external auditor.</w:t>
      </w:r>
    </w:p>
    <w:p>
      <w:pPr>
        <w:spacing w:after="0" w:line="25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director does not have an immediate family member who is a current employee of SLG's internal or external auditor and personally works on SLG's audit.</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the past three years, neither the director, nor any of his or her immediate family members, was a partner or employee of SLG's internal or external auditor and personally worked on SLG's audit within that time.</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the past three years, neither the director, nor any of his or her immediate family members, has been employed as an executive officer of another company where any of the present executive officers of SLG or any of its subsidiaries at the same time serves or served on that company's compensation committee.</w:t>
      </w:r>
    </w:p>
    <w:p>
      <w:pPr>
        <w:spacing w:after="0" w:line="221"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director is not currently an employee, nor is any of his or her immediate family members currently an executive officer, of a company, other than a charitable organization, that made payments to, or received payments from, SLG or any of its subsidiaries for property or services in an amount which, in the last three fiscal years, exceeded the greater of $1 million or 2% of such other company's consolidated gross revenues.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purposes of these director independence standards, the term "immediate family member" includes a person's spouse, parents, children, siblings, mothers and fathers-in-law, sons and daughters-in-law, brothers and sisters-in-law and anyone (other than domestic employees) sharing such person's home. When applying the look-back provisions, SLG will not consider individuals who are no longer immediate family members as a result of legal separation or divorce, or those who have died or become incapacitated.</w:t>
      </w:r>
    </w:p>
    <w:p>
      <w:pPr>
        <w:spacing w:after="0" w:line="197"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Board of Directors shall undertake an annual review of the independence of all non-employee directors of SLG. In advance of the meeting at which this review occurs, each non-employee director of SLG shall be asked to provide the Board of Directors with full information regarding such director's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business and other relationships with SLG and its affiliates and with SLG's senior management and their affiliates to allow the Board of Directors to evaluate the director's independence. These relationships can include commercial, industrial, banking, consulting, legal, accounting, charitable and familial relationships, among others. Each director of SLG has an affirmative obligation to advise the Board of Directors of any material changes in his or her circumstances or relationships that may reasonably be expected to impact his or her designation by the Board of Directors as "independent." This obligation includes all business relationships between a director of SLG, on the one hand, and SLG and its affiliates or members of SLG's senior management and their affiliates, on the other.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243205</wp:posOffset>
            </wp:positionV>
            <wp:extent cx="5831840" cy="7546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o"/>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o"/>
      <w:numFmt w:val="bullet"/>
      <w:start w:val="1"/>
    </w:lvl>
    <w:lvl w:ilvl="1">
      <w:lvlJc w:val="left"/>
      <w:lvlText w:val="(%2)"/>
      <w:numFmt w:val="decimal"/>
      <w:start w:val="1"/>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2"/>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lowerRoman"/>
      <w:start w:val="3"/>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decimal"/>
      <w:start w:val="2"/>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2"/>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4"/>
    </w:lvl>
  </w:abstractNum>
  <w:abstractNum w:abstractNumId="37">
    <w:nsid w:val="100F8FCA"/>
    <w:multiLevelType w:val="hybridMultilevel"/>
    <w:lvl w:ilvl="0">
      <w:lvlJc w:val="left"/>
      <w:lvlText w:val="(%1)"/>
      <w:numFmt w:val="decimal"/>
      <w:start w:val="1"/>
    </w:lvl>
  </w:abstractNum>
  <w:abstractNum w:abstractNumId="38">
    <w:nsid w:val="6590700B"/>
    <w:multiLevelType w:val="hybridMultilevel"/>
    <w:lvl w:ilvl="0">
      <w:lvlJc w:val="left"/>
      <w:lvlText w:val="(%1)"/>
      <w:numFmt w:val="lowerRoman"/>
      <w:start w:val="2"/>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lowerRoman"/>
      <w:start w:val="1"/>
    </w:lvl>
  </w:abstractNum>
  <w:abstractNum w:abstractNumId="43">
    <w:nsid w:val="6B94764"/>
    <w:multiLevelType w:val="hybridMultilevel"/>
    <w:lvl w:ilvl="0">
      <w:lvlJc w:val="left"/>
      <w:lvlText w:val="(%1)"/>
      <w:numFmt w:val="lowerRoman"/>
      <w:start w:val="1"/>
    </w:lvl>
    <w:lvl w:ilvl="1">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lowerRoman"/>
      <w:start w:val="1"/>
    </w:lvl>
    <w:lvl w:ilvl="1">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1)"/>
      <w:numFmt w:val="decimal"/>
      <w:start w:val="4"/>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1)"/>
      <w:numFmt w:val="lowerRoman"/>
      <w:start w:val="1"/>
    </w:lvl>
  </w:abstractNum>
  <w:abstractNum w:abstractNumId="61">
    <w:nsid w:val="4962813B"/>
    <w:multiLevelType w:val="hybridMultilevel"/>
    <w:lvl w:ilvl="0">
      <w:lvlJc w:val="left"/>
      <w:lvlText w:val="(%1)"/>
      <w:numFmt w:val="lowerRoman"/>
      <w:start w:val="3"/>
    </w:lvl>
  </w:abstractNum>
  <w:abstractNum w:abstractNumId="62">
    <w:nsid w:val="60B6DF70"/>
    <w:multiLevelType w:val="hybridMultilevel"/>
    <w:lvl w:ilvl="0">
      <w:lvlJc w:val="left"/>
      <w:lvlText w:val="%1."/>
      <w:numFmt w:val="decimal"/>
      <w:start w:val="3"/>
    </w:lvl>
    <w:lvl w:ilvl="1">
      <w:lvlJc w:val="left"/>
      <w:lvlText w:val="(%2)"/>
      <w:numFmt w:val="lowerLetter"/>
      <w:start w:val="1"/>
    </w:lvl>
  </w:abstractNum>
  <w:abstractNum w:abstractNumId="63">
    <w:nsid w:val="6A5EE64"/>
    <w:multiLevelType w:val="hybridMultilevel"/>
    <w:lvl w:ilvl="0">
      <w:lvlJc w:val="left"/>
      <w:lvlText w:val="%1."/>
      <w:numFmt w:val="decimal"/>
      <w:start w:val="4"/>
    </w:lvl>
    <w:lvl w:ilvl="1">
      <w:lvlJc w:val="left"/>
      <w:lvlText w:val="(%2)"/>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2"/>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lvl w:ilvl="1">
      <w:lvlJc w:val="left"/>
      <w:lvlText w:val="(%2)"/>
      <w:numFmt w:val="lowerRoman"/>
      <w:start w:val="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decimal"/>
      <w:start w:val="6"/>
    </w:lvl>
    <w:lvl w:ilvl="1">
      <w:lvlJc w:val="left"/>
      <w:lvlText w:val="(%2)"/>
      <w:numFmt w:val="lowerLetter"/>
      <w:start w:val="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2"/>
    </w:lvl>
  </w:abstractNum>
  <w:abstractNum w:abstractNumId="73">
    <w:nsid w:val="885E1B"/>
    <w:multiLevelType w:val="hybridMultilevel"/>
    <w:lvl w:ilvl="0">
      <w:lvlJc w:val="left"/>
      <w:lvlText w:val="(%1)"/>
      <w:numFmt w:val="lowerRoman"/>
      <w:start w:val="1"/>
    </w:lvl>
  </w:abstractNum>
  <w:abstractNum w:abstractNumId="74">
    <w:nsid w:val="76272110"/>
    <w:multiLevelType w:val="hybridMultilevel"/>
    <w:lvl w:ilvl="0">
      <w:lvlJc w:val="left"/>
      <w:lvlText w:val="%1"/>
      <w:numFmt w:val="upperLetter"/>
      <w:start w:val="1"/>
    </w:lvl>
    <w:lvl w:ilvl="1">
      <w:lvlJc w:val="left"/>
      <w:lvlText w:val="(%2)"/>
      <w:numFmt w:val="lowerRoman"/>
      <w:start w:val="2"/>
    </w:lvl>
  </w:abstractNum>
  <w:abstractNum w:abstractNumId="75">
    <w:nsid w:val="4C04A8AF"/>
    <w:multiLevelType w:val="hybridMultilevel"/>
    <w:lvl w:ilvl="0">
      <w:lvlJc w:val="left"/>
      <w:lvlText w:val="(%1)"/>
      <w:numFmt w:val="upperLetter"/>
      <w:start w:val="2"/>
    </w:lvl>
    <w:lvl w:ilvl="1">
      <w:lvlJc w:val="left"/>
      <w:lvlText w:val="(%2)"/>
      <w:numFmt w:val="lowerRoman"/>
      <w:start w:val="3"/>
    </w:lvl>
  </w:abstractNum>
  <w:abstractNum w:abstractNumId="76">
    <w:nsid w:val="1716703B"/>
    <w:multiLevelType w:val="hybridMultilevel"/>
    <w:lvl w:ilvl="0">
      <w:lvlJc w:val="left"/>
      <w:lvlText w:val="%1."/>
      <w:numFmt w:val="decimal"/>
      <w:start w:val="7"/>
    </w:lvl>
  </w:abstractNum>
  <w:abstractNum w:abstractNumId="77">
    <w:nsid w:val="14E17E33"/>
    <w:multiLevelType w:val="hybridMultilevel"/>
    <w:lvl w:ilvl="0">
      <w:lvlJc w:val="left"/>
      <w:lvlText w:val="(%1)"/>
      <w:numFmt w:val="lowerLetter"/>
      <w:start w:val="1"/>
    </w:lvl>
    <w:lvl w:ilvl="1">
      <w:lvlJc w:val="left"/>
      <w:lvlText w:val="(%2)"/>
      <w:numFmt w:val="lowerRoman"/>
      <w:start w:val="2"/>
    </w:lvl>
  </w:abstractNum>
  <w:abstractNum w:abstractNumId="78">
    <w:nsid w:val="3222E7CD"/>
    <w:multiLevelType w:val="hybridMultilevel"/>
    <w:lvl w:ilvl="0">
      <w:lvlJc w:val="left"/>
      <w:lvlText w:val="%1"/>
      <w:numFmt w:val="lowerLetter"/>
      <w:start w:val="1"/>
    </w:lvl>
    <w:lvl w:ilvl="1">
      <w:lvlJc w:val="left"/>
      <w:lvlText w:val="(%2)"/>
      <w:numFmt w:val="lowerRoman"/>
      <w:start w:val="1"/>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81">
    <w:nsid w:val="2DF6D648"/>
    <w:multiLevelType w:val="hybridMultilevel"/>
    <w:lvl w:ilvl="0">
      <w:lvlJc w:val="left"/>
      <w:lvlText w:val="%1"/>
      <w:numFmt w:val="decimal"/>
      <w:start w:val="1"/>
    </w:lvl>
    <w:lvl w:ilvl="1">
      <w:lvlJc w:val="left"/>
      <w:lvlText w:val="(%2)"/>
      <w:numFmt w:val="lowerLetter"/>
      <w:start w:val="2"/>
    </w:lvl>
  </w:abstractNum>
  <w:abstractNum w:abstractNumId="82">
    <w:nsid w:val="46B7D447"/>
    <w:multiLevelType w:val="hybridMultilevel"/>
    <w:lvl w:ilvl="0">
      <w:lvlJc w:val="left"/>
      <w:lvlText w:val="%1."/>
      <w:numFmt w:val="decimal"/>
      <w:start w:val="8"/>
    </w:lvl>
    <w:lvl w:ilvl="1">
      <w:lvlJc w:val="left"/>
      <w:lvlText w:val="%2"/>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Roman"/>
      <w:start w:val="2"/>
    </w:lvl>
  </w:abstractNum>
  <w:abstractNum w:abstractNumId="85">
    <w:nsid w:val="57FC4FBB"/>
    <w:multiLevelType w:val="hybridMultilevel"/>
    <w:lvl w:ilvl="0">
      <w:lvlJc w:val="left"/>
      <w:lvlText w:val="(%1)"/>
      <w:numFmt w:val="lowerRoman"/>
      <w:start w:val="4"/>
    </w:lvl>
    <w:lvl w:ilvl="1">
      <w:lvlJc w:val="left"/>
      <w:lvlText w:val="(%2)"/>
      <w:numFmt w:val="lowerLetter"/>
      <w:start w:val="1"/>
    </w:lvl>
  </w:abstractNum>
  <w:abstractNum w:abstractNumId="86">
    <w:nsid w:val="CC1016F"/>
    <w:multiLevelType w:val="hybridMultilevel"/>
    <w:lvl w:ilvl="0">
      <w:lvlJc w:val="left"/>
      <w:lvlText w:val="(%1)"/>
      <w:numFmt w:val="lowerLetter"/>
      <w:start w:val="5"/>
    </w:lvl>
  </w:abstractNum>
  <w:abstractNum w:abstractNumId="87">
    <w:nsid w:val="43F18422"/>
    <w:multiLevelType w:val="hybridMultilevel"/>
    <w:lvl w:ilvl="0">
      <w:lvlJc w:val="left"/>
      <w:lvlText w:val="(%1)"/>
      <w:numFmt w:val="lowerRoman"/>
      <w:start w:val="1"/>
    </w:lvl>
  </w:abstractNum>
  <w:abstractNum w:abstractNumId="88">
    <w:nsid w:val="60EF0119"/>
    <w:multiLevelType w:val="hybridMultilevel"/>
    <w:lvl w:ilvl="0">
      <w:lvlJc w:val="left"/>
      <w:lvlText w:val="%1."/>
      <w:numFmt w:val="decimal"/>
      <w:start w:val="12"/>
    </w:lvl>
    <w:lvl w:ilvl="1">
      <w:lvlJc w:val="left"/>
      <w:lvlText w:val="(%2)"/>
      <w:numFmt w:val="lowerLetter"/>
      <w:start w:val="1"/>
    </w:lvl>
  </w:abstractNum>
  <w:abstractNum w:abstractNumId="89">
    <w:nsid w:val="26F324BA"/>
    <w:multiLevelType w:val="hybridMultilevel"/>
    <w:lvl w:ilvl="0">
      <w:lvlJc w:val="left"/>
      <w:lvlText w:val="(%1)"/>
      <w:numFmt w:val="lowerRoman"/>
      <w:start w:val="3"/>
    </w:lvl>
  </w:abstractNum>
  <w:abstractNum w:abstractNumId="90">
    <w:nsid w:val="7F01579B"/>
    <w:multiLevelType w:val="hybridMultilevel"/>
    <w:lvl w:ilvl="0">
      <w:lvlJc w:val="left"/>
      <w:lvlText w:val="%1."/>
      <w:numFmt w:val="decimal"/>
      <w:start w:val="14"/>
    </w:lvl>
    <w:lvl w:ilvl="1">
      <w:lvlJc w:val="left"/>
      <w:lvlText w:val="(%2)"/>
      <w:numFmt w:val="lowerLetter"/>
      <w:start w:val="1"/>
    </w:lvl>
  </w:abstractNum>
  <w:abstractNum w:abstractNumId="91">
    <w:nsid w:val="49DA307D"/>
    <w:multiLevelType w:val="hybridMultilevel"/>
    <w:lvl w:ilvl="0">
      <w:lvlJc w:val="left"/>
      <w:lvlText w:val="(%1)"/>
      <w:numFmt w:val="lowerRoman"/>
      <w:start w:val="10"/>
    </w:lvl>
  </w:abstractNum>
  <w:abstractNum w:abstractNumId="92">
    <w:nsid w:val="7055A5F5"/>
    <w:multiLevelType w:val="hybridMultilevel"/>
    <w:lvl w:ilvl="0">
      <w:lvlJc w:val="left"/>
      <w:lvlText w:val="(%1)"/>
      <w:numFmt w:val="lowerLetter"/>
      <w:start w:val="25"/>
    </w:lvl>
  </w:abstractNum>
  <w:abstractNum w:abstractNumId="93">
    <w:nsid w:val="5FB8370B"/>
    <w:multiLevelType w:val="hybridMultilevel"/>
    <w:lvl w:ilvl="0">
      <w:lvlJc w:val="left"/>
      <w:lvlText w:val="(%1)"/>
      <w:numFmt w:val="lowerLetter"/>
      <w:start w:val="2"/>
    </w:lvl>
  </w:abstractNum>
  <w:abstractNum w:abstractNumId="94">
    <w:nsid w:val="50801EE1"/>
    <w:multiLevelType w:val="hybridMultilevel"/>
    <w:lvl w:ilvl="0">
      <w:lvlJc w:val="left"/>
      <w:lvlText w:val="(%1)"/>
      <w:numFmt w:val="lowerRoman"/>
      <w:start w:val="2"/>
    </w:lvl>
  </w:abstractNum>
  <w:abstractNum w:abstractNumId="95">
    <w:nsid w:val="488AC1A"/>
    <w:multiLevelType w:val="hybridMultilevel"/>
    <w:lvl w:ilvl="0">
      <w:lvlJc w:val="left"/>
      <w:lvlText w:val="(%1)"/>
      <w:numFmt w:val="lowerRoman"/>
      <w:start w:val="1"/>
    </w:lvl>
  </w:abstractNum>
  <w:abstractNum w:abstractNumId="96">
    <w:nsid w:val="5FB8011C"/>
    <w:multiLevelType w:val="hybridMultilevel"/>
    <w:lvl w:ilvl="0">
      <w:lvlJc w:val="left"/>
      <w:lvlText w:val="(%1)"/>
      <w:numFmt w:val="lowerRoman"/>
      <w:start w:val="1"/>
    </w:lvl>
  </w:abstractNum>
  <w:abstractNum w:abstractNumId="97">
    <w:nsid w:val="6AA78F7F"/>
    <w:multiLevelType w:val="hybridMultilevel"/>
    <w:lvl w:ilvl="0">
      <w:lvlJc w:val="left"/>
      <w:lvlText w:val="(%1)"/>
      <w:numFmt w:val="lowerRoman"/>
      <w:start w:val="22"/>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2019-12-10T15:47:43Z</dcterms:created>
  <dcterms:modified xsi:type="dcterms:W3CDTF">2019-12-10T15:47:43Z</dcterms:modified>
</cp:coreProperties>
</file>