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pPr>
      <w:r>
        <w:rPr>
          <w:color w:val="000000"/>
        </w:rPr>
        <w:t>☒    </w:t>
      </w:r>
      <w:r>
        <w:rPr>
          <w:rFonts w:ascii="Times New Roman;serif" w:hAnsi="Times New Roman;serif"/>
          <w:b/>
          <w:color w:val="000000"/>
          <w:sz w:val="24"/>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0" w:after="0"/>
        <w:jc w:val="center"/>
        <w:rPr/>
      </w:pPr>
      <w:r>
        <w:rPr>
          <w:color w:val="000000"/>
        </w:rPr>
        <w:t>☐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Commission File Number: 1-13199 (SL Green Realty Corp.)</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Commission File Number: 33-167793-02 (SL Green Operating Partnership, L.P.)</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SL GREEN REALTY CORP.</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SL GREEN OPERATING PARTNERSHIP, L.P.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w:t>
      </w:r>
    </w:p>
    <w:tbl>
      <w:tblPr>
        <w:tblW w:w="6763" w:type="dxa"/>
        <w:jc w:val="center"/>
        <w:tblInd w:w="0" w:type="dxa"/>
        <w:tblLayout w:type="fixed"/>
        <w:tblCellMar>
          <w:top w:w="28" w:type="dxa"/>
          <w:left w:w="28" w:type="dxa"/>
          <w:bottom w:w="28" w:type="dxa"/>
          <w:right w:w="28" w:type="dxa"/>
        </w:tblCellMar>
      </w:tblPr>
      <w:tblGrid>
        <w:gridCol w:w="1208"/>
        <w:gridCol w:w="1058"/>
        <w:gridCol w:w="1063"/>
        <w:gridCol w:w="738"/>
        <w:gridCol w:w="738"/>
        <w:gridCol w:w="743"/>
        <w:gridCol w:w="355"/>
        <w:gridCol w:w="355"/>
        <w:gridCol w:w="505"/>
      </w:tblGrid>
      <w:tr>
        <w:trPr/>
        <w:tc>
          <w:tcPr>
            <w:tcW w:w="120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SL Green Realty Corp.</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13-3956775</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SL Green Operating Partnership, L.P.</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13-3960938</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w:t>
              <w:br/>
              <w:t>Identification No.)</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One Vanderbilt Avenue, New York, NY 10017 </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(212) 594-2700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120"/>
        <w:jc w:val="left"/>
        <w:rPr/>
      </w:pPr>
      <w:r>
        <w:rPr>
          <w:rFonts w:ascii="Times New Roman;serif" w:hAnsi="Times New Roman;serif"/>
          <w:b w:val="false"/>
          <w:color w:val="000000"/>
          <w:sz w:val="20"/>
        </w:rPr>
        <w:t>SL Green Realty Corp.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SL Green Operating Partnership, L.P.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120"/>
        <w:jc w:val="left"/>
        <w:rPr/>
      </w:pPr>
      <w:r>
        <w:rPr>
          <w:rFonts w:ascii="Times New Roman;serif" w:hAnsi="Times New Roman;serif"/>
          <w:b w:val="false"/>
          <w:color w:val="000000"/>
          <w:sz w:val="20"/>
        </w:rPr>
        <w:t>SL Green Realty Corp.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SL Green Operating Partnership, L.P.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before="0" w:after="12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SL Green Realty Corp.</w:t>
      </w:r>
    </w:p>
    <w:tbl>
      <w:tblPr>
        <w:tblW w:w="10205" w:type="dxa"/>
        <w:jc w:val="left"/>
        <w:tblInd w:w="0" w:type="dxa"/>
        <w:tblLayout w:type="fixed"/>
        <w:tblCellMar>
          <w:top w:w="28" w:type="dxa"/>
          <w:left w:w="28" w:type="dxa"/>
          <w:bottom w:w="28" w:type="dxa"/>
          <w:right w:w="28" w:type="dxa"/>
        </w:tblCellMar>
      </w:tblPr>
      <w:tblGrid>
        <w:gridCol w:w="1751"/>
        <w:gridCol w:w="1539"/>
        <w:gridCol w:w="1287"/>
        <w:gridCol w:w="214"/>
        <w:gridCol w:w="214"/>
        <w:gridCol w:w="214"/>
        <w:gridCol w:w="214"/>
        <w:gridCol w:w="214"/>
        <w:gridCol w:w="214"/>
        <w:gridCol w:w="1321"/>
        <w:gridCol w:w="1321"/>
        <w:gridCol w:w="1324"/>
        <w:gridCol w:w="109"/>
        <w:gridCol w:w="109"/>
        <w:gridCol w:w="160"/>
      </w:tblGrid>
      <w:tr>
        <w:trPr/>
        <w:tc>
          <w:tcPr>
            <w:tcW w:w="175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7"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SL Green Operating Partnership, L.P.</w:t>
      </w:r>
    </w:p>
    <w:tbl>
      <w:tblPr>
        <w:tblW w:w="10205" w:type="dxa"/>
        <w:jc w:val="center"/>
        <w:tblInd w:w="0" w:type="dxa"/>
        <w:tblLayout w:type="fixed"/>
        <w:tblCellMar>
          <w:top w:w="28" w:type="dxa"/>
          <w:left w:w="28" w:type="dxa"/>
          <w:bottom w:w="28" w:type="dxa"/>
          <w:right w:w="28" w:type="dxa"/>
        </w:tblCellMar>
      </w:tblPr>
      <w:tblGrid>
        <w:gridCol w:w="1657"/>
        <w:gridCol w:w="1458"/>
        <w:gridCol w:w="1462"/>
        <w:gridCol w:w="214"/>
        <w:gridCol w:w="214"/>
        <w:gridCol w:w="214"/>
        <w:gridCol w:w="214"/>
        <w:gridCol w:w="214"/>
        <w:gridCol w:w="214"/>
        <w:gridCol w:w="1321"/>
        <w:gridCol w:w="1321"/>
        <w:gridCol w:w="1324"/>
        <w:gridCol w:w="109"/>
        <w:gridCol w:w="109"/>
        <w:gridCol w:w="160"/>
      </w:tblGrid>
      <w:tr>
        <w:trPr/>
        <w:tc>
          <w:tcPr>
            <w:tcW w:w="165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46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7"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w:t>
      </w:r>
    </w:p>
    <w:p>
      <w:pPr>
        <w:pStyle w:val="TextBody"/>
        <w:bidi w:val="0"/>
        <w:spacing w:lineRule="auto" w:line="288" w:before="160" w:after="160"/>
        <w:jc w:val="left"/>
        <w:rPr/>
      </w:pPr>
      <w:r>
        <w:rPr>
          <w:rFonts w:ascii="Times New Roman;serif" w:hAnsi="Times New Roman;serif"/>
          <w:b w:val="false"/>
          <w:color w:val="000000"/>
          <w:sz w:val="20"/>
        </w:rPr>
        <w:t>SL Green Realty Corp.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SL Green Operating Partnership, L.P.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550"/>
        <w:gridCol w:w="483"/>
        <w:gridCol w:w="485"/>
        <w:gridCol w:w="109"/>
        <w:gridCol w:w="109"/>
        <w:gridCol w:w="109"/>
        <w:gridCol w:w="425"/>
        <w:gridCol w:w="383"/>
        <w:gridCol w:w="385"/>
        <w:gridCol w:w="109"/>
        <w:gridCol w:w="109"/>
        <w:gridCol w:w="109"/>
        <w:gridCol w:w="1497"/>
        <w:gridCol w:w="1284"/>
        <w:gridCol w:w="1272"/>
        <w:gridCol w:w="109"/>
        <w:gridCol w:w="109"/>
        <w:gridCol w:w="109"/>
        <w:gridCol w:w="731"/>
        <w:gridCol w:w="713"/>
        <w:gridCol w:w="1016"/>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 Green Realty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 Green Realty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SLG.PRI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6.500% Series I Cumulative Redeemable Preferred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As of August 5, 2026, 70,849,907 shares of SL Green Realty Corp.'s common stock, par value $0.01 per share, were outstanding. As of August 5, 2026, 298,263 common units of limited partnership interest of SL Green Operating Partnership, L.P. were held by non-affiliates. There is no established trading market for such units.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report combines the quarterly reports on Form 10-Q for the period ended June 30, 2026 of SL Green Realty Corp. and SL Green Operating Partnership, L.P. Unless stated otherwise or the context otherwise requires, references to "SL Green Realty Corp.," the "Company" or "SL Green" mean SL Green Realty Corp. and its consolidated subsidiaries, including SL Green Operating Partnership, L.P.; and references to "SL Green Operating Partnership, L.P.," the "Operating Partnership" or "SLGOP" mean SL Green Operating Partnership, L.P. and its consolidated subsidiaries. The terms "we," "our" and "us" mean the Company and all the entities owned or controlled by the Company, including the Operating Partnership.</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Maryland corporation which operates as a self-administered and self-managed real estate investment trust, or REIT, and is the sole managing general partner of the Operating Partnership. As a general partner of the Operating Partnership, the Company has full, exclusive and complete responsibility and discretion in the day-to-day management and control of the Operating Partnership.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owns 92.74% of the outstanding general and limited partnership interest in the Operating Partnership and owns 9,200,000 Series I Preferred Units of the Operating Partnership. As of June 30, 2026, noncontrolling investors held, in aggregate, a 7.26% limited partnership interest in the Operating Partnership. We refer to these interests as the noncontrolling interests in the Operating Partnership.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the Operating Partnership are managed and operated as one entity. The financial results of the Operating Partnership are consolidated into the financial statements of the Company. The Company has no significant assets other than its investment in the Operating Partnership. Substantially all of our assets are held by, and our operations are conducted through, the Operating Partnership. Therefore, the assets and liabilities of the Company and the Operating Partnership are substantially the same.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Noncontrolling interests in the Operating Partnership, stockholders' equity of the Company and partners' capital of the Operating Partnership are the main areas of difference between the consolidated financial statements of the Company and those of the Operating Partnership. The common limited partnership interests in the Operating Partnership not owned by the Company are accounted as noncontrolling interests, within mezzanine equity, in the Company's and the Operating Partnership's consolidated financial statements.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combining the quarterly reports on Form 10-Q of the Company and the Operating Partnership into this single report results in the following benefits: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Combined reports enhance investors' understanding of the Company and the Operating Partnership by enabling investors to view the business as a whole in the same manner as management views and operates the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Combined reports eliminate duplicative disclosure and provides a more streamlined and readable presentation since a substantial portion of the Company's disclosure applies to both the Company and the Operating Partnership;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Combined reports create time and cost efficiencies through the preparation of one combined report instead of two separate reports.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To help investors understand the significant differences between the Company and the Operating Partnership, this report presents the following separate sections for each of the Company and the Operating Partnership: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consolidated financial statements;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following notes to the consolidated financial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11, Noncontrolling Interests on the Company's Consolidated Financial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12, Stockholders' Equity of the Company;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Note 13, Partners' Capital of the Operating Partnership.</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report also includes separate Part I, Item 4. Controls and Procedures sections and separate Exhibit 31 and 32 certifications for each of the Company and the Operating Partnership, respectively, in order to establish that the Chief Executive Officer and the Chief Financial Officer of the Company, in both their capacity as the principal executive officer and principal financial officer of the Company and the principal executive officer and principal financial officer of the general partner of the Operating Partnership, have made the requisite certifications and that the Company and the Operating Partnership are compliant with Rule 13a-15 and Rule 15d-15 of the Securities Exchange Act of 1934,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596"/>
        <w:gridCol w:w="522"/>
        <w:gridCol w:w="522"/>
        <w:gridCol w:w="2731"/>
        <w:gridCol w:w="2715"/>
        <w:gridCol w:w="2744"/>
        <w:gridCol w:w="109"/>
        <w:gridCol w:w="109"/>
        <w:gridCol w:w="157"/>
      </w:tblGrid>
      <w:tr>
        <w:trPr/>
        <w:tc>
          <w:tcPr>
            <w:tcW w:w="59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22">
              <w:r>
                <w:rPr>
                  <w:rStyle w:val="InternetLink"/>
                  <w:rFonts w:ascii="Times New Roman;serif" w:hAnsi="Times New Roman;serif"/>
                  <w:b w:val="false"/>
                  <w:color w:val="0000FF"/>
                  <w:sz w:val="20"/>
                  <w:u w:val="single"/>
                </w:rPr>
                <w:t>5</w:t>
              </w:r>
            </w:hyperlink>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OF SL GREEN REALTY CORP. (UNAUDITED)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June 30, 2026 and December 31,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22">
              <w:r>
                <w:rPr>
                  <w:rStyle w:val="InternetLink"/>
                  <w:rFonts w:ascii="Times New Roman;serif" w:hAnsi="Times New Roman;serif"/>
                  <w:b w:val="false"/>
                  <w:color w:val="0000FF"/>
                  <w:sz w:val="20"/>
                  <w:u w:val="single"/>
                </w:rPr>
                <w:t>5</w:t>
              </w:r>
            </w:hyperlink>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three and six months ended June 30, 2026 and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31">
              <w:r>
                <w:rPr>
                  <w:rStyle w:val="InternetLink"/>
                  <w:rFonts w:ascii="Times New Roman;serif" w:hAnsi="Times New Roman;serif"/>
                  <w:b w:val="false"/>
                  <w:color w:val="0000FF"/>
                  <w:sz w:val="20"/>
                  <w:u w:val="single"/>
                </w:rPr>
                <w:t>7</w:t>
              </w:r>
            </w:hyperlink>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Loss for the three and six months ended June 30, 2026 and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37">
              <w:r>
                <w:rPr>
                  <w:rStyle w:val="InternetLink"/>
                  <w:rFonts w:ascii="Times New Roman;serif" w:hAnsi="Times New Roman;serif"/>
                  <w:b w:val="false"/>
                  <w:color w:val="0000FF"/>
                  <w:sz w:val="20"/>
                  <w:u w:val="single"/>
                </w:rPr>
                <w:t>8</w:t>
              </w:r>
            </w:hyperlink>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Equity for the three and six months ended June 30, 2026 and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40">
              <w:r>
                <w:rPr>
                  <w:rStyle w:val="InternetLink"/>
                  <w:rFonts w:ascii="Times New Roman;serif" w:hAnsi="Times New Roman;serif"/>
                  <w:b w:val="false"/>
                  <w:color w:val="0000FF"/>
                  <w:sz w:val="20"/>
                  <w:u w:val="single"/>
                </w:rPr>
                <w:t>9</w:t>
              </w:r>
            </w:hyperlink>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six months ended June 30, 2025 and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49">
              <w:r>
                <w:rPr>
                  <w:rStyle w:val="InternetLink"/>
                  <w:rFonts w:ascii="Times New Roman;serif" w:hAnsi="Times New Roman;serif"/>
                  <w:b w:val="false"/>
                  <w:color w:val="0000FF"/>
                  <w:sz w:val="20"/>
                  <w:u w:val="single"/>
                </w:rPr>
                <w:t>11</w:t>
              </w:r>
            </w:hyperlink>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OF SL GREEN OPERATING PARTNERSHIP, L.P. (UNAUDITED)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June 30, 2026 and December 31,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55">
              <w:r>
                <w:rPr>
                  <w:rStyle w:val="InternetLink"/>
                  <w:rFonts w:ascii="Times New Roman;serif" w:hAnsi="Times New Roman;serif"/>
                  <w:b w:val="false"/>
                  <w:color w:val="0000FF"/>
                  <w:sz w:val="20"/>
                  <w:u w:val="single"/>
                </w:rPr>
                <w:t>14</w:t>
              </w:r>
            </w:hyperlink>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three and six months ended June 30, 2026 and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61">
              <w:r>
                <w:rPr>
                  <w:rStyle w:val="InternetLink"/>
                  <w:rFonts w:ascii="Times New Roman;serif" w:hAnsi="Times New Roman;serif"/>
                  <w:b w:val="false"/>
                  <w:color w:val="0000FF"/>
                  <w:sz w:val="20"/>
                  <w:u w:val="single"/>
                </w:rPr>
                <w:t>16</w:t>
              </w:r>
            </w:hyperlink>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Loss for the three and six months ended June 30, 2026 and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67">
              <w:r>
                <w:rPr>
                  <w:rStyle w:val="InternetLink"/>
                  <w:rFonts w:ascii="Times New Roman;serif" w:hAnsi="Times New Roman;serif"/>
                  <w:b w:val="false"/>
                  <w:color w:val="0000FF"/>
                  <w:sz w:val="20"/>
                  <w:u w:val="single"/>
                </w:rPr>
                <w:t>17</w:t>
              </w:r>
            </w:hyperlink>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Capital for the three and six months ended June 30, 2026 and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70">
              <w:r>
                <w:rPr>
                  <w:rStyle w:val="InternetLink"/>
                  <w:rFonts w:ascii="Times New Roman;serif" w:hAnsi="Times New Roman;serif"/>
                  <w:b w:val="false"/>
                  <w:color w:val="0000FF"/>
                  <w:sz w:val="20"/>
                  <w:u w:val="single"/>
                </w:rPr>
                <w:t>18</w:t>
              </w:r>
            </w:hyperlink>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Cash Flows for the six months ended June 30, 2026 and 2025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79">
              <w:r>
                <w:rPr>
                  <w:rStyle w:val="InternetLink"/>
                  <w:rFonts w:ascii="Times New Roman;serif" w:hAnsi="Times New Roman;serif"/>
                  <w:b w:val="false"/>
                  <w:color w:val="0000FF"/>
                  <w:sz w:val="20"/>
                  <w:u w:val="single"/>
                </w:rPr>
                <w:t>20</w:t>
              </w:r>
            </w:hyperlink>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85">
              <w:r>
                <w:rPr>
                  <w:rStyle w:val="InternetLink"/>
                  <w:rFonts w:ascii="Times New Roman;serif" w:hAnsi="Times New Roman;serif"/>
                  <w:b w:val="false"/>
                  <w:color w:val="0000FF"/>
                  <w:sz w:val="20"/>
                  <w:u w:val="single"/>
                </w:rPr>
                <w:t>23</w:t>
              </w:r>
            </w:hyperlink>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c50c4654c4d30961fbb9cefe4274c_166">
              <w:r>
                <w:rPr>
                  <w:rStyle w:val="InternetLink"/>
                  <w:rFonts w:ascii="Times New Roman;serif" w:hAnsi="Times New Roman;serif"/>
                  <w:b w:val="false"/>
                  <w:strike w:val="false"/>
                  <w:dstrike w:val="false"/>
                  <w:color w:val="000000"/>
                  <w:sz w:val="20"/>
                  <w:u w:val="none"/>
                  <w:effect w:val="none"/>
                </w:rPr>
                <w:t>Item 2.</w:t>
              </w:r>
            </w:hyperlink>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166">
              <w:r>
                <w:rPr>
                  <w:rStyle w:val="InternetLink"/>
                  <w:rFonts w:ascii="Times New Roman;serif" w:hAnsi="Times New Roman;serif"/>
                  <w:b w:val="false"/>
                  <w:color w:val="0000FF"/>
                  <w:sz w:val="20"/>
                  <w:u w:val="single"/>
                </w:rPr>
                <w:t>64</w:t>
              </w:r>
            </w:hyperlink>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c50c4654c4d30961fbb9cefe4274c_229">
              <w:r>
                <w:rPr>
                  <w:rStyle w:val="InternetLink"/>
                  <w:rFonts w:ascii="Times New Roman;serif" w:hAnsi="Times New Roman;serif"/>
                  <w:b w:val="false"/>
                  <w:strike w:val="false"/>
                  <w:dstrike w:val="false"/>
                  <w:color w:val="000000"/>
                  <w:sz w:val="20"/>
                  <w:u w:val="none"/>
                  <w:effect w:val="none"/>
                </w:rPr>
                <w:t>Item 3.</w:t>
              </w:r>
            </w:hyperlink>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229">
              <w:r>
                <w:rPr>
                  <w:rStyle w:val="InternetLink"/>
                  <w:rFonts w:ascii="Times New Roman;serif" w:hAnsi="Times New Roman;serif"/>
                  <w:b w:val="false"/>
                  <w:color w:val="0000FF"/>
                  <w:sz w:val="20"/>
                  <w:u w:val="single"/>
                </w:rPr>
                <w:t>80</w:t>
              </w:r>
            </w:hyperlink>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c50c4654c4d30961fbb9cefe4274c_232">
              <w:r>
                <w:rPr>
                  <w:rStyle w:val="InternetLink"/>
                  <w:rFonts w:ascii="Times New Roman;serif" w:hAnsi="Times New Roman;serif"/>
                  <w:b w:val="false"/>
                  <w:strike w:val="false"/>
                  <w:dstrike w:val="false"/>
                  <w:color w:val="000000"/>
                  <w:sz w:val="20"/>
                  <w:u w:val="none"/>
                  <w:effect w:val="none"/>
                </w:rPr>
                <w:t>Item 4.</w:t>
              </w:r>
            </w:hyperlink>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 (SL Green Realty Corp. and SL Green Operating Partnership, L.P.)</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232">
              <w:r>
                <w:rPr>
                  <w:rStyle w:val="InternetLink"/>
                  <w:rFonts w:ascii="Times New Roman;serif" w:hAnsi="Times New Roman;serif"/>
                  <w:b w:val="false"/>
                  <w:color w:val="0000FF"/>
                  <w:sz w:val="20"/>
                  <w:u w:val="single"/>
                </w:rPr>
                <w:t>81</w:t>
              </w:r>
            </w:hyperlink>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c50c4654c4d30961fbb9cefe4274c_238">
              <w:r>
                <w:rPr>
                  <w:rStyle w:val="InternetLink"/>
                  <w:rFonts w:ascii="Times New Roman;serif" w:hAnsi="Times New Roman;serif"/>
                  <w:b w:val="false"/>
                  <w:strike w:val="false"/>
                  <w:dstrike w:val="false"/>
                  <w:color w:val="000000"/>
                  <w:sz w:val="20"/>
                  <w:u w:val="none"/>
                  <w:effect w:val="none"/>
                </w:rPr>
                <w:t>Item 1.</w:t>
              </w:r>
            </w:hyperlink>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238">
              <w:r>
                <w:rPr>
                  <w:rStyle w:val="InternetLink"/>
                  <w:rFonts w:ascii="Times New Roman;serif" w:hAnsi="Times New Roman;serif"/>
                  <w:b w:val="false"/>
                  <w:color w:val="0000FF"/>
                  <w:sz w:val="20"/>
                  <w:u w:val="single"/>
                </w:rPr>
                <w:t>82</w:t>
              </w:r>
            </w:hyperlink>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c50c4654c4d30961fbb9cefe4274c_241">
              <w:r>
                <w:rPr>
                  <w:rStyle w:val="InternetLink"/>
                  <w:rFonts w:ascii="Times New Roman;serif" w:hAnsi="Times New Roman;serif"/>
                  <w:b w:val="false"/>
                  <w:strike w:val="false"/>
                  <w:dstrike w:val="false"/>
                  <w:color w:val="000000"/>
                  <w:sz w:val="20"/>
                  <w:u w:val="none"/>
                  <w:effect w:val="none"/>
                </w:rPr>
                <w:t>Item 1A.</w:t>
              </w:r>
            </w:hyperlink>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241">
              <w:r>
                <w:rPr>
                  <w:rStyle w:val="InternetLink"/>
                  <w:rFonts w:ascii="Times New Roman;serif" w:hAnsi="Times New Roman;serif"/>
                  <w:b w:val="false"/>
                  <w:color w:val="0000FF"/>
                  <w:sz w:val="20"/>
                  <w:u w:val="single"/>
                </w:rPr>
                <w:t>82</w:t>
              </w:r>
            </w:hyperlink>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c50c4654c4d30961fbb9cefe4274c_244">
              <w:r>
                <w:rPr>
                  <w:rStyle w:val="InternetLink"/>
                  <w:rFonts w:ascii="Times New Roman;serif" w:hAnsi="Times New Roman;serif"/>
                  <w:b w:val="false"/>
                  <w:strike w:val="false"/>
                  <w:dstrike w:val="false"/>
                  <w:color w:val="000000"/>
                  <w:sz w:val="20"/>
                  <w:u w:val="none"/>
                  <w:effect w:val="none"/>
                </w:rPr>
                <w:t>Item 2.</w:t>
              </w:r>
            </w:hyperlink>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244">
              <w:r>
                <w:rPr>
                  <w:rStyle w:val="InternetLink"/>
                  <w:rFonts w:ascii="Times New Roman;serif" w:hAnsi="Times New Roman;serif"/>
                  <w:b w:val="false"/>
                  <w:color w:val="0000FF"/>
                  <w:sz w:val="20"/>
                  <w:u w:val="single"/>
                </w:rPr>
                <w:t>83</w:t>
              </w:r>
            </w:hyperlink>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c50c4654c4d30961fbb9cefe4274c_247">
              <w:r>
                <w:rPr>
                  <w:rStyle w:val="InternetLink"/>
                  <w:rFonts w:ascii="Times New Roman;serif" w:hAnsi="Times New Roman;serif"/>
                  <w:b w:val="false"/>
                  <w:strike w:val="false"/>
                  <w:dstrike w:val="false"/>
                  <w:color w:val="000000"/>
                  <w:sz w:val="20"/>
                  <w:u w:val="none"/>
                  <w:effect w:val="none"/>
                </w:rPr>
                <w:t>Item 3.</w:t>
              </w:r>
            </w:hyperlink>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247">
              <w:r>
                <w:rPr>
                  <w:rStyle w:val="InternetLink"/>
                  <w:rFonts w:ascii="Times New Roman;serif" w:hAnsi="Times New Roman;serif"/>
                  <w:b w:val="false"/>
                  <w:color w:val="0000FF"/>
                  <w:sz w:val="20"/>
                  <w:u w:val="single"/>
                </w:rPr>
                <w:t>84</w:t>
              </w:r>
            </w:hyperlink>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c50c4654c4d30961fbb9cefe4274c_250">
              <w:r>
                <w:rPr>
                  <w:rStyle w:val="InternetLink"/>
                  <w:rFonts w:ascii="Times New Roman;serif" w:hAnsi="Times New Roman;serif"/>
                  <w:b w:val="false"/>
                  <w:strike w:val="false"/>
                  <w:dstrike w:val="false"/>
                  <w:color w:val="000000"/>
                  <w:sz w:val="20"/>
                  <w:u w:val="none"/>
                  <w:effect w:val="none"/>
                </w:rPr>
                <w:t>Item 4.</w:t>
              </w:r>
            </w:hyperlink>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250">
              <w:r>
                <w:rPr>
                  <w:rStyle w:val="InternetLink"/>
                  <w:rFonts w:ascii="Times New Roman;serif" w:hAnsi="Times New Roman;serif"/>
                  <w:b w:val="false"/>
                  <w:color w:val="0000FF"/>
                  <w:sz w:val="20"/>
                  <w:u w:val="single"/>
                </w:rPr>
                <w:t>85</w:t>
              </w:r>
            </w:hyperlink>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c50c4654c4d30961fbb9cefe4274c_253">
              <w:r>
                <w:rPr>
                  <w:rStyle w:val="InternetLink"/>
                  <w:rFonts w:ascii="Times New Roman;serif" w:hAnsi="Times New Roman;serif"/>
                  <w:b w:val="false"/>
                  <w:strike w:val="false"/>
                  <w:dstrike w:val="false"/>
                  <w:color w:val="000000"/>
                  <w:sz w:val="20"/>
                  <w:u w:val="none"/>
                  <w:effect w:val="none"/>
                </w:rPr>
                <w:t>Item 5.</w:t>
              </w:r>
            </w:hyperlink>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253">
              <w:r>
                <w:rPr>
                  <w:rStyle w:val="InternetLink"/>
                  <w:rFonts w:ascii="Times New Roman;serif" w:hAnsi="Times New Roman;serif"/>
                  <w:b w:val="false"/>
                  <w:color w:val="0000FF"/>
                  <w:sz w:val="20"/>
                  <w:u w:val="single"/>
                </w:rPr>
                <w:t>86</w:t>
              </w:r>
            </w:hyperlink>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c50c4654c4d30961fbb9cefe4274c_256">
              <w:r>
                <w:rPr>
                  <w:rStyle w:val="InternetLink"/>
                  <w:rFonts w:ascii="Times New Roman;serif" w:hAnsi="Times New Roman;serif"/>
                  <w:b w:val="false"/>
                  <w:strike w:val="false"/>
                  <w:dstrike w:val="false"/>
                  <w:color w:val="000000"/>
                  <w:sz w:val="20"/>
                  <w:u w:val="none"/>
                  <w:effect w:val="none"/>
                </w:rPr>
                <w:t>Item 6.</w:t>
              </w:r>
            </w:hyperlink>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256">
              <w:r>
                <w:rPr>
                  <w:rStyle w:val="InternetLink"/>
                  <w:rFonts w:ascii="Times New Roman;serif" w:hAnsi="Times New Roman;serif"/>
                  <w:b w:val="false"/>
                  <w:color w:val="0000FF"/>
                  <w:sz w:val="20"/>
                  <w:u w:val="single"/>
                </w:rPr>
                <w:t>87</w:t>
              </w:r>
            </w:hyperlink>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c50c4654c4d30961fbb9cefe4274c_259">
              <w:r>
                <w:rPr>
                  <w:rStyle w:val="InternetLink"/>
                  <w:rFonts w:ascii="Times New Roman;serif" w:hAnsi="Times New Roman;serif"/>
                  <w:b w:val="false"/>
                  <w:color w:val="0000FF"/>
                  <w:sz w:val="20"/>
                  <w:u w:val="single"/>
                </w:rPr>
                <w:t>88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2637"/>
        <w:gridCol w:w="2235"/>
        <w:gridCol w:w="2256"/>
        <w:gridCol w:w="196"/>
        <w:gridCol w:w="976"/>
        <w:gridCol w:w="109"/>
        <w:gridCol w:w="109"/>
        <w:gridCol w:w="109"/>
        <w:gridCol w:w="109"/>
        <w:gridCol w:w="218"/>
        <w:gridCol w:w="1075"/>
        <w:gridCol w:w="176"/>
      </w:tblGrid>
      <w:tr>
        <w:trPr/>
        <w:tc>
          <w:tcPr>
            <w:tcW w:w="2637"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properties, at cost:</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Land and land interests</w:t>
            </w:r>
            <w:r>
              <w:rPr>
                <w:color w:val="000000"/>
              </w:rPr>
              <w:t xml:space="preserv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1,579,973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1,699,215 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Building and improvements</w:t>
            </w:r>
            <w:r>
              <w:rPr>
                <w:color w:val="000000"/>
              </w:rPr>
              <w:t xml:space="preserve">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4,272,142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4,012,305 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Building leasehold and improvements</w:t>
            </w:r>
            <w:r>
              <w:rPr>
                <w:color w:val="000000"/>
              </w:rPr>
              <w:t xml:space="preserve">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1,478,991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1,448,112 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7,331,106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7,159,632 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accumulated depreciation</w:t>
            </w:r>
            <w:r>
              <w:rPr>
                <w:color w:val="000000"/>
              </w:rPr>
              <w:t xml:space="preserve">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(2,359,905)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(2,306,377)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4,971,201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4,853,255 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214,586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180,788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marketable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and other receivables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rents receivable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Debt and preferred equity investments, net of discounts and deferred origination fees of $3 and $14 and allowances of $300 and $454 in 2026 and 2025, respectively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113,085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joint ventures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2,849,912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2,624,755 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fund investments, at fair value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379,004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costs, net of amortization of $184,525 and $174,617, respectively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126,621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 operating leases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902,113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864,430 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loans held by consolidated securitization vehicles, at fair value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1,031,212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482,190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assets </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11,809,001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11,082,607 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Liabilities</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Mortgages and other loans payable,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2,229,405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2,146,049 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839,670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637,796 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term loans,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1,143,344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1,147,591 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obligations of consolidated securitization vehicles, at fair value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1,031,212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liabilities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453,851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129,346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154,999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financing leases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108,847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844,823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and distributions payable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49,009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70,515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related to assets held for sale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218,333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deferrable interest debentures held by trusts that issued trust preferred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liabilities </w:t>
            </w:r>
            <w:r>
              <w:rPr>
                <w:rFonts w:ascii="Times New Roman;serif" w:hAnsi="Times New Roman;serif"/>
                <w:b w:val="false"/>
                <w:color w:val="000000"/>
                <w:sz w:val="12"/>
              </w:rPr>
              <w:t>(1)</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7,390,991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6,729,517 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2268"/>
        <w:gridCol w:w="1924"/>
        <w:gridCol w:w="1929"/>
        <w:gridCol w:w="266"/>
        <w:gridCol w:w="1324"/>
        <w:gridCol w:w="147"/>
        <w:gridCol w:w="147"/>
        <w:gridCol w:w="147"/>
        <w:gridCol w:w="147"/>
        <w:gridCol w:w="283"/>
        <w:gridCol w:w="1393"/>
        <w:gridCol w:w="230"/>
      </w:tblGrid>
      <w:tr>
        <w:trPr/>
        <w:tc>
          <w:tcPr>
            <w:tcW w:w="2268"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19)</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Operating Partnership</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297,076</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241,371 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units and redeemable equity</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204,344</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199,271 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Equity</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 Green stockholders' equity:</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I Preferred Stock, $0.01 par value, $25.00 liquidation preference, 9,200 issued and outstanding at both June 30, 2026 and December 31, 2025</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221,932</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221,932 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160,000 shares authorized and 70,853 and 71,159 issued and outstanding at June 30, 2026 and December 31, 2025, respectively</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4,206,490</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4,212,590 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906"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5,353</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(1,016,905)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(741,880)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SL Green stockholders' equity</w:t>
            </w:r>
          </w:p>
        </w:tc>
        <w:tc>
          <w:tcPr>
            <w:tcW w:w="1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3,417,575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3,671,155 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other partnerships</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499,015</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241,293 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3,916,590</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3,912,448 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11,809,001</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11,082,607 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4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Company's consolidated balance sheets include assets and liabilities of consolidated variable interest entities ("VIEs"). See Note 2. The consolidated balance sheets include the following amounts related to our consolidated VIEs, excluding the Operating Partnership: $369.9 million and $185.2 million of land, $686.2 million and $207.5 million of building and improvements, $— million and $— million of building and leasehold improvements, $— million and $— million of right of use assets, $14.4 million and $6.3 million of accumulated depreciation, $379.0 million and $153.0 million of debt fund investments, $1,031.2 million and $1,023.9 million of real estate loans held by consolidated securitization vehicles, $649.7 million and $862.5 million of other assets included in other line items, $799.8 million and $328.6 million of real estate debt, net, $2.2 million and $0.9 million of accrued interest payable, $— million and $— million of lease liabilities, $1,031.2 million and $1,023.9 million of senior obligations of consolidated securitization vehicles and $261.2 million and $287.5 million of other liabilities included in other line items as of June 30, 2026 and December 31, 2025, respectively.</w:t>
            </w:r>
          </w:p>
        </w:tc>
      </w:tr>
    </w:tbl>
    <w:p>
      <w:pPr>
        <w:pStyle w:val="TextBody"/>
        <w:bidi w:val="0"/>
        <w:spacing w:before="0" w:after="0"/>
        <w:jc w:val="center"/>
        <w:rPr/>
      </w:pPr>
      <w:r>
        <w:rPr/>
      </w:r>
    </w:p>
    <w:p>
      <w:pPr>
        <w:pStyle w:val="TextBody"/>
        <w:bidi w:val="0"/>
        <w:spacing w:lineRule="auto" w:line="288" w:before="160" w:after="16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63"/>
        <w:gridCol w:w="1421"/>
        <w:gridCol w:w="1429"/>
        <w:gridCol w:w="109"/>
        <w:gridCol w:w="109"/>
        <w:gridCol w:w="109"/>
        <w:gridCol w:w="196"/>
        <w:gridCol w:w="754"/>
        <w:gridCol w:w="109"/>
        <w:gridCol w:w="109"/>
        <w:gridCol w:w="109"/>
        <w:gridCol w:w="109"/>
        <w:gridCol w:w="196"/>
        <w:gridCol w:w="739"/>
        <w:gridCol w:w="109"/>
        <w:gridCol w:w="109"/>
        <w:gridCol w:w="109"/>
        <w:gridCol w:w="109"/>
        <w:gridCol w:w="196"/>
        <w:gridCol w:w="785"/>
        <w:gridCol w:w="109"/>
        <w:gridCol w:w="109"/>
        <w:gridCol w:w="109"/>
        <w:gridCol w:w="109"/>
        <w:gridCol w:w="196"/>
        <w:gridCol w:w="736"/>
        <w:gridCol w:w="159"/>
      </w:tblGrid>
      <w:tr>
        <w:trPr/>
        <w:tc>
          <w:tcPr>
            <w:tcW w:w="176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378,758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31,509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55,651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real estate loans held by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39,441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264,001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517,081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481,762 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expenses, including related party expenses of $4 and $6 in 2026, and $0 and $3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42,435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84,347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50,462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54,011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senior obligations of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67,279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137,030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and other investment reserves,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(71,326)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45,567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297,313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594,334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468,982 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14,948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debt fund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on sale of interest in unconsolidated joint venture/real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and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other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units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SL 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(103,419)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Perpetual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SL Green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70,669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70,678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Diluted weighted average common shares and common share equivalents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70,669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70,678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771"/>
        <w:gridCol w:w="1530"/>
        <w:gridCol w:w="1550"/>
        <w:gridCol w:w="109"/>
        <w:gridCol w:w="109"/>
        <w:gridCol w:w="109"/>
        <w:gridCol w:w="198"/>
        <w:gridCol w:w="696"/>
        <w:gridCol w:w="110"/>
        <w:gridCol w:w="110"/>
        <w:gridCol w:w="110"/>
        <w:gridCol w:w="110"/>
        <w:gridCol w:w="198"/>
        <w:gridCol w:w="696"/>
        <w:gridCol w:w="110"/>
        <w:gridCol w:w="109"/>
        <w:gridCol w:w="109"/>
        <w:gridCol w:w="109"/>
        <w:gridCol w:w="196"/>
        <w:gridCol w:w="687"/>
        <w:gridCol w:w="109"/>
        <w:gridCol w:w="109"/>
        <w:gridCol w:w="109"/>
        <w:gridCol w:w="109"/>
        <w:gridCol w:w="196"/>
        <w:gridCol w:w="687"/>
        <w:gridCol w:w="160"/>
      </w:tblGrid>
      <w:tr>
        <w:trPr/>
        <w:tc>
          <w:tcPr>
            <w:tcW w:w="177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(10,891)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unrealized value of derivative instruments, including SL Green's share of joint venture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13,631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unrealized value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13,642</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29,499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2,751</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(65,300)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and preferred units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(11,875)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SL 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(10,126)</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(75,868)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(59,212)</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11809" w:type="dxa"/>
        <w:jc w:val="center"/>
        <w:tblInd w:w="0" w:type="dxa"/>
        <w:tblLayout w:type="fixed"/>
        <w:tblCellMar>
          <w:top w:w="28" w:type="dxa"/>
          <w:left w:w="28" w:type="dxa"/>
          <w:bottom w:w="28" w:type="dxa"/>
          <w:right w:w="28" w:type="dxa"/>
        </w:tblCellMar>
      </w:tblPr>
      <w:tblGrid>
        <w:gridCol w:w="622"/>
        <w:gridCol w:w="191"/>
        <w:gridCol w:w="193"/>
        <w:gridCol w:w="109"/>
        <w:gridCol w:w="109"/>
        <w:gridCol w:w="109"/>
        <w:gridCol w:w="181"/>
        <w:gridCol w:w="616"/>
        <w:gridCol w:w="109"/>
        <w:gridCol w:w="109"/>
        <w:gridCol w:w="109"/>
        <w:gridCol w:w="109"/>
        <w:gridCol w:w="270"/>
        <w:gridCol w:w="271"/>
        <w:gridCol w:w="151"/>
        <w:gridCol w:w="109"/>
        <w:gridCol w:w="109"/>
        <w:gridCol w:w="109"/>
        <w:gridCol w:w="181"/>
        <w:gridCol w:w="361"/>
        <w:gridCol w:w="109"/>
        <w:gridCol w:w="109"/>
        <w:gridCol w:w="109"/>
        <w:gridCol w:w="109"/>
        <w:gridCol w:w="181"/>
        <w:gridCol w:w="721"/>
        <w:gridCol w:w="109"/>
        <w:gridCol w:w="109"/>
        <w:gridCol w:w="109"/>
        <w:gridCol w:w="109"/>
        <w:gridCol w:w="181"/>
        <w:gridCol w:w="406"/>
        <w:gridCol w:w="109"/>
        <w:gridCol w:w="109"/>
        <w:gridCol w:w="109"/>
        <w:gridCol w:w="109"/>
        <w:gridCol w:w="195"/>
        <w:gridCol w:w="602"/>
        <w:gridCol w:w="119"/>
        <w:gridCol w:w="109"/>
        <w:gridCol w:w="109"/>
        <w:gridCol w:w="109"/>
        <w:gridCol w:w="181"/>
        <w:gridCol w:w="736"/>
        <w:gridCol w:w="109"/>
        <w:gridCol w:w="109"/>
        <w:gridCol w:w="109"/>
        <w:gridCol w:w="109"/>
        <w:gridCol w:w="181"/>
        <w:gridCol w:w="616"/>
        <w:gridCol w:w="109"/>
        <w:gridCol w:w="109"/>
        <w:gridCol w:w="109"/>
        <w:gridCol w:w="109"/>
        <w:gridCol w:w="181"/>
        <w:gridCol w:w="721"/>
        <w:gridCol w:w="154"/>
      </w:tblGrid>
      <w:tr>
        <w:trPr/>
        <w:tc>
          <w:tcPr>
            <w:tcW w:w="6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Realty Corp.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I</w:t>
              <w:b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w:t>
              <w:br/>
              <w:t>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71,124 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4,213,857 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(7,287)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(892,890)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3,897,798 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units in the Operating Partnership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adjustment for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stock awards, net of forfeitures and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consolidated joint venture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debt fund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from debt fund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($0.618 per common share, none of which represented a return of capital for federal income tax purposes)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70,853 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4,206,490 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3,916,590 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Realty Corp.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I</w:t>
              <w:br/>
              <w:t>Preferred</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w:t>
              <w:br/>
              <w:t>In-Capital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71,016 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4,156,242 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(537,585)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3,953,427 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subsidiary interest from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(11,482)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units in the Operating Partnership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adjustment for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stock awards, net of forfeitures and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consolidated joint venture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debt fund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($0.773 per common share, none of which represented a return of capital for federal income tax purposes)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71,025 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4,198,303 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(16,324)</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(613,117)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3,880,103 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11809" w:type="dxa"/>
        <w:jc w:val="center"/>
        <w:tblInd w:w="0" w:type="dxa"/>
        <w:tblLayout w:type="fixed"/>
        <w:tblCellMar>
          <w:top w:w="28" w:type="dxa"/>
          <w:left w:w="28" w:type="dxa"/>
          <w:bottom w:w="28" w:type="dxa"/>
          <w:right w:w="28" w:type="dxa"/>
        </w:tblCellMar>
      </w:tblPr>
      <w:tblGrid>
        <w:gridCol w:w="565"/>
        <w:gridCol w:w="220"/>
        <w:gridCol w:w="221"/>
        <w:gridCol w:w="109"/>
        <w:gridCol w:w="109"/>
        <w:gridCol w:w="109"/>
        <w:gridCol w:w="181"/>
        <w:gridCol w:w="616"/>
        <w:gridCol w:w="109"/>
        <w:gridCol w:w="109"/>
        <w:gridCol w:w="109"/>
        <w:gridCol w:w="109"/>
        <w:gridCol w:w="270"/>
        <w:gridCol w:w="271"/>
        <w:gridCol w:w="151"/>
        <w:gridCol w:w="109"/>
        <w:gridCol w:w="109"/>
        <w:gridCol w:w="109"/>
        <w:gridCol w:w="181"/>
        <w:gridCol w:w="361"/>
        <w:gridCol w:w="109"/>
        <w:gridCol w:w="109"/>
        <w:gridCol w:w="109"/>
        <w:gridCol w:w="109"/>
        <w:gridCol w:w="181"/>
        <w:gridCol w:w="721"/>
        <w:gridCol w:w="109"/>
        <w:gridCol w:w="109"/>
        <w:gridCol w:w="109"/>
        <w:gridCol w:w="109"/>
        <w:gridCol w:w="181"/>
        <w:gridCol w:w="406"/>
        <w:gridCol w:w="109"/>
        <w:gridCol w:w="109"/>
        <w:gridCol w:w="109"/>
        <w:gridCol w:w="109"/>
        <w:gridCol w:w="195"/>
        <w:gridCol w:w="602"/>
        <w:gridCol w:w="119"/>
        <w:gridCol w:w="109"/>
        <w:gridCol w:w="109"/>
        <w:gridCol w:w="109"/>
        <w:gridCol w:w="181"/>
        <w:gridCol w:w="736"/>
        <w:gridCol w:w="109"/>
        <w:gridCol w:w="109"/>
        <w:gridCol w:w="109"/>
        <w:gridCol w:w="109"/>
        <w:gridCol w:w="181"/>
        <w:gridCol w:w="616"/>
        <w:gridCol w:w="109"/>
        <w:gridCol w:w="109"/>
        <w:gridCol w:w="109"/>
        <w:gridCol w:w="109"/>
        <w:gridCol w:w="181"/>
        <w:gridCol w:w="72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Realty Corp.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I</w:t>
              <w:b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w:t>
              <w:br/>
              <w:t>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71,159 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4,212,590 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3,912,448 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(83,913)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units in the Operating Partnership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adjustment for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stock awards, net of forfeitures and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consolidated joint venture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Consolidation of joint venture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debt fund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from debt fund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($1.235 per common share, none of which represented a return of capital for federal income tax purposes)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70,853 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4,206,490 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3,916,590 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Realty Corp.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I</w:t>
              <w:b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w:t>
              <w:br/>
              <w:t>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71,097 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4,159,562 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18,196 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(449,101)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4,069,951 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subsidiary interest from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(34,520)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units in the Operating Partnership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adjustment for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stock awards, net of forfeitures and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consolidated joint venture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debt fund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($1.545 per common share, none of which represented a return of capital for federal income tax purposes)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71,025 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4,198,303 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(16,324)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3,880,103 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60" w:after="16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318" w:type="dxa"/>
        <w:jc w:val="center"/>
        <w:tblInd w:w="0" w:type="dxa"/>
        <w:tblLayout w:type="fixed"/>
        <w:tblCellMar>
          <w:top w:w="28" w:type="dxa"/>
          <w:left w:w="28" w:type="dxa"/>
          <w:bottom w:w="28" w:type="dxa"/>
          <w:right w:w="28" w:type="dxa"/>
        </w:tblCellMar>
      </w:tblPr>
      <w:tblGrid>
        <w:gridCol w:w="2131"/>
        <w:gridCol w:w="1878"/>
        <w:gridCol w:w="1885"/>
        <w:gridCol w:w="196"/>
        <w:gridCol w:w="721"/>
        <w:gridCol w:w="109"/>
        <w:gridCol w:w="109"/>
        <w:gridCol w:w="109"/>
        <w:gridCol w:w="109"/>
        <w:gridCol w:w="196"/>
        <w:gridCol w:w="721"/>
        <w:gridCol w:w="154"/>
      </w:tblGrid>
      <w:tr>
        <w:trPr/>
        <w:tc>
          <w:tcPr>
            <w:tcW w:w="2131"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Operating Activities </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from unconsolidated joint ventures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of cumulative earnings from unconsolidated joint ventures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on sale of interest in unconsolidated joint venture/real estate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and impairments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35,160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real estate,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reserves and other investment reserves, net of recoveries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investments in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non-cash adjustments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16,360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and other receivables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other liabilities and security deposits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 property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(664,131)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land, buildings and improvements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(129,004)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joint ventures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in excess of cumulative earnings from unconsolidated joint ventures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183,148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disposition of real estate/joint venture interest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352,427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or redemption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 loans held by consolidated securitization vehicles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real estate loans held by consolidated securitization vehicles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or purchase of debt fund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(219,499)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of debt and preferred equity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or redemption of debt and preferred equity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(521,393)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259" w:type="dxa"/>
        <w:jc w:val="center"/>
        <w:tblInd w:w="0" w:type="dxa"/>
        <w:tblLayout w:type="fixed"/>
        <w:tblCellMar>
          <w:top w:w="28" w:type="dxa"/>
          <w:left w:w="28" w:type="dxa"/>
          <w:bottom w:w="28" w:type="dxa"/>
          <w:right w:w="28" w:type="dxa"/>
        </w:tblCellMar>
      </w:tblPr>
      <w:tblGrid>
        <w:gridCol w:w="2097"/>
        <w:gridCol w:w="1844"/>
        <w:gridCol w:w="1849"/>
        <w:gridCol w:w="196"/>
        <w:gridCol w:w="751"/>
        <w:gridCol w:w="109"/>
        <w:gridCol w:w="109"/>
        <w:gridCol w:w="109"/>
        <w:gridCol w:w="109"/>
        <w:gridCol w:w="196"/>
        <w:gridCol w:w="73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mortgages and other loans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707,154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mortgages and other loans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(424,289)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 term loans and unsecured notes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870,410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 term loans and unsecured notes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(660,410)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options exercised and DRSPP issuance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 units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in other partnerships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in other partnerships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in the Operating Partnership</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to debt fund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209,092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debt fund investments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on common and preferred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obligations related to secured borrowing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restricted share awards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loan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496,203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year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336,495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381,749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preferred units relating to a real estate acquisition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 of mortgage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adjustment for redeemable noncontrolling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76,863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partner loan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Deconsolidation of a subsidiary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88,891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subsidiary interest from noncontrolling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investments to debt fund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to consolidated joint venture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assets related to assets held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214,586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liabilities related to assets held for sale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Removal of fully depreciated commercial real estate properties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securitization vehicle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securitization vehicle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5948" w:type="dxa"/>
        <w:jc w:val="center"/>
        <w:tblInd w:w="0" w:type="dxa"/>
        <w:tblLayout w:type="fixed"/>
        <w:tblCellMar>
          <w:top w:w="28" w:type="dxa"/>
          <w:left w:w="28" w:type="dxa"/>
          <w:bottom w:w="28" w:type="dxa"/>
          <w:right w:w="28" w:type="dxa"/>
        </w:tblCellMar>
      </w:tblPr>
      <w:tblGrid>
        <w:gridCol w:w="1262"/>
        <w:gridCol w:w="1105"/>
        <w:gridCol w:w="1112"/>
        <w:gridCol w:w="196"/>
        <w:gridCol w:w="751"/>
        <w:gridCol w:w="109"/>
        <w:gridCol w:w="109"/>
        <w:gridCol w:w="109"/>
        <w:gridCol w:w="109"/>
        <w:gridCol w:w="196"/>
        <w:gridCol w:w="736"/>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180,788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200,961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381,749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center"/>
        <w:rPr/>
      </w:pPr>
      <w:r>
        <w:rPr/>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37"/>
        <w:gridCol w:w="2235"/>
        <w:gridCol w:w="2256"/>
        <w:gridCol w:w="196"/>
        <w:gridCol w:w="976"/>
        <w:gridCol w:w="109"/>
        <w:gridCol w:w="109"/>
        <w:gridCol w:w="109"/>
        <w:gridCol w:w="109"/>
        <w:gridCol w:w="218"/>
        <w:gridCol w:w="1075"/>
        <w:gridCol w:w="176"/>
      </w:tblGrid>
      <w:tr>
        <w:trPr/>
        <w:tc>
          <w:tcPr>
            <w:tcW w:w="2637"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properties, at cost:</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Land and land interests</w:t>
            </w:r>
            <w:r>
              <w:rPr>
                <w:color w:val="000000"/>
              </w:rPr>
              <w:t xml:space="preserv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1,579,973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1,699,215 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Building and improvements</w:t>
            </w:r>
            <w:r>
              <w:rPr>
                <w:color w:val="000000"/>
              </w:rPr>
              <w:t xml:space="preserve">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4,272,142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4,012,305 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Building leasehold and improvements</w:t>
            </w:r>
            <w:r>
              <w:rPr>
                <w:color w:val="000000"/>
              </w:rPr>
              <w:t xml:space="preserve">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1,478,991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1,448,112 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7,331,106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7,159,632 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accumulated depreciation</w:t>
            </w:r>
            <w:r>
              <w:rPr>
                <w:color w:val="000000"/>
              </w:rPr>
              <w:t xml:space="preserve">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(2,359,905)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(2,306,377)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4,971,201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4,853,255 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214,586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180,788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marketable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and other receivables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rents receivable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Debt and preferred equity investments, net of discounts and deferred origination fees of $3 and $14 and allowances of $300 and $454 in 2026 and 2025, respectively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113,085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joint ventures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2,849,912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2,624,755 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fund investments, at fair value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379,004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costs, net of amortization of $184,525 and $174,617, respectively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126,621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 operating leases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902,113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864,430 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loans held by consolidated securitization vehicles, at fair value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1,031,212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482,190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assets </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11,809,001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11,082,607 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Liabilities</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Mortgages and other loans payable,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2,229,405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2,146,049 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839,670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637,796 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term loans,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1,143,344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1,147,591 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obligations of consolidated securitization vehicles, at fair value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1,031,212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liabilities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453,851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129,346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154,999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financing leases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108,847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844,823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and distributions payable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49,009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70,515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related to assets held for sale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218,333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deferrable interest debentures held by trusts that issued trust preferred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liabilities </w:t>
            </w:r>
            <w:r>
              <w:rPr>
                <w:rFonts w:ascii="Times New Roman;serif" w:hAnsi="Times New Roman;serif"/>
                <w:b w:val="false"/>
                <w:color w:val="000000"/>
                <w:sz w:val="12"/>
              </w:rPr>
              <w:t>(1)</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7,390,991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6,729,517 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31"/>
        <w:gridCol w:w="1979"/>
        <w:gridCol w:w="1984"/>
        <w:gridCol w:w="255"/>
        <w:gridCol w:w="1272"/>
        <w:gridCol w:w="142"/>
        <w:gridCol w:w="142"/>
        <w:gridCol w:w="142"/>
        <w:gridCol w:w="142"/>
        <w:gridCol w:w="270"/>
        <w:gridCol w:w="1330"/>
        <w:gridCol w:w="216"/>
      </w:tblGrid>
      <w:tr>
        <w:trPr/>
        <w:tc>
          <w:tcPr>
            <w:tcW w:w="2331"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19)</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Limited partner interests in SLGOP (5,374 and 4,538 limited partner common units outstanding at June 30, 2026 and December 31, 2025, respectively)</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297,076</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241,371 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units and redeemable equity</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204,344</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Capital </w:t>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SLGOP partners' capital:</w:t>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I Preferred Units, $25.00 liquidation preference, 9,200 issued and outstanding at both June 30, 2026 and December 31, 2025</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221,932</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SL Green partners' capital (762 and 757 general partner common units and 70,090 and 70,402 limited partner common units outstanding at June 30, 2026 and December 31, 2025, respectively)</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3,190,290</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3,471,421 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5,353</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SLGOP partners' capital</w:t>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3,417,575</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3,671,155 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other partnerships</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499,015</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241,293 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w:t>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3,916,590</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3,912,448 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capital</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11,809,001</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11,082,607 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Operating Partnership's consolidated balance sheets include assets and liabilities of consolidated variable interest entities ("VIEs"). See Note 2. The consolidated balance sheets include the following amounts related to our consolidated VIEs, excluding the Operating Partnership: $369.9 million and $185.2 million of land, $686.2 million and $207.5 million of building and improvements, $— million and $— million of building and leasehold improvements, $— million and $— million of right of use assets, $14.4 million and $6.3 million of accumulated depreciation, $379.0 million and $153.0 million of debt fund investments, $1,031.2 million and $1,023.9 million of real estate loans held by consolidated securitization vehicles, $649.7 million and $862.5 million of other assets included in other line items, $799.8 million and $328.6 million of real estate debt, net, $2.2 million and $0.9 million of accrued interest payable, $— million and $— million of lease liabilities, $1,031.2 million and $1,023.9 million of senior obligations of consolidated securitization vehicles and $261.2 million and $287.5 million of other liabilities included in other line items as of June 30, 2026 and December 31, 2025, respectively.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unit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63"/>
        <w:gridCol w:w="1421"/>
        <w:gridCol w:w="1429"/>
        <w:gridCol w:w="109"/>
        <w:gridCol w:w="109"/>
        <w:gridCol w:w="109"/>
        <w:gridCol w:w="196"/>
        <w:gridCol w:w="754"/>
        <w:gridCol w:w="109"/>
        <w:gridCol w:w="109"/>
        <w:gridCol w:w="109"/>
        <w:gridCol w:w="109"/>
        <w:gridCol w:w="196"/>
        <w:gridCol w:w="739"/>
        <w:gridCol w:w="109"/>
        <w:gridCol w:w="109"/>
        <w:gridCol w:w="109"/>
        <w:gridCol w:w="109"/>
        <w:gridCol w:w="196"/>
        <w:gridCol w:w="785"/>
        <w:gridCol w:w="109"/>
        <w:gridCol w:w="109"/>
        <w:gridCol w:w="109"/>
        <w:gridCol w:w="109"/>
        <w:gridCol w:w="196"/>
        <w:gridCol w:w="736"/>
        <w:gridCol w:w="159"/>
      </w:tblGrid>
      <w:tr>
        <w:trPr/>
        <w:tc>
          <w:tcPr>
            <w:tcW w:w="176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378,758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31,509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55,651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real estate loans held by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39,441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264,001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517,081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481,762 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expenses, including related party expenses of $4 and $6 in 2026, and $0 and $3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42,435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84,347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50,462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54,011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senior obligations of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67,279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137,030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and other investment reserves,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(71,326)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45,567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297,313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594,334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468,982 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14,948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debt fund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on sale of interest in unconsolidated joint venture/real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and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other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units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SLGOP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Perpetual preferred unit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SLGOP common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(28,658)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(119,727)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loss per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loss per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units and common unit equivalents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1"/>
        <w:gridCol w:w="1530"/>
        <w:gridCol w:w="1550"/>
        <w:gridCol w:w="109"/>
        <w:gridCol w:w="109"/>
        <w:gridCol w:w="109"/>
        <w:gridCol w:w="198"/>
        <w:gridCol w:w="696"/>
        <w:gridCol w:w="110"/>
        <w:gridCol w:w="110"/>
        <w:gridCol w:w="110"/>
        <w:gridCol w:w="110"/>
        <w:gridCol w:w="198"/>
        <w:gridCol w:w="696"/>
        <w:gridCol w:w="110"/>
        <w:gridCol w:w="109"/>
        <w:gridCol w:w="109"/>
        <w:gridCol w:w="109"/>
        <w:gridCol w:w="196"/>
        <w:gridCol w:w="687"/>
        <w:gridCol w:w="109"/>
        <w:gridCol w:w="109"/>
        <w:gridCol w:w="109"/>
        <w:gridCol w:w="109"/>
        <w:gridCol w:w="196"/>
        <w:gridCol w:w="687"/>
        <w:gridCol w:w="160"/>
      </w:tblGrid>
      <w:tr>
        <w:trPr/>
        <w:tc>
          <w:tcPr>
            <w:tcW w:w="177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(10,891)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unrealized value of derivative instruments, including SL Green's share of joint venture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13,631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unrealized value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13,642</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29,499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2,751</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(65,300)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(11,772)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SLGOP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(10,023)</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(17,459)</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(80,244)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(57,145)</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unit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41"/>
        <w:gridCol w:w="629"/>
        <w:gridCol w:w="636"/>
        <w:gridCol w:w="109"/>
        <w:gridCol w:w="109"/>
        <w:gridCol w:w="109"/>
        <w:gridCol w:w="181"/>
        <w:gridCol w:w="616"/>
        <w:gridCol w:w="109"/>
        <w:gridCol w:w="109"/>
        <w:gridCol w:w="109"/>
        <w:gridCol w:w="109"/>
        <w:gridCol w:w="270"/>
        <w:gridCol w:w="271"/>
        <w:gridCol w:w="211"/>
        <w:gridCol w:w="109"/>
        <w:gridCol w:w="109"/>
        <w:gridCol w:w="109"/>
        <w:gridCol w:w="181"/>
        <w:gridCol w:w="721"/>
        <w:gridCol w:w="109"/>
        <w:gridCol w:w="109"/>
        <w:gridCol w:w="109"/>
        <w:gridCol w:w="109"/>
        <w:gridCol w:w="254"/>
        <w:gridCol w:w="782"/>
        <w:gridCol w:w="153"/>
        <w:gridCol w:w="109"/>
        <w:gridCol w:w="109"/>
        <w:gridCol w:w="109"/>
        <w:gridCol w:w="203"/>
        <w:gridCol w:w="694"/>
        <w:gridCol w:w="124"/>
        <w:gridCol w:w="109"/>
        <w:gridCol w:w="109"/>
        <w:gridCol w:w="109"/>
        <w:gridCol w:w="181"/>
        <w:gridCol w:w="721"/>
        <w:gridCol w:w="156"/>
      </w:tblGrid>
      <w:tr>
        <w:trPr/>
        <w:tc>
          <w:tcPr>
            <w:tcW w:w="104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Operating Partnership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Partners'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I</w:t>
              <w:br/>
              <w:t>Preferred</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71,124 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3,321,678 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(7,287)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361,475 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3,897,798 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attributable to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12,640 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unit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adjustment for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unit awards, net of forfeitures and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consolidated joint venture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debt fund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127,367 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127,367 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from debt fund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($0.618 per common unit, none of which represented a return of capital for federal income tax purposes)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70,853 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3,190,290 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499,015 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3,916,590 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Operating Partnership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Partners'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I</w:t>
              <w:br/>
              <w:t>Preferred</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71,016 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3,619,367 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116,970 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3,953,427 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subsidiary interest from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(51,654)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(11,482)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unit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adjustment for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unit awards, net of forfeitures and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consolidated joint venture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debt fund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($0.750 per common unit, none of which represented a return of capital for federal income tax purposes)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3,585,896 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(16,324)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88,599 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3,880,103 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unit data)</w:t>
      </w:r>
    </w:p>
    <w:tbl>
      <w:tblPr>
        <w:tblW w:w="10205" w:type="dxa"/>
        <w:jc w:val="left"/>
        <w:tblInd w:w="0" w:type="dxa"/>
        <w:tblLayout w:type="fixed"/>
        <w:tblCellMar>
          <w:top w:w="28" w:type="dxa"/>
          <w:left w:w="28" w:type="dxa"/>
          <w:bottom w:w="28" w:type="dxa"/>
          <w:right w:w="28" w:type="dxa"/>
        </w:tblCellMar>
      </w:tblPr>
      <w:tblGrid>
        <w:gridCol w:w="963"/>
        <w:gridCol w:w="620"/>
        <w:gridCol w:w="623"/>
        <w:gridCol w:w="109"/>
        <w:gridCol w:w="109"/>
        <w:gridCol w:w="109"/>
        <w:gridCol w:w="181"/>
        <w:gridCol w:w="616"/>
        <w:gridCol w:w="109"/>
        <w:gridCol w:w="109"/>
        <w:gridCol w:w="109"/>
        <w:gridCol w:w="109"/>
        <w:gridCol w:w="270"/>
        <w:gridCol w:w="271"/>
        <w:gridCol w:w="211"/>
        <w:gridCol w:w="109"/>
        <w:gridCol w:w="109"/>
        <w:gridCol w:w="109"/>
        <w:gridCol w:w="181"/>
        <w:gridCol w:w="721"/>
        <w:gridCol w:w="109"/>
        <w:gridCol w:w="109"/>
        <w:gridCol w:w="109"/>
        <w:gridCol w:w="109"/>
        <w:gridCol w:w="275"/>
        <w:gridCol w:w="847"/>
        <w:gridCol w:w="166"/>
        <w:gridCol w:w="109"/>
        <w:gridCol w:w="109"/>
        <w:gridCol w:w="109"/>
        <w:gridCol w:w="203"/>
        <w:gridCol w:w="694"/>
        <w:gridCol w:w="124"/>
        <w:gridCol w:w="109"/>
        <w:gridCol w:w="109"/>
        <w:gridCol w:w="109"/>
        <w:gridCol w:w="181"/>
        <w:gridCol w:w="721"/>
        <w:gridCol w:w="157"/>
      </w:tblGrid>
      <w:tr>
        <w:trPr/>
        <w:tc>
          <w:tcPr>
            <w:tcW w:w="96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Operating Partnership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Partners'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I</w:t>
              <w:br/>
              <w:t>Preferred</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71,159 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3,471,421 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241,293 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3,912,448 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(92,746)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attributable to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unit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adjustment for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(76,863)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unit awards, net of forfeitures and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consolidated joint venture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Consolidation of joint venture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(8,533)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debt fund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209,092 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209,092 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from debt fund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special distribution paid in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($1.235 per common unit, none of which represented a return of capital for federal income tax purposes)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(87,268)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70,853 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3,190,290 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499,015 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3,916,590 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Operating Partnership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Partners'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I</w:t>
              <w:br/>
              <w:t>Preferred</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71,097 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18,196 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118,651 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4,069,951 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subsidiary interest from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(51,654)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unit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adjustment for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unit awards, net of forfeitures and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consolidated joint venture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debt fund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($1.545 per common unit, none of which represented a return of capital for federal income tax purposes)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(108,954)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71,025 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3,585,896 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(16,324)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88,599 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3,880,103 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0"/>
        <w:jc w:val="left"/>
        <w:rPr/>
      </w:pPr>
      <w:r>
        <w:rPr/>
      </w:r>
    </w:p>
    <w:tbl>
      <w:tblPr>
        <w:tblW w:w="8318" w:type="dxa"/>
        <w:jc w:val="left"/>
        <w:tblInd w:w="0" w:type="dxa"/>
        <w:tblLayout w:type="fixed"/>
        <w:tblCellMar>
          <w:top w:w="28" w:type="dxa"/>
          <w:left w:w="28" w:type="dxa"/>
          <w:bottom w:w="28" w:type="dxa"/>
          <w:right w:w="28" w:type="dxa"/>
        </w:tblCellMar>
      </w:tblPr>
      <w:tblGrid>
        <w:gridCol w:w="2131"/>
        <w:gridCol w:w="1878"/>
        <w:gridCol w:w="1885"/>
        <w:gridCol w:w="196"/>
        <w:gridCol w:w="721"/>
        <w:gridCol w:w="109"/>
        <w:gridCol w:w="109"/>
        <w:gridCol w:w="109"/>
        <w:gridCol w:w="109"/>
        <w:gridCol w:w="196"/>
        <w:gridCol w:w="721"/>
        <w:gridCol w:w="154"/>
      </w:tblGrid>
      <w:tr>
        <w:trPr/>
        <w:tc>
          <w:tcPr>
            <w:tcW w:w="2131"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Operating Activities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from unconsolidated joint ventures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of cumulative earnings from unconsolidated joint ventures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on sale of interest in unconsolidated joint venture/real estate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and impairments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35,160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real estate,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reserves and other investment reserves, net of recoveries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investments in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non-cash adjustments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16,360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and other receivables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other liabilities and security deposits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 property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(664,131)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land, buildings and improvements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(129,004)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joint ventures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in excess of cumulative earnings from unconsolidated joint ventures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183,148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disposition of real estate/joint venture interest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352,427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or redemption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 loans held by consolidated securitization vehicles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real estate loans held by consolidated securitization vehicles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or purchase of debt fund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(219,499)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of debt and preferred equity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or redemption of debt and preferred equity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(521,393)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0"/>
        <w:jc w:val="left"/>
        <w:rPr/>
      </w:pPr>
      <w:r>
        <w:rPr/>
      </w:r>
    </w:p>
    <w:tbl>
      <w:tblPr>
        <w:tblW w:w="8259" w:type="dxa"/>
        <w:jc w:val="left"/>
        <w:tblInd w:w="0" w:type="dxa"/>
        <w:tblLayout w:type="fixed"/>
        <w:tblCellMar>
          <w:top w:w="28" w:type="dxa"/>
          <w:left w:w="28" w:type="dxa"/>
          <w:bottom w:w="28" w:type="dxa"/>
          <w:right w:w="28" w:type="dxa"/>
        </w:tblCellMar>
      </w:tblPr>
      <w:tblGrid>
        <w:gridCol w:w="2097"/>
        <w:gridCol w:w="1844"/>
        <w:gridCol w:w="1849"/>
        <w:gridCol w:w="196"/>
        <w:gridCol w:w="751"/>
        <w:gridCol w:w="109"/>
        <w:gridCol w:w="109"/>
        <w:gridCol w:w="109"/>
        <w:gridCol w:w="109"/>
        <w:gridCol w:w="196"/>
        <w:gridCol w:w="73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mortgages and other loans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707,154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mortgages and other loans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(424,289)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 term loans and unsecured notes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870,410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 term loans and unsecured notes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(660,410)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options exercised and DRSPP issuance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units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 units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in other partnerships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in other partnerships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to debt fund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209,092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debt fund investments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on common and preferred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obligations related to secured borrowing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restricted share awards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loan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496,203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year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336,495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381,749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preferred units relating to a real estate acquisition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 of mortgage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adjustment for redeemable noncontrolling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76,863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partner loan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Deconsolidation of a subsidiary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88,891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subsidiary interest from noncontrolling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investments to debt fund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to consolidated joint venture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assets related to assets held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214,586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liabilities related to assets held for sale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Removal of fully depreciated commercial real estate properties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securitization vehicle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securitization vehicle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0"/>
        <w:jc w:val="left"/>
        <w:rPr/>
      </w:pPr>
      <w:r>
        <w:rPr/>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5948" w:type="dxa"/>
        <w:jc w:val="center"/>
        <w:tblInd w:w="0" w:type="dxa"/>
        <w:tblLayout w:type="fixed"/>
        <w:tblCellMar>
          <w:top w:w="28" w:type="dxa"/>
          <w:left w:w="28" w:type="dxa"/>
          <w:bottom w:w="28" w:type="dxa"/>
          <w:right w:w="28" w:type="dxa"/>
        </w:tblCellMar>
      </w:tblPr>
      <w:tblGrid>
        <w:gridCol w:w="1262"/>
        <w:gridCol w:w="1105"/>
        <w:gridCol w:w="1112"/>
        <w:gridCol w:w="196"/>
        <w:gridCol w:w="751"/>
        <w:gridCol w:w="109"/>
        <w:gridCol w:w="109"/>
        <w:gridCol w:w="109"/>
        <w:gridCol w:w="109"/>
        <w:gridCol w:w="196"/>
        <w:gridCol w:w="736"/>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180,788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200,961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381,749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SL Green Realty Corp., which is referred to as the Company or SL Green,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Operating Partnership provides services to properties that are wholly-owned by us, certain joint ventures, and third parties. The Company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minimize the payment of Federal income taxes at the corporate level. Unless the context requires otherwise, all references to "we," "our" and "us" means the Company and all entities owned or controlled by the Company, including the Operating Partnership.</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Substantially all of our assets are held by, and our operations are conducted through, the Operating Partnership. The Company is the sole managing general partner of the Operating Partnership. As of June 30, 2026, noncontrolling investors held, in the aggregate, a 7.26% limited partnership interest in the Operating Partnership. We refer to these interests as the noncontrolling interests in the Operating Partnership. The Operating Partnership is considered a variable interest entity, or VIE, in which we are the primary beneficiary. See Note 11, "Noncontrolling Interests on the Company's Consolidated Financial Statements."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June 30, 2026, we owned the following interests in properties in the New York metropolitan area, primarily in midtown Manhattan. Our investments located outside of Manhattan are referred to as the Suburban properties:</w:t>
      </w:r>
    </w:p>
    <w:tbl>
      <w:tblPr>
        <w:tblW w:w="12095" w:type="dxa"/>
        <w:jc w:val="left"/>
        <w:tblInd w:w="0" w:type="dxa"/>
        <w:tblLayout w:type="fixed"/>
        <w:tblCellMar>
          <w:top w:w="28" w:type="dxa"/>
          <w:left w:w="28" w:type="dxa"/>
          <w:bottom w:w="28" w:type="dxa"/>
          <w:right w:w="28" w:type="dxa"/>
        </w:tblCellMar>
      </w:tblPr>
      <w:tblGrid>
        <w:gridCol w:w="330"/>
        <w:gridCol w:w="291"/>
        <w:gridCol w:w="295"/>
        <w:gridCol w:w="109"/>
        <w:gridCol w:w="109"/>
        <w:gridCol w:w="109"/>
        <w:gridCol w:w="394"/>
        <w:gridCol w:w="394"/>
        <w:gridCol w:w="398"/>
        <w:gridCol w:w="109"/>
        <w:gridCol w:w="109"/>
        <w:gridCol w:w="109"/>
        <w:gridCol w:w="255"/>
        <w:gridCol w:w="255"/>
        <w:gridCol w:w="256"/>
        <w:gridCol w:w="116"/>
        <w:gridCol w:w="116"/>
        <w:gridCol w:w="116"/>
        <w:gridCol w:w="613"/>
        <w:gridCol w:w="348"/>
        <w:gridCol w:w="370"/>
        <w:gridCol w:w="109"/>
        <w:gridCol w:w="109"/>
        <w:gridCol w:w="109"/>
        <w:gridCol w:w="255"/>
        <w:gridCol w:w="255"/>
        <w:gridCol w:w="256"/>
        <w:gridCol w:w="135"/>
        <w:gridCol w:w="135"/>
        <w:gridCol w:w="135"/>
        <w:gridCol w:w="607"/>
        <w:gridCol w:w="354"/>
        <w:gridCol w:w="358"/>
        <w:gridCol w:w="109"/>
        <w:gridCol w:w="109"/>
        <w:gridCol w:w="109"/>
        <w:gridCol w:w="255"/>
        <w:gridCol w:w="255"/>
        <w:gridCol w:w="256"/>
        <w:gridCol w:w="109"/>
        <w:gridCol w:w="109"/>
        <w:gridCol w:w="109"/>
        <w:gridCol w:w="606"/>
        <w:gridCol w:w="355"/>
        <w:gridCol w:w="356"/>
        <w:gridCol w:w="109"/>
        <w:gridCol w:w="109"/>
        <w:gridCol w:w="109"/>
        <w:gridCol w:w="259"/>
        <w:gridCol w:w="207"/>
        <w:gridCol w:w="547"/>
      </w:tblGrid>
      <w:tr>
        <w:trPr/>
        <w:tc>
          <w:tcPr>
            <w:tcW w:w="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Property </w:t>
              <w:b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Buildings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Feet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Buildings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Feet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Buildings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Feet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Leased Occupancy </w:t>
            </w:r>
            <w:r>
              <w:rPr>
                <w:rFonts w:ascii="Times New Roman;serif" w:hAnsi="Times New Roman;serif"/>
                <w:b/>
                <w:color w:val="000000"/>
                <w:sz w:val="10"/>
              </w:rPr>
              <w:t>(1)</w:t>
            </w:r>
            <w:r>
              <w:rPr>
                <w:color w:val="000000"/>
              </w:rPr>
              <w:t xml:space="preserve"> </w:t>
            </w:r>
            <w:r>
              <w:rPr>
                <w:rFonts w:ascii="Times New Roman;serif" w:hAnsi="Times New Roman;serif"/>
                <w:b/>
                <w:color w:val="000000"/>
                <w:sz w:val="16"/>
              </w:rPr>
              <w:t>(unaudited)</w:t>
            </w:r>
          </w:p>
        </w:tc>
      </w:tr>
      <w:tr>
        <w:trPr/>
        <w:tc>
          <w:tcPr>
            <w:tcW w:w="24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Manhattan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10,102,852 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13,868,633 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23,971,485 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338,545 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351,264 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Development/Redevelopment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1,220,951 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1,220,951 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11,662,348 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13,881,352 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25,543,700 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Suburban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732,800 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732,800 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12,395,148 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13,881,352 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26,276,500 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Manhattan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222,855 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221,884 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444,739 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340" w:type="dxa"/>
            <w:gridSpan w:val="6"/>
            <w:tcBorders/>
          </w:tcPr>
          <w:p>
            <w:pPr>
              <w:pStyle w:val="TableContents"/>
              <w:bidi w:val="0"/>
              <w:spacing w:before="0" w:after="283"/>
              <w:jc w:val="left"/>
              <w:rPr>
                <w:sz w:val="4"/>
                <w:szCs w:val="4"/>
              </w:rPr>
            </w:pPr>
            <w:r>
              <w:rPr>
                <w:sz w:val="4"/>
                <w:szCs w:val="4"/>
              </w:rPr>
            </w:r>
          </w:p>
        </w:tc>
      </w:tr>
      <w:tr>
        <w:trPr/>
        <w:tc>
          <w:tcPr>
            <w:tcW w:w="24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core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12,618,003 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14,103,236 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26,721,239 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Strategy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2,492,157 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2,492,157 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(1)The weighted average leased occupancy for commercial properties represents the total leased square feet divided by the total square footage at acquisition. The weighted average leased occupancy for residential properties represents the total leased units divided by the total available units. Properties under construction are not included in the calculation of weighted average leased occupancy.</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(2)As of June 30, 2026, we consolidated a building at 315 West 33rd Street that was comprised of approximately 222,855 square feet (unaudited) of residential space and approximately 270,132 square feet (unaudited) of retail space. For the purpose of this report, we have included this building in the number of residential properties we own. We have included only the residential square footage in total residential square footage, and have included the retail square footage in total retail square footage. </w:t>
      </w:r>
    </w:p>
    <w:p>
      <w:pPr>
        <w:pStyle w:val="TextBody"/>
        <w:bidi w:val="0"/>
        <w:spacing w:before="0" w:after="0"/>
        <w:ind w:left="0" w:right="0" w:hanging="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we also managed four properties owned by third parties encompassing approximately 0.9 million square feet (unaudited).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Partnership Agreement</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accordance with the partnership agreement of the Operating Partnership, or the Operating Partnership Agreement, we allocate all distributions and profits and losses in proportion to the percentage of ownership interests of the respective partners, subject to the priority distributions with respect to preferred units and special provisions that apply to Long Term Incentive Plan ("LTIP") Units. As the managing general partner of the Operating Partnership, we are required to take such reasonable efforts, as determined by us in our sole discretion, to cause the Operating Partnership to distribute sufficient amounts to enable the payment of sufficient dividends by us to minimize any Federal income or excise tax at the Company level. Under the Operating Partnership Agreement, each limited partner has the right to redeem units of limited partnership interests for cash, or if we so elect, shares of SL Green's common stock on a one-for-one basis.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Basis of Quarterly Presentation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the fair presentation of the financial position of the Company and the Operating Partnership at June 30, 2026 and the results of operations for the periods presented have been included. The operating results for the period presented are not necessarily indicative of the results that may be expected for the year ending December 31, 2026. These financial statements should be read in conjunction with the financial statements and accompanying notes included in the Annual Report on Form 10-K for the year ended December 31, 2025 of the Company and the Operating Partnership.</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consolidated balance sheet at December 31, 2025 has been derived from the audited financial statements as of that date but does not include all the information and footnotes required by accounting principles generally accepted in the United States for complete financial statements.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Reclassification</w:t>
      </w:r>
    </w:p>
    <w:p>
      <w:pPr>
        <w:pStyle w:val="TextBody"/>
        <w:bidi w:val="0"/>
        <w:spacing w:lineRule="auto" w:line="288" w:before="0" w:after="120"/>
        <w:ind w:left="0" w:right="0" w:firstLine="495"/>
        <w:jc w:val="both"/>
        <w:rPr/>
      </w:pPr>
      <w:r>
        <w:rPr>
          <w:rFonts w:ascii="Times New Roman;serif" w:hAnsi="Times New Roman;serif"/>
          <w:b w:val="false"/>
          <w:color w:val="000000"/>
          <w:sz w:val="20"/>
        </w:rPr>
        <w:t xml:space="preserve">In accordance with Accounting Standards Codification ("ASC") Topic 205, </w:t>
      </w:r>
      <w:r>
        <w:rPr>
          <w:rFonts w:ascii="Times New Roman;serif" w:hAnsi="Times New Roman;serif"/>
          <w:b w:val="false"/>
          <w:i/>
          <w:color w:val="000000"/>
          <w:sz w:val="20"/>
        </w:rPr>
        <w:t>Presentation of Financial Statements</w:t>
      </w:r>
      <w:r>
        <w:rPr>
          <w:rFonts w:ascii="Times New Roman;serif" w:hAnsi="Times New Roman;serif"/>
          <w:b w:val="false"/>
          <w:color w:val="000000"/>
          <w:sz w:val="20"/>
        </w:rPr>
        <w:t>, certain prior period balances have been reclassified to conform to our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our accounts and those of our subsidiaries, which are wholly-owned or controlled by us. Entities which we have significant influence, but do not control, through our voting interest and entities which are variable interest entities, but where we are not the primary beneficiary, are accounted for under the equity method. See Note 5, "Investments in Unconsolidated Joint Ventures." and Note 7, "Debt and Preferred Equity Investments." All significant intercompany balances and transactions have been eliminated.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consolidate a variable interest entity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Investment in Commercial Real Estate Properties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3 years to 40 years. We amortize the amount allocated to the above- and below-market leases over the remaining term of the associated lease, which generally range from 1 year to 15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1 year to 15 years. If a tenant vacates its space prior to the contractual termination of the lease and no rental payments are being made on the lease, any unamortized balance of the related intangible will be written off. Origination costs are amortized as an expense over the remaining life of the lease and tenant improvements are amortized over the shorter of the remaining life of the lease or useful life of the improvement (or charged against earnings if the lease is terminated prior to its contractual expiration date). When allocating the purchase price of real estate, we assess fair value of the leases based on estimated cash flow projections that utilize appropriate discount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classifies those leases under which the Company is the lessee at lease commencement as finance or operating leases. Leases qualify as finance leases if (i) the lease transfers ownership of the asset at the end of the lease term, (ii) the lease grants an option to purchase the asset that we are reasonably certain to exercise, (iii) the lease term is for a major part of the remaining economic life of the asset, (iv) the present value of the lease payments equals or exceeds substantially all of the fair value of the underlying asset, or (v) the underlying asset is of such a specialized nature that it is expected to have no alternative use to the lessor at the end of the lease term. Leases that do not qualify as finance leases are deemed to be operating leases. At lease commencement the Company records a lease liability which is measured as the present value of the lease payments and a right of use asset which is measured as the amount of the lease liability and any initial direct costs incurred. The Company applies a discount rate to determine the present value of the lease payments. If the rate implicit in the lease is known, the Company uses that rate. If the rate implicit in the lease is not known, the Company uses a discount rate reflective of the Company's collateralized borrowing rate given the term of the lease. To determine the discount rate, the Company employs a third party specialist to develop an analysis based primarily on the observable borrowing rates of the Company, other REITs, and other corporate borrowers with long-term borrowings. On the consolidated statements of operations, operating leases are expensed through operating lease rent while financing leases are expensed through amortization and interest expense. When applicable, the Company combines the consideration for lease and non-lease components in the calculation of the value of the lease obligation and right-of-use asset.</w:t>
      </w:r>
    </w:p>
    <w:p>
      <w:pPr>
        <w:pStyle w:val="TextBody"/>
        <w:bidi w:val="0"/>
        <w:spacing w:lineRule="auto" w:line="288" w:before="0" w:after="120"/>
        <w:ind w:left="0" w:right="0" w:firstLine="495"/>
        <w:jc w:val="both"/>
        <w:rPr/>
      </w:pPr>
      <w:r>
        <w:rPr>
          <w:rFonts w:ascii="Times New Roman;serif" w:hAnsi="Times New Roman;serif"/>
          <w:b w:val="false"/>
          <w:color w:val="000000"/>
          <w:sz w:val="20"/>
        </w:rPr>
        <w:t xml:space="preserve">Properties are individually evaluated for impairment quarterly or whenever events or changes in circumstances indicate that the carrying amount may not be recoverable. A consolidated property's value is considered impaired if management's estimate of the aggregate future cash flows (undiscounted) and terminal value to be generated by the property is less than the carrying value of the property taking into account the appropriate capitalization rate in determining the future terminal value. To the extent impairment has occurred, the loss will be measured as the excess of the carrying amount of the property over the fair value of the property as calculated in accordance with ASC Topic 820, </w:t>
      </w:r>
      <w:r>
        <w:rPr>
          <w:rFonts w:ascii="Times New Roman;serif" w:hAnsi="Times New Roman;serif"/>
          <w:b w:val="false"/>
          <w:i/>
          <w:color w:val="000000"/>
          <w:sz w:val="20"/>
        </w:rPr>
        <w:t xml:space="preserve">Fair Value Measurement </w:t>
      </w:r>
      <w:r>
        <w:rPr>
          <w:rFonts w:ascii="Times New Roman;serif" w:hAnsi="Times New Roman;serif"/>
          <w:b w:val="false"/>
          <w:color w:val="000000"/>
          <w:sz w:val="20"/>
        </w:rPr>
        <w:t xml:space="preserve">("ASC 820"). We also evaluate our real estate consolidated properties for impairment when a property has been classified as held for sale. Real estate assets held for sale are valued at the lower of their carrying value or fair value less costs to sell and depreciation expense is no longer recorded.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recognized a net reduction of rental revenues of ($0.7 million) and ($1.2 million), respectively, for the amortization of aggregate above-market leases in excess of below-market leases resulting from the allocation of the purchase price of the applicable properties. For the three and six months ended June 30, 2025, we recognized a reduction of rental revenues of ($1.5 million) and ($3.1 million), respectively, for the amortization of aggregate above-market leases in excess of below-market leases resulting from the allocation of the purchase price of the applicable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summarizes our identified intangible assets (acquired above-market leases and in-place leases) and intangible liabilities (acquired below-market leases) as of June 30, 2026 and December 31, 2025 (in thousands):</w:t>
      </w:r>
    </w:p>
    <w:tbl>
      <w:tblPr>
        <w:tblW w:w="7496" w:type="dxa"/>
        <w:jc w:val="left"/>
        <w:tblInd w:w="0" w:type="dxa"/>
        <w:tblLayout w:type="fixed"/>
        <w:tblCellMar>
          <w:top w:w="28" w:type="dxa"/>
          <w:left w:w="28" w:type="dxa"/>
          <w:bottom w:w="28" w:type="dxa"/>
          <w:right w:w="28" w:type="dxa"/>
        </w:tblCellMar>
      </w:tblPr>
      <w:tblGrid>
        <w:gridCol w:w="1604"/>
        <w:gridCol w:w="1407"/>
        <w:gridCol w:w="1413"/>
        <w:gridCol w:w="214"/>
        <w:gridCol w:w="822"/>
        <w:gridCol w:w="119"/>
        <w:gridCol w:w="109"/>
        <w:gridCol w:w="109"/>
        <w:gridCol w:w="109"/>
        <w:gridCol w:w="287"/>
        <w:gridCol w:w="1078"/>
        <w:gridCol w:w="225"/>
      </w:tblGrid>
      <w:tr>
        <w:trPr/>
        <w:tc>
          <w:tcPr>
            <w:tcW w:w="1604"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Identified intangible assets (included in other 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amount</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376,033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(216,800)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(224,360)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159,233</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141,094 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Identified intangible liabilities (included in deferred revenue):</w:t>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amount</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238,746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242,136 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(206,887)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(207,798)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31,859</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with maturity of three months or less when purchased to be cash equivalents.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Restricted Cash</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Restricted cash primarily consists of security deposits held on behalf of our tenants, interest reserves, as well as capital improvement and real estate tax escrows required under certain loan agreements.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See Note 16, "Fair Value Measurements."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Debt Fund Investments</w:t>
      </w:r>
    </w:p>
    <w:p>
      <w:pPr>
        <w:pStyle w:val="TextBody"/>
        <w:bidi w:val="0"/>
        <w:spacing w:lineRule="auto" w:line="288" w:before="0" w:after="120"/>
        <w:ind w:left="0" w:right="0" w:firstLine="495"/>
        <w:jc w:val="both"/>
        <w:rPr/>
      </w:pPr>
      <w:r>
        <w:rPr>
          <w:rFonts w:ascii="Times New Roman;serif" w:hAnsi="Times New Roman;serif"/>
          <w:b w:val="false"/>
          <w:color w:val="000000"/>
          <w:sz w:val="20"/>
        </w:rPr>
        <w:t xml:space="preserve">Through wholly-owned subsidiaries, we are the general partner and investment manager of SLG Opportunistic Debt Fund LP and SLG Opportunistic Debt Parallel Fund LP (collectively, the "Fund"). The Fund is accounted for under ASC Topic 946, </w:t>
      </w:r>
      <w:r>
        <w:rPr>
          <w:rFonts w:ascii="Times New Roman;serif" w:hAnsi="Times New Roman;serif"/>
          <w:b w:val="false"/>
          <w:i/>
          <w:color w:val="000000"/>
          <w:sz w:val="20"/>
        </w:rPr>
        <w:t xml:space="preserve">Financial Services - Investment Companies </w:t>
      </w:r>
      <w:r>
        <w:rPr>
          <w:rFonts w:ascii="Times New Roman;serif" w:hAnsi="Times New Roman;serif"/>
          <w:b w:val="false"/>
          <w:color w:val="000000"/>
          <w:sz w:val="20"/>
        </w:rPr>
        <w:t>("ASC 946") and its investments are reported on our balance sheet at fair value, with changes in value each period recognized on the income statement. We consolidate the balances of the Fund into our consolidated financial statements because the Fund is a VIE in which we are considered the primary beneficiary, retaining the fair value basis of accounting. See Note 6, "Debt Fund."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Investments in Marketable Securities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acquisition, we designate a debt security as held-to-maturity, available-for-sale, or trading. As of June 30, 2026, we did not have any debt securities designated as trading. We account for our available-for-sale securities at fair value pursuant to ASC 820, with the net unrealized gains or losses reported as a component of accumulated other comprehensive income or loss. The cost of marketable securities sold and the amount reclassified out of accumulated other comprehensive income into earnings is determined using the specific identification method. </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We account for our held-to-maturity securities at amortized cost basis. Credit losses for our held-to-maturity debt securities are recognized in accordance with ASC Topic 326, </w:t>
      </w:r>
      <w:r>
        <w:rPr>
          <w:rFonts w:ascii="Times New Roman;serif" w:hAnsi="Times New Roman;serif"/>
          <w:b w:val="false"/>
          <w:i/>
          <w:color w:val="000000"/>
          <w:sz w:val="20"/>
        </w:rPr>
        <w:t xml:space="preserve">Financial Instruments — Credit Losses </w:t>
      </w:r>
      <w:r>
        <w:rPr>
          <w:rFonts w:ascii="Times New Roman;serif" w:hAnsi="Times New Roman;serif"/>
          <w:b w:val="false"/>
          <w:color w:val="000000"/>
          <w:sz w:val="20"/>
        </w:rPr>
        <w:t xml:space="preserve">("ASC 326"). No allowance for loan losses were recognized for the six months ended June 30, 2026 and 2025.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account for marketable equity securities at fair value pursuant to ASC 820, with the net unrealized gains or losses reported in net income.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held the following commercial mortgage-backed securities ("CMBS") (in thousands):</w:t>
      </w:r>
    </w:p>
    <w:tbl>
      <w:tblPr>
        <w:tblW w:w="7375" w:type="dxa"/>
        <w:jc w:val="left"/>
        <w:tblInd w:w="0" w:type="dxa"/>
        <w:tblLayout w:type="fixed"/>
        <w:tblCellMar>
          <w:top w:w="28" w:type="dxa"/>
          <w:left w:w="28" w:type="dxa"/>
          <w:bottom w:w="28" w:type="dxa"/>
          <w:right w:w="28" w:type="dxa"/>
        </w:tblCellMar>
      </w:tblPr>
      <w:tblGrid>
        <w:gridCol w:w="1559"/>
        <w:gridCol w:w="1371"/>
        <w:gridCol w:w="1374"/>
        <w:gridCol w:w="234"/>
        <w:gridCol w:w="791"/>
        <w:gridCol w:w="130"/>
        <w:gridCol w:w="109"/>
        <w:gridCol w:w="109"/>
        <w:gridCol w:w="109"/>
        <w:gridCol w:w="313"/>
        <w:gridCol w:w="1031"/>
        <w:gridCol w:w="245"/>
      </w:tblGrid>
      <w:tr>
        <w:trPr/>
        <w:tc>
          <w:tcPr>
            <w:tcW w:w="15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 - available-for-sale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21,273</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 - held-to-maturity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in marketable securities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21,273</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23,666 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cost basis of the available-for-sale CMBS was $20.0 million and $24.4 million as of June 30, 2026 and December 31, 2025, respectively. These securities mature at various times through 2045. As of June 30, 2026, seven securities were in an unrealized gain position of $1.3 million with a fair market value of $21.3 million, and no securities were in an unrealized loss position. As of December 31, 2025, five securities were in an unrealized gain position of $0.3 million with a fair market value of $12.5 million, and four securities were in an unrealized loss position of $1.0 million and fair market value of $11.2 million.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received aggregate net proceeds of $4.5 from the sale of one available-for-sale CMBS. During the three and six months ended June 30, 2025, we received aggregate net proceeds of $8.1 million from the sale of one available-for-sale CMBS and $13.4 million from the sale of two available-for-sale CMBS, respectively.</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did not receive repayments of any CMBS. During the six months ended June 30, 2025, we received aggregate net proceeds of $5.7 million from the repayment of a CMBS.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held no equity marketable securities as of June 30, 2026 and December 31, 2025. During the six months ended June 30, 2025, we acquired equity marketable securities totaling $25.1 million and received aggregate net proceeds of $34.0 million from the sale of these equity marketable securities.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Investment in CMBS Securitization Trusts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may be contracted as the special servicer for CMBS securitization trusts and, in certain cases, we may also acquire securities in these trusts either directly or indirectly through the Fund. In certain cases, we may acquire the controlling class of the trust and we may have the right to designate, and remove, the special servicer for these trusts. These circumstances may result in our consolidating of the securitization trusts in our financial statements. We evaluate all of our positions and special servicer appointments for consolidation, which are considered to be VIEs to the Company.</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the special servicer, we provide services on defaulted loans within the trusts as permitted by the underlying contractual agreements. We receive a fee in exchange for these services. The rights provided to us as special servicer give us the ability to direct activities that could significantly impact the trust's economic performance, which requires consolidation of the securitization trust unless a third party has the right to unilaterally remove us as special servicer without cause. In such instances where we can be removed as special servicer without cause, we do not have the power to direct activities that most significantly impact the trust's economic performance and would not consolidate the securitization trust.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CMBS securitization trusts in which we are determined to be the primary beneficiary, we consolidate the securitization trusts on our consolidated balance sheets. The consolidation of such securitization trusts results in a gross presentation of the underlying collateral loans as assets as well as the senior CMBS positions owned by third parties, which are presented as liabilities on our consolidated balance sheets. The assets of the consolidated securitization trust can only be used to satisfy the liabilities of that securitization and are not available to the Company for any other purpose. Additionally, the senior CMBS securitization trust obligations can only be satisfied through repayment of the underlying collateral loans as they do not have any recourse to the Company or our assets.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not provided any guarantees with respect to the performance or repayment of the senior CMBS obligations.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While consolidation of the securitization trust increases the gross presentation of our consolidated balance sheets, it does not impact the economic exposure or performance of the Company as it is limited to that of the actual investment in the CMBS securitization trust, and not the consolidated senior obligations.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consolidated the following CMBS securitization trusts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44"/>
        <w:gridCol w:w="827"/>
        <w:gridCol w:w="840"/>
        <w:gridCol w:w="196"/>
        <w:gridCol w:w="871"/>
        <w:gridCol w:w="109"/>
        <w:gridCol w:w="109"/>
        <w:gridCol w:w="199"/>
        <w:gridCol w:w="887"/>
        <w:gridCol w:w="110"/>
        <w:gridCol w:w="248"/>
        <w:gridCol w:w="248"/>
        <w:gridCol w:w="248"/>
        <w:gridCol w:w="252"/>
        <w:gridCol w:w="196"/>
        <w:gridCol w:w="871"/>
        <w:gridCol w:w="109"/>
        <w:gridCol w:w="196"/>
        <w:gridCol w:w="871"/>
        <w:gridCol w:w="109"/>
        <w:gridCol w:w="109"/>
        <w:gridCol w:w="296"/>
        <w:gridCol w:w="296"/>
        <w:gridCol w:w="297"/>
        <w:gridCol w:w="118"/>
        <w:gridCol w:w="118"/>
        <w:gridCol w:w="118"/>
        <w:gridCol w:w="118"/>
        <w:gridCol w:w="118"/>
        <w:gridCol w:w="177"/>
      </w:tblGrid>
      <w:tr>
        <w:trPr/>
        <w:tc>
          <w:tcPr>
            <w:tcW w:w="94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4"/>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Maturity </w:t>
            </w:r>
            <w:r>
              <w:rPr>
                <w:rFonts w:ascii="Times New Roman;serif" w:hAnsi="Times New Roman;serif"/>
                <w:b/>
                <w:color w:val="000000"/>
                <w:sz w:val="12"/>
              </w:rPr>
              <w:t>(2)</w:t>
            </w:r>
          </w:p>
        </w:tc>
        <w:tc>
          <w:tcPr>
            <w:tcW w:w="1656" w:type="dxa"/>
            <w:gridSpan w:val="9"/>
            <w:tcBorders/>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Type</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Value</w:t>
            </w:r>
          </w:p>
        </w:tc>
        <w:tc>
          <w:tcPr>
            <w:tcW w:w="248" w:type="dxa"/>
            <w:tcBorders/>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r>
          </w:p>
        </w:tc>
        <w:tc>
          <w:tcPr>
            <w:tcW w:w="1285" w:type="dxa"/>
            <w:gridSpan w:val="4"/>
            <w:vMerge w:val="continue"/>
            <w:tcBorders/>
            <w:tcMar>
              <w:top w:w="0" w:type="dxa"/>
              <w:left w:w="0" w:type="dxa"/>
              <w:bottom w:w="0" w:type="dxa"/>
              <w:right w:w="0" w:type="dxa"/>
            </w:tcMar>
            <w:vAlign w:val="center"/>
          </w:tcPr>
          <w:p>
            <w:pPr>
              <w:pStyle w:val="Normal"/>
              <w:bidi w:val="0"/>
              <w:jc w:val="left"/>
              <w:rPr/>
            </w:pPr>
            <w:r>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Value</w:t>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13"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13"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Real estate loans held by consolidated securitization vehicles </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2023 - 2027</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obligations of consolidated securitization vehicles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2023 - 2027</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loans held by consolidated securitization vehicles in excess of senior obligations of consolidated securitization vehicles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(1)Excludes real estate loans held by the Fund.</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(2)The Company is in discussions with the respective borrowers on the resolution of the past maturities.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elected to record the associated interest income and interest expense for these investments as separate line items in our consolidated statements of operations. The amounts recorded in "Interest income from real estate loans held by consolidated securitization vehicles" in our consolidated statements of operations include the Company's interest income as well as the interest income associated with CMBS positions owned by third parties, which is offset by the amounts recorded in "Interest expense on senior obligations of consolidated securitization vehicles" in our consolidated statements of operations. As a result, the net impact is limited to the interest income on the CMBS we own directly and not the gross consolidated interest income and interest expense. For CMBS positions held by the Fund the interest income allocated to noncontrolling interests in the Fund is a component of "Net loss (income) attributable to noncontrolling interests in other partnerships" in our consolidated statements of operations.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Through the Fund we hold an investment in a CMBS securitization trust that qualifies as a VIE. We evaluated our involvement with the securitization trust and determined that we are not the primary beneficiary. Accordingly, the securitization trust is not consolidated in our financial statements. The maximum exposure to loss is limited to the carrying amount of the Fund's investment in the trust.</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Investments in Unconsolidated Joint Ventures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assess our investments in unconsolidated joint ventures for recoverability and if it is determined that a loss in value of the investment is other than temporary, we write down the investment to its fair value. We evaluate our equity investments for impairment based on each joint venture's actual and projected cash flows. Aside from charges noted in Note 5, "Investments in Unconsolidated Joint Ventures," or Note 16, "Fair Value Measurements," we do not believe that the values of any of our equity investments were impaired at June 30, 2026.</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Deferred Lease Costs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Deferred lease costs consist of incremental fees and direct costs that would not have been incurred if the lease had not been obtained and are amortized on a straight-line basis over the related lease term.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Lease Classification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Lease classification for leases under which the Company is the lessor is evaluated at lease commencement and leases not classified as sales-type leases or direct financing leases are classified as operating leases. Leases qualify as sales-type leases if the contract includes either transfer of ownership clauses, certain purchase options, a lease term representing a major part of the economic life of the asset, or the present value of the lease payments and residual guarantees provided by the lessee exceeds substantially all of the fair value of the asset. Additionally, leasing an asset so specialized that it is not deemed to have any value to the Company at the end of the lease term may also result in classification as a sales-type lease. Leases qualify as direct financing leases when the present value of the lease payments and residual value guarantees provided by the lessee and unrelated third parties exceeds substantially all of the fair value of the asset and collection of the payments is probable.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Rental revenue for operating leases is recognized on a straight-line basis over the term of the lease. Rental revenue recognition commences when the leased space is available for its intended use by the lessee.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To determine whether the leased space is available for its intended use by the lessee, management evaluates whether we or the tenant are the owner of tenant improvements for accounting purposes. When management concludes that we are the owner of tenant improvements, rental revenue recognition begins when the tenant takes possession of the finished space, which is when such tenant improvements are substantially complete. In certain instances, when management concludes that we are not the owner of tenant improvements, rental revenue recognition begins when the tenant takes possession of or controls the space.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excess of rents recognized over amounts contractually due pursuant to the underlying leases are included in deferred rents receivable on the consolidated balance sheets.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to base rent, our tenants also generally will pay variable rent which represents their pro rata share of increases in real estate taxes and certain operating expenses for the building over a base year. In some leases, in lieu of paying additional rent based upon increases in certain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 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are typically provided at no additional cost, with the tenant paying additional rent only for services which exceed base building services or for services which are provided outside normal business hours. 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Rental revenue is recognized if collectability is probable. If collectability of substantially all of the lease payments is assessed as not probable, any difference between the rental revenue recognized to date and the lease payments that have been collected is recognized as a current-period adjustment to rental revenue. A subsequent change in the assessment of collectability to probable may result in a current-period adjustment to rental revenue for any difference between the rental revenue that would have been recognized if collectability had always been assessed as probable and the rental revenue recognized to date.</w:t>
      </w:r>
    </w:p>
    <w:p>
      <w:pPr>
        <w:pStyle w:val="TextBody"/>
        <w:bidi w:val="0"/>
        <w:spacing w:lineRule="auto" w:line="288" w:before="0" w:after="120"/>
        <w:ind w:left="0" w:right="0" w:firstLine="495"/>
        <w:jc w:val="both"/>
        <w:rPr/>
      </w:pPr>
      <w:r>
        <w:rPr>
          <w:rFonts w:ascii="Times New Roman;serif" w:hAnsi="Times New Roman;serif"/>
          <w:b w:val="false"/>
          <w:color w:val="000000"/>
          <w:sz w:val="20"/>
        </w:rPr>
        <w:t xml:space="preserve">The Company provides its tenants with certain customary services for lease contracts such as common area maintenance and general security. We have elected to combine the non-lease components with the lease components of our operating lease agreements and account for them as a single lease component in accordance with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record a gain or loss on sale of real estate assets when we no longer have a controlling financial interest in the entity owning the real estate, a contract exists with a third party and that third party has control of the assets acquired.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Investment income on debt and preferred equity investments is accrued based on the contractual terms of the instruments and when it is deemed collectible. Some debt and preferred equity investments provide for accrual of interest at specified rates, which differ from current payment terms. Interest is recognized on such loans at the accrual rate subject to management's determination that accrued interest is collectible. If management cannot make this determination, interest income above the current pay rate is recognized only upon actual receipt.</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Deferred origination fees, original issue discounts and loan origination costs, if any, are recognized as an adjustment to interest income over the terms of the related investments using the effective interest method. Fees received in connection with loan commitments are also deferred until the loan is funded and are then recognized over the term of the loan as an adjustment to yield. Discounts or premiums associated with the purchase of loans are amortized or accreted into interest income as a yield adjustment on the effective interest method based on expected cash flows through the expected maturity date of the related investment. If we purchase a debt or preferred equity investment at a discount, intend to hold it until maturity and expect to recover the full value of the investment, we accrete the discount into income as an adjustment to yield over the term of the investment. If we purchase a debt or preferred equity investment at a discount with the intention of foreclosing on the collateral, we do not accrete the discount. For debt investments acquired at a discount for credit quality, the difference between contractual cash flows and expected cash flows at acquisition is not accreted. Anticipated exit fees, the collection of which is expected, are also recognized over the term of the loan as an adjustment to yield.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consider a debt and preferred equity investment to be past due when amounts contractually due have not been paid. Debt and preferred equity investments are placed on a non-accrual status at the earlier of the date at which payments become 90 days past due or when, in the opinion of management, a full recovery of interest income becomes doubtful. Interest income recognition is resumed on any debt or preferred equity investment that is on non-accrual status when such debt or preferred equity investment becomes contractually current and performance is demonstrated to be resumed.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may syndicate a portion of the loans that we originate or sell the loans individually. When a transaction meets the criteria for sale accounting, we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Asset management fees are recognized on a straight-line basis over the term of the asset management agreement.</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Revenues from the sale of SUMMIT tickets are recognized upon admission or ticket expirations. Deferred revenue related to unused and unexpired tickets as of June 30, 2026 and December 31, 2025 was $4.0 million and $3.1 million, respectively, and is included in "Deferred revenue" on the consolidated balance sheets.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Debt and Preferred Equity Investments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Debt and preferred equity investments are presented at the net amount expected to be collected in accordance with ASC 326. An allowance for loan losses is deducted from the amortized cost basis of the financial assets to present the net carrying value at the amount expected to be collected through the expected maturity date of such investments. The expense for loan loss and other investment reserves is the charge to earnings to adjust the allowance for loan losses to the appropriate level. Amounts are written off from the allowance when we de-recognize the related investment either as a result of a sale of the investment or acquisition of equity interests in the collateral.</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the amount expected to be collected based on current market and economic conditions, historical loss information, and reasonable and supportable forecasts. The Company's assumptions are derived from both internal data and external data which may include, among others, governmental economic projections for the New York City Metropolitan area, public data on recent transactions and filings for securitized debt instruments. This information is aggregated by asset class and adjusted for duration. Based on these inputs, loans are evaluated at the individual asset level. In certain instances, we may also use a probability-weighted model that considers the likelihood of multiple outcomes and the amount expected to be collected for each outcome.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evaluation of the possible credit deterioration associated with the performance and/or value of the underlying collateral property as well as the financial and operating capability of the borrower/sponsor requires significant judgment, which include both asset level and market assumptions over the relevant time period.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quarterly, the Company assigns each loan a risk rating. Based on a 3-point scale, loans are rated “1” through “3,” from lower risk to higher risk, which ratings are defined as follows: 1 - Low Risk Assets - Low probability of loss, 2 - Watch List Assets - Higher potential for loss, 3 - High Risk Assets - Loss more likely than not. Loans with risk ratings of 2 or above are evaluated to determine whether the expected risk of loss is appropriately captured through the combination of our expectations of current conditions, historical loss information and supportable forecasts described above or whether risk characteristics specific to the loan warrant the use of a probability-weighted model.</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Financing investments that are classified as held for sale are carried at the expected amount to be collected or fair market value using available market information obtained through consultation with dealers or other originators of such investments as well as discounted cash flow models based on Level 3 data pursuant to ASC 820. As circumstances change, management may conclude not to sell an investment designated as held for sale. In such situations, the investment will be reclassified at its expected amount to be collected.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financing receivables that are included in balance sheet line items other than the Debt and preferred equity investments line are also measured at the net amount expected to be collected.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Accrued interest receivable amounts related to these debt and preferred equity investment and other financing receivables are recorded at the net amount expected to be collected within Other assets in the consolidated balance sheets. Accrued interest receivables that are written off are recognized as an expense in loan loss and other investment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SL Green is taxed as a REIT under Section 856(c) of the Code. As a REIT, SL Green generally is not subject to Federal income tax. To maintain its qualification as a REIT, SL Green must distribute at least 90% of its REIT taxable income to its stockholders and meet certain other requirements. If SL Green fails to qualify as a REIT in any taxable year, SL Green will be subject to Federal income tax on its taxable income at regular corporate rates. SL Green may also be subject to certain state, local and franchise taxes. Under certain circumstances, Federal income and excise taxes may be due on its undistributed taxable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Operating Partnership is a partnership and, as a result, all income and losses of the partnership are allocated to the partners for inclusion in their respective income tax returns. The only provision for income taxes included in the consolidated statements of operations relates to the Operating Partnership's consolidated taxable REIT subsidiaries. The Operating Partnership may also be subject to certain state, local and franchise taxes.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elected, and may elect in the future, to treat certain of our corporate subsidiaries as taxable REIT subsidiaries, or TRSs. In general, TRSs may perform non-customary services for the tenants of the Company, hold assets that we cannot hold directly and generally may engage in any real estate or non-real estate related business. The TRSs generate income, resulting in Federal, state and local corporate tax liability for these entities. During the three and six months ended June 30, 2026 we recorded Federal, state, and local tax expense of $1.6 million and $0.4 million, respectively, for these entities, excluding SUMMIT. During the three and six months ended June 30, 2025, we recorded Federal, state, and local tax expense of $1.2 million and $1.7 million, respectively, for these entities, excluding SUMMIT.</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SUMMIT is held in a TRS and pays Federal, state and local taxes. During the three and six months ended June 30, 2026, we recorded Federal, state, and local tax expense for SUMMIT of $1.2 million and $1.8 million, respectively. During the three and six months ended June 30, 2025 we recorded Federal, state and local tax expense for SUMMIT of $1.5 million and $1.5 million, respectively.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follow a two-step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is more-likely-than-not to be realized upon settlement. Derecognition of a tax position that was previously recognized would occur when a company subsequently determines that a tax position no longer meets the more-likely-than-not threshold of being sustained. The use of a valuation allowance as a substitute for derecognition of tax positions is prohibited.</w:t>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Concentrations of Credit Risk</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us to concentrations of credit risk consist primarily of cash investments and accounts receivable. We place our cash investments with high quality financial institutions.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initial and ongoing evaluations of the credit quality of our tenants and require most tenants to provide security deposits or letters of credit. Though these security deposits and letters of credit are insufficient to meet the total value of a tenant's lease obligation, they are a measure of good faith and a potential source of funds to offset the economic costs associated with lost revenue from that tenant and the costs associated with re-tenanting a space. The properties in our real estate portfolio are located in the New York metropolitan area, principally in Manhattan.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following properties contributed more than 5.0% of our annualized cash rent from office properties, including our share of annualized cash rent from joint venture office properties:</w:t>
      </w:r>
    </w:p>
    <w:tbl>
      <w:tblPr>
        <w:tblW w:w="4649" w:type="dxa"/>
        <w:jc w:val="center"/>
        <w:tblInd w:w="0" w:type="dxa"/>
        <w:tblLayout w:type="fixed"/>
        <w:tblCellMar>
          <w:top w:w="28" w:type="dxa"/>
          <w:left w:w="28" w:type="dxa"/>
          <w:bottom w:w="28" w:type="dxa"/>
          <w:right w:w="28" w:type="dxa"/>
        </w:tblCellMar>
      </w:tblPr>
      <w:tblGrid>
        <w:gridCol w:w="656"/>
        <w:gridCol w:w="575"/>
        <w:gridCol w:w="583"/>
        <w:gridCol w:w="828"/>
        <w:gridCol w:w="828"/>
        <w:gridCol w:w="1179"/>
      </w:tblGrid>
      <w:tr>
        <w:trPr/>
        <w:tc>
          <w:tcPr>
            <w:tcW w:w="65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 Vanderbilt Avenue</w:t>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11.9%</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 Madison Avenue</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245 Park Avenue</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420 Lexington Avenue</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1515 Broadway</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280 Park Avenue </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Accounting Standards Updates</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In December 2025, the Financial Accounting Standards Board ("FASB") issued Accounting Standards Update ("ASU") No. 2025-11, </w:t>
      </w:r>
      <w:r>
        <w:rPr>
          <w:rFonts w:ascii="Times New Roman;serif" w:hAnsi="Times New Roman;serif"/>
          <w:b w:val="false"/>
          <w:i/>
          <w:color w:val="000000"/>
          <w:sz w:val="20"/>
        </w:rPr>
        <w:t xml:space="preserve">Interim Reporting (Topic 270): Narrow-Scope Improvements </w:t>
      </w:r>
      <w:r>
        <w:rPr>
          <w:rFonts w:ascii="Times New Roman;serif" w:hAnsi="Times New Roman;serif"/>
          <w:b w:val="false"/>
          <w:color w:val="000000"/>
          <w:sz w:val="20"/>
        </w:rPr>
        <w:t>("ASU 2025-11"),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We are currently evaluating the impact of ASU 2025-11 on our consolidated financial statements.</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In November 2025, the FASB issued ASU No. 2025-09, </w:t>
      </w:r>
      <w:r>
        <w:rPr>
          <w:rFonts w:ascii="Times New Roman;serif" w:hAnsi="Times New Roman;serif"/>
          <w:b w:val="false"/>
          <w:i/>
          <w:color w:val="000000"/>
          <w:sz w:val="20"/>
        </w:rPr>
        <w:t xml:space="preserve">Derivatives and Hedging (Topic 815): Hedge Accounting Improvements </w:t>
      </w:r>
      <w:r>
        <w:rPr>
          <w:rFonts w:ascii="Times New Roman;serif" w:hAnsi="Times New Roman;serif"/>
          <w:b w:val="false"/>
          <w:color w:val="000000"/>
          <w:sz w:val="20"/>
        </w:rPr>
        <w:t>("ASU 2025-09"), which includes amendments intended to more closely align hedge accounting with the economics of a company's risk management activities. ASU 2025-09 is effective for fiscal years beginning after December 15, 2026, including interim periods within those fiscal years, with early adoption permitted. We are currently evaluating the impact of ASU 2025-09 on our consolidated financial statements.</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In November 2025, the FASB issued ASU No. 2025-08, </w:t>
      </w:r>
      <w:r>
        <w:rPr>
          <w:rFonts w:ascii="Times New Roman;serif" w:hAnsi="Times New Roman;serif"/>
          <w:b w:val="false"/>
          <w:i/>
          <w:color w:val="000000"/>
          <w:sz w:val="20"/>
        </w:rPr>
        <w:t xml:space="preserve">Financial Instruments—Credit Losses (Topic 326): Purchased Loans </w:t>
      </w:r>
      <w:r>
        <w:rPr>
          <w:rFonts w:ascii="Times New Roman;serif" w:hAnsi="Times New Roman;serif"/>
          <w:b w:val="false"/>
          <w:color w:val="000000"/>
          <w:sz w:val="20"/>
        </w:rPr>
        <w:t>("ASU 2025-08") which amends the guidance in ASC 326 on the accounting for certain purchased loans. The amendments expand the application of the "gross-up" approach for recognizing expected credit losses at acquisition to a broader category of purchased loans, referred to as purchased seasoned loans. Under this approach, the allowance for credit losses is added to the amortized cost basis of the acquired loans rather than recorded as an immediate provision for credit loss expense. The amendments align the accounting for purchased seasoned loans with the treatment of financial assets purchased with more-than-insignificant credit deterioration since origination. ASU 2025-08 is effective for fiscal years beginning after December 15, 2026, including interim periods within those years, with early adoption permitted. We are currently evaluating the impact of ASU 2025-08 on our consolidated financial statements.</w:t>
      </w:r>
    </w:p>
    <w:p>
      <w:pPr>
        <w:pStyle w:val="TextBody"/>
        <w:bidi w:val="0"/>
        <w:spacing w:before="0" w:after="12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Business Combinations (Topic 805) and Consolidation (Topic 810): Determining the Accounting Acquirer in the Acquisition of a Variable Interest Entity</w:t>
      </w:r>
      <w:r>
        <w:rPr>
          <w:color w:val="000000"/>
        </w:rPr>
        <w:t xml:space="preserve"> </w:t>
      </w:r>
      <w:r>
        <w:rPr>
          <w:rFonts w:ascii="Times New Roman;serif" w:hAnsi="Times New Roman;serif"/>
          <w:b w:val="false"/>
          <w:color w:val="000000"/>
          <w:sz w:val="20"/>
        </w:rPr>
        <w:t>("ASU 2025-03"). The objective of this amendment is to improve the requirements for identifying the accounting acquirer in a transaction where the legal acquiree is a VIE and improve comparability between business combinations that involve VIEs and those that do not. The amendment replaces the prior GAAP requirement that the primary beneficiary of the legal acquiree is always the accounting acquirer with an assessment to determine the accounting acquirer in business combinations effected primarily by the exchange of equity interests. ASU 2025-03 is effective for fiscal years beginning after December 15, 2026, including interim periods within those fiscal years. Early adoption is permitted. The amendments in ASU 2025-03 must be applied prospectively to any business combination that occurs after the initial adoption date. We will apply the guidance in this update to evaluate future business combinations involving a VIE.</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The objective of this amendment is to help investors better understand a public entity's performance, better assess the entity's prospect for future cash flows, and compare the entity's performance over time and with that of other entities. The amendment will require public business entities to include a footnote disclosure about specific expenses by requiring them to disaggregate, in a tabular presentation, each relevant expense caption on the face of the income statement that includes purchases of inventory, employee compensation, depreciation, and intangible asset amortization. For any remaining items within each relevant expense caption, a qualitative disclosure is required for the amounts that are not separately disaggregated quantitatively. Additionally, the amendment provides guidance on the definition of selling expenses along with a requirement to disclose the total amount of selling expenses. The amendment does not change the requirements for the presentation of expenses on the face of the income statement. ASU 2024-03 is effective for annual periods beginning after December 15, 2026, and interim reporting periods beginning after December 15, 2027. Early adoption is permitted. We are currently evaluating the impact of ASU 2024-03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3. Property Acquisitions and Consolidations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Property Acquisitions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properties acquired during the six months ended June 30, 2026:</w:t>
      </w:r>
    </w:p>
    <w:tbl>
      <w:tblPr>
        <w:tblW w:w="10205" w:type="dxa"/>
        <w:jc w:val="center"/>
        <w:tblInd w:w="0" w:type="dxa"/>
        <w:tblLayout w:type="fixed"/>
        <w:tblCellMar>
          <w:top w:w="28" w:type="dxa"/>
          <w:left w:w="28" w:type="dxa"/>
          <w:bottom w:w="28" w:type="dxa"/>
          <w:right w:w="28" w:type="dxa"/>
        </w:tblCellMar>
      </w:tblPr>
      <w:tblGrid>
        <w:gridCol w:w="1049"/>
        <w:gridCol w:w="818"/>
        <w:gridCol w:w="825"/>
        <w:gridCol w:w="109"/>
        <w:gridCol w:w="109"/>
        <w:gridCol w:w="109"/>
        <w:gridCol w:w="418"/>
        <w:gridCol w:w="418"/>
        <w:gridCol w:w="420"/>
        <w:gridCol w:w="109"/>
        <w:gridCol w:w="109"/>
        <w:gridCol w:w="109"/>
        <w:gridCol w:w="354"/>
        <w:gridCol w:w="354"/>
        <w:gridCol w:w="356"/>
        <w:gridCol w:w="109"/>
        <w:gridCol w:w="109"/>
        <w:gridCol w:w="109"/>
        <w:gridCol w:w="776"/>
        <w:gridCol w:w="776"/>
        <w:gridCol w:w="778"/>
        <w:gridCol w:w="109"/>
        <w:gridCol w:w="109"/>
        <w:gridCol w:w="109"/>
        <w:gridCol w:w="334"/>
        <w:gridCol w:w="949"/>
        <w:gridCol w:w="272"/>
      </w:tblGrid>
      <w:tr>
        <w:trPr/>
        <w:tc>
          <w:tcPr>
            <w:tcW w:w="104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Approximate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Gross Asset Valuation</w:t>
            </w:r>
          </w:p>
          <w:p>
            <w:pPr>
              <w:pStyle w:val="TableContents"/>
              <w:bidi w:val="0"/>
              <w:spacing w:lineRule="auto" w:line="240" w:before="0" w:after="0"/>
              <w:jc w:val="center"/>
              <w:rPr/>
            </w:pPr>
            <w:r>
              <w:rPr>
                <w:rFonts w:ascii="Times New Roman;serif" w:hAnsi="Times New Roman;serif"/>
                <w:b/>
                <w:color w:val="000000"/>
                <w:sz w:val="18"/>
              </w:rPr>
              <w:t xml:space="preserve">(in millions) </w:t>
            </w:r>
            <w:r>
              <w:rPr>
                <w:rFonts w:ascii="Times New Roman;serif" w:hAnsi="Times New Roman;serif"/>
                <w:b/>
                <w:color w:val="000000"/>
                <w:sz w:val="12"/>
              </w:rPr>
              <w:t>(1)</w:t>
            </w:r>
          </w:p>
        </w:tc>
      </w:tr>
      <w:tr>
        <w:trPr/>
        <w:tc>
          <w:tcPr>
            <w:tcW w:w="2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65 East 55th Street (Park Avenue Tower)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Fee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Condominium at 610 Park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Fee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(1)Represents the gross asset valuation of the property before closing costs and adjustments.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Property Consolidations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did not consolidate any previously unconsolidated joint venture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4. Property Dispositions and Properties Held for Sale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Property Dispositions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consolidated properties or joint venture interests sold during the six months ended June 30, 2026:</w:t>
      </w:r>
    </w:p>
    <w:tbl>
      <w:tblPr>
        <w:tblW w:w="10205" w:type="dxa"/>
        <w:jc w:val="left"/>
        <w:tblInd w:w="0" w:type="dxa"/>
        <w:tblLayout w:type="fixed"/>
        <w:tblCellMar>
          <w:top w:w="28" w:type="dxa"/>
          <w:left w:w="28" w:type="dxa"/>
          <w:bottom w:w="28" w:type="dxa"/>
          <w:right w:w="28" w:type="dxa"/>
        </w:tblCellMar>
      </w:tblPr>
      <w:tblGrid>
        <w:gridCol w:w="460"/>
        <w:gridCol w:w="404"/>
        <w:gridCol w:w="408"/>
        <w:gridCol w:w="109"/>
        <w:gridCol w:w="109"/>
        <w:gridCol w:w="109"/>
        <w:gridCol w:w="377"/>
        <w:gridCol w:w="377"/>
        <w:gridCol w:w="379"/>
        <w:gridCol w:w="109"/>
        <w:gridCol w:w="109"/>
        <w:gridCol w:w="109"/>
        <w:gridCol w:w="285"/>
        <w:gridCol w:w="285"/>
        <w:gridCol w:w="287"/>
        <w:gridCol w:w="109"/>
        <w:gridCol w:w="109"/>
        <w:gridCol w:w="109"/>
        <w:gridCol w:w="316"/>
        <w:gridCol w:w="316"/>
        <w:gridCol w:w="318"/>
        <w:gridCol w:w="109"/>
        <w:gridCol w:w="109"/>
        <w:gridCol w:w="109"/>
        <w:gridCol w:w="614"/>
        <w:gridCol w:w="614"/>
        <w:gridCol w:w="616"/>
        <w:gridCol w:w="109"/>
        <w:gridCol w:w="109"/>
        <w:gridCol w:w="109"/>
        <w:gridCol w:w="218"/>
        <w:gridCol w:w="619"/>
        <w:gridCol w:w="121"/>
        <w:gridCol w:w="109"/>
        <w:gridCol w:w="109"/>
        <w:gridCol w:w="109"/>
        <w:gridCol w:w="293"/>
        <w:gridCol w:w="697"/>
        <w:gridCol w:w="239"/>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Disposition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Approximate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Sales Price </w:t>
            </w:r>
            <w:r>
              <w:rPr>
                <w:rFonts w:ascii="Times New Roman;serif" w:hAnsi="Times New Roman;serif"/>
                <w:b/>
                <w:color w:val="000000"/>
                <w:sz w:val="12"/>
              </w:rPr>
              <w:t>(1)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Gain (Loss) on Sale </w:t>
            </w:r>
            <w:r>
              <w:rPr>
                <w:rFonts w:ascii="Times New Roman;serif" w:hAnsi="Times New Roman;serif"/>
                <w:b/>
                <w:color w:val="000000"/>
                <w:sz w:val="12"/>
              </w:rPr>
              <w:t>(2)</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7 Dey Street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Fee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199,521 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346 Madison Avenue </w:t>
            </w:r>
            <w:r>
              <w:rPr>
                <w:rFonts w:ascii="Times New Roman;serif" w:hAnsi="Times New Roman;serif"/>
                <w:b w:val="false"/>
                <w:color w:val="000000"/>
                <w:sz w:val="12"/>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Fee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275,138 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690 Madison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Fee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(1)Sales price represents the gross sales price for a property or the gross asset valuation for interests in a property.</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(2)The gain (loss) on sale is net of $9.9 million of employee compensation recognized in connection with the property dispositions. Amounts do not include adjustments for expenses recorded in subsequent periods.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(3)During the first quarter of 2026, the Company recognized a charge of $35.2 million to reduce the carrying value of the property to its fair value determined by the terms of the purchase and sale agreement. The charge is reflected in the Company's consolidated statements of operations within "Depreciable real estate reserves and impairments." </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(4)In May 2026, the Company sold a 49.0% interest in the property, which resulted in the Company no longer retaining a controlling financial interest in the entity, as defined in ASC 810, and as a result the Company deconsolidated the entity. The retained investment is accounted for under the equity method of accounting and was recorded at fair value which resulted in the recognition of a positive fair value adjustment of $5.0 million that is reflected in the Company's consolidated statements of operations within "Purchase price and other fair value adjustments." See Note 16, " Fair Value Measurements."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(5)The sales price excludes $10.8 million of reimbursable predevelopment costs incurred subsequent to the acquisition of the property in October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Properties Held for Sale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10 East 53rd Street was classified as held for sale following the execution of an agreement to sell the property for $310.0 million. The transaction closed in August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5. Investments in Unconsolidated Joint Ventures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investments in several real estate joint ventures with various third-party partners. As of June 30, 2026, investments with positive carrying values totaled $2.8 billion and are included in "Investments in unconsolidated joint ventures" on our consolidated balance sheets. As of June 30, 2026, two joint venture investments had negative carrying values totaling $206.9 million, which are included in "Other liabilities" on our consolidated balance sheets. For one of these joint ventures, we have reached the maximum negative carrying value based on related tenant obligations. Beginning in the second quarter of 2026, this negative carrying value will be reduced and recognized through earnings over the term of those tenant obligations.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have two unconsolidated joint ventures that are VIEs with a carrying value of $125.8 million. Our maximum loss is limited to the amount of our equity investment in these VIEs. As of December 31, 2025, there were no unconsolidated joint ventures that were VIEs. See the "Principles of Consolidation" section of Note 2, "Significant Accounting Policies."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we have the ability to exercise significant influence over, but do not control, the joint ventures listed below, we account for them under the equity method of accounting.</w:t>
      </w:r>
    </w:p>
    <w:p>
      <w:pPr>
        <w:pStyle w:val="TextBody"/>
        <w:bidi w:val="0"/>
        <w:spacing w:lineRule="auto" w:line="288" w:before="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table below provides general information on each of our joint ventures as of June 30, 2026:</w:t>
      </w:r>
    </w:p>
    <w:tbl>
      <w:tblPr>
        <w:tblW w:w="6007" w:type="dxa"/>
        <w:jc w:val="left"/>
        <w:tblInd w:w="0" w:type="dxa"/>
        <w:tblLayout w:type="fixed"/>
        <w:tblCellMar>
          <w:top w:w="28" w:type="dxa"/>
          <w:left w:w="28" w:type="dxa"/>
          <w:bottom w:w="28" w:type="dxa"/>
          <w:right w:w="28" w:type="dxa"/>
        </w:tblCellMar>
      </w:tblPr>
      <w:tblGrid>
        <w:gridCol w:w="684"/>
        <w:gridCol w:w="601"/>
        <w:gridCol w:w="605"/>
        <w:gridCol w:w="109"/>
        <w:gridCol w:w="109"/>
        <w:gridCol w:w="299"/>
        <w:gridCol w:w="299"/>
        <w:gridCol w:w="301"/>
        <w:gridCol w:w="879"/>
        <w:gridCol w:w="879"/>
        <w:gridCol w:w="1242"/>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Economic</w:t>
              <w:br/>
              <w:t xml:space="preserve">Interest </w:t>
            </w:r>
            <w:r>
              <w:rPr>
                <w:rFonts w:ascii="Times New Roman;serif" w:hAnsi="Times New Roman;serif"/>
                <w:b/>
                <w:color w:val="000000"/>
                <w:sz w:val="12"/>
              </w:rPr>
              <w:t>(1)</w:t>
            </w:r>
          </w:p>
        </w:tc>
        <w:tc>
          <w:tcPr>
            <w:tcW w:w="30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Approximate Square Feet</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919 Third Avenue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51.00%</w:t>
            </w:r>
          </w:p>
        </w:tc>
        <w:tc>
          <w:tcPr>
            <w:tcW w:w="1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1,454,000 </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280 Park Avenue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1,219,158 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1552 Broadway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57,718 </w:t>
            </w:r>
          </w:p>
        </w:tc>
        <w:tc>
          <w:tcPr>
            <w:tcW w:w="1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650 Fifth Avenue </w:t>
            </w:r>
            <w:r>
              <w:rPr>
                <w:rFonts w:ascii="Times New Roman;serif" w:hAnsi="Times New Roman;serif"/>
                <w:b w:val="false"/>
                <w:color w:val="000000"/>
                <w:sz w:val="12"/>
              </w:rPr>
              <w:t>(2)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69,214 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 Madison Avenue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60.00%</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2,314,000 </w:t>
            </w:r>
          </w:p>
        </w:tc>
        <w:tc>
          <w:tcPr>
            <w:tcW w:w="1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 Vanderbilt Avenue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55.01%</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1,657,198 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Worldwide Plaza </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25.05%</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2,048,725 </w:t>
            </w:r>
          </w:p>
        </w:tc>
        <w:tc>
          <w:tcPr>
            <w:tcW w:w="1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1515 Broadway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56.87%</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1,750,000 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2 Herald Square </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95.00%</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369,000 </w:t>
            </w:r>
          </w:p>
        </w:tc>
        <w:tc>
          <w:tcPr>
            <w:tcW w:w="1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115 Spring Street </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51.00%</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5,218 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 Beekman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20.00%</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221,884 </w:t>
            </w:r>
          </w:p>
        </w:tc>
        <w:tc>
          <w:tcPr>
            <w:tcW w:w="1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One Madison Avenue </w:t>
            </w:r>
            <w:r>
              <w:rPr>
                <w:rFonts w:ascii="Times New Roman;serif" w:hAnsi="Times New Roman;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25.50%</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1,048,700 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220 East 42nd Street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51.00%</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1,135,000 </w:t>
            </w:r>
          </w:p>
        </w:tc>
        <w:tc>
          <w:tcPr>
            <w:tcW w:w="1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450 Park Avenue </w:t>
            </w:r>
            <w:r>
              <w:rPr>
                <w:rFonts w:ascii="Times New Roman;serif" w:hAnsi="Times New Roman;serif"/>
                <w:b w:val="false"/>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25.10%</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337,000 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245 Park Avenue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50.10%</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1,782,793 </w:t>
            </w:r>
          </w:p>
        </w:tc>
        <w:tc>
          <w:tcPr>
            <w:tcW w:w="1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625 Madison Avenue </w:t>
            </w:r>
            <w:r>
              <w:rPr>
                <w:rFonts w:ascii="Times New Roman;serif" w:hAnsi="Times New Roman;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563,000 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 Park Avenue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50.80%</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834,000 </w:t>
            </w:r>
          </w:p>
        </w:tc>
        <w:tc>
          <w:tcPr>
            <w:tcW w:w="1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346 Madison Avenue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51.00%</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275,138 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(1)Economic interest represents the Company's interests in the joint venture as of June 30, 2026. Changes in economic interests within the current year are disclosed in the notes below.</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(2)Included in the Company's alternative strategy portfolio.</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(3)The joint venture owns a long-term leasehold interest in the retail space at 650 Fifth Avenue.</w:t>
      </w:r>
    </w:p>
    <w:p>
      <w:pPr>
        <w:pStyle w:val="TextBody"/>
        <w:bidi w:val="0"/>
        <w:spacing w:lineRule="auto" w:line="288" w:before="0" w:after="0"/>
        <w:ind w:left="0" w:right="0" w:hanging="450"/>
        <w:jc w:val="both"/>
        <w:rPr/>
      </w:pPr>
      <w:r>
        <w:rPr>
          <w:rFonts w:ascii="Times New Roman;serif" w:hAnsi="Times New Roman;serif"/>
          <w:b w:val="false"/>
          <w:color w:val="000000"/>
          <w:sz w:val="16"/>
        </w:rPr>
        <w:t xml:space="preserve">(4)In 2021, the Company admitted an additional partner with the partner's indirect ownership in the joint venture totaling 25.0%. The transaction did not meet sale accounting under ASC Topic 860, </w:t>
      </w:r>
      <w:r>
        <w:rPr>
          <w:rFonts w:ascii="Times New Roman;serif" w:hAnsi="Times New Roman;serif"/>
          <w:b w:val="false"/>
          <w:i/>
          <w:color w:val="000000"/>
          <w:sz w:val="16"/>
        </w:rPr>
        <w:t xml:space="preserve">Transfers and Servicing </w:t>
      </w:r>
      <w:r>
        <w:rPr>
          <w:rFonts w:ascii="Times New Roman;serif" w:hAnsi="Times New Roman;serif"/>
          <w:b w:val="false"/>
          <w:color w:val="000000"/>
          <w:sz w:val="16"/>
        </w:rPr>
        <w:t>("ASC 860") and, as a result, was treated as a secured borrowing for accounting purposes and is included in "Other liabilities" on our consolidated balance sheets at June 30, 2026 and December 31, 2025.</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(5)The Company's 25.1% economic interest is net of a 25.0% economic interest held by a third party. The third-party's economic interest is held in a joint venture that we consolidate as a 50.1% ownership interest. The third party's 25.0% economic interest is recognized in "Noncontrolling interests in other partnerships" on our consolidated balance sheet. A separate third-party owns the remaining 49.9% economic interest in the property.</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(6)In connection with the sale of the fee ownership in the property, which closed in May 2024, the Company, together with its joint venture partner, originated a $235.4 million preferred equity investment in the property with a mandatory redemption date of December 2026. In July 2025, the Company sold 50.0% of the joint venture entity that originated the preferred equity investment for $104.9 million. In conjunction with this transaction, the Company also acquired the remaining interest in the joint venture for $23.7 million and sold 50.0% of that interest for $10.9 million. In October 2025, the Company sold its interest in the joint venture to the Fund. The sale did not meet sale accounting under ASC 860 and, as a result, the investment in the joint venture is still presented within "Investments in unconsolidated joint ventures" on our consolidated balance sheet. The investment has a balance of $133.5 million, net of unamortized discounts and loan loss reserves, with an aggregate weighted average current yield of 16.83%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Disposition of Joint Venture Interests or Properties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did not dispose of any investments in unconsolidated joint ventures during the six months ended June 30, 2026.</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Acquisition of Joint Venture Interests or Properties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did not acquire any investments in unconsolidated joint ventures during the six months ended June 30, 2026.</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Joint Venture Mortgages and Other Loans Payable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generally finance our joint ventures with non-recourse debt. In certain cases, we may provide guarantees or master leases, which terminate upon the satisfaction of specified circumstances or repayment of the underlying loans. The mortgage notes and other loans payable collateralized by the respective joint venture properties and assignment of leases as of June 30, 2026 and December 31, 2025, respectively, are as follows (dollars in thousands):</w:t>
      </w:r>
    </w:p>
    <w:tbl>
      <w:tblPr>
        <w:tblW w:w="10896" w:type="dxa"/>
        <w:jc w:val="left"/>
        <w:tblInd w:w="0" w:type="dxa"/>
        <w:tblLayout w:type="fixed"/>
        <w:tblCellMar>
          <w:top w:w="28" w:type="dxa"/>
          <w:left w:w="28" w:type="dxa"/>
          <w:bottom w:w="28" w:type="dxa"/>
          <w:right w:w="28" w:type="dxa"/>
        </w:tblCellMar>
      </w:tblPr>
      <w:tblGrid>
        <w:gridCol w:w="388"/>
        <w:gridCol w:w="248"/>
        <w:gridCol w:w="250"/>
        <w:gridCol w:w="278"/>
        <w:gridCol w:w="278"/>
        <w:gridCol w:w="427"/>
        <w:gridCol w:w="330"/>
        <w:gridCol w:w="255"/>
        <w:gridCol w:w="256"/>
        <w:gridCol w:w="330"/>
        <w:gridCol w:w="255"/>
        <w:gridCol w:w="256"/>
        <w:gridCol w:w="109"/>
        <w:gridCol w:w="109"/>
        <w:gridCol w:w="109"/>
        <w:gridCol w:w="110"/>
        <w:gridCol w:w="110"/>
        <w:gridCol w:w="110"/>
        <w:gridCol w:w="139"/>
        <w:gridCol w:w="139"/>
        <w:gridCol w:w="143"/>
        <w:gridCol w:w="109"/>
        <w:gridCol w:w="109"/>
        <w:gridCol w:w="109"/>
        <w:gridCol w:w="196"/>
        <w:gridCol w:w="976"/>
        <w:gridCol w:w="109"/>
        <w:gridCol w:w="109"/>
        <w:gridCol w:w="109"/>
        <w:gridCol w:w="109"/>
        <w:gridCol w:w="196"/>
        <w:gridCol w:w="886"/>
        <w:gridCol w:w="109"/>
        <w:gridCol w:w="109"/>
        <w:gridCol w:w="109"/>
        <w:gridCol w:w="109"/>
        <w:gridCol w:w="196"/>
        <w:gridCol w:w="961"/>
        <w:gridCol w:w="109"/>
        <w:gridCol w:w="109"/>
        <w:gridCol w:w="109"/>
        <w:gridCol w:w="109"/>
        <w:gridCol w:w="196"/>
        <w:gridCol w:w="871"/>
        <w:gridCol w:w="154"/>
      </w:tblGrid>
      <w:tr>
        <w:trPr/>
        <w:tc>
          <w:tcPr>
            <w:tcW w:w="3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Maturity</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Final 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w:t>
            </w:r>
            <w:r>
              <w:rPr>
                <w:rFonts w:ascii="Times New Roman;serif" w:hAnsi="Times New Roman;serif"/>
                <w:b/>
                <w:color w:val="000000"/>
                <w:sz w:val="10"/>
              </w:rPr>
              <w:t>(1)</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Date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SLG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SLG Share</w:t>
            </w:r>
          </w:p>
        </w:tc>
      </w:tr>
      <w:tr>
        <w:trPr/>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 Debt:</w:t>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650 Fifth Avenue ⁽⁵⁾</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2026 ⁽⁶⁾</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115 Spring Street ⁽⁵⁾</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2026</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33,941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280 Park Avenue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2026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537,500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1515 Broadway</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 2027</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672,225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382,288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919 Third Avenue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April 2027</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April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245 Park Avenue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2027</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1,768,000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885,768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Worldwide Plaza ⁽⁵⁾</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2027</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300,600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220 East 42nd Street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2027</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496,412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253,170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 Park Avenue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2028</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382,872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194,499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 Beekman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2028</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23,400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 Madison Avenue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2030</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Madison Avenue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April 2031</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April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420,750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Vanderbilt Avenue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55.01 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2031</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1,650,300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rate debt</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12,393,060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5,809,716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5,415,627 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Floating Rate Debt:</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650 Fifth Avenue ⁽⁵⁾</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2026 ⁽⁶⁾</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450 Park Avenue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2027</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290,435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72,899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Madison Avenue</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 West 34th Street ⁽⁴⁾</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1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floating rate debt</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500,435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177,899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1,687,249 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joint venture mortgages and other loans payable</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12,893,495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5,987,615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5,897,198 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 net</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(104,433)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joint venture mortgages and other loans payable, net</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12,789,062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5,937,497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12,378,150 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5,846,722 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(1)Economic interest represents the Company's interests in the joint venture as of June 30, 2026. Changes in ownership or economic interests, if any, within the current year are disclosed in the notes to the investment in unconsolidated joint ventures table above.</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(2)Reflects exercise of all available extension options. The ability to exercise extension options may be subject to certain conditions, including the operating performance of the property.</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(3)Interest rates as of June 30, 2026, taking into account interest rate hedges at the joint venture. Corporate interest rate hedges are not taken into consideration. Floating rate debt is presented with the stated spread over Term or Alternative SOFR ("S").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(4)In April 2026, the lender foreclosed on the property. As a result, the joint venture no longer owns the property. </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(5)Included in the Company's alternative strategy portfolio.</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(6)The Company is in discussions with the lender on resolution of the past maturity.</w:t>
      </w:r>
    </w:p>
    <w:p>
      <w:pPr>
        <w:pStyle w:val="TextBody"/>
        <w:bidi w:val="0"/>
        <w:spacing w:before="0" w:after="0"/>
        <w:jc w:val="both"/>
        <w:rPr/>
      </w:pPr>
      <w:r>
        <w:rPr/>
      </w:r>
    </w:p>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receive fees for providing management, leasing, construction supervision and asset management services to certain of our joint ventures. We recognized $3.3 million and $7.6 million from these services, net of our ownership share of the joint ventures, for the three and six months ended June 30, 2026, respectively. We recognized $2.9 million and $5.5 million from these services, net of our ownership share of the joint ventures, for the three and six months ended June 30, 2025, respectively. In addition, we have the ability to earn incentive fees based on the ultimate financial performance of certain of the joint venture properties.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combined balance sheets for the unconsolidated joint ventures, at June 30, 2026 and December 31, 2025 are as follows (in thousands):</w:t>
      </w:r>
    </w:p>
    <w:tbl>
      <w:tblPr>
        <w:tblW w:w="9226" w:type="dxa"/>
        <w:jc w:val="left"/>
        <w:tblInd w:w="0" w:type="dxa"/>
        <w:tblLayout w:type="fixed"/>
        <w:tblCellMar>
          <w:top w:w="28" w:type="dxa"/>
          <w:left w:w="28" w:type="dxa"/>
          <w:bottom w:w="28" w:type="dxa"/>
          <w:right w:w="28" w:type="dxa"/>
        </w:tblCellMar>
      </w:tblPr>
      <w:tblGrid>
        <w:gridCol w:w="2181"/>
        <w:gridCol w:w="1908"/>
        <w:gridCol w:w="1940"/>
        <w:gridCol w:w="196"/>
        <w:gridCol w:w="976"/>
        <w:gridCol w:w="109"/>
        <w:gridCol w:w="109"/>
        <w:gridCol w:w="109"/>
        <w:gridCol w:w="109"/>
        <w:gridCol w:w="237"/>
        <w:gridCol w:w="1166"/>
        <w:gridCol w:w="186"/>
      </w:tblGrid>
      <w:tr>
        <w:trPr/>
        <w:tc>
          <w:tcPr>
            <w:tcW w:w="2181"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 xml:space="preserve">Assets </w:t>
            </w:r>
            <w:r>
              <w:rPr>
                <w:rFonts w:ascii="Times New Roman;serif" w:hAnsi="Times New Roman;serif"/>
                <w:b/>
                <w:i/>
                <w:color w:val="000000"/>
                <w:sz w:val="12"/>
              </w:rPr>
              <w:t>(1)</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property,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15,604,483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15,434,243 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764,498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647,413 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and other receivables, related party receivables, and deferred rents receivable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841,058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771,123 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preferred equity investments,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282,729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816,347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824,088 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1,569,311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1,685,360 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19,878,426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19,624,733 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 xml:space="preserve">Liabilities and equity </w:t>
            </w:r>
            <w:r>
              <w:rPr>
                <w:rFonts w:ascii="Times New Roman;serif" w:hAnsi="Times New Roman;serif"/>
                <w:b/>
                <w:i/>
                <w:color w:val="000000"/>
                <w:sz w:val="12"/>
              </w:rPr>
              <w:t>(1)</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Mortgages and other loans payable,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12,789,062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12,378,150 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781,877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852,035 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906,563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908,988 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458,576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4,942,348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5,000,759 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19,878,426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19,624,733 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Company's investments in unconsolidated joint ventures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2,849,912</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2,624,755 </w:t>
            </w:r>
          </w:p>
        </w:tc>
        <w:tc>
          <w:tcPr>
            <w:tcW w:w="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(1)At June 30, 2026, $442.5 million of net unamortized basis differences between the amount at which our investments are carried and our share of equity in net assets of the underlying property will be amortized through equity in net income (loss) from unconsolidated joint ventures over the remaining life of the underlying items having given rise to the differences.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combined statements of operations for the unconsolidated joint ventures, from acquisition date through the three and six months ended June 30, 2026 and 2025, are as follows (in thousands):</w:t>
      </w:r>
    </w:p>
    <w:tbl>
      <w:tblPr>
        <w:tblW w:w="10205" w:type="dxa"/>
        <w:jc w:val="left"/>
        <w:tblInd w:w="0" w:type="dxa"/>
        <w:tblLayout w:type="fixed"/>
        <w:tblCellMar>
          <w:top w:w="28" w:type="dxa"/>
          <w:left w:w="28" w:type="dxa"/>
          <w:bottom w:w="28" w:type="dxa"/>
          <w:right w:w="28" w:type="dxa"/>
        </w:tblCellMar>
      </w:tblPr>
      <w:tblGrid>
        <w:gridCol w:w="1826"/>
        <w:gridCol w:w="1569"/>
        <w:gridCol w:w="1576"/>
        <w:gridCol w:w="196"/>
        <w:gridCol w:w="756"/>
        <w:gridCol w:w="109"/>
        <w:gridCol w:w="109"/>
        <w:gridCol w:w="109"/>
        <w:gridCol w:w="109"/>
        <w:gridCol w:w="196"/>
        <w:gridCol w:w="741"/>
        <w:gridCol w:w="109"/>
        <w:gridCol w:w="109"/>
        <w:gridCol w:w="109"/>
        <w:gridCol w:w="109"/>
        <w:gridCol w:w="196"/>
        <w:gridCol w:w="751"/>
        <w:gridCol w:w="109"/>
        <w:gridCol w:w="109"/>
        <w:gridCol w:w="109"/>
        <w:gridCol w:w="109"/>
        <w:gridCol w:w="196"/>
        <w:gridCol w:w="736"/>
        <w:gridCol w:w="158"/>
      </w:tblGrid>
      <w:tr>
        <w:trPr/>
        <w:tc>
          <w:tcPr>
            <w:tcW w:w="182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422,088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832,466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754,102 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72,588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148,424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131,212 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and other investment reserves, net of recoveries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143,013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282,911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270,797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439,648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876,235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806,304 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(52,202)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Company's equity in net income (loss) from unconsolidated joint ventures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14,948</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(22,775)</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(5,832)</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6. Debt Fund </w:t>
      </w:r>
    </w:p>
    <w:p>
      <w:pPr>
        <w:pStyle w:val="TextBody"/>
        <w:bidi w:val="0"/>
        <w:spacing w:lineRule="auto" w:line="26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total capital committed to the Fund by all investors was $1.3 billion, of which $422.5 million had been funded. As of June 30, 2026, the Company's share of the total capital committed to the Fund was $118.6 million, of which $37.3 million had been funded.</w:t>
      </w:r>
    </w:p>
    <w:p>
      <w:pPr>
        <w:pStyle w:val="TextBody"/>
        <w:bidi w:val="0"/>
        <w:spacing w:lineRule="auto" w:line="26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Fund made additional investments with an aggregate fair value of $224.8 million. During the six months ended June 30, 2026, no investments were sold or repaid.</w:t>
      </w:r>
    </w:p>
    <w:p>
      <w:pPr>
        <w:pStyle w:val="TextBody"/>
        <w:bidi w:val="0"/>
        <w:spacing w:lineRule="auto" w:line="26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Fund has a term of 7 years from its initial closing in November 2024. The term may be extended for up to three consecutive one-year periods. The Fund has an investment period of 3.5 years from its initial closing in November 2024, which may be extended for one year. During the investment period, the Fund is our primary investment vehicle for investments that fit within the Fund's investment parameters, as set forth in the Fund's operating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7. Debt and Preferred Equity Investments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summary of the activity in our consolidated debt and preferred equity investments for the six months ended June 30, 2026 and the twelve months ended December 31, 2025 (in thousands):</w:t>
      </w:r>
    </w:p>
    <w:tbl>
      <w:tblPr>
        <w:tblW w:w="7691" w:type="dxa"/>
        <w:jc w:val="center"/>
        <w:tblInd w:w="0" w:type="dxa"/>
        <w:tblLayout w:type="fixed"/>
        <w:tblCellMar>
          <w:top w:w="28" w:type="dxa"/>
          <w:left w:w="28" w:type="dxa"/>
          <w:bottom w:w="28" w:type="dxa"/>
          <w:right w:w="28" w:type="dxa"/>
        </w:tblCellMar>
      </w:tblPr>
      <w:tblGrid>
        <w:gridCol w:w="1672"/>
        <w:gridCol w:w="1471"/>
        <w:gridCol w:w="1476"/>
        <w:gridCol w:w="214"/>
        <w:gridCol w:w="822"/>
        <w:gridCol w:w="119"/>
        <w:gridCol w:w="109"/>
        <w:gridCol w:w="109"/>
        <w:gridCol w:w="109"/>
        <w:gridCol w:w="287"/>
        <w:gridCol w:w="1078"/>
        <w:gridCol w:w="225"/>
      </w:tblGrid>
      <w:tr>
        <w:trPr/>
        <w:tc>
          <w:tcPr>
            <w:tcW w:w="167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at beginning of year </w:t>
            </w:r>
            <w:r>
              <w:rPr>
                <w:rFonts w:ascii="Times New Roman;serif" w:hAnsi="Times New Roman;serif"/>
                <w:b w:val="false"/>
                <w:color w:val="000000"/>
                <w:sz w:val="12"/>
              </w:rPr>
              <w:t>(1)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168,358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303,726 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Debt investment originations/fundings/accretion </w:t>
            </w:r>
            <w:r>
              <w:rPr>
                <w:rFonts w:ascii="Times New Roman;serif" w:hAnsi="Times New Roman;serif"/>
                <w:b w:val="false"/>
                <w:color w:val="000000"/>
                <w:sz w:val="12"/>
              </w:rPr>
              <w:t>(2)</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5,010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Preferred equity investment originations/accretion </w:t>
            </w:r>
            <w:r>
              <w:rPr>
                <w:rFonts w:ascii="Times New Roman;serif" w:hAnsi="Times New Roman;serif"/>
                <w:b w:val="false"/>
                <w:color w:val="000000"/>
                <w:sz w:val="12"/>
              </w:rPr>
              <w:t>(2)</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Repayment/sales/syndications/equity ownership/amortization </w:t>
            </w:r>
            <w:r>
              <w:rPr>
                <w:rFonts w:ascii="Times New Roman;serif" w:hAnsi="Times New Roman;serif"/>
                <w:b w:val="false"/>
                <w:color w:val="000000"/>
                <w:sz w:val="12"/>
              </w:rPr>
              <w:t>(3)</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(60,283)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(151,419)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loan loss reserves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at end of period </w:t>
            </w:r>
            <w:r>
              <w:rPr>
                <w:rFonts w:ascii="Times New Roman;serif" w:hAnsi="Times New Roman;serif"/>
                <w:b w:val="false"/>
                <w:color w:val="000000"/>
                <w:sz w:val="12"/>
              </w:rPr>
              <w:t xml:space="preserve">(1) (4)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113,085</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168,358 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(1)Net of unamortized fees, discounts, and premiums.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(2)Accretion includes amortization of fees and discounts and paid-in-kind investment income.</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(3)In December 2025, a restructuring agreement was executed for one of our loans, and a $3.25 million partial loan repayment was received, followed by an additional $2.50 million partial loan repayment received in January 2026 which extended the loan to March 2026. Pursuant to the restructuring agreement, a final loan repayment of $26.0 million was received in February 2026, at which point the remaining loan balance was converted into a participation interest in the underlying property, which is included in "Investments in unconsolidated joint ventures" on our consolidated balance sheet.</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(4)Excludes a preferred equity investment with a carrying value of $133.5 million as of June 30, 2026 and $122.4 million as of December 31, 2025, which the Company sold to the Fund in October 2025. The sale did not meet sale accounting under ASC 860 and, as a result, the investment is still presented within "Investments in unconsolidated joint ventures" on our consolidated balance sheet. See Note 5, "Investments in Unconsolidated Joint Ventures." Also excludes a preferred equity investment in an entity in which the Company is the primary beneficiary. The underlying property, 315 West 33rd Street, is consolidated in our financial statements.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consolidated debt and preferred equity investments, which had an aggregate weighted average current yield of 7.60% as of June 30, 2026 (dollars in thousands):</w:t>
      </w:r>
    </w:p>
    <w:tbl>
      <w:tblPr>
        <w:tblW w:w="11726" w:type="dxa"/>
        <w:jc w:val="center"/>
        <w:tblInd w:w="0" w:type="dxa"/>
        <w:tblLayout w:type="fixed"/>
        <w:tblCellMar>
          <w:top w:w="28" w:type="dxa"/>
          <w:left w:w="28" w:type="dxa"/>
          <w:bottom w:w="28" w:type="dxa"/>
          <w:right w:w="28" w:type="dxa"/>
        </w:tblCellMar>
      </w:tblPr>
      <w:tblGrid>
        <w:gridCol w:w="315"/>
        <w:gridCol w:w="276"/>
        <w:gridCol w:w="280"/>
        <w:gridCol w:w="196"/>
        <w:gridCol w:w="661"/>
        <w:gridCol w:w="109"/>
        <w:gridCol w:w="196"/>
        <w:gridCol w:w="661"/>
        <w:gridCol w:w="109"/>
        <w:gridCol w:w="235"/>
        <w:gridCol w:w="235"/>
        <w:gridCol w:w="236"/>
        <w:gridCol w:w="109"/>
        <w:gridCol w:w="109"/>
        <w:gridCol w:w="109"/>
        <w:gridCol w:w="196"/>
        <w:gridCol w:w="661"/>
        <w:gridCol w:w="109"/>
        <w:gridCol w:w="196"/>
        <w:gridCol w:w="661"/>
        <w:gridCol w:w="109"/>
        <w:gridCol w:w="235"/>
        <w:gridCol w:w="235"/>
        <w:gridCol w:w="236"/>
        <w:gridCol w:w="109"/>
        <w:gridCol w:w="109"/>
        <w:gridCol w:w="109"/>
        <w:gridCol w:w="196"/>
        <w:gridCol w:w="751"/>
        <w:gridCol w:w="109"/>
        <w:gridCol w:w="109"/>
        <w:gridCol w:w="109"/>
        <w:gridCol w:w="109"/>
        <w:gridCol w:w="221"/>
        <w:gridCol w:w="645"/>
        <w:gridCol w:w="125"/>
        <w:gridCol w:w="109"/>
        <w:gridCol w:w="109"/>
        <w:gridCol w:w="109"/>
        <w:gridCol w:w="196"/>
        <w:gridCol w:w="751"/>
        <w:gridCol w:w="109"/>
        <w:gridCol w:w="109"/>
        <w:gridCol w:w="109"/>
        <w:gridCol w:w="109"/>
        <w:gridCol w:w="246"/>
        <w:gridCol w:w="246"/>
        <w:gridCol w:w="349"/>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Floating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Carrying Value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8"/>
              </w:rPr>
              <w:br/>
            </w:r>
            <w:r>
              <w:rPr>
                <w:rFonts w:ascii="Times New Roman;serif" w:hAnsi="Times New Roman;serif"/>
                <w:b/>
                <w:color w:val="000000"/>
                <w:sz w:val="18"/>
              </w:rPr>
              <w:t>Future Funding</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Senior Financing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Maturity </w:t>
            </w:r>
            <w:r>
              <w:rPr>
                <w:rFonts w:ascii="Times New Roman;serif" w:hAnsi="Times New Roman;serif"/>
                <w:b/>
                <w:color w:val="000000"/>
                <w:sz w:val="12"/>
              </w:rPr>
              <w:t>(3)</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Type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color w:val="000000"/>
                <w:sz w:val="12"/>
              </w:rPr>
              <w:t>(1)</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Interest Rate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color w:val="000000"/>
                <w:sz w:val="12"/>
              </w:rPr>
              <w:t>(1)</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Mezzanine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77,599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77,602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 + 4.95% - 11.63%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35,486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35,786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2,999</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435,528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2025 - 2029</w:t>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77,599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77,602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35,486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35,786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113,085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2,999</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435,528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(1)Net of unamortized fees, discounts, and premiums.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(2)Floating interest rates are presented with the stated spread over Term SOFR ("S").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(3)Excludes available extension options to the extent they have not been exercised as of the date of this filing. One loan with a carrying value of $9.27 million as of June 30, 2026 and December 31, 2025 was put on non-accrual in January 2025 and went into default in August 2025. It remains on non-accrual as of June 30, 2026. No investment income has been recognized subsequent to it being put on non-accrual. The Company is in discussions with the borrower on resolution of the past maturity. No other financing receivables were 90 days past due as of June 30, 2026 and December 31, 2025.</w:t>
      </w:r>
    </w:p>
    <w:p>
      <w:pPr>
        <w:pStyle w:val="TextBody"/>
        <w:bidi w:val="0"/>
        <w:spacing w:before="0" w:after="0"/>
        <w:ind w:left="0" w:right="0" w:hanging="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is a roll forward of our total allowance for loan losses for the six months ended June 30, 2026 and the twelve months ended December 31, 2025 (in thousands):</w:t>
      </w:r>
    </w:p>
    <w:tbl>
      <w:tblPr>
        <w:tblW w:w="9370" w:type="dxa"/>
        <w:jc w:val="left"/>
        <w:tblInd w:w="0" w:type="dxa"/>
        <w:tblLayout w:type="fixed"/>
        <w:tblCellMar>
          <w:top w:w="28" w:type="dxa"/>
          <w:left w:w="28" w:type="dxa"/>
          <w:bottom w:w="28" w:type="dxa"/>
          <w:right w:w="28" w:type="dxa"/>
        </w:tblCellMar>
      </w:tblPr>
      <w:tblGrid>
        <w:gridCol w:w="2280"/>
        <w:gridCol w:w="2005"/>
        <w:gridCol w:w="2014"/>
        <w:gridCol w:w="305"/>
        <w:gridCol w:w="680"/>
        <w:gridCol w:w="170"/>
        <w:gridCol w:w="109"/>
        <w:gridCol w:w="109"/>
        <w:gridCol w:w="109"/>
        <w:gridCol w:w="313"/>
        <w:gridCol w:w="1031"/>
        <w:gridCol w:w="245"/>
      </w:tblGrid>
      <w:tr>
        <w:trPr/>
        <w:tc>
          <w:tcPr>
            <w:tcW w:w="2280"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year</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454</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provision for loan loss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Initial allowance for credit losses on loans purchased with credit deterioration ("PCD") </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99,039 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of the allowance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period recoveries </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(71,626)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300</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carrying value of our consolidated debt and preferred equity investment portfolio by year of origination and risk rating as of June 30, 2026 and December 31, 2025 (dollars in thousands):</w:t>
      </w:r>
    </w:p>
    <w:tbl>
      <w:tblPr>
        <w:tblW w:w="10205" w:type="dxa"/>
        <w:jc w:val="left"/>
        <w:tblInd w:w="0" w:type="dxa"/>
        <w:tblLayout w:type="fixed"/>
        <w:tblCellMar>
          <w:top w:w="28" w:type="dxa"/>
          <w:left w:w="28" w:type="dxa"/>
          <w:bottom w:w="28" w:type="dxa"/>
          <w:right w:w="28" w:type="dxa"/>
        </w:tblCellMar>
      </w:tblPr>
      <w:tblGrid>
        <w:gridCol w:w="782"/>
        <w:gridCol w:w="666"/>
        <w:gridCol w:w="619"/>
        <w:gridCol w:w="109"/>
        <w:gridCol w:w="109"/>
        <w:gridCol w:w="109"/>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736"/>
        <w:gridCol w:w="109"/>
        <w:gridCol w:w="109"/>
        <w:gridCol w:w="109"/>
        <w:gridCol w:w="109"/>
        <w:gridCol w:w="196"/>
        <w:gridCol w:w="751"/>
        <w:gridCol w:w="156"/>
      </w:tblGrid>
      <w:tr>
        <w:trPr/>
        <w:tc>
          <w:tcPr>
            <w:tcW w:w="78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9"/>
            <w:tcBorders/>
            <w:tcMar>
              <w:top w:w="0" w:type="dxa"/>
              <w:left w:w="0" w:type="dxa"/>
              <w:bottom w:w="0" w:type="dxa"/>
              <w:right w:w="0" w:type="dxa"/>
            </w:tcMar>
            <w:vAlign w:val="center"/>
          </w:tcPr>
          <w:p>
            <w:pPr>
              <w:pStyle w:val="TableContents"/>
              <w:bidi w:val="0"/>
              <w:spacing w:lineRule="auto" w:line="240" w:before="0" w:after="0"/>
              <w:ind w:left="0" w:right="0" w:firstLine="495"/>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2026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2025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2024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2023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2022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Prior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1 - Low Risk Assets - Low probability of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25,000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2 - Watch List Assets - Higher potential for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88,085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 High Risk Assets - Loss more likely than not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113,085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(1)Year in which the investment was originated or acquired by us or in which a material modification occurred. </w:t>
      </w:r>
    </w:p>
    <w:tbl>
      <w:tblPr>
        <w:tblW w:w="10205" w:type="dxa"/>
        <w:jc w:val="left"/>
        <w:tblInd w:w="0" w:type="dxa"/>
        <w:tblLayout w:type="fixed"/>
        <w:tblCellMar>
          <w:top w:w="28" w:type="dxa"/>
          <w:left w:w="28" w:type="dxa"/>
          <w:bottom w:w="28" w:type="dxa"/>
          <w:right w:w="28" w:type="dxa"/>
        </w:tblCellMar>
      </w:tblPr>
      <w:tblGrid>
        <w:gridCol w:w="833"/>
        <w:gridCol w:w="713"/>
        <w:gridCol w:w="672"/>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736"/>
        <w:gridCol w:w="109"/>
        <w:gridCol w:w="109"/>
        <w:gridCol w:w="109"/>
        <w:gridCol w:w="109"/>
        <w:gridCol w:w="196"/>
        <w:gridCol w:w="751"/>
        <w:gridCol w:w="155"/>
      </w:tblGrid>
      <w:tr>
        <w:trPr/>
        <w:tc>
          <w:tcPr>
            <w:tcW w:w="83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9"/>
            <w:tcBorders/>
            <w:tcMar>
              <w:top w:w="0" w:type="dxa"/>
              <w:left w:w="0" w:type="dxa"/>
              <w:bottom w:w="0" w:type="dxa"/>
              <w:right w:w="0" w:type="dxa"/>
            </w:tcMar>
            <w:vAlign w:val="center"/>
          </w:tcPr>
          <w:p>
            <w:pPr>
              <w:pStyle w:val="TableContents"/>
              <w:bidi w:val="0"/>
              <w:spacing w:lineRule="auto" w:line="240" w:before="0" w:after="0"/>
              <w:ind w:left="0" w:right="0" w:firstLine="495"/>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2025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2024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2023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2022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2021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Prior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1 - Low Risk Assets - Low probability of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20,000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2 - Watch List Assets - Higher potential for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148,358</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 High Risk Assets - Loss more likely than not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168,358</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(1)Year in which the investment was originated or acquired by us or in which a material modification occurred. </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(2)Includes one investment with a total carrying value of $50.3 million as of December 31, 2025, that was included in the Company's alternative strategy portfolio. </w:t>
      </w:r>
    </w:p>
    <w:p>
      <w:pPr>
        <w:pStyle w:val="TextBody"/>
        <w:bidi w:val="0"/>
        <w:spacing w:before="0" w:after="0"/>
        <w:jc w:val="both"/>
        <w:rPr/>
      </w:pPr>
      <w:r>
        <w:rPr/>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determined that we have one portfolio segment of financing receivables as of June 30, 2026 and December 31, 2025 comprised of commercial real estate in the New York metropolitan area, which is primarily recorded in debt and preferred equity investments.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Included in "Other assets" is an additional amount of financing receivables representing loans to joint venture partners totaling $19.5 million and $15.9 million as of June 30, 2026 and December 31, 2025, respectively. The Company recorded no provisions for loan losses related to these financing receivables for the six months ended June 30, 2026 and 2025. All of the loans with a carrying value as of June 30, 2026 have a risk rating of 2 and were performing in accordance with their respective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8. Mortgages and Other Loans Payable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mortgages and other loans payable as of June 30, 2026 and December 31, 2025, respectively, were as follows (dollars in thousands):</w:t>
      </w:r>
    </w:p>
    <w:tbl>
      <w:tblPr>
        <w:tblW w:w="10205" w:type="dxa"/>
        <w:jc w:val="left"/>
        <w:tblInd w:w="0" w:type="dxa"/>
        <w:tblLayout w:type="fixed"/>
        <w:tblCellMar>
          <w:top w:w="28" w:type="dxa"/>
          <w:left w:w="28" w:type="dxa"/>
          <w:bottom w:w="28" w:type="dxa"/>
          <w:right w:w="28" w:type="dxa"/>
        </w:tblCellMar>
      </w:tblPr>
      <w:tblGrid>
        <w:gridCol w:w="922"/>
        <w:gridCol w:w="746"/>
        <w:gridCol w:w="751"/>
        <w:gridCol w:w="109"/>
        <w:gridCol w:w="109"/>
        <w:gridCol w:w="109"/>
        <w:gridCol w:w="512"/>
        <w:gridCol w:w="490"/>
        <w:gridCol w:w="491"/>
        <w:gridCol w:w="503"/>
        <w:gridCol w:w="480"/>
        <w:gridCol w:w="482"/>
        <w:gridCol w:w="109"/>
        <w:gridCol w:w="109"/>
        <w:gridCol w:w="109"/>
        <w:gridCol w:w="117"/>
        <w:gridCol w:w="117"/>
        <w:gridCol w:w="117"/>
        <w:gridCol w:w="168"/>
        <w:gridCol w:w="168"/>
        <w:gridCol w:w="177"/>
        <w:gridCol w:w="109"/>
        <w:gridCol w:w="109"/>
        <w:gridCol w:w="109"/>
        <w:gridCol w:w="196"/>
        <w:gridCol w:w="886"/>
        <w:gridCol w:w="109"/>
        <w:gridCol w:w="109"/>
        <w:gridCol w:w="109"/>
        <w:gridCol w:w="109"/>
        <w:gridCol w:w="231"/>
        <w:gridCol w:w="1045"/>
        <w:gridCol w:w="189"/>
      </w:tblGrid>
      <w:tr>
        <w:trPr/>
        <w:tc>
          <w:tcPr>
            <w:tcW w:w="92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Maturity Date</w:t>
            </w:r>
          </w:p>
        </w:tc>
        <w:tc>
          <w:tcPr>
            <w:tcW w:w="14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Final Maturity Date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Interest</w:t>
            </w:r>
          </w:p>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 Church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Landmark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2027</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485 Lexington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315 West 33rd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East 53rd Street ⁽³⁾</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2027</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500 Park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2028</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800 Third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2029</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177,000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610 Park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2029</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65 East 55th Street- Park Avenue Tower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2031</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420 Lexington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2040</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 Dey Street ⁽⁴⁾</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190,149 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2,369,708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2,075,222</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Floating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 subscription line ⁽⁵⁾</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2027</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w:t>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79,422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79,277 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floating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79,422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79,277 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rate and floating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2,449,130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2,154,499 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Mortgages reclassed to liabilities related to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(204,325)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mortgages and other loans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2,244,805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2,154,499 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costs, net of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mortgages and other loans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2,229,405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2,146,049 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(1)Reflects exercise of all available extension options. The ability to exercise extension options may be subject to certain conditions, including the operating performance of the property.</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(2)Interest rate as of June 30, 2026, taking into account interest rate hedges in effect during the period. Floating rate debt is presented with the stated spread over Term or Alternative SOFR ("S"), unless otherwise specified.</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(3)The property is classified as held for sale as of June 30, 2026. See Note 4, "Property Dispositions and Properties Held for Sale."</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(4)In May 2026, the property was sold. See Note 4, "Property Dispositions and Properties Held for Sale."</w:t>
      </w:r>
    </w:p>
    <w:p>
      <w:pPr>
        <w:pStyle w:val="TextBody"/>
        <w:bidi w:val="0"/>
        <w:spacing w:lineRule="auto" w:line="276"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(5)The Fund has access to a subscription line with a maximum commitment of $200 million as of June 30, 2026, secured by investor capital commitments. The facility is used to fund investments prior to capital calls and is repaid through capital contributions. The subscription line is non-recourse to the Company.</w:t>
      </w:r>
    </w:p>
    <w:p>
      <w:pPr>
        <w:pStyle w:val="TextBody"/>
        <w:bidi w:val="0"/>
        <w:spacing w:before="0" w:after="0"/>
        <w:jc w:val="both"/>
        <w:rPr/>
      </w:pPr>
      <w:r>
        <w:rPr/>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gross book value of the properties collateralizing the mortgages and other loans payable was approximately $2.9 billion and $2.5 billion, respectively.</w:t>
      </w:r>
    </w:p>
    <w:p>
      <w:pPr>
        <w:pStyle w:val="TextBody"/>
        <w:bidi w:val="0"/>
        <w:spacing w:lineRule="auto" w:line="288" w:before="120" w:after="120"/>
        <w:jc w:val="both"/>
        <w:rPr>
          <w:rFonts w:ascii="Times New Roman;serif" w:hAnsi="Times New Roman;serif"/>
          <w:b/>
          <w:color w:val="333333"/>
          <w:sz w:val="20"/>
        </w:rPr>
      </w:pPr>
      <w:r>
        <w:rPr>
          <w:rFonts w:ascii="Times New Roman;serif" w:hAnsi="Times New Roman;serif"/>
          <w:b/>
          <w:color w:val="333333"/>
          <w:sz w:val="20"/>
        </w:rPr>
        <w:t>CMBS Repurchase Facility</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entered into a repurchase facility for CMBS (CMBS Repurchase Facility), which provides us with the ability to sell certain CMBS investments with a simultaneous agreement to repurchase the same at a certain date or on demand. We seek to mitigate risks associated with our repurchase facility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CMBS investments, our asset management team regularly reviews our investment portfolio and is in contact with our borrowers in order to monitor the collateral and enforce our rights as necessary. The risk associated with potential margin calls is further mitigated by our ability to collateralize the facility with additional assets from our portfolio of investments, our ability to satisfy margin calls with cash or cash equivalents and our access to additional liquidity. As of June 30, 2026, there have been no margin calls on the CMBS Repurchase Facility. At June 30, 2026, there was no outstanding balance on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9. Corporate Indebtedness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2026 Credit Facility</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2026, the Company entered into an amended and restated credit facility (the "2026 Credit Facility"), which was previously amended in December 2021 and November 2017, and was originally entered into in November 2012. As of June 30, 2026, the 2026 Credit Facility consisted of a: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$1.25 billion revolving credit facility with a maturity of June 2030 and two six-month, as-of-right extension options to June 2031.</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$300.0 million term loan (or the "Term A Loans") with a maturity of May 2027.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$100.0 million term loan (or the "Term B Loans") with a maturity of November 2026.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$750.0 million term loan (or the "Term C Loans") with a maturity of June 2031. </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also have an option, subject to customary conditions, to increase the capacity of the credit facility to $4.5 billion at any time prior to the maturity date of the revolving credit facility without the consent of existing lenders, by obtaining additional commitments from our existing lenders and other financial institutions.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 2026 Credit Facility bore interest at a spread over Term SOFR with an interest period of one or three months, as we may elect, ranging from (i) 85 basis points to 185 basis points for loans under the revolving credit facility, (ii) 90 basis points to 170 basis points for the Term A Loans, (iii) 100 basis points to 180 basis points for the Term B Loans, and (iv) 95 basis points to 220 basis points for the Term C Loans,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 The revolving credit facility also contains a competitive bid option that allows banks that are part of the lender consortium to bid to make loan advances to us at a reduced interest rate. The 2026 Credit Facility provide for the ability to amend the 2026 Credit Facility to include a sustainability component whereby the revolving credit facility and Term C Loans pricing may improve by up to 3 basis points (depending on the sustainability rating achieved) upon the Company’s achievement of certain sustainability ratings, determined via an independent third-party evaluation.</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 applicable spread over Term SOFR for the 2026 Credit Facility was 125 basis points for the revolving credit facility, 170 basis points for the Term A Loans, 180 basis points for the Term B Loans and 145 basis points for the Term C loans. We are required to pay quarterly in arrears a 20 to 45 basis point facility fee on the total commitments under the revolving credit facility based on the credit rating assigned to the senior unsecured long term indebtedness of the Company. As of June 30, 2026, the facility fee was 30 basis points.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we had $7.0 million of outstanding letters of credit, $850.0 million drawn under the revolving credit facility and $1.15 billion of outstanding term loans, with total undrawn capacity of $393.0 million under the 2026 Credit Facility. As of June 30, 2026 and December 31, 2025, the revolving credit facility had a carrying value of $839.7 million and $637.8 million, respectively, net of deferred financing costs. As of June 30, 2026 and December 31, 2025, the term loans had a carrying value of $1.1 billion and $1.1 billion, respectively, net of deferred financing costs.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the Operating Partnership are borrowers jointly and severally obligated under the 2026 Credit Facility. </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2026 Credit Facility includes certain restrictions and covenants (see Restrictive Covenants below).</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Restrictive Covenants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terms of the 2026 Credit Facility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Adjusted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June 30, 2026 and December 31, 2025, we were in compliance with all such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Junior Subordinated Deferrable Interest Debentures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2005, the Company and the Operating Partnership issued $100.0 million in unsecured trust preferred securities through a newly formed trust, SL Green Capital Trust I, or the Trust, which is a wholly-owned subsidiary of the Operating Partnership. The securities mature in 2035 and bear interest at a floating rate of 26 basis points over the three-month Term SOFR. Interest payments may be deferred for a period of up to eight consecutive quarters if the Operating Partnership exercises its right to defer such payments. The Trust preferred securities are redeemable at the option of the Operating Partnership, in whole or in part, with no prepayment premium. We do not consolidate the Trust even though it is a variable interest entity as we are not the primary beneficiary. Because the Trust is not consolidated, we have recorded the debt on our consolidated balance sheets and the related payments are classified as interest expense.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Principal Maturities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Combined aggregate principal maturities of consolidated mortgages and other loans payable, the 2026 Credit Facility, trust preferred securities and our share of joint venture debt as of June 30, 2026, including as-of-right extension options but excluding other extension options, were as follows (in thousands):</w:t>
      </w:r>
    </w:p>
    <w:tbl>
      <w:tblPr>
        <w:tblW w:w="10205" w:type="dxa"/>
        <w:jc w:val="left"/>
        <w:tblInd w:w="0" w:type="dxa"/>
        <w:tblLayout w:type="fixed"/>
        <w:tblCellMar>
          <w:top w:w="28" w:type="dxa"/>
          <w:left w:w="28" w:type="dxa"/>
          <w:bottom w:w="28" w:type="dxa"/>
          <w:right w:w="28" w:type="dxa"/>
        </w:tblCellMar>
      </w:tblPr>
      <w:tblGrid>
        <w:gridCol w:w="337"/>
        <w:gridCol w:w="296"/>
        <w:gridCol w:w="297"/>
        <w:gridCol w:w="109"/>
        <w:gridCol w:w="109"/>
        <w:gridCol w:w="109"/>
        <w:gridCol w:w="109"/>
        <w:gridCol w:w="196"/>
        <w:gridCol w:w="871"/>
        <w:gridCol w:w="109"/>
        <w:gridCol w:w="109"/>
        <w:gridCol w:w="109"/>
        <w:gridCol w:w="109"/>
        <w:gridCol w:w="196"/>
        <w:gridCol w:w="736"/>
        <w:gridCol w:w="109"/>
        <w:gridCol w:w="109"/>
        <w:gridCol w:w="109"/>
        <w:gridCol w:w="109"/>
        <w:gridCol w:w="206"/>
        <w:gridCol w:w="919"/>
        <w:gridCol w:w="115"/>
        <w:gridCol w:w="109"/>
        <w:gridCol w:w="109"/>
        <w:gridCol w:w="109"/>
        <w:gridCol w:w="196"/>
        <w:gridCol w:w="736"/>
        <w:gridCol w:w="109"/>
        <w:gridCol w:w="109"/>
        <w:gridCol w:w="109"/>
        <w:gridCol w:w="109"/>
        <w:gridCol w:w="109"/>
        <w:gridCol w:w="109"/>
        <w:gridCol w:w="196"/>
        <w:gridCol w:w="871"/>
        <w:gridCol w:w="109"/>
        <w:gridCol w:w="109"/>
        <w:gridCol w:w="109"/>
        <w:gridCol w:w="109"/>
        <w:gridCol w:w="210"/>
        <w:gridCol w:w="935"/>
        <w:gridCol w:w="167"/>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br/>
              <w:t>Credit</w:t>
              <w:br/>
              <w:t>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Unsecured Term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Trust</w:t>
              <w:br/>
              <w:t>Preferred</w:t>
              <w:br/>
              <w:t>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Company's Share of Joint</w:t>
              <w:br/>
              <w:t>Venture</w:t>
              <w:br/>
              <w:t xml:space="preserve">Debt </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739,298 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1,781,817 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555,449 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2,071,051 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1,150,000 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4,549,130 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5,987,615 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50"/>
        <w:jc w:val="both"/>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Consolidated interest expense, excluding capitalized interest, was comprised of the following (in thousands):</w:t>
      </w:r>
    </w:p>
    <w:tbl>
      <w:tblPr>
        <w:tblW w:w="8355" w:type="dxa"/>
        <w:jc w:val="left"/>
        <w:tblInd w:w="0" w:type="dxa"/>
        <w:tblLayout w:type="fixed"/>
        <w:tblCellMar>
          <w:top w:w="28" w:type="dxa"/>
          <w:left w:w="28" w:type="dxa"/>
          <w:bottom w:w="28" w:type="dxa"/>
          <w:right w:w="28" w:type="dxa"/>
        </w:tblCellMar>
      </w:tblPr>
      <w:tblGrid>
        <w:gridCol w:w="1130"/>
        <w:gridCol w:w="991"/>
        <w:gridCol w:w="998"/>
        <w:gridCol w:w="213"/>
        <w:gridCol w:w="720"/>
        <w:gridCol w:w="118"/>
        <w:gridCol w:w="118"/>
        <w:gridCol w:w="118"/>
        <w:gridCol w:w="118"/>
        <w:gridCol w:w="213"/>
        <w:gridCol w:w="704"/>
        <w:gridCol w:w="118"/>
        <w:gridCol w:w="109"/>
        <w:gridCol w:w="109"/>
        <w:gridCol w:w="109"/>
        <w:gridCol w:w="196"/>
        <w:gridCol w:w="751"/>
        <w:gridCol w:w="109"/>
        <w:gridCol w:w="109"/>
        <w:gridCol w:w="109"/>
        <w:gridCol w:w="109"/>
        <w:gridCol w:w="196"/>
        <w:gridCol w:w="73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before capitalized interest</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60,946</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119,701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financing leases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on assumed debt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54,011</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45,318 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104,920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10. Related Party Transactions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One Vanderbilt Avenue Investment</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December 2016, we entered into agreements with entities owned and controlled by our Chairman and Chief Executive Officer ("CEO"), Marc Holliday, and our former President, Andrew Mathias, pursuant to which they agreed to make an investment in our One Vanderbilt project (inclusive of the property and SUMMIT One Vanderbilt) at the appraised fair market value for the interests acquired. This investment entitles these entities to receive a percentage of any profits realized by the Company from its One Vanderbilt project in excess of the Company's capital contributions, of approximately 1.27% and 0.85%, respectively, on account of the property and 1.92% and 1.28%, respectively, on account of SUMMIT One Vanderbilt. The entities owned and controlled by Messrs. Holliday and Mathias paid $1.4 million and $1.0 million, respectively, which equaled the fair market value of the interests acquired as of the date the investment agreements were entered into as determined by an independent third party appraisal that we obtained.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Messrs. Holliday and Mathias had the right to tender 50% of their interests in the project within three years after stabilization and 100% three years or more after stabilization. The property (excluding SUMMIT One Vanderbilt) achieved stabilization in 2022, and in July of that year, Messrs. Holliday and Mathias exercised their rights to tender 50% of their interests in the property. In 2023, stabilization of SUMMIT One Vanderbilt was achieved. Separate from the tender rights, the agreement provides us with the right to repurchase these interests on the seven-year anniversary of the stabilization of the project. In either event, the price paid will equal the liquidation value of the interests at the time, with the value based on the project's sale price, if applicable, or fair market value as determined by an independent third-party appraiser.</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agreement also requires that we repurchase these interests in the event of a sale of One Vanderbilt or a transactional change of control of the Company, at a price based on the sale or change of control transaction.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Messrs. Holliday's and Mathias's remaining interests in the One Vanderbilt project are included in Preferred units and redeemable equity in the mezzanine equity section of the Company's consolidated financial statements.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One Vanderbilt Avenue Leases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November 2018, we entered into a lease agreement with the One Vanderbilt Avenue joint venture covering certain floors at the property. In March 2021, the lease commenced and we relocated our corporate headquarters to the leased space. For the three and six months ended June 30, 2026, we recorded $1.0 million and $2.0 million, respectively, of rent expense under the lease. For the three and six months ended June 30, 2025, we recorded 0.9 million and $1.8 million, respectively, of rent expense under the lease.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June 2021, we, through a consolidated subsidiary, entered into a lease agreement with the One Vanderbilt Avenue joint venture for SUMMIT One Vanderbilt, which commenced operations in October 2021. In June 2025, we, through a consolidated subsidiary, entered into a second lease agreement with the One Vanderbilt Avenue joint venture for SUMMIT One Vanderbilt to lease special event space. For the three and six months ended June 30, 2026, we recorded $6.7 million and $13.4 million, respectively, of rent expense under the leases, including percentage rent, of which $3.7 million and $7.4 million, respectively, was recognized as income as a component of Equity in net income (loss) from unconsolidated joint ventures in our consolidated statements of operations. For the three and six months ended June 30, 2025, we recorded $6.3 million and $12.6 million, respectively, of rent expense under the lease, including percentage rent, of which $3.5 million and $7.0 million, respectively, was recognized as income as a component of Equity in net income (loss) from unconsolidated joint ventures in our consolidated statements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receive fees for providing management, leasing, construction supervision and asset management services to certain of our joint ventures as further described in Note 5, "Investments in Unconsolidated Joint Ventures." Amounts due from joint ventures, inclusive of our ownership share of the joint ventures, and related parties as of June 30, 2026 and December 31, 2025 consisted of the following (in thousands):</w:t>
      </w:r>
    </w:p>
    <w:tbl>
      <w:tblPr>
        <w:tblW w:w="4946" w:type="dxa"/>
        <w:jc w:val="left"/>
        <w:tblInd w:w="0" w:type="dxa"/>
        <w:tblLayout w:type="fixed"/>
        <w:tblCellMar>
          <w:top w:w="28" w:type="dxa"/>
          <w:left w:w="28" w:type="dxa"/>
          <w:bottom w:w="28" w:type="dxa"/>
          <w:right w:w="28" w:type="dxa"/>
        </w:tblCellMar>
      </w:tblPr>
      <w:tblGrid>
        <w:gridCol w:w="679"/>
        <w:gridCol w:w="595"/>
        <w:gridCol w:w="600"/>
        <w:gridCol w:w="234"/>
        <w:gridCol w:w="791"/>
        <w:gridCol w:w="130"/>
        <w:gridCol w:w="109"/>
        <w:gridCol w:w="109"/>
        <w:gridCol w:w="109"/>
        <w:gridCol w:w="308"/>
        <w:gridCol w:w="1040"/>
        <w:gridCol w:w="242"/>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joint ventures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13,694</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13,867</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16,293</w:t>
            </w:r>
            <w:r>
              <w:rPr>
                <w:color w:val="000000"/>
              </w:rPr>
              <w:t>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11. Noncontrolling Interests on the Company's Consolidated Financial Statements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Noncontrolling interests represent the common and preferred units of limited partnership interest in the Operating Partnership not held by the Company as well as third party equity interests in our other consolidated subsidiaries. Noncontrolling interests in the Operating Partnership are shown in the mezzanine equity while the noncontrolling interests in our other consolidated subsidiaries are shown in the equity section of the Company’s consolidated financial statements.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Common Units of Limited Partnership Interest in the Operating Partnership</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noncontrolling interest unit holders owned 7.26%, or 5,547,004 units, and 6.42%, or 4,877,891 units, of the Operating Partnership, respectively. As of June 30, 2026, 5,547,004 shares of our common stock were reserved for issuance upon the redemption of units of limited partnership interest of the Operating Partnership.</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Noncontrolling interests in the Operating Partnership is recorded at the greater of its cost basis or fair market value based on the closing stock price of our common stock at the end of the reporting period.</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summary of the activity relating to the noncontrolling interests in the Operating Partnership for the six months ended June 30, 2026 and the twelve months ended December 31, 2025 (in thousands):</w:t>
      </w:r>
    </w:p>
    <w:tbl>
      <w:tblPr>
        <w:tblW w:w="7362" w:type="dxa"/>
        <w:jc w:val="left"/>
        <w:tblInd w:w="0" w:type="dxa"/>
        <w:tblLayout w:type="fixed"/>
        <w:tblCellMar>
          <w:top w:w="28" w:type="dxa"/>
          <w:left w:w="28" w:type="dxa"/>
          <w:bottom w:w="28" w:type="dxa"/>
          <w:right w:w="28" w:type="dxa"/>
        </w:tblCellMar>
      </w:tblPr>
      <w:tblGrid>
        <w:gridCol w:w="1553"/>
        <w:gridCol w:w="1366"/>
        <w:gridCol w:w="1371"/>
        <w:gridCol w:w="214"/>
        <w:gridCol w:w="822"/>
        <w:gridCol w:w="119"/>
        <w:gridCol w:w="109"/>
        <w:gridCol w:w="109"/>
        <w:gridCol w:w="109"/>
        <w:gridCol w:w="287"/>
        <w:gridCol w:w="1078"/>
        <w:gridCol w:w="225"/>
      </w:tblGrid>
      <w:tr>
        <w:trPr/>
        <w:tc>
          <w:tcPr>
            <w:tcW w:w="155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241,371</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288,941 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units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8,106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and conversion of common units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(15,933)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(8,833)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 allocation</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76,863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297,076</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241,371 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20" w:after="120"/>
        <w:jc w:val="both"/>
        <w:rPr>
          <w:rFonts w:ascii="Times New Roman;serif" w:hAnsi="Times New Roman;serif"/>
          <w:b/>
          <w:color w:val="000000"/>
          <w:sz w:val="20"/>
        </w:rPr>
      </w:pPr>
      <w:r>
        <w:rPr>
          <w:rFonts w:ascii="Times New Roman;serif" w:hAnsi="Times New Roman;serif"/>
          <w:b/>
          <w:color w:val="000000"/>
          <w:sz w:val="20"/>
        </w:rPr>
        <w:t>Preferred Units of Limited Partnership Interest in the Operating Partnership</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summary of the preferred units of limited partnership interest in the Operating Partnership as of June 30, 2026:</w:t>
      </w:r>
    </w:p>
    <w:tbl>
      <w:tblPr>
        <w:tblW w:w="11958" w:type="dxa"/>
        <w:jc w:val="center"/>
        <w:tblInd w:w="0" w:type="dxa"/>
        <w:tblLayout w:type="fixed"/>
        <w:tblCellMar>
          <w:top w:w="28" w:type="dxa"/>
          <w:left w:w="28" w:type="dxa"/>
          <w:bottom w:w="28" w:type="dxa"/>
          <w:right w:w="28" w:type="dxa"/>
        </w:tblCellMar>
      </w:tblPr>
      <w:tblGrid>
        <w:gridCol w:w="288"/>
        <w:gridCol w:w="253"/>
        <w:gridCol w:w="255"/>
        <w:gridCol w:w="109"/>
        <w:gridCol w:w="109"/>
        <w:gridCol w:w="109"/>
        <w:gridCol w:w="241"/>
        <w:gridCol w:w="241"/>
        <w:gridCol w:w="569"/>
        <w:gridCol w:w="109"/>
        <w:gridCol w:w="109"/>
        <w:gridCol w:w="109"/>
        <w:gridCol w:w="546"/>
        <w:gridCol w:w="325"/>
        <w:gridCol w:w="326"/>
        <w:gridCol w:w="109"/>
        <w:gridCol w:w="109"/>
        <w:gridCol w:w="109"/>
        <w:gridCol w:w="621"/>
        <w:gridCol w:w="250"/>
        <w:gridCol w:w="251"/>
        <w:gridCol w:w="109"/>
        <w:gridCol w:w="109"/>
        <w:gridCol w:w="109"/>
        <w:gridCol w:w="511"/>
        <w:gridCol w:w="360"/>
        <w:gridCol w:w="361"/>
        <w:gridCol w:w="109"/>
        <w:gridCol w:w="109"/>
        <w:gridCol w:w="109"/>
        <w:gridCol w:w="196"/>
        <w:gridCol w:w="736"/>
        <w:gridCol w:w="109"/>
        <w:gridCol w:w="109"/>
        <w:gridCol w:w="109"/>
        <w:gridCol w:w="109"/>
        <w:gridCol w:w="196"/>
        <w:gridCol w:w="781"/>
        <w:gridCol w:w="109"/>
        <w:gridCol w:w="109"/>
        <w:gridCol w:w="109"/>
        <w:gridCol w:w="109"/>
        <w:gridCol w:w="273"/>
        <w:gridCol w:w="565"/>
        <w:gridCol w:w="153"/>
        <w:gridCol w:w="109"/>
        <w:gridCol w:w="109"/>
        <w:gridCol w:w="109"/>
        <w:gridCol w:w="242"/>
        <w:gridCol w:w="242"/>
        <w:gridCol w:w="342"/>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Issuance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Stated Distribution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Annual Dividend Per Unit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Liquidation Preference Per Unit</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Conversion Price Per Unit</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Issuance</w:t>
            </w:r>
          </w:p>
        </w:tc>
      </w:tr>
      <w:tr>
        <w:trPr/>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Series A </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109,161 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109,161 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109,161 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2015</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2007</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563,954 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341,677 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2014</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378,634 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272,783 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2014</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2015</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1,077,280 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1,077,280 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1,077,280 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2015</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Series V </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2019</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Series W </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2020</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172,809 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172,809 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172,809 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2025</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232,000 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2026</w:t>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(1)Dividends are cumulative, subject to certain provisions.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(2)Units are redeemable at any time at par for cash at the option of the unit holder unless otherwise specified.</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(3)If applicable, units are convertible into a number of common units of limited partnership interest in the Operating Partnership equal to (i) the liquidation preference plus accumulated and unpaid distributions on the conversion date divided by (ii) the amount shown in the table.</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(4)Issued through a consolidated subsidiary. The units are redeemable at any time after December 13, 2024 at par for cash at the option of the unit holder.</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(5)The Series V Preferred Units are redeemable at any time after January 1, 2025 at par for cash at the option of the unit holder.</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(6)The Series W preferred unit was issued in January 2020 in exchange for the then-outstanding Series O preferred unit. The holder of the Series W preferred unit is entitled to quarterly dividends in an amount calculated as (i) 1,350 multiplied by (ii) the current distribution per common unit of limited partnership in SL Green Operating Partnership. The holder has the right to require the Operating Partnership to repurchase the Series W unit for cash, or convert the Series W unit for Class B units, in each case at a price that is determined based on the closing price of the Company's common stock at the time such right is exercised. The unit's liquidation preference is the fair market value of the unit plus accrued distributions at the time of a liquidation event.</w:t>
      </w:r>
    </w:p>
    <w:p>
      <w:pPr>
        <w:pStyle w:val="TextBody"/>
        <w:bidi w:val="0"/>
        <w:spacing w:before="0" w:after="0"/>
        <w:ind w:left="0" w:right="0" w:hanging="90"/>
        <w:jc w:val="both"/>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summary of the activity relating to the preferred units in the Operating Partnership for the six months ended June 30, 2026 and the twelve months ended December 31, 2025 (in thousands):</w:t>
      </w:r>
    </w:p>
    <w:tbl>
      <w:tblPr>
        <w:tblW w:w="5831" w:type="dxa"/>
        <w:jc w:val="left"/>
        <w:tblInd w:w="0" w:type="dxa"/>
        <w:tblLayout w:type="fixed"/>
        <w:tblCellMar>
          <w:top w:w="28" w:type="dxa"/>
          <w:left w:w="28" w:type="dxa"/>
          <w:bottom w:w="28" w:type="dxa"/>
          <w:right w:w="28" w:type="dxa"/>
        </w:tblCellMar>
      </w:tblPr>
      <w:tblGrid>
        <w:gridCol w:w="998"/>
        <w:gridCol w:w="878"/>
        <w:gridCol w:w="883"/>
        <w:gridCol w:w="214"/>
        <w:gridCol w:w="822"/>
        <w:gridCol w:w="119"/>
        <w:gridCol w:w="109"/>
        <w:gridCol w:w="109"/>
        <w:gridCol w:w="109"/>
        <w:gridCol w:w="287"/>
        <w:gridCol w:w="1078"/>
        <w:gridCol w:w="225"/>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168,560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164,210 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preferred units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preferred units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on preferred units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(3,850)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dividends on preferred units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3,914</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174,424</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168,560 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12. Stockholders' Equity of the Company</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260,000,000 shares, $0.01 par value per share, consisting of 160,000,000 shares of common stock, $0.01 par value per share, 75,000,000 shares of excess stock, at $0.01 par value per share, and 25,000,000 shares of preferred stock, par value $0.01 per share. As of June 30, 2026, 70,852,556 shares of common stock and no shares of excess stock were issued and outstanding.</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 place a share repurchase program of $3.5 billion under which we can buy shares of our common stock.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36,390,839 shares have been repurchased under the program. This amount excludes the redemption of OP units. During the six months ended June 30, 2026, we repurchased 283,120 shares under the program.</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Perpetual Preferred Stock</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9,200,000 shares of our 6.50% Series I Cumulative Redeemable Preferred Stock, or the Series I Preferred Stock, outstanding with a mandatory liquidation preference of $25.00 per share. The Series I Preferred stockholders receive annual dividends of $1.625 per share paid on a quarterly basis and dividends are cumulative, subject to certain provisions. We are entitled to redeem the Series I Preferred Stock at any time, in whole or from time to time in part, at par for cash. In August 2012, we received $221.9 million in net proceeds from the issuance of the Series I Preferred Stock, which were recorded net of underwriters' discount and issuance costs, and contributed the net proceeds to the Operating Partnership in exchange for 9,200,000 units of 6.50% Series I Cumulative Redeemable Preferred Units of limited partnership interest, or the Series I Preferred Units.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Dividend Reinvestment and Stock Purchase Plan ("DRSPP")</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February 2024, the Company filed a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SL Green common stock issued, and proceeds received from dividend reinvestments and/or stock purchases under the DRSPP for the three and six months ended June 30, 2026 and 2025, respectively (dollars in thousands):</w:t>
      </w:r>
    </w:p>
    <w:tbl>
      <w:tblPr>
        <w:tblW w:w="9339" w:type="dxa"/>
        <w:jc w:val="left"/>
        <w:tblInd w:w="0" w:type="dxa"/>
        <w:tblLayout w:type="fixed"/>
        <w:tblCellMar>
          <w:top w:w="28" w:type="dxa"/>
          <w:left w:w="28" w:type="dxa"/>
          <w:bottom w:w="28" w:type="dxa"/>
          <w:right w:w="28" w:type="dxa"/>
        </w:tblCellMar>
      </w:tblPr>
      <w:tblGrid>
        <w:gridCol w:w="1550"/>
        <w:gridCol w:w="1363"/>
        <w:gridCol w:w="1376"/>
        <w:gridCol w:w="297"/>
        <w:gridCol w:w="524"/>
        <w:gridCol w:w="165"/>
        <w:gridCol w:w="165"/>
        <w:gridCol w:w="165"/>
        <w:gridCol w:w="165"/>
        <w:gridCol w:w="297"/>
        <w:gridCol w:w="501"/>
        <w:gridCol w:w="165"/>
        <w:gridCol w:w="109"/>
        <w:gridCol w:w="109"/>
        <w:gridCol w:w="109"/>
        <w:gridCol w:w="243"/>
        <w:gridCol w:w="540"/>
        <w:gridCol w:w="135"/>
        <w:gridCol w:w="135"/>
        <w:gridCol w:w="135"/>
        <w:gridCol w:w="135"/>
        <w:gridCol w:w="243"/>
        <w:gridCol w:w="522"/>
        <w:gridCol w:w="191"/>
      </w:tblGrid>
      <w:tr>
        <w:trPr/>
        <w:tc>
          <w:tcPr>
            <w:tcW w:w="1550"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issued</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1,909</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3,373</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reinvestments/stock purchases under the DRSPP</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 the two-class method of computing earnings per share (“EPS”),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Diluted EPS reflects the potential dilution that could occur from share equivalent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SL Green's earnings per share for the three and six months ended June 30, 2026 and 2025 are computed as follows (in thousands):</w:t>
      </w:r>
    </w:p>
    <w:tbl>
      <w:tblPr>
        <w:tblW w:w="10205" w:type="dxa"/>
        <w:jc w:val="left"/>
        <w:tblInd w:w="0" w:type="dxa"/>
        <w:tblLayout w:type="fixed"/>
        <w:tblCellMar>
          <w:top w:w="28" w:type="dxa"/>
          <w:left w:w="28" w:type="dxa"/>
          <w:bottom w:w="28" w:type="dxa"/>
          <w:right w:w="28" w:type="dxa"/>
        </w:tblCellMar>
      </w:tblPr>
      <w:tblGrid>
        <w:gridCol w:w="1819"/>
        <w:gridCol w:w="1603"/>
        <w:gridCol w:w="1612"/>
        <w:gridCol w:w="199"/>
        <w:gridCol w:w="710"/>
        <w:gridCol w:w="110"/>
        <w:gridCol w:w="110"/>
        <w:gridCol w:w="110"/>
        <w:gridCol w:w="110"/>
        <w:gridCol w:w="199"/>
        <w:gridCol w:w="710"/>
        <w:gridCol w:w="110"/>
        <w:gridCol w:w="109"/>
        <w:gridCol w:w="109"/>
        <w:gridCol w:w="109"/>
        <w:gridCol w:w="196"/>
        <w:gridCol w:w="788"/>
        <w:gridCol w:w="109"/>
        <w:gridCol w:w="109"/>
        <w:gridCol w:w="109"/>
        <w:gridCol w:w="109"/>
        <w:gridCol w:w="196"/>
        <w:gridCol w:w="698"/>
        <w:gridCol w:w="162"/>
      </w:tblGrid>
      <w:tr>
        <w:trPr/>
        <w:tc>
          <w:tcPr>
            <w:tcW w:w="181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Loss:</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attributable to SL Green common stockholders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(26,503)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distributed earnings allocated to participating securities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SL Green common stockholders (numerator for basic earnings per share)</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(26,829)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(111,546)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dilutive effect of earnings allocated to participating securities and contingently issuable shares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effect of dilutive securities (redemption of units to common shares)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attributable to SL Green common stockholders (numerator for diluted earnings per share)</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(26,829)</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(11,613)</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(111,546)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(33,209)</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30" w:type="dxa"/>
        <w:jc w:val="left"/>
        <w:tblInd w:w="0" w:type="dxa"/>
        <w:tblLayout w:type="fixed"/>
        <w:tblCellMar>
          <w:top w:w="28" w:type="dxa"/>
          <w:left w:w="28" w:type="dxa"/>
          <w:bottom w:w="28" w:type="dxa"/>
          <w:right w:w="28" w:type="dxa"/>
        </w:tblCellMar>
      </w:tblPr>
      <w:tblGrid>
        <w:gridCol w:w="1564"/>
        <w:gridCol w:w="1374"/>
        <w:gridCol w:w="1382"/>
        <w:gridCol w:w="459"/>
        <w:gridCol w:w="271"/>
        <w:gridCol w:w="271"/>
        <w:gridCol w:w="271"/>
        <w:gridCol w:w="271"/>
        <w:gridCol w:w="271"/>
        <w:gridCol w:w="448"/>
        <w:gridCol w:w="271"/>
        <w:gridCol w:w="271"/>
        <w:gridCol w:w="109"/>
        <w:gridCol w:w="109"/>
        <w:gridCol w:w="109"/>
        <w:gridCol w:w="448"/>
        <w:gridCol w:w="242"/>
        <w:gridCol w:w="242"/>
        <w:gridCol w:w="242"/>
        <w:gridCol w:w="242"/>
        <w:gridCol w:w="242"/>
        <w:gridCol w:w="437"/>
        <w:gridCol w:w="242"/>
        <w:gridCol w:w="342"/>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Shares:</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stock outstanding</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70,669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70,678</w:t>
            </w: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Partnership units redeemable for common shares</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plans</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stock outstanding</w:t>
            </w:r>
          </w:p>
        </w:tc>
        <w:tc>
          <w:tcPr>
            <w:tcW w:w="7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70,669</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70,678</w:t>
            </w:r>
            <w:r>
              <w:rPr>
                <w:color w:val="000000"/>
              </w:rPr>
              <w:t>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70,430 </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excluded 7,056,832 and 7,259,653 common stock equivalents from the calculation of diluted shares outstanding for the three and six months ended June 30, 2026, respectively, as they were anti-dilutive. The Company has excluded 352,917 and 352,917 common stock equivalents from the calculation of diluted shares outstanding for the three and six months ended June 30, 2025, respectively, as they were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13. Partners' Capital of the Operating Partnership</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the sole managing general partner of the Operating Partnership and, as of June 30, 2026, owned 70,852,556 general and limited partnership interests in the Operating Partnership and 9,200,000 Series I Preferred Units. Partnership interests in the Operating Partnership are denominated as “common units of limited partnership interest” (also referred to as “OP Units”) or “preferred units of limited partnership interest” (also referred to as “Preferred Units”). All references to OP Units and Preferred Units outstanding exclude such units held by the Company. A holder of an OP Unit may present such OP Unit to the Operating Partnership for redemption at any time (subject to restrictions agreed upon at the issuance of OP Units to particular holders that may restrict such right for a period of time, generally one year from issuance). Upon presentation of an OP Unit for redemption, the Operating Partnership must redeem such OP Unit in exchange for the cash equal to the then value of a share of common stock of the Company, except that the Company may, at its election, in lieu of cash redemption, acquire such OP Unit for one share of common stock. Because the number of shares of common stock outstanding at all times equals the number of OP Units that the Company owns, one share of common stock is generally the economic equivalent of one OP Unit, and the quarterly distribution that may be paid to the holder of an OP Unit equals the quarterly dividend that may be paid to the holder of a share of common stock. Each series of Preferred Units makes a distribution that is set in accordance with an amendment to the partnership agreement of the Operating Partnership. Preferred Units may also be convertible into OP Units at the election of the holder thereof or the Company, subject to the terms of such Preferred Units.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(loss) allocated to the preferred unitholders and common unitholders reflects their pro rata share of net income (loss) and distributions.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Limited Partner Units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limited partners, other than SL Green, owned 7.26%, or 5,547,004 common units, of the Operating Partnership.</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Preferred Units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Preferred units not owned by SL Green are further described in Note 11, “Noncontrolling Interests on the Company's Consolidated Financial Statements - Preferred Units of Limited Partnership Interest in the Operating Partnership.”</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Earnings per Unit</w:t>
      </w:r>
    </w:p>
    <w:p>
      <w:pPr>
        <w:pStyle w:val="TextBody"/>
        <w:bidi w:val="0"/>
        <w:spacing w:lineRule="auto" w:line="288" w:before="16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Operating Partnership's earnings per unit for the three and six months ended June 30, 2026 and 2025, respectively, are computed as follows (in thousands):</w:t>
      </w:r>
    </w:p>
    <w:tbl>
      <w:tblPr>
        <w:tblW w:w="10205" w:type="dxa"/>
        <w:jc w:val="center"/>
        <w:tblInd w:w="0" w:type="dxa"/>
        <w:tblLayout w:type="fixed"/>
        <w:tblCellMar>
          <w:top w:w="28" w:type="dxa"/>
          <w:left w:w="28" w:type="dxa"/>
          <w:bottom w:w="28" w:type="dxa"/>
          <w:right w:w="28" w:type="dxa"/>
        </w:tblCellMar>
      </w:tblPr>
      <w:tblGrid>
        <w:gridCol w:w="1825"/>
        <w:gridCol w:w="1602"/>
        <w:gridCol w:w="1607"/>
        <w:gridCol w:w="199"/>
        <w:gridCol w:w="710"/>
        <w:gridCol w:w="110"/>
        <w:gridCol w:w="110"/>
        <w:gridCol w:w="110"/>
        <w:gridCol w:w="110"/>
        <w:gridCol w:w="199"/>
        <w:gridCol w:w="710"/>
        <w:gridCol w:w="110"/>
        <w:gridCol w:w="109"/>
        <w:gridCol w:w="109"/>
        <w:gridCol w:w="109"/>
        <w:gridCol w:w="196"/>
        <w:gridCol w:w="788"/>
        <w:gridCol w:w="109"/>
        <w:gridCol w:w="109"/>
        <w:gridCol w:w="109"/>
        <w:gridCol w:w="109"/>
        <w:gridCol w:w="196"/>
        <w:gridCol w:w="698"/>
        <w:gridCol w:w="162"/>
      </w:tblGrid>
      <w:tr>
        <w:trPr/>
        <w:tc>
          <w:tcPr>
            <w:tcW w:w="182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Loss:</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SLGOP common unitholders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(28,658)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(119,727)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distributed earnings allocated to participating securities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undistributed earnings allocated to participating securities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SLGOP common unitholders (numerator for basic earnings per unit)</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(29,518)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dilutive effect of earnings allocated to participating securities and contingently issuable shares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undistributed earnings allocated to participating securities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attributable to SLGOP common unitholders (numerator for diluted earnings per unit)</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(29,518)</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(13,110)</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(121,448)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96" w:type="dxa"/>
        <w:jc w:val="center"/>
        <w:tblInd w:w="0" w:type="dxa"/>
        <w:tblLayout w:type="fixed"/>
        <w:tblCellMar>
          <w:top w:w="28" w:type="dxa"/>
          <w:left w:w="28" w:type="dxa"/>
          <w:bottom w:w="28" w:type="dxa"/>
          <w:right w:w="28" w:type="dxa"/>
        </w:tblCellMar>
      </w:tblPr>
      <w:tblGrid>
        <w:gridCol w:w="1390"/>
        <w:gridCol w:w="1222"/>
        <w:gridCol w:w="1228"/>
        <w:gridCol w:w="213"/>
        <w:gridCol w:w="720"/>
        <w:gridCol w:w="118"/>
        <w:gridCol w:w="118"/>
        <w:gridCol w:w="118"/>
        <w:gridCol w:w="118"/>
        <w:gridCol w:w="213"/>
        <w:gridCol w:w="704"/>
        <w:gridCol w:w="118"/>
        <w:gridCol w:w="109"/>
        <w:gridCol w:w="109"/>
        <w:gridCol w:w="109"/>
        <w:gridCol w:w="196"/>
        <w:gridCol w:w="661"/>
        <w:gridCol w:w="109"/>
        <w:gridCol w:w="109"/>
        <w:gridCol w:w="109"/>
        <w:gridCol w:w="109"/>
        <w:gridCol w:w="196"/>
        <w:gridCol w:w="646"/>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units: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units outstanding</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75,525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plans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Contingently issuable units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units outstanding</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75,525</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74,455 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Operating Partnership has excluded 2,200,650 and 2,341,909 common unit equivalents from the diluted units outstanding for the three and six months ended June 30, 2026, respectively, as they were anti-dilutive. The Operating Partnership has excluded 352,917 and 352,917 common unit equivalents from the diluted units outstanding for the three and six months ended June 30, 2025, respectively, as they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14. Share-based Compensation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share-based employee and director compensation plans. Our employees are compensated through the Operating Partnership. Under each plan, whenever the Company issues common or preferred stock, the Operating Partnership issues an equivalent number of units of limited partnership interest of a corresponding class to the Company.</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Sixth Amended and Restated 2005 Stock Option and Incentive Plan, or the 2005 Plan, was approved by the Company's Board of Directors in April 2025 and its stockholders in June 2025 at the Company's annual meeting of stockholders. The 2005 Plan authorizes the issuance of stock options, stock appreciation rights, unrestricted and restricted stock, phantom shares, dividend equivalent rights, cash-based awards and other equity-based awards. Subject to adjustments upon certain corporate transactions or events, awards with respect to up to a maximum of 39,890,000 fungible units may be granted under the 2005 Plan. Currently, different types of awards count against the limit on the number of fungible units differently, with (1) full-value awards (i.e., those that deliver the full value of the award upon vesting, such as restricted stock) counting as 3.20 Fungible Units per share subject to such awards, (2) stock options, stock appreciation rights, Class O LTIP units and other awards that do not deliver full value of the underlying shares and expire five years from the date of grant counting as 0.87 fungible units per share subject to such awards, and (3) all other awards (e.g., 10-year stock options) counting as 1.0 fungible units per share subject to such awards. Awards granted under the 2005 Plan prior to the approval of the sixth amendment and restatement in June 2025 continue to count against the fungible unit limit based on the ratios that were in effect at the time such awards were granted, which may be different than the current ratios. As a result, depending on the types of awards issued, the 2005 Plan may result in the issuance of more or less than 39,890,000 shares. If a stock option or other award granted under the 2005 Plan expires or terminates, the common stock subject to any portion of the award that expires or terminates without having been exercised or paid, as the case may be, will again become available for the issuance of additional awards. Shares of our common stock distributed under the 2005 Plan may be treasury shares or authorized but unissued shares. Currently, unless the 2005 Plan has been previously terminated by the Company's Board of Directors, new awards may be granted under the 2005 Plan until June 3, 2035, which is the tenth anniversary of the date that the 2005 Plan was most recently approved by the Company's stockholders. As of June 30, 2026, 7.6 million fungible units were available for issuance under the 2005 Plan after reserving for shares underlying outstanding restricted stock units, phantom stock units granted pursuant to our Non-Employee Directors' Deferral Program and LTIP Units.</w:t>
      </w:r>
    </w:p>
    <w:p>
      <w:pPr>
        <w:pStyle w:val="TextBody"/>
        <w:bidi w:val="0"/>
        <w:spacing w:lineRule="auto" w:line="268" w:before="0" w:after="120"/>
        <w:jc w:val="left"/>
        <w:rPr>
          <w:rFonts w:ascii="Times New Roman;serif" w:hAnsi="Times New Roman;serif"/>
          <w:b/>
          <w:color w:val="000000"/>
          <w:sz w:val="20"/>
        </w:rPr>
      </w:pPr>
      <w:r>
        <w:rPr>
          <w:rFonts w:ascii="Times New Roman;serif" w:hAnsi="Times New Roman;serif"/>
          <w:b/>
          <w:color w:val="000000"/>
          <w:sz w:val="20"/>
        </w:rPr>
        <w:t>Stock Options and Class O LTIP Units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Options are granted with an exercise price at the fair market value of the Company's common stock on the date of grant and, subject to employment, generally expire five years or ten years from the date of grant, are not transferable other than on death, and generally vest in one year to five years commencing one year from the date of grant. We have also granted Class O LTIP Units, which are a class of LTIP Units in the Operating Partnership structured to provide economics similar to those of stock options. Class O LTIP Units, once vested, may be converted, at the election of the holder, into a number of common units of the Operating Partnership per Class O LTIP Unit determined by the increase in value of a share of the Company's common stock at the time of conversion over a participation threshold, which equals the fair market value of a share of the Company's common stock at the time of grant. Class O LTIP Units are entitled to distributions, subject to vesting, equal per unit to 10% of the per unit distributions paid with respect to the common units of the Operating Partnership.</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2024, our Chairman and CEO, Marc Holliday, received a grant of 217,917 Class O LTIP Units in connection with his new employment agreement, that are subject to both time-based vesting conditions and performance-based vesting conditions. The performance-based vesting conditions are satisfied if the average share price of the Company's common stock equals or exceeds $100.00 as of any trailing twenty trading day period between the grant date and the fifth anniversary thereafter. Subject to achievement of the performance hurdle and continued employment, the Class O LTIP Units vest ratably on December 31, 2026, and December 31, 2027, following the tranche that vested on December 31, 2025.</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or LTIP Unit granted is estimated on the date of grant using the Black-Scholes option pricing model based on historical information with the following weighted average assumptions for grants during the six months ended June 30, 2026 and the year ended December 31, 2025.</w:t>
      </w:r>
    </w:p>
    <w:tbl>
      <w:tblPr>
        <w:tblW w:w="5306" w:type="dxa"/>
        <w:jc w:val="left"/>
        <w:tblInd w:w="0" w:type="dxa"/>
        <w:tblLayout w:type="fixed"/>
        <w:tblCellMar>
          <w:top w:w="28" w:type="dxa"/>
          <w:left w:w="28" w:type="dxa"/>
          <w:bottom w:w="28" w:type="dxa"/>
          <w:right w:w="28" w:type="dxa"/>
        </w:tblCellMar>
      </w:tblPr>
      <w:tblGrid>
        <w:gridCol w:w="810"/>
        <w:gridCol w:w="709"/>
        <w:gridCol w:w="715"/>
        <w:gridCol w:w="250"/>
        <w:gridCol w:w="250"/>
        <w:gridCol w:w="655"/>
        <w:gridCol w:w="109"/>
        <w:gridCol w:w="109"/>
        <w:gridCol w:w="109"/>
        <w:gridCol w:w="314"/>
        <w:gridCol w:w="314"/>
        <w:gridCol w:w="962"/>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w:t>
            </w:r>
            <w:r>
              <w:rPr>
                <w:color w:val="000000"/>
              </w:rPr>
              <w:t>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w:t>
            </w:r>
            <w:r>
              <w:rPr>
                <w:color w:val="000000"/>
              </w:rPr>
              <w:t> </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life</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 years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3.84</w:t>
            </w: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3.58</w:t>
            </w:r>
            <w:r>
              <w:rPr>
                <w:color w:val="000000"/>
              </w:rPr>
              <w:t> </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stock price volatility</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51.0</w:t>
            </w:r>
            <w:r>
              <w:rPr>
                <w:color w:val="000000"/>
              </w:rPr>
              <w:t>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46.0</w:t>
            </w:r>
            <w:r>
              <w:rPr>
                <w:color w:val="000000"/>
              </w:rPr>
              <w:t> </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the status of the Company's stock options as of June 30, 2026 and December 31, 2025, and changes during the six months ended June 30, 2026 and year ended December 31, 2025 are as follows:</w:t>
      </w:r>
    </w:p>
    <w:tbl>
      <w:tblPr>
        <w:tblW w:w="10205" w:type="dxa"/>
        <w:jc w:val="left"/>
        <w:tblInd w:w="0" w:type="dxa"/>
        <w:tblLayout w:type="fixed"/>
        <w:tblCellMar>
          <w:top w:w="28" w:type="dxa"/>
          <w:left w:w="28" w:type="dxa"/>
          <w:bottom w:w="28" w:type="dxa"/>
          <w:right w:w="28" w:type="dxa"/>
        </w:tblCellMar>
      </w:tblPr>
      <w:tblGrid>
        <w:gridCol w:w="965"/>
        <w:gridCol w:w="849"/>
        <w:gridCol w:w="853"/>
        <w:gridCol w:w="578"/>
        <w:gridCol w:w="578"/>
        <w:gridCol w:w="580"/>
        <w:gridCol w:w="109"/>
        <w:gridCol w:w="109"/>
        <w:gridCol w:w="109"/>
        <w:gridCol w:w="338"/>
        <w:gridCol w:w="987"/>
        <w:gridCol w:w="187"/>
        <w:gridCol w:w="109"/>
        <w:gridCol w:w="109"/>
        <w:gridCol w:w="109"/>
        <w:gridCol w:w="578"/>
        <w:gridCol w:w="578"/>
        <w:gridCol w:w="580"/>
        <w:gridCol w:w="110"/>
        <w:gridCol w:w="110"/>
        <w:gridCol w:w="110"/>
        <w:gridCol w:w="335"/>
        <w:gridCol w:w="957"/>
        <w:gridCol w:w="278"/>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Outstanding</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Exercise Price</w:t>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740,897</w:t>
            </w:r>
            <w:r>
              <w:rPr>
                <w:color w:val="000000"/>
              </w:rPr>
              <w:t>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61.66</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333,897 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100,000</w:t>
            </w:r>
            <w:r>
              <w:rPr>
                <w:color w:val="000000"/>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40.49</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407,000 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Lapsed or canceled</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(52,500)</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99.86</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788,397</w:t>
            </w:r>
            <w:r>
              <w:rPr>
                <w:color w:val="000000"/>
              </w:rPr>
              <w:t> </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56.56</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740,897 </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exercisable at end of period</w:t>
            </w:r>
          </w:p>
        </w:tc>
        <w:tc>
          <w:tcPr>
            <w:tcW w:w="11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155,139</w:t>
            </w:r>
            <w:r>
              <w:rPr>
                <w:color w:val="000000"/>
              </w:rPr>
              <w:t>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88.16</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188,619 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remaining weighted average contractual life of the options outstanding was 5.8 years and the remaining average contractual life of the options exercisable was 4.4 years.</w:t>
      </w:r>
    </w:p>
    <w:p>
      <w:pPr>
        <w:pStyle w:val="TextBody"/>
        <w:bidi w:val="0"/>
        <w:spacing w:lineRule="auto" w:line="288" w:before="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recognized $0.7 million and $1.5 million compensation expense related to options. As of June 30, 2026, there was $6.9 million unrecognized compensation cost related to unvested stock options.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Restricted Shares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Shares may be granted to certain employees, including our executives, and vesting occurs upon the completion of a service period or our meeting established financial performance criteria. Vesting occurs at rates ranging from 15% to 35% once performance criteria are reached.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as of June 30, 2026 and December 31, 2025 and changes during the six months ended June 30, 2026 and the year ended December 31, 2025, are as follows:</w:t>
      </w:r>
    </w:p>
    <w:tbl>
      <w:tblPr>
        <w:tblW w:w="7645" w:type="dxa"/>
        <w:jc w:val="center"/>
        <w:tblInd w:w="0" w:type="dxa"/>
        <w:tblLayout w:type="fixed"/>
        <w:tblCellMar>
          <w:top w:w="28" w:type="dxa"/>
          <w:left w:w="28" w:type="dxa"/>
          <w:bottom w:w="28" w:type="dxa"/>
          <w:right w:w="28" w:type="dxa"/>
        </w:tblCellMar>
      </w:tblPr>
      <w:tblGrid>
        <w:gridCol w:w="1563"/>
        <w:gridCol w:w="1375"/>
        <w:gridCol w:w="1381"/>
        <w:gridCol w:w="196"/>
        <w:gridCol w:w="886"/>
        <w:gridCol w:w="109"/>
        <w:gridCol w:w="109"/>
        <w:gridCol w:w="109"/>
        <w:gridCol w:w="109"/>
        <w:gridCol w:w="239"/>
        <w:gridCol w:w="1173"/>
        <w:gridCol w:w="133"/>
        <w:gridCol w:w="109"/>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4,532,000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4,449,709 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88,742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4,608,558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4,532,000 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during the period</w:t>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305,156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236,139 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 recorded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5,744,402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15,077,198 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of restricted stock granted during the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3,279,401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4,206,695 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restricted stock that vested during the six months ended June 30, 2026 and the year ended December 31, 2025 was $18.1 million and $11.3 million, respectively. As of June 30, 2026, there was $15.3 million of total unrecognized compensation cost related to restricted stock, which is expected to be recognized over a weighted average period of 1.8 years.</w:t>
      </w:r>
    </w:p>
    <w:p>
      <w:pPr>
        <w:pStyle w:val="TextBody"/>
        <w:bidi w:val="0"/>
        <w:spacing w:lineRule="auto" w:line="288" w:before="0" w:after="120"/>
        <w:ind w:left="0" w:right="0" w:firstLine="495"/>
        <w:jc w:val="both"/>
        <w:rPr/>
      </w:pPr>
      <w:r>
        <w:rPr>
          <w:rFonts w:ascii="Times New Roman;serif" w:hAnsi="Times New Roman;serif"/>
          <w:b w:val="false"/>
          <w:color w:val="000000"/>
          <w:sz w:val="20"/>
        </w:rPr>
        <w:t xml:space="preserve">We granted LTIP Units, which include bonus, time-based and performance-based awards, with a fair value of $28.2 million and $27.6 million as of June 30, 2026 and December 31, 2025, respectively. The grant date fair value of the LTIP Unit awards was calculated in accordance with ASC Topic 718, </w:t>
      </w:r>
      <w:r>
        <w:rPr>
          <w:rFonts w:ascii="Times New Roman;serif" w:hAnsi="Times New Roman;serif"/>
          <w:b w:val="false"/>
          <w:i/>
          <w:color w:val="000000"/>
          <w:sz w:val="20"/>
        </w:rPr>
        <w:t>Compensation - Stock Compensation</w:t>
      </w:r>
      <w:r>
        <w:rPr>
          <w:color w:val="000000"/>
        </w:rPr>
        <w:t xml:space="preserve"> </w:t>
      </w:r>
      <w:r>
        <w:rPr>
          <w:rFonts w:ascii="Times New Roman;serif" w:hAnsi="Times New Roman;serif"/>
          <w:b w:val="false"/>
          <w:color w:val="000000"/>
          <w:sz w:val="20"/>
        </w:rPr>
        <w:t xml:space="preserve">("ASC 718"). A third-party consultant determined that the fair value of the LTIP Units has a discount to our common stock price. The discount was calculated by considering the inherent uncertainty that the LTIP Units will reach parity with other common partnership units and the illiquidity due to transfer restrictions. As of June 30, 2026, there was $38.5 million of total unrecognized compensation expense related to the time-based and performance-based awards, which is expected to be recognized over a weighted average period of 1.8 years.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recorded compensation expense related to bonus, time-based and performance-based awards of $6.0 million and $11.0 million, respectively. During the three and six months ended June 30, 2025, we recorded compensation expense related to bonus, time-based and performance-based awards of $6.0 million and $11.1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$0.5 million and $0.9 million, respectively, was capitalized to assets associated with compensation expense related to our long-term compensation plans, restricted stock and stock options. For the three and six months ended June 30, 2025, $0.5 million and $1.0 million, respectively, was capitalized to assets associated with compensation expense related to our long-term compensation plans, restricted stock and stock options.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Deferred Compensation Plan for Directors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Under our Non-Employee Director's Deferral Program, which commenced July 2004, the Company's non-employee directors may elect to defer up to 100% of their annual retainer fee, chairman fees, meeting fees and annual stock grant. Unless otherwise elected by a participant, fees deferred under the program shall be credited in the form of phantom stock units. The program provides that a director's phantom stock units generally will be settled in an equal number of shares of common stock upon the earlier of (i) the January 1 coincident with or the next following such director's termination of service from the Board of Directors or (ii) a change in control by us, as defined by the program. Phantom stock units are credited to each non-employee director quarterly using the closing price of our common stock on the first business day of the respective quarter. Each participating non-employee director is also credited with dividend equivalents or phantom stock units based on the dividend rate for each quarter, which are either paid in cash currently or credited to the director's account as additional phantom stock units.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20,154 phantom stock units and 15,012 shares of common stock were issued to our Board of Directors. We recorded compensation expense of $0.2 million and $2.1 million during the three and six months ended June 30, 2026, respectively, related to the Deferred Compensation Plan. We recorded compensation expense of $0.2 million and $2.1 million during the three and six months ended June 30, 2025 respectively, related to the Deferred Compensation Plan.</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101,374 phantom stock units outstanding pursuant to our Non-Employee Director's Deferral Program.</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2007, the Company's Board of Directors adopted the 2008 Employee Stock Purchase Plan, or ESPP, to provide equity-based incentives to eligible employees. The ESPP is intended to qualify as an "employee stock purchase plan" under Section 423 of the Code, and has been adopted by the board to enable our eligible employees to purchase the Company's shares of common stock through payroll deductions. The ESPP became effective on January 1, 2008 with a maximum of 500,000 shares of the common stock available for issuance, subject to adjustment upon a merger, reorganization, stock split or other similar corporate change. The Company filed a registration statement on Form S-8 with the SEC with respect to the ESPP. The common stock is offered for purchase through a series of successive offering periods. Each offering period will be three months in duration and will begin on the first day of each calendar quarter, with the first offering period having commenced on January 1, 2008. The ESPP provides for eligible employees to purchase the common stock at a purchase price equal to 85% of the lesser of (1) the market value of the common stock on the first day of the offering period or (2) the market value of the common stock on the last day of the offering period. The ESPP was approved by our stockholders at our 2008 annual meeting of stockholders. As of June 30, 2026, 282,493 shares of our common stock had been issued under the ESPP.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15. Accumulated Other Comprehensive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changes in accumulated other comprehensive income by component as of June 30, 2026 (in thousands):</w:t>
      </w:r>
    </w:p>
    <w:tbl>
      <w:tblPr>
        <w:tblW w:w="10205" w:type="dxa"/>
        <w:jc w:val="left"/>
        <w:tblInd w:w="0" w:type="dxa"/>
        <w:tblLayout w:type="fixed"/>
        <w:tblCellMar>
          <w:top w:w="28" w:type="dxa"/>
          <w:left w:w="28" w:type="dxa"/>
          <w:bottom w:w="28" w:type="dxa"/>
          <w:right w:w="28" w:type="dxa"/>
        </w:tblCellMar>
      </w:tblPr>
      <w:tblGrid>
        <w:gridCol w:w="967"/>
        <w:gridCol w:w="569"/>
        <w:gridCol w:w="571"/>
        <w:gridCol w:w="324"/>
        <w:gridCol w:w="1068"/>
        <w:gridCol w:w="180"/>
        <w:gridCol w:w="109"/>
        <w:gridCol w:w="109"/>
        <w:gridCol w:w="109"/>
        <w:gridCol w:w="251"/>
        <w:gridCol w:w="876"/>
        <w:gridCol w:w="139"/>
        <w:gridCol w:w="109"/>
        <w:gridCol w:w="109"/>
        <w:gridCol w:w="109"/>
        <w:gridCol w:w="341"/>
        <w:gridCol w:w="973"/>
        <w:gridCol w:w="192"/>
        <w:gridCol w:w="109"/>
        <w:gridCol w:w="109"/>
        <w:gridCol w:w="109"/>
        <w:gridCol w:w="390"/>
        <w:gridCol w:w="808"/>
        <w:gridCol w:w="217"/>
        <w:gridCol w:w="109"/>
        <w:gridCol w:w="109"/>
        <w:gridCol w:w="109"/>
        <w:gridCol w:w="196"/>
        <w:gridCol w:w="673"/>
        <w:gridCol w:w="162"/>
      </w:tblGrid>
      <w:tr>
        <w:trPr/>
        <w:tc>
          <w:tcPr>
            <w:tcW w:w="9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Net unrealized gain (loss) on derivative instruments </w:t>
            </w:r>
            <w:r>
              <w:rPr>
                <w:rFonts w:ascii="Times New Roman;serif" w:hAnsi="Times New Roman;serif"/>
                <w:b/>
                <w:color w:val="000000"/>
                <w:sz w:val="10"/>
              </w:rPr>
              <w:t>(</w:t>
            </w:r>
            <w:r>
              <w:rPr>
                <w:rFonts w:ascii="Times New Roman;serif" w:hAnsi="Times New Roman;serif"/>
                <w:b/>
                <w:color w:val="000000"/>
                <w:sz w:val="9"/>
              </w:rPr>
              <w:t>1</w:t>
            </w:r>
            <w:r>
              <w:rPr>
                <w:rFonts w:ascii="Times New Roman;serif" w:hAnsi="Times New Roman;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SL Green’s share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of joint venture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unrealized loss on derivative</w:t>
            </w:r>
          </w:p>
          <w:p>
            <w:pPr>
              <w:pStyle w:val="TableContents"/>
              <w:bidi w:val="0"/>
              <w:spacing w:lineRule="auto" w:line="240" w:before="0" w:after="0"/>
              <w:jc w:val="center"/>
              <w:rPr/>
            </w:pPr>
            <w:r>
              <w:rPr>
                <w:rFonts w:ascii="Times New Roman;serif" w:hAnsi="Times New Roman;serif"/>
                <w:b/>
                <w:color w:val="000000"/>
                <w:sz w:val="16"/>
              </w:rPr>
              <w:t xml:space="preserve">instruments </w:t>
            </w:r>
            <w:r>
              <w:rPr>
                <w:rFonts w:ascii="Times New Roman;serif" w:hAnsi="Times New Roman;serif"/>
                <w:b/>
                <w:color w:val="000000"/>
                <w:sz w:val="10"/>
              </w:rPr>
              <w:t>(</w:t>
            </w:r>
            <w:r>
              <w:rPr>
                <w:rFonts w:ascii="Times New Roman;serif" w:hAnsi="Times New Roman;serif"/>
                <w:b/>
                <w:color w:val="000000"/>
                <w:sz w:val="9"/>
              </w:rPr>
              <w:t>2</w:t>
            </w:r>
            <w:r>
              <w:rPr>
                <w:rFonts w:ascii="Times New Roman;serif" w:hAnsi="Times New Roman;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(loss) gain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(loss)</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(9,997)</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(1)Amount reclassified from accumulated other comprehensive income (loss) is included in interest expense in the respective consolidated statements of operations. As of June 30, 2026 and December 31, 2025, the deferred net gains from these terminated hedges, which is included in accumulated other comprehensive income (loss) relating to net unrealized gain (loss) on derivative instruments, was ($1.0 million) and ($0.1 million), respectively. </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(2)Amount reclassified from accumulated other comprehensive (loss) income is included in equity in net (loss) income from unconsolidated joint ventures in the respective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16. Fair Value Measurements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required to disclose fair value information with regard to certain of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certain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1 - 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w:t>
      </w:r>
    </w:p>
    <w:p>
      <w:pPr>
        <w:pStyle w:val="TextBody"/>
        <w:bidi w:val="0"/>
        <w:spacing w:lineRule="auto" w:line="288" w:before="0" w:after="12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Financial Assets and Liabilities Measured at Fair Value on a Recurring Basis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assets and liabilities that we measure at fair value on a recurring basis by their levels in the fair value hierarchy as of June 30, 2026 and December 31, 2025 (in thousands)</w:t>
      </w:r>
    </w:p>
    <w:tbl>
      <w:tblPr>
        <w:tblW w:w="9375" w:type="dxa"/>
        <w:jc w:val="left"/>
        <w:tblInd w:w="0" w:type="dxa"/>
        <w:tblLayout w:type="fixed"/>
        <w:tblCellMar>
          <w:top w:w="28" w:type="dxa"/>
          <w:left w:w="28" w:type="dxa"/>
          <w:bottom w:w="28" w:type="dxa"/>
          <w:right w:w="28" w:type="dxa"/>
        </w:tblCellMar>
      </w:tblPr>
      <w:tblGrid>
        <w:gridCol w:w="1584"/>
        <w:gridCol w:w="1393"/>
        <w:gridCol w:w="1403"/>
        <w:gridCol w:w="196"/>
        <w:gridCol w:w="871"/>
        <w:gridCol w:w="109"/>
        <w:gridCol w:w="109"/>
        <w:gridCol w:w="109"/>
        <w:gridCol w:w="109"/>
        <w:gridCol w:w="196"/>
        <w:gridCol w:w="406"/>
        <w:gridCol w:w="109"/>
        <w:gridCol w:w="109"/>
        <w:gridCol w:w="109"/>
        <w:gridCol w:w="109"/>
        <w:gridCol w:w="196"/>
        <w:gridCol w:w="736"/>
        <w:gridCol w:w="109"/>
        <w:gridCol w:w="109"/>
        <w:gridCol w:w="109"/>
        <w:gridCol w:w="109"/>
        <w:gridCol w:w="196"/>
        <w:gridCol w:w="736"/>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available-for-sale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 (included in Other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loans held by consolidated securitization vehicles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Debt fund investments</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 (included in 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obligations of consolidated securitization vehicles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Secured borrowing (included in Other liabilities) </w:t>
            </w:r>
            <w:r>
              <w:rPr>
                <w:rFonts w:ascii="Times New Roman;serif" w:hAnsi="Times New Roman;serif"/>
                <w:b w:val="false"/>
                <w:color w:val="000000"/>
                <w:sz w:val="12"/>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(1)During the six months ended June 30, 2026 the Fund invested $219.7 million in investments classified as Level 3 and recognized $5.1 million of unrealized gains on those investments included within "Income from debt fund investments, net" in the consolidated statements of operations.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(2)In 2021, the Company admitted an additional partner to the One Madison Avenue development project with the partner's indirect ownership in the joint venture totaling 25.0%. The transaction did not meet sale accounting under ASC 860 and, as a result, was treated as a secured borrowing for accounting purposes and is included in Other liabilities in our consolidated balance sheets. </w:t>
      </w:r>
    </w:p>
    <w:tbl>
      <w:tblPr>
        <w:tblW w:w="9375" w:type="dxa"/>
        <w:jc w:val="left"/>
        <w:tblInd w:w="0" w:type="dxa"/>
        <w:tblLayout w:type="fixed"/>
        <w:tblCellMar>
          <w:top w:w="28" w:type="dxa"/>
          <w:left w:w="28" w:type="dxa"/>
          <w:bottom w:w="28" w:type="dxa"/>
          <w:right w:w="28" w:type="dxa"/>
        </w:tblCellMar>
      </w:tblPr>
      <w:tblGrid>
        <w:gridCol w:w="1584"/>
        <w:gridCol w:w="1393"/>
        <w:gridCol w:w="1403"/>
        <w:gridCol w:w="196"/>
        <w:gridCol w:w="871"/>
        <w:gridCol w:w="109"/>
        <w:gridCol w:w="109"/>
        <w:gridCol w:w="109"/>
        <w:gridCol w:w="109"/>
        <w:gridCol w:w="196"/>
        <w:gridCol w:w="406"/>
        <w:gridCol w:w="109"/>
        <w:gridCol w:w="109"/>
        <w:gridCol w:w="109"/>
        <w:gridCol w:w="109"/>
        <w:gridCol w:w="196"/>
        <w:gridCol w:w="736"/>
        <w:gridCol w:w="109"/>
        <w:gridCol w:w="109"/>
        <w:gridCol w:w="109"/>
        <w:gridCol w:w="109"/>
        <w:gridCol w:w="196"/>
        <w:gridCol w:w="736"/>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available-for-sale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 (included in Other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loans held by consolidated securitization vehicles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Debt fund investments</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 (included in 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obligations of consolidated securitization vehicles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Secured borrowing (included in Other liabilities) </w:t>
            </w:r>
            <w:r>
              <w:rPr>
                <w:rFonts w:ascii="Times New Roman;serif" w:hAnsi="Times New Roman;serif"/>
                <w:b w:val="false"/>
                <w:color w:val="000000"/>
                <w:sz w:val="12"/>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(1)During the year ended December 31, 2025, the Fund purchased $146.9 million of investments classified as Level 3 and recognized $6.0 million of unrealized gains on those investments included within "Income from debt fund investments, net" in the consolidated statements of operations. </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(2)In 2021, the Company admitted an additional partner to the One Madison Avenue development project with the partner's indirect ownership in the joint venture totaling 25.0%. The transaction did not meet sale accounting under ASC 860 and, as a result, was treated as a secured borrowing for accounting purposes and is included in "Other liabilities" on our consolidated balance sheets.</w:t>
      </w:r>
    </w:p>
    <w:p>
      <w:pPr>
        <w:pStyle w:val="TextBody"/>
        <w:bidi w:val="0"/>
        <w:spacing w:lineRule="auto" w:line="288" w:before="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evaluate real estate investments and debt and preferred equity investments, including intangibles, for potential impairment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pStyle w:val="TextBody"/>
        <w:bidi w:val="0"/>
        <w:spacing w:lineRule="auto" w:line="288" w:before="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Marketable securities classified as Level 1 are derived from quoted prices in active markets. The valuation technique used to measure the fair value of marketable securities classified as Level 2 were valued based on quoted market prices or model driven valuations using the significant inputs derived from or corroborated by observable market data. We do not intend to sell these securities and it is not more likely than not that we will be required to sell the investments before recovery of their amortized cost bases.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senior obligations of consolidated securitization vehicles represent CMBS that are not owned by the Company. A majority of these securities are either traded in the marketplace or are similar to other securities that are traded in the marketplace. As the valuation of these amounts are based upon quoted prices for similar instruments in active markets, we generally utilize third party pricing service providers to determine the fair value. The Company evaluates and assesses the third party pricing by referring to recent trades of similar securities, ratings, subordination levels, current market data and credit issues. The Company maximizes the use of observable inputs over unobservable inputs and uses the value of the senior obligations of consolidated securitization vehicles as an indicator of the fair value of the real estate loans held by consolidated securitization vehicles. Depending on the significance of the fair value inputs used in determining the fair value, these securities are classified in either Level 2 or Level 3 of the fair value hierarchy. As such, these investments may move between Level 2 and Level 3 of the fair value hierarchy if the significant fair value inputs used to price the CMBS become or cease to be observable.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our secured borrowing is determined by projecting future cash flows, which takes into consideration various factors including discount rate and exit capitalization rate, as well as related asset performance and local or macro real estate performance. The inputs used in determining the Company's secured borrowing are considered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Nonrecurring Fair Value Measurements</w:t>
      </w:r>
    </w:p>
    <w:p>
      <w:pPr>
        <w:pStyle w:val="TextBody"/>
        <w:bidi w:val="0"/>
        <w:spacing w:lineRule="auto" w:line="288" w:before="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the Company sold a 49.0% interest in 346 Madison Avenue, which resulted in the Company no longer retaining a controlling financial interest in the entity, as defined in ASC 810, and as a result the Company deconsolidated the entity. We recorded our retained investment at fair value which resulted in the recognition of a positive fair value adjustment of $5.0 million that is reflected in the Company's consolidated statements of operations within "Purchase price and other fair value adjustments." The fair value of our investment was determined by the terms of the purchase and sale agreement. </w:t>
      </w:r>
    </w:p>
    <w:p>
      <w:pPr>
        <w:pStyle w:val="TextBody"/>
        <w:bidi w:val="0"/>
        <w:spacing w:lineRule="auto" w:line="288" w:before="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the Company acquired Park Avenue Tower and the retail condominium located at 610 Park Avenue. The assets acquired and liabilities assumed were recorded at their estimated fair values as of the acquisition date. The fair values were determined using third-party valuations which primarily utilized cash flow projections that apply, among other things, estimated revenue and expense growth rates, discount rates and capitalization rates, as well as the sales comparison approach, which utilizes comparable sales, listings, and sales contracts, all of which are classified as Level 3 inputs. </w:t>
      </w:r>
    </w:p>
    <w:p>
      <w:pPr>
        <w:pStyle w:val="TextBody"/>
        <w:bidi w:val="0"/>
        <w:spacing w:lineRule="auto" w:line="288" w:before="20" w:after="12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Financial Assets and Liabilities not Measured at Fair Value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carrying value and fair value of these financial instruments as of June 30, 2026 and December 31, 2025 (in thousands):</w:t>
      </w:r>
    </w:p>
    <w:tbl>
      <w:tblPr>
        <w:tblW w:w="9241" w:type="dxa"/>
        <w:jc w:val="center"/>
        <w:tblInd w:w="0" w:type="dxa"/>
        <w:tblLayout w:type="fixed"/>
        <w:tblCellMar>
          <w:top w:w="28" w:type="dxa"/>
          <w:left w:w="28" w:type="dxa"/>
          <w:bottom w:w="28" w:type="dxa"/>
          <w:right w:w="28" w:type="dxa"/>
        </w:tblCellMar>
      </w:tblPr>
      <w:tblGrid>
        <w:gridCol w:w="1018"/>
        <w:gridCol w:w="895"/>
        <w:gridCol w:w="907"/>
        <w:gridCol w:w="249"/>
        <w:gridCol w:w="1127"/>
        <w:gridCol w:w="138"/>
        <w:gridCol w:w="109"/>
        <w:gridCol w:w="109"/>
        <w:gridCol w:w="109"/>
        <w:gridCol w:w="196"/>
        <w:gridCol w:w="886"/>
        <w:gridCol w:w="109"/>
        <w:gridCol w:w="109"/>
        <w:gridCol w:w="109"/>
        <w:gridCol w:w="109"/>
        <w:gridCol w:w="252"/>
        <w:gridCol w:w="1122"/>
        <w:gridCol w:w="140"/>
        <w:gridCol w:w="109"/>
        <w:gridCol w:w="109"/>
        <w:gridCol w:w="109"/>
        <w:gridCol w:w="196"/>
        <w:gridCol w:w="871"/>
        <w:gridCol w:w="154"/>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Carrying Value</w:t>
            </w:r>
            <w:r>
              <w:rPr>
                <w:color w:val="000000"/>
              </w:rPr>
              <w:t xml:space="preser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Carrying Value</w:t>
            </w:r>
            <w:r>
              <w:rPr>
                <w:color w:val="000000"/>
              </w:rPr>
              <w:t xml:space="preser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preferred equity investments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113,085</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2"/>
              </w:rPr>
            </w:pP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2"/>
              </w:rPr>
            </w:pPr>
            <w:r>
              <w:rPr>
                <w:rFonts w:ascii="Times New Roman;serif" w:hAnsi="Times New Roman;serif"/>
                <w:b/>
                <w:color w:val="000000"/>
                <w:sz w:val="12"/>
              </w:rPr>
              <w:t>(2)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Liabilities: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 debt</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3,619,708</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3,581,658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3,675,222 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Variable rate debt</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929,422</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929,799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369,277 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4,549,130</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4,511,457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4,044,499 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4,048,535 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(1)Amounts exclude net deferred financing costs.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(2)As of June 30, 2026, debt and preferred equity investments had an estimated fair value of approximately $0.1 billion. As of December 31, 2025, debt and preferred equity investments had an estimated fair value of approximately $0.2 billion.</w:t>
      </w:r>
    </w:p>
    <w:p>
      <w:pPr>
        <w:pStyle w:val="TextBody"/>
        <w:bidi w:val="0"/>
        <w:spacing w:before="0" w:after="0"/>
        <w:jc w:val="both"/>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Disclosures regarding fair value of financial instruments was based on pertinent information available to us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17. Financial Instruments: Derivatives and Hedging</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our operations are exposed to market risks, including the effect of changes in interest rates and foreign exchange rates. We use a variety of commonly used derivative instruments, including, but not limited to, interest rate swaps, caps, collars and floors, and foreign currency forward contracts, to manage these underlying market risks. We hedge our exposure to variability in future cash flows for forecasted transactions in addition to anticipated future interest payments on existing debt. We recognize all derivatives on the balance sheet at fair value. Derivatives that are not designated as hedges are adjusted to fair value through earnings. If a derivative is designated as a hedge, depending on the nature of the hedge, changes in the fair value of the derivative will either be offset against the change in fair value of the hedge asset, liability, or firm commitment through earnings, or recognized in other comprehensive income (loss) until the hedged item is recognized in earnings. Reported net income and equity may increase or decrease prospectively, depending on future levels of interest rates, currency exchange rates and other variables affecting the fair values of derivative instruments and hedged items, but will have no effect on cash flows. Currently, all of our designated derivative instruments are effective hedging instruments.</w:t>
      </w:r>
    </w:p>
    <w:p>
      <w:pPr>
        <w:pStyle w:val="TextBody"/>
        <w:bidi w:val="0"/>
        <w:spacing w:lineRule="auto" w:line="288" w:before="0" w:after="12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Interest Rate Derivatives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notional value at inception and fair value of our consolidated interest rate derivatives as of June 30, 2026 based on Level 2 information. The notional value is an indication of the extent of our involvement in these instruments at that time, but does not represent exposure to credit, interest rate or market risks (dollars in thousands).</w:t>
      </w:r>
    </w:p>
    <w:tbl>
      <w:tblPr>
        <w:tblW w:w="10205" w:type="dxa"/>
        <w:jc w:val="center"/>
        <w:tblInd w:w="0" w:type="dxa"/>
        <w:tblLayout w:type="fixed"/>
        <w:tblCellMar>
          <w:top w:w="28" w:type="dxa"/>
          <w:left w:w="28" w:type="dxa"/>
          <w:bottom w:w="28" w:type="dxa"/>
          <w:right w:w="28" w:type="dxa"/>
        </w:tblCellMar>
      </w:tblPr>
      <w:tblGrid>
        <w:gridCol w:w="560"/>
        <w:gridCol w:w="491"/>
        <w:gridCol w:w="495"/>
        <w:gridCol w:w="196"/>
        <w:gridCol w:w="736"/>
        <w:gridCol w:w="109"/>
        <w:gridCol w:w="109"/>
        <w:gridCol w:w="109"/>
        <w:gridCol w:w="109"/>
        <w:gridCol w:w="278"/>
        <w:gridCol w:w="278"/>
        <w:gridCol w:w="309"/>
        <w:gridCol w:w="109"/>
        <w:gridCol w:w="109"/>
        <w:gridCol w:w="109"/>
        <w:gridCol w:w="407"/>
        <w:gridCol w:w="394"/>
        <w:gridCol w:w="395"/>
        <w:gridCol w:w="109"/>
        <w:gridCol w:w="109"/>
        <w:gridCol w:w="109"/>
        <w:gridCol w:w="393"/>
        <w:gridCol w:w="393"/>
        <w:gridCol w:w="395"/>
        <w:gridCol w:w="109"/>
        <w:gridCol w:w="109"/>
        <w:gridCol w:w="109"/>
        <w:gridCol w:w="575"/>
        <w:gridCol w:w="573"/>
        <w:gridCol w:w="574"/>
        <w:gridCol w:w="109"/>
        <w:gridCol w:w="109"/>
        <w:gridCol w:w="109"/>
        <w:gridCol w:w="196"/>
        <w:gridCol w:w="661"/>
        <w:gridCol w:w="162"/>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Strike</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3.524 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Sold Cap</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3.756 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4.174 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3.865 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Lock</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Lock</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12,083</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recorded unrealized gains of $0.1 million and $3.2 million, respectively, based on changes in the fair value of interest rate derivatives not designated as hedges, which are included in "Purchase price and other fair value adjustments" in the consolidated statements of operations. During the three and six months ended June 30, 2025 we recorded unrealized losses of $1.2 million and $4.3 million, respectively, based on changes in the fair value of interest rate derivatives not designated as hedges, which are included in "Purchase price and other fair value adjustments" in the consolidated statements of operations. During the three and six months ended June 30, 2026, we recorded realized gains of $1.0 million and $5.4 million, respectively, on settled contracts, which are included in interest expense in the consolidated statements of operations. During the three and six months ended June 30, 2025, we recorded gains of less than $0.1 million and $0.1 million, respectively, on the changes in fair value, which is included in interest expense in the consolidated statements of operations.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agreements the Company has with each of its interest rate derivative counterparties contain a provision where if the Company defaults on any of its indebtedness, then the Company could also be declared in default on its interest rate derivative obligations. As of June 30, 2026, the fair value of interest rate derivatives in a net liability position, including accrued interest but excluding any adjustment for nonperformance risk related to these agreements, was ($0.7 million). As of June 30, 2026, the Company was not required to post any collateral related to these agreements and was not in breach of any agreement provisions. If the Company had breached any of these provisions, it could have been required to settle its obligations under the agreements at their aggregate termination value of $0.8 million as of June 30, 2026.</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Gains and losses on terminated hedges are included in accumulated other comprehensive income, and are recognized into earnings over the term of the related obligation. Over time, the realized and unrealized gains and losses held in accumulated other comprehensive income will be reclassified into earnings as an adjustment to interest expense in the same periods in which the hedged interest payments affect earnings. We estimate that ($8.2 million) of the current balance held in accumulated other comprehensive income will be reclassified into interest expense and $2.6 million of the portion related to our share of joint venture accumulated other comprehensive income will be reclassified into equity in net income (loss) from unconsolidated joint ventures within the next 12 months.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our interest derivatives and our share of our unconsolidated joint ventures' interest derivatives that are designated and qualify as hedging instruments on the consolidated statements of operations for the three months ended June 30, 2026 and 2025, respectively (in thousands):</w:t>
      </w:r>
    </w:p>
    <w:tbl>
      <w:tblPr>
        <w:tblW w:w="10205" w:type="dxa"/>
        <w:jc w:val="left"/>
        <w:tblInd w:w="0" w:type="dxa"/>
        <w:tblLayout w:type="fixed"/>
        <w:tblCellMar>
          <w:top w:w="28" w:type="dxa"/>
          <w:left w:w="28" w:type="dxa"/>
          <w:bottom w:w="28" w:type="dxa"/>
          <w:right w:w="28" w:type="dxa"/>
        </w:tblCellMar>
      </w:tblPr>
      <w:tblGrid>
        <w:gridCol w:w="875"/>
        <w:gridCol w:w="572"/>
        <w:gridCol w:w="574"/>
        <w:gridCol w:w="109"/>
        <w:gridCol w:w="109"/>
        <w:gridCol w:w="109"/>
        <w:gridCol w:w="207"/>
        <w:gridCol w:w="699"/>
        <w:gridCol w:w="115"/>
        <w:gridCol w:w="115"/>
        <w:gridCol w:w="115"/>
        <w:gridCol w:w="115"/>
        <w:gridCol w:w="207"/>
        <w:gridCol w:w="623"/>
        <w:gridCol w:w="115"/>
        <w:gridCol w:w="109"/>
        <w:gridCol w:w="109"/>
        <w:gridCol w:w="109"/>
        <w:gridCol w:w="872"/>
        <w:gridCol w:w="872"/>
        <w:gridCol w:w="875"/>
        <w:gridCol w:w="109"/>
        <w:gridCol w:w="109"/>
        <w:gridCol w:w="109"/>
        <w:gridCol w:w="210"/>
        <w:gridCol w:w="613"/>
        <w:gridCol w:w="117"/>
        <w:gridCol w:w="117"/>
        <w:gridCol w:w="117"/>
        <w:gridCol w:w="117"/>
        <w:gridCol w:w="210"/>
        <w:gridCol w:w="597"/>
        <w:gridCol w:w="175"/>
      </w:tblGrid>
      <w:tr>
        <w:trPr/>
        <w:tc>
          <w:tcPr>
            <w:tcW w:w="87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Recognized in</w:t>
              <w:br/>
              <w:t>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Reclassified from Accumulated Other Comprehensive Income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Reclassified from</w:t>
              <w:br/>
              <w:t>Accumulated Other</w:t>
              <w:br/>
              <w:t>Comprehensive Income into Income</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8,575</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unconsolidated joint ventures'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4,428</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13,003</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256</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our interest derivatives and our share of our unconsolidated joint ventures' interest derivatives that are designated and qualify as hedging instruments on the consolidated statements of operations for the six months ended June 30, 2026 and 2025, respectively (in thousands):</w:t>
      </w:r>
    </w:p>
    <w:tbl>
      <w:tblPr>
        <w:tblW w:w="10205" w:type="dxa"/>
        <w:jc w:val="left"/>
        <w:tblInd w:w="0" w:type="dxa"/>
        <w:tblLayout w:type="fixed"/>
        <w:tblCellMar>
          <w:top w:w="28" w:type="dxa"/>
          <w:left w:w="28" w:type="dxa"/>
          <w:bottom w:w="28" w:type="dxa"/>
          <w:right w:w="28" w:type="dxa"/>
        </w:tblCellMar>
      </w:tblPr>
      <w:tblGrid>
        <w:gridCol w:w="861"/>
        <w:gridCol w:w="556"/>
        <w:gridCol w:w="558"/>
        <w:gridCol w:w="109"/>
        <w:gridCol w:w="109"/>
        <w:gridCol w:w="109"/>
        <w:gridCol w:w="204"/>
        <w:gridCol w:w="690"/>
        <w:gridCol w:w="113"/>
        <w:gridCol w:w="113"/>
        <w:gridCol w:w="113"/>
        <w:gridCol w:w="113"/>
        <w:gridCol w:w="204"/>
        <w:gridCol w:w="707"/>
        <w:gridCol w:w="113"/>
        <w:gridCol w:w="109"/>
        <w:gridCol w:w="109"/>
        <w:gridCol w:w="109"/>
        <w:gridCol w:w="847"/>
        <w:gridCol w:w="847"/>
        <w:gridCol w:w="849"/>
        <w:gridCol w:w="109"/>
        <w:gridCol w:w="109"/>
        <w:gridCol w:w="109"/>
        <w:gridCol w:w="207"/>
        <w:gridCol w:w="604"/>
        <w:gridCol w:w="115"/>
        <w:gridCol w:w="115"/>
        <w:gridCol w:w="115"/>
        <w:gridCol w:w="115"/>
        <w:gridCol w:w="207"/>
        <w:gridCol w:w="683"/>
        <w:gridCol w:w="175"/>
      </w:tblGrid>
      <w:tr>
        <w:trPr/>
        <w:tc>
          <w:tcPr>
            <w:tcW w:w="86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Recognized in</w:t>
              <w:br/>
              <w:t>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Reclassified from Accumulated Other Comprehensive Income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Reclassified from</w:t>
              <w:br/>
              <w:t>Accumulated Other</w:t>
              <w:br/>
              <w:t>Comprehensive Income into Income</w:t>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18,954</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2,693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unconsolidated joint ventures'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8,211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(2,108)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27,165</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(24,465)</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585</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13,470 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notional value at inception and fair value of our unconsolidated joint ventures' interest derivatives as of June 30, 2026 based on Level 2 information. The notional value is an indication of the extent of our involvement in these instruments at that time, but does not represent exposure to credit, interest rate or market risks (dollars in thousands).</w:t>
      </w:r>
    </w:p>
    <w:tbl>
      <w:tblPr>
        <w:tblW w:w="9531" w:type="dxa"/>
        <w:jc w:val="left"/>
        <w:tblInd w:w="0" w:type="dxa"/>
        <w:tblLayout w:type="fixed"/>
        <w:tblCellMar>
          <w:top w:w="28" w:type="dxa"/>
          <w:left w:w="28" w:type="dxa"/>
          <w:bottom w:w="28" w:type="dxa"/>
          <w:right w:w="28" w:type="dxa"/>
        </w:tblCellMar>
      </w:tblPr>
      <w:tblGrid>
        <w:gridCol w:w="527"/>
        <w:gridCol w:w="461"/>
        <w:gridCol w:w="467"/>
        <w:gridCol w:w="196"/>
        <w:gridCol w:w="736"/>
        <w:gridCol w:w="109"/>
        <w:gridCol w:w="109"/>
        <w:gridCol w:w="109"/>
        <w:gridCol w:w="109"/>
        <w:gridCol w:w="278"/>
        <w:gridCol w:w="278"/>
        <w:gridCol w:w="309"/>
        <w:gridCol w:w="109"/>
        <w:gridCol w:w="109"/>
        <w:gridCol w:w="109"/>
        <w:gridCol w:w="384"/>
        <w:gridCol w:w="384"/>
        <w:gridCol w:w="386"/>
        <w:gridCol w:w="109"/>
        <w:gridCol w:w="109"/>
        <w:gridCol w:w="109"/>
        <w:gridCol w:w="419"/>
        <w:gridCol w:w="419"/>
        <w:gridCol w:w="421"/>
        <w:gridCol w:w="109"/>
        <w:gridCol w:w="109"/>
        <w:gridCol w:w="109"/>
        <w:gridCol w:w="380"/>
        <w:gridCol w:w="380"/>
        <w:gridCol w:w="381"/>
        <w:gridCol w:w="109"/>
        <w:gridCol w:w="109"/>
        <w:gridCol w:w="109"/>
        <w:gridCol w:w="196"/>
        <w:gridCol w:w="631"/>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Strike</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Asset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Asset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4.065 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Liability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Liability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Liability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(2,489)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Foreign Exchange Derivatives</w:t>
      </w:r>
    </w:p>
    <w:p>
      <w:pPr>
        <w:pStyle w:val="TextBody"/>
        <w:bidi w:val="0"/>
        <w:spacing w:lineRule="auto" w:line="288" w:before="10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exposed to fluctuations in foreign exchange rates on financial instruments which are denominated in foreign currencies, primarily in euro. We use foreign exchange forward contracts to manage our exposure to changes in foreign exchange rates on certain euro-denominated assets and liabilities. Foreign exchange forward contracts involve fixing the U.S. dollar to euro exchange rate for delivery of a specified amount of foreign currency on a specified date. Our foreign exchange forward contracts are settled on a gross basis through the exchange of U.S. dollars and the contracted foreign currency on the settlement date. </w:t>
      </w:r>
    </w:p>
    <w:p>
      <w:pPr>
        <w:pStyle w:val="TextBody"/>
        <w:bidi w:val="0"/>
        <w:spacing w:lineRule="auto" w:line="288" w:before="10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notional value at inception and fair value of our consolidated foreign exchange derivatives as of June 30, 2026 based on Level 2 information. The notional value is an indication of the extent of our involvement in these instruments at that time, but does not represent exposure to credit, foreign exchange rates or market risks (dollars in thousands).</w:t>
      </w:r>
    </w:p>
    <w:tbl>
      <w:tblPr>
        <w:tblW w:w="10205" w:type="dxa"/>
        <w:jc w:val="left"/>
        <w:tblInd w:w="0" w:type="dxa"/>
        <w:tblLayout w:type="fixed"/>
        <w:tblCellMar>
          <w:top w:w="28" w:type="dxa"/>
          <w:left w:w="28" w:type="dxa"/>
          <w:bottom w:w="28" w:type="dxa"/>
          <w:right w:w="28" w:type="dxa"/>
        </w:tblCellMar>
      </w:tblPr>
      <w:tblGrid>
        <w:gridCol w:w="891"/>
        <w:gridCol w:w="781"/>
        <w:gridCol w:w="785"/>
        <w:gridCol w:w="196"/>
        <w:gridCol w:w="646"/>
        <w:gridCol w:w="109"/>
        <w:gridCol w:w="109"/>
        <w:gridCol w:w="109"/>
        <w:gridCol w:w="109"/>
        <w:gridCol w:w="109"/>
        <w:gridCol w:w="109"/>
        <w:gridCol w:w="312"/>
        <w:gridCol w:w="312"/>
        <w:gridCol w:w="314"/>
        <w:gridCol w:w="109"/>
        <w:gridCol w:w="109"/>
        <w:gridCol w:w="109"/>
        <w:gridCol w:w="596"/>
        <w:gridCol w:w="596"/>
        <w:gridCol w:w="598"/>
        <w:gridCol w:w="109"/>
        <w:gridCol w:w="109"/>
        <w:gridCol w:w="109"/>
        <w:gridCol w:w="567"/>
        <w:gridCol w:w="567"/>
        <w:gridCol w:w="569"/>
        <w:gridCol w:w="109"/>
        <w:gridCol w:w="109"/>
        <w:gridCol w:w="109"/>
        <w:gridCol w:w="196"/>
        <w:gridCol w:w="485"/>
        <w:gridCol w:w="159"/>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2026 - June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2027 - June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(734)</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recorded an unrealized loss of $0.6 million and $0.7 million based on changes in the fair value of foreign exchange derivatives not designated as hedges, which are included in "Purchase price and other fair value adjustments" in the consolidated statements of operations. During the three and six months ended June 30, 2025, we did not record any unrealized gains or losses on foreign exchange derivatives, as we did not have any outstanding during that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18. Lease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Operating Partnership is the lessor and the sublessor to tenants under operating and sales-type leases. The minimum rental amounts due under the leases are generally subject to scheduled fixed increases or adjustments. The leases generally also require that the tenants reimburse us for increases in certain operating costs and real estate taxes above their base year costs.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lease income from operating leases in our consolidated statements of operations during the three and six months ended June 30, 2026 and 2025 were as follows (in thousands):</w:t>
      </w:r>
    </w:p>
    <w:tbl>
      <w:tblPr>
        <w:tblW w:w="9701" w:type="dxa"/>
        <w:jc w:val="center"/>
        <w:tblInd w:w="0" w:type="dxa"/>
        <w:tblLayout w:type="fixed"/>
        <w:tblCellMar>
          <w:top w:w="28" w:type="dxa"/>
          <w:left w:w="28" w:type="dxa"/>
          <w:bottom w:w="28" w:type="dxa"/>
          <w:right w:w="28" w:type="dxa"/>
        </w:tblCellMar>
      </w:tblPr>
      <w:tblGrid>
        <w:gridCol w:w="1498"/>
        <w:gridCol w:w="1314"/>
        <w:gridCol w:w="1328"/>
        <w:gridCol w:w="109"/>
        <w:gridCol w:w="109"/>
        <w:gridCol w:w="109"/>
        <w:gridCol w:w="197"/>
        <w:gridCol w:w="757"/>
        <w:gridCol w:w="109"/>
        <w:gridCol w:w="109"/>
        <w:gridCol w:w="109"/>
        <w:gridCol w:w="109"/>
        <w:gridCol w:w="197"/>
        <w:gridCol w:w="742"/>
        <w:gridCol w:w="109"/>
        <w:gridCol w:w="109"/>
        <w:gridCol w:w="109"/>
        <w:gridCol w:w="109"/>
        <w:gridCol w:w="196"/>
        <w:gridCol w:w="751"/>
        <w:gridCol w:w="109"/>
        <w:gridCol w:w="109"/>
        <w:gridCol w:w="109"/>
        <w:gridCol w:w="109"/>
        <w:gridCol w:w="196"/>
        <w:gridCol w:w="736"/>
        <w:gridCol w:w="154"/>
      </w:tblGrid>
      <w:tr>
        <w:trPr/>
        <w:tc>
          <w:tcPr>
            <w:tcW w:w="149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172,545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339,053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lease payments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192,580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379,970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above and below-market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rental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191,882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378,758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(1)Amounts include $45.8 million and $89.5 million of sublease income for the three and six months ended June 30, 2026, respectively. Amounts include $45.0 million and $91.0 million of sublease income during the three and six months ended June 30, 2025, respectively. </w:t>
      </w:r>
    </w:p>
    <w:p>
      <w:pPr>
        <w:pStyle w:val="TextBody"/>
        <w:bidi w:val="0"/>
        <w:spacing w:lineRule="auto" w:line="288" w:before="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lease income from sales-type leases during the three and six months ended June 30, 2026 and 2025 were as follows (in thousands):</w:t>
      </w:r>
    </w:p>
    <w:tbl>
      <w:tblPr>
        <w:tblW w:w="6766" w:type="dxa"/>
        <w:jc w:val="center"/>
        <w:tblInd w:w="0" w:type="dxa"/>
        <w:tblLayout w:type="fixed"/>
        <w:tblCellMar>
          <w:top w:w="28" w:type="dxa"/>
          <w:left w:w="28" w:type="dxa"/>
          <w:bottom w:w="28" w:type="dxa"/>
          <w:right w:w="28" w:type="dxa"/>
        </w:tblCellMar>
      </w:tblPr>
      <w:tblGrid>
        <w:gridCol w:w="505"/>
        <w:gridCol w:w="443"/>
        <w:gridCol w:w="447"/>
        <w:gridCol w:w="109"/>
        <w:gridCol w:w="109"/>
        <w:gridCol w:w="109"/>
        <w:gridCol w:w="232"/>
        <w:gridCol w:w="676"/>
        <w:gridCol w:w="129"/>
        <w:gridCol w:w="129"/>
        <w:gridCol w:w="129"/>
        <w:gridCol w:w="129"/>
        <w:gridCol w:w="232"/>
        <w:gridCol w:w="658"/>
        <w:gridCol w:w="129"/>
        <w:gridCol w:w="109"/>
        <w:gridCol w:w="109"/>
        <w:gridCol w:w="109"/>
        <w:gridCol w:w="211"/>
        <w:gridCol w:w="617"/>
        <w:gridCol w:w="117"/>
        <w:gridCol w:w="117"/>
        <w:gridCol w:w="117"/>
        <w:gridCol w:w="117"/>
        <w:gridCol w:w="211"/>
        <w:gridCol w:w="601"/>
        <w:gridCol w:w="166"/>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income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(1)These amounts are included in "Other income" in our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19. Commitments and Contingencies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and the Operating Partnership were not involved in any material litigation nor, to management's knowledge, was any material litigation threatened against us or our portfolio which if adversely determined could have a material adverse impact on us.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20. Segment Information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three operating and reportable segments, real estate, debt and preferred equity ("DPE") investments, including the Fund, and SUMMIT. The results of these segments are provided to and reviewed by the CEO, our chief operating decision maker (“CODM”), who uses this information to assess performance and inform key decisions regarding operations, resources and capital allocation.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CODM evaluates real estate performance and allocates resources based on net operating income, which serves as the profit or loss measure for the real estate operating segment. For our debt and preferred equity investments and SUMMIT operating segment performance, our CODM evaluates and allocates resources based on net income. The CODM does not review asset information, by segment, as a measure to assess performance.</w:t>
      </w:r>
    </w:p>
    <w:p>
      <w:pPr>
        <w:pStyle w:val="TextBody"/>
        <w:bidi w:val="0"/>
        <w:spacing w:before="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reportable segment profit or loss measures for the six months ended June 30, 2026 and 2025 are as follows (in thousands):</w:t>
      </w:r>
    </w:p>
    <w:tbl>
      <w:tblPr>
        <w:tblW w:w="10205" w:type="dxa"/>
        <w:jc w:val="left"/>
        <w:tblInd w:w="0" w:type="dxa"/>
        <w:tblLayout w:type="fixed"/>
        <w:tblCellMar>
          <w:top w:w="28" w:type="dxa"/>
          <w:left w:w="28" w:type="dxa"/>
          <w:bottom w:w="28" w:type="dxa"/>
          <w:right w:w="28" w:type="dxa"/>
        </w:tblCellMar>
      </w:tblPr>
      <w:tblGrid>
        <w:gridCol w:w="1532"/>
        <w:gridCol w:w="1202"/>
        <w:gridCol w:w="1207"/>
        <w:gridCol w:w="109"/>
        <w:gridCol w:w="109"/>
        <w:gridCol w:w="109"/>
        <w:gridCol w:w="271"/>
        <w:gridCol w:w="1018"/>
        <w:gridCol w:w="150"/>
        <w:gridCol w:w="109"/>
        <w:gridCol w:w="109"/>
        <w:gridCol w:w="109"/>
        <w:gridCol w:w="276"/>
        <w:gridCol w:w="911"/>
        <w:gridCol w:w="153"/>
        <w:gridCol w:w="109"/>
        <w:gridCol w:w="109"/>
        <w:gridCol w:w="109"/>
        <w:gridCol w:w="224"/>
        <w:gridCol w:w="739"/>
        <w:gridCol w:w="124"/>
        <w:gridCol w:w="109"/>
        <w:gridCol w:w="109"/>
        <w:gridCol w:w="109"/>
        <w:gridCol w:w="196"/>
        <w:gridCol w:w="736"/>
        <w:gridCol w:w="158"/>
      </w:tblGrid>
      <w:tr>
        <w:trPr/>
        <w:tc>
          <w:tcPr>
            <w:tcW w:w="153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SUMMIT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DPE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427,035 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517,081 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98,065 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segment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debt fund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senior obligations of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SUMMIT Net income and DPE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net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(118,114)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(45,567)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on sale of interest in unconsolidated joint venture/real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(88,289)</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31"/>
        <w:gridCol w:w="1201"/>
        <w:gridCol w:w="1209"/>
        <w:gridCol w:w="109"/>
        <w:gridCol w:w="109"/>
        <w:gridCol w:w="109"/>
        <w:gridCol w:w="271"/>
        <w:gridCol w:w="1018"/>
        <w:gridCol w:w="150"/>
        <w:gridCol w:w="109"/>
        <w:gridCol w:w="109"/>
        <w:gridCol w:w="109"/>
        <w:gridCol w:w="276"/>
        <w:gridCol w:w="911"/>
        <w:gridCol w:w="153"/>
        <w:gridCol w:w="109"/>
        <w:gridCol w:w="109"/>
        <w:gridCol w:w="109"/>
        <w:gridCol w:w="224"/>
        <w:gridCol w:w="739"/>
        <w:gridCol w:w="124"/>
        <w:gridCol w:w="109"/>
        <w:gridCol w:w="109"/>
        <w:gridCol w:w="109"/>
        <w:gridCol w:w="196"/>
        <w:gridCol w:w="736"/>
        <w:gridCol w:w="158"/>
      </w:tblGrid>
      <w:tr>
        <w:trPr/>
        <w:tc>
          <w:tcPr>
            <w:tcW w:w="153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SUMMIT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DPE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368,738 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59,483 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481,762 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segment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265,296 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debt fund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and other investment reserves,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senior obligations of consolidated securitization 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SUMMIT Net income and DPE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92,379 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96,164 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net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in unconsolidated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real estate,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on sale of interest in unconsolidated joint venture/real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reportable segment profit or loss measures for the three months ended June 30, 2026 and 2025 are as follows (in thousands):</w:t>
      </w:r>
    </w:p>
    <w:tbl>
      <w:tblPr>
        <w:tblW w:w="10205" w:type="dxa"/>
        <w:jc w:val="left"/>
        <w:tblInd w:w="0" w:type="dxa"/>
        <w:tblLayout w:type="fixed"/>
        <w:tblCellMar>
          <w:top w:w="28" w:type="dxa"/>
          <w:left w:w="28" w:type="dxa"/>
          <w:bottom w:w="28" w:type="dxa"/>
          <w:right w:w="28" w:type="dxa"/>
        </w:tblCellMar>
      </w:tblPr>
      <w:tblGrid>
        <w:gridCol w:w="1533"/>
        <w:gridCol w:w="1202"/>
        <w:gridCol w:w="1208"/>
        <w:gridCol w:w="109"/>
        <w:gridCol w:w="109"/>
        <w:gridCol w:w="109"/>
        <w:gridCol w:w="270"/>
        <w:gridCol w:w="1017"/>
        <w:gridCol w:w="150"/>
        <w:gridCol w:w="109"/>
        <w:gridCol w:w="109"/>
        <w:gridCol w:w="109"/>
        <w:gridCol w:w="275"/>
        <w:gridCol w:w="910"/>
        <w:gridCol w:w="153"/>
        <w:gridCol w:w="109"/>
        <w:gridCol w:w="109"/>
        <w:gridCol w:w="109"/>
        <w:gridCol w:w="224"/>
        <w:gridCol w:w="738"/>
        <w:gridCol w:w="124"/>
        <w:gridCol w:w="109"/>
        <w:gridCol w:w="109"/>
        <w:gridCol w:w="109"/>
        <w:gridCol w:w="196"/>
        <w:gridCol w:w="736"/>
        <w:gridCol w:w="161"/>
      </w:tblGrid>
      <w:tr>
        <w:trPr/>
        <w:tc>
          <w:tcPr>
            <w:tcW w:w="153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SUMMIT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DPE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215,092 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segment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159,934 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debt fund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senior obligations of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SUMMIT Net income and DPE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net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gain on sale of interest in unconsolidated joint venture/real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31"/>
        <w:gridCol w:w="1201"/>
        <w:gridCol w:w="1209"/>
        <w:gridCol w:w="109"/>
        <w:gridCol w:w="109"/>
        <w:gridCol w:w="109"/>
        <w:gridCol w:w="271"/>
        <w:gridCol w:w="1018"/>
        <w:gridCol w:w="150"/>
        <w:gridCol w:w="109"/>
        <w:gridCol w:w="109"/>
        <w:gridCol w:w="109"/>
        <w:gridCol w:w="276"/>
        <w:gridCol w:w="911"/>
        <w:gridCol w:w="153"/>
        <w:gridCol w:w="109"/>
        <w:gridCol w:w="109"/>
        <w:gridCol w:w="109"/>
        <w:gridCol w:w="224"/>
        <w:gridCol w:w="739"/>
        <w:gridCol w:w="124"/>
        <w:gridCol w:w="109"/>
        <w:gridCol w:w="109"/>
        <w:gridCol w:w="109"/>
        <w:gridCol w:w="196"/>
        <w:gridCol w:w="736"/>
        <w:gridCol w:w="158"/>
      </w:tblGrid>
      <w:tr>
        <w:trPr/>
        <w:tc>
          <w:tcPr>
            <w:tcW w:w="153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SUMMIT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DPE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183,521 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segment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129,280 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debt fund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and other investment reserves,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senior obligations of consolidated securitization 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SUMMIT and DPE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net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real estate,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on sale of interest in unconsolidated joint venture/real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(6,817)</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the real estate segment, the primary sources of revenue are tenant rents and escalations and reimbursement revenue. See Note 7, "Debt and Preferred Equity Investments," for additional details on our debt and preferred equity investments. We allocate loan loss reserves, net of recoveries, and transaction related costs to the debt and preferred equity segment. SUMMIT currently operates one location at One Vanderbilt Avenue in midtown Manhattan with the primary source of revenue generated from ticket sales. </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were no transactions between the above three segments other than the SUMMIT lease with our One Vanderbilt Avenue joint venture, which is part of the real estate segment. See Note 10,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SL Green Realty Corp., which is referred to as SL Green or the Company,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Company is a self-managed real estate investment trust, or REIT, engaged in the ownership, management, operation, acquisition, development, redevelopment, repositioning and financing of commercial real estate properties, principally office properties, located in the New York metropolitan area, principally Manhattan. Unless the context requires otherwise, all references to "we," "our" and "us" means the Company and all entities owned or controlled by the Company, including the Operating Partnership.</w:t>
      </w:r>
    </w:p>
    <w:p>
      <w:pPr>
        <w:pStyle w:val="TextBody"/>
        <w:bidi w:val="0"/>
        <w:spacing w:lineRule="auto" w:line="276"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discussion related to our consolidated financial statements should be read in conjunction with the financial statements appearing in this Quarterly Report on this Form 10-Q and in Item 8 of our Annual Report on Form 10-K for the year ended December 31, 2025.</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we owned the following interests in properties in the New York metropolitan area, primarily in midtown Manhattan. Our investments located outside of Manhattan are referred to as the Suburban properties:</w:t>
      </w:r>
    </w:p>
    <w:tbl>
      <w:tblPr>
        <w:tblW w:w="12095" w:type="dxa"/>
        <w:jc w:val="left"/>
        <w:tblInd w:w="0" w:type="dxa"/>
        <w:tblLayout w:type="fixed"/>
        <w:tblCellMar>
          <w:top w:w="28" w:type="dxa"/>
          <w:left w:w="28" w:type="dxa"/>
          <w:bottom w:w="28" w:type="dxa"/>
          <w:right w:w="28" w:type="dxa"/>
        </w:tblCellMar>
      </w:tblPr>
      <w:tblGrid>
        <w:gridCol w:w="330"/>
        <w:gridCol w:w="291"/>
        <w:gridCol w:w="295"/>
        <w:gridCol w:w="109"/>
        <w:gridCol w:w="109"/>
        <w:gridCol w:w="109"/>
        <w:gridCol w:w="394"/>
        <w:gridCol w:w="394"/>
        <w:gridCol w:w="398"/>
        <w:gridCol w:w="109"/>
        <w:gridCol w:w="109"/>
        <w:gridCol w:w="109"/>
        <w:gridCol w:w="255"/>
        <w:gridCol w:w="255"/>
        <w:gridCol w:w="256"/>
        <w:gridCol w:w="116"/>
        <w:gridCol w:w="116"/>
        <w:gridCol w:w="116"/>
        <w:gridCol w:w="613"/>
        <w:gridCol w:w="348"/>
        <w:gridCol w:w="370"/>
        <w:gridCol w:w="109"/>
        <w:gridCol w:w="109"/>
        <w:gridCol w:w="109"/>
        <w:gridCol w:w="255"/>
        <w:gridCol w:w="255"/>
        <w:gridCol w:w="256"/>
        <w:gridCol w:w="135"/>
        <w:gridCol w:w="135"/>
        <w:gridCol w:w="135"/>
        <w:gridCol w:w="607"/>
        <w:gridCol w:w="354"/>
        <w:gridCol w:w="358"/>
        <w:gridCol w:w="109"/>
        <w:gridCol w:w="109"/>
        <w:gridCol w:w="109"/>
        <w:gridCol w:w="255"/>
        <w:gridCol w:w="255"/>
        <w:gridCol w:w="256"/>
        <w:gridCol w:w="109"/>
        <w:gridCol w:w="109"/>
        <w:gridCol w:w="109"/>
        <w:gridCol w:w="606"/>
        <w:gridCol w:w="355"/>
        <w:gridCol w:w="356"/>
        <w:gridCol w:w="109"/>
        <w:gridCol w:w="109"/>
        <w:gridCol w:w="109"/>
        <w:gridCol w:w="259"/>
        <w:gridCol w:w="207"/>
        <w:gridCol w:w="547"/>
      </w:tblGrid>
      <w:tr>
        <w:trPr/>
        <w:tc>
          <w:tcPr>
            <w:tcW w:w="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Property </w:t>
              <w:b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Buildings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Approximate Square Feet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Buildings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Buildings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Leased Occupancy </w:t>
            </w:r>
            <w:r>
              <w:rPr>
                <w:rFonts w:ascii="Times New Roman;serif" w:hAnsi="Times New Roman;serif"/>
                <w:b/>
                <w:color w:val="000000"/>
                <w:sz w:val="10"/>
              </w:rPr>
              <w:t>(1)</w:t>
            </w:r>
          </w:p>
        </w:tc>
      </w:tr>
      <w:tr>
        <w:trPr/>
        <w:tc>
          <w:tcPr>
            <w:tcW w:w="24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Manhattan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10,102,852 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13,868,633 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23,971,485 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338,545 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351,264 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Development/Redevelopment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1,220,951 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1,220,951 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11,662,348 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13,881,352 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25,543,700 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Suburban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732,800 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732,800 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12,395,148 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13,881,352 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26,276,500 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Manhattan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222,855 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221,884 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444,739 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340" w:type="dxa"/>
            <w:gridSpan w:val="6"/>
            <w:tcBorders/>
          </w:tcPr>
          <w:p>
            <w:pPr>
              <w:pStyle w:val="TableContents"/>
              <w:bidi w:val="0"/>
              <w:spacing w:before="0" w:after="283"/>
              <w:jc w:val="left"/>
              <w:rPr>
                <w:sz w:val="4"/>
                <w:szCs w:val="4"/>
              </w:rPr>
            </w:pPr>
            <w:r>
              <w:rPr>
                <w:sz w:val="4"/>
                <w:szCs w:val="4"/>
              </w:rPr>
            </w:r>
          </w:p>
        </w:tc>
      </w:tr>
      <w:tr>
        <w:trPr/>
        <w:tc>
          <w:tcPr>
            <w:tcW w:w="24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core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12,618,003 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14,103,236 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26,721,239 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Strategy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2,492,157 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2,492,157 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(1)The weighted average leased occupancy for commercial properties represents the total leased square feet divided by the total square footage at acquisition. The weighted average leased occupancy for residential properties represents the total leased units divided by the total available units. Properties under construction are not included in the calculation of weighted average leased occupancy.</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(2)As of June 30, 2026, we consolidated a building at 315 West 33rd Street that was comprised of approximately 222,855 square feet (unaudited) of residential space and approximately 270,132 square feet (unaudited) of retail space. For the purpose of this report, we have included this building in the number of residential properties we own. We have included only the residential square footage in total residential square footage, and have included the retail square footage in total retail square footage.</w:t>
      </w:r>
    </w:p>
    <w:p>
      <w:pPr>
        <w:pStyle w:val="TextBody"/>
        <w:bidi w:val="0"/>
        <w:spacing w:before="0" w:after="0"/>
        <w:ind w:left="0" w:right="0" w:hanging="90"/>
        <w:jc w:val="both"/>
        <w:rPr/>
      </w:pPr>
      <w:r>
        <w:rPr/>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we also managed four properties owned by third parties encompassing approximately 0.9 million square feet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Refer to the 2025 Annual Report on Form 10-K of the Company and the Operating Partnership for a discussion of our critical accounting estimates, which include investment in commercial real estate properties and investment in unconsolidated joint ventures. During the three and six months ended June 30, 2026, there were no material changes to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Comparison of the three months ended June 30, 2026 to the three months ended June 30, 2025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comparison for the three months ended June 30, 2026, or 2026, to the three months ended June 30, 2025, or 2025, makes reference to the effect of the following:</w:t>
      </w:r>
    </w:p>
    <w:p>
      <w:pPr>
        <w:pStyle w:val="TextBody"/>
        <w:bidi w:val="0"/>
        <w:spacing w:lineRule="auto" w:line="288" w:before="0" w:after="0"/>
        <w:ind w:left="0" w:right="0" w:hanging="270"/>
        <w:jc w:val="both"/>
        <w:rPr/>
      </w:pPr>
      <w:r>
        <w:rPr>
          <w:rFonts w:ascii="Times New Roman;serif" w:hAnsi="Times New Roman;serif"/>
          <w:b w:val="false"/>
          <w:color w:val="000000"/>
          <w:sz w:val="20"/>
        </w:rPr>
        <w:t>i.</w:t>
      </w:r>
      <w:r>
        <w:rPr>
          <w:color w:val="000000"/>
        </w:rPr>
        <w:t>“</w:t>
      </w:r>
      <w:r>
        <w:rPr>
          <w:rFonts w:ascii="Times New Roman;serif" w:hAnsi="Times New Roman;serif"/>
          <w:b w:val="false"/>
          <w:color w:val="000000"/>
          <w:sz w:val="20"/>
        </w:rPr>
        <w:t>Same-Store Properties,” which represents properties in service and operating during both the current and prior year reporting periods that are located in Manhattan (Same-Store Properties totaled 17 of our 32 consolidated operating buildings),</w:t>
      </w:r>
    </w:p>
    <w:p>
      <w:pPr>
        <w:pStyle w:val="TextBody"/>
        <w:bidi w:val="0"/>
        <w:spacing w:lineRule="auto" w:line="288" w:before="0" w:after="0"/>
        <w:ind w:left="0" w:right="0" w:hanging="270"/>
        <w:jc w:val="both"/>
        <w:rPr/>
      </w:pPr>
      <w:r>
        <w:rPr>
          <w:rFonts w:ascii="Times New Roman;serif" w:hAnsi="Times New Roman;serif"/>
          <w:b w:val="false"/>
          <w:color w:val="000000"/>
          <w:sz w:val="20"/>
        </w:rPr>
        <w:t>ii.</w:t>
      </w:r>
      <w:r>
        <w:rPr>
          <w:color w:val="000000"/>
        </w:rPr>
        <w:t>“</w:t>
      </w:r>
      <w:r>
        <w:rPr>
          <w:rFonts w:ascii="Times New Roman;serif" w:hAnsi="Times New Roman;serif"/>
          <w:b w:val="false"/>
          <w:color w:val="000000"/>
          <w:sz w:val="20"/>
        </w:rPr>
        <w:t>Acquisition Properties,” which represents all properties or interests in properties acquired in 2026 and 2025 and all non-Same-Store Properties, including properties that are under development or redevelopment,</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iii."Disposed Properties," which represents all properties or interests in properties sold in 2026 and 2025,</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iv."Alternative Strategy Portfolio," which represents non-core assets, and</w:t>
      </w:r>
    </w:p>
    <w:p>
      <w:pPr>
        <w:pStyle w:val="TextBody"/>
        <w:bidi w:val="0"/>
        <w:spacing w:lineRule="auto" w:line="288" w:before="0" w:after="180"/>
        <w:ind w:left="0" w:right="0" w:hanging="270"/>
        <w:jc w:val="both"/>
        <w:rPr/>
      </w:pPr>
      <w:r>
        <w:rPr>
          <w:rFonts w:ascii="Times New Roman;serif" w:hAnsi="Times New Roman;serif"/>
          <w:b w:val="false"/>
          <w:color w:val="000000"/>
          <w:sz w:val="20"/>
        </w:rPr>
        <w:t>v.</w:t>
      </w:r>
      <w:r>
        <w:rPr>
          <w:color w:val="000000"/>
        </w:rPr>
        <w:t>“</w:t>
      </w:r>
      <w:r>
        <w:rPr>
          <w:rFonts w:ascii="Times New Roman;serif" w:hAnsi="Times New Roman;serif"/>
          <w:b w:val="false"/>
          <w:color w:val="000000"/>
          <w:sz w:val="20"/>
        </w:rPr>
        <w:t>Other,” which represents properties where we sold an interest resulting in deconsolidation and corporate level items not allocable to specific properties, as well as the Service Corporation and eEmerge Inc.</w:t>
      </w:r>
    </w:p>
    <w:tbl>
      <w:tblPr>
        <w:tblW w:w="14702" w:type="dxa"/>
        <w:jc w:val="left"/>
        <w:tblInd w:w="0" w:type="dxa"/>
        <w:tblLayout w:type="fixed"/>
        <w:tblCellMar>
          <w:top w:w="28" w:type="dxa"/>
          <w:left w:w="28" w:type="dxa"/>
          <w:bottom w:w="28" w:type="dxa"/>
          <w:right w:w="28" w:type="dxa"/>
        </w:tblCellMar>
      </w:tblPr>
      <w:tblGrid>
        <w:gridCol w:w="628"/>
        <w:gridCol w:w="196"/>
        <w:gridCol w:w="197"/>
        <w:gridCol w:w="109"/>
        <w:gridCol w:w="109"/>
        <w:gridCol w:w="109"/>
        <w:gridCol w:w="196"/>
        <w:gridCol w:w="556"/>
        <w:gridCol w:w="109"/>
        <w:gridCol w:w="109"/>
        <w:gridCol w:w="109"/>
        <w:gridCol w:w="109"/>
        <w:gridCol w:w="196"/>
        <w:gridCol w:w="556"/>
        <w:gridCol w:w="109"/>
        <w:gridCol w:w="109"/>
        <w:gridCol w:w="109"/>
        <w:gridCol w:w="109"/>
        <w:gridCol w:w="196"/>
        <w:gridCol w:w="391"/>
        <w:gridCol w:w="109"/>
        <w:gridCol w:w="109"/>
        <w:gridCol w:w="109"/>
        <w:gridCol w:w="109"/>
        <w:gridCol w:w="287"/>
        <w:gridCol w:w="269"/>
        <w:gridCol w:w="292"/>
        <w:gridCol w:w="109"/>
        <w:gridCol w:w="109"/>
        <w:gridCol w:w="109"/>
        <w:gridCol w:w="196"/>
        <w:gridCol w:w="406"/>
        <w:gridCol w:w="109"/>
        <w:gridCol w:w="109"/>
        <w:gridCol w:w="109"/>
        <w:gridCol w:w="109"/>
        <w:gridCol w:w="196"/>
        <w:gridCol w:w="406"/>
        <w:gridCol w:w="109"/>
        <w:gridCol w:w="109"/>
        <w:gridCol w:w="109"/>
        <w:gridCol w:w="109"/>
        <w:gridCol w:w="196"/>
        <w:gridCol w:w="466"/>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327"/>
        <w:gridCol w:w="196"/>
        <w:gridCol w:w="466"/>
        <w:gridCol w:w="109"/>
        <w:gridCol w:w="327"/>
        <w:gridCol w:w="691"/>
        <w:gridCol w:w="343"/>
      </w:tblGrid>
      <w:tr>
        <w:trPr/>
        <w:tc>
          <w:tcPr>
            <w:tcW w:w="6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Same-Store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Consolidated</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Rental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SUMMIT Operator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 from real estate loans held by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SUMMIT Operator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Marketing,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income (loss) before equity in net income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SUMMIT Operator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on senior obligations of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net income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net loss on sale of interest in unconsolidated joint venture/real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from debt fund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price and other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gain on sale of real estate,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loss and other investment reserves, net of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Gain on sale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00" w:after="1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Rental revenue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Rental revenues increased due primarily to the acquisition of Park Avenue Tower ($18.4 million) during the first quarter of 2026, the consolidation of 315 West 33rd Street ($9.1 million) during the third quarter of 2025, and the consolidation of 800 Third Avenue ($8.8 million) during the fourth quarter of 2025. Additionally, there was an increase in rental revenue from our Same-Store Properties, excluding 100 Park Avenue, of $1.2 million due to an increase in economic occupancy. This increase is partially offset by the deconsolidation of 100 Park Avenue ($10.1 million) at the end of the fourth quarter of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Investment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Investment income decreased due primarily to a lower weighted average debt and preferred equity investment balance for the three months ended June 30, 2026, as compared to the same period in 2025. For the three months ended June 30, 2026, the weighted average debt and preferred equity investment balance outstanding and weighted average yield were $113.1 million and 7.5%, respectively, as compared to $319.9 million and 5.6%, respectively, for the three months ended June 30, 2026.</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income from real estate loans held by consolidated securitization vehicles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own securities in CMBS securitization trusts that result in the consolidation of the trusts on our financial statements. The amounts recorded include our interest income as well as the interest income associated with CMBS positions owned by third parties, which is offset by the amounts recorded in "Interest expense on senior obligations of consolidated securitization vehicles." As a result, the net impact is limited to the interest income on the CMBS we own directly and not the consolidated interest income and interest expense.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Fee income</w:t>
      </w:r>
    </w:p>
    <w:p>
      <w:pPr>
        <w:pStyle w:val="TextBody"/>
        <w:bidi w:val="0"/>
        <w:spacing w:lineRule="auto" w:line="276"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Fee income increased due primarily to fees received in conjunction with the partial sale of 346 Madison Avenue ($4.2 million) and the sale of 7 Dey Street ($2.1 million).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Property operating expenses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Property operating expenses increased due primarily to the acquisition of Park Avenue Tower ($6.4 million) during the first quarter of 2026, the consolidation of 800 Third Avenue ($5.2 million) during the fourth quarter of 2025, and the consolidation of 315 West 33rd Street ($4.7 million) during the third quarter of 2025. This increase is partially offset by the deconsolidation of 100 Park Avenue ($6.4 million) at the end of the fourth quarter of 2025.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Marketing, general and administrative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Marketing, general, and administrative expenses increased due primarily to higher compensation expenses.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net of interest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net of interest income, increased due primarily to the acquisition of Park Avenue Tower ($6.9 million) during the first quarter of 2026, the consolidation of 315 West 33rd Street ($3.1 million) during the third quarter of 2025, and the consolidation of 800 Third Avenue ($2.6 million) during the fourth quarter of 2025. These increases were offset by decreased interest expense from the deconsolidation of 100 Park Avenue ($6.3 million) at the end of the fourth quarter of 2025. The weighted average debt balance outstanding was $4.7 billion for three months ended June 30, 2026, compared to $3.8 billion for the three months ended June 30, 2025. The consolidated weighted average interest rate was 5.21% for the three months ended June 30, 2026, as compared to 5.38% for the three months ended June 30,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senior obligations of consolidated securitization vehicles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own securities in CMBS securitization trusts that result in the consolidation of the trusts on our financial statements. The amounts include the interest expense associated with CMBS positions owned by third parties, which is an offset to the third-party interest income recognized in Interest income from real estate loans held by consolidated securitization vehicles. As a result, the impact is limited to interest income on the CMBS we own directly and not the consolidated interest income and interest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due primarily to the acquisition of Park Avenue Tower ($8.3 million) during the first quarter of 2026, the consolidation of 800 Third Avenue ($2.9 million) during the fourth quarter of 2025, and the consolidation of 315 West 33rd Street ($2.2 million) during the third quarter of 2025. This increase is partially offset by the deconsolidation of 100 Park Avenue ($4.9 million) at the end of the fourth quarter of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Equity in net income (loss) from unconsolidated joint ventures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recognized $26.6 million of income related to a reduction in the negative carrying value of an unconsolidated joint venture.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Equity in net loss on sale of interest in unconsolidated joint venture/real estate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did not dispose of any interests in unconsolidated joint ventures. During the three months ended June 30, 2025, we recognized a loss on the sale of our interest in 85 Fifth Avenue ($1.9 million).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Income from debt fund investments, net</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Income from debt fund investments increased due primarily to the continued deployment of capital in the Fund, resulting in a higher average invested balance and an increase in the fair value of its investments from $41.4 million at June 30, 2025 to $379.0 million at June 30, 2026.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Purchase price and other fair value adjustments</w:t>
      </w:r>
    </w:p>
    <w:p>
      <w:pPr>
        <w:pStyle w:val="TextBody"/>
        <w:bidi w:val="0"/>
        <w:spacing w:lineRule="auto" w:line="288" w:before="0" w:after="120"/>
        <w:ind w:left="0" w:right="0" w:firstLine="450"/>
        <w:jc w:val="both"/>
        <w:rPr/>
      </w:pPr>
      <w:r>
        <w:rPr>
          <w:rFonts w:ascii="Times New Roman;serif" w:hAnsi="Times New Roman;serif"/>
          <w:b w:val="false"/>
          <w:color w:val="000000"/>
          <w:sz w:val="20"/>
        </w:rPr>
        <w:t>During the three months ended June 30, 2026, we recorded a $5.0 million</w:t>
      </w:r>
      <w:r>
        <w:rPr>
          <w:color w:val="000000"/>
        </w:rPr>
        <w:t xml:space="preserve"> </w:t>
      </w:r>
      <w:r>
        <w:rPr>
          <w:rFonts w:ascii="Times New Roman;serif" w:hAnsi="Times New Roman;serif"/>
          <w:b w:val="false"/>
          <w:color w:val="000000"/>
          <w:sz w:val="20"/>
        </w:rPr>
        <w:t xml:space="preserve">positive fair value adjustment related to the deconsolidation of 346 Madison Avenue. During the three months ended June 30, 2025, we recorded a $13.0 million negative fair value adjustment related to the initial valuation of Palisades Conference Center and a $1.2 million negative fair value adjustment related to derivatives that are not designated as hedges for accounting purposes.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(Loss) gain on sale of real estate, net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recognized a loss of $4.2 million on the sale of 7 Dey Street, offset by a gain of $1.3 million on the sale of a 49% interest in 346 Madison Avenue.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Loan loss and other investment reserves, net of recoveries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we recognized a loan loss recovery of $46.6 million related to the repayment of the commercial mortgage investment at 522 Fifth Avenue.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Gain on sale of marketable securities</w:t>
      </w:r>
    </w:p>
    <w:p>
      <w:pPr>
        <w:pStyle w:val="TextBody"/>
        <w:bidi w:val="0"/>
        <w:spacing w:lineRule="auto" w:line="288" w:before="0" w:after="120"/>
        <w:ind w:left="0" w:right="0" w:firstLine="450"/>
        <w:jc w:val="both"/>
        <w:rPr/>
      </w:pPr>
      <w:r>
        <w:rPr>
          <w:rFonts w:ascii="Times New Roman;serif" w:hAnsi="Times New Roman;serif"/>
          <w:b w:val="false"/>
          <w:color w:val="000000"/>
          <w:sz w:val="20"/>
        </w:rPr>
        <w:t>During the</w:t>
      </w:r>
      <w:r>
        <w:rPr>
          <w:color w:val="000000"/>
        </w:rPr>
        <w:t xml:space="preserve"> </w:t>
      </w:r>
      <w:r>
        <w:rPr>
          <w:rFonts w:ascii="Times New Roman;serif" w:hAnsi="Times New Roman;serif"/>
          <w:b w:val="false"/>
          <w:color w:val="000000"/>
          <w:sz w:val="20"/>
        </w:rPr>
        <w:t>three months ended June 30, 2025, we recognized a gain on the sale of marketable securities of $10.2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80"/>
        <w:jc w:val="both"/>
        <w:rPr/>
      </w:pPr>
      <w:r>
        <w:rPr>
          <w:rFonts w:ascii="Times New Roman;serif" w:hAnsi="Times New Roman;serif"/>
          <w:b/>
          <w:i/>
          <w:color w:val="000000"/>
          <w:sz w:val="20"/>
        </w:rPr>
        <w:t>Comparison of the six months ended June 30, 2026 to the six months ended June 30, 2025</w:t>
      </w:r>
      <w:r>
        <w:rPr>
          <w:color w:val="000000"/>
        </w:rPr>
        <w:t xml:space="preserve">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comparison for the six months ended June 30, 2026, or 2026, to the six months ended June 30, 2025, or 2025, makes reference to the effect of the following:</w:t>
      </w:r>
    </w:p>
    <w:p>
      <w:pPr>
        <w:pStyle w:val="TextBody"/>
        <w:bidi w:val="0"/>
        <w:spacing w:lineRule="auto" w:line="288" w:before="0" w:after="0"/>
        <w:ind w:left="0" w:right="0" w:hanging="270"/>
        <w:jc w:val="both"/>
        <w:rPr/>
      </w:pPr>
      <w:r>
        <w:rPr>
          <w:rFonts w:ascii="Times New Roman;serif" w:hAnsi="Times New Roman;serif"/>
          <w:b w:val="false"/>
          <w:color w:val="000000"/>
          <w:sz w:val="20"/>
        </w:rPr>
        <w:t>i.</w:t>
      </w:r>
      <w:r>
        <w:rPr>
          <w:color w:val="000000"/>
        </w:rPr>
        <w:t>“</w:t>
      </w:r>
      <w:r>
        <w:rPr>
          <w:rFonts w:ascii="Times New Roman;serif" w:hAnsi="Times New Roman;serif"/>
          <w:b w:val="false"/>
          <w:color w:val="000000"/>
          <w:sz w:val="20"/>
        </w:rPr>
        <w:t>Same-Store Properties,” which represents properties in service and operating during both the current and prior year reporting periods that are located in Manhattan (Same-Store Properties totaled 17 of our 32 consolidated operating properties),</w:t>
      </w:r>
    </w:p>
    <w:p>
      <w:pPr>
        <w:pStyle w:val="TextBody"/>
        <w:bidi w:val="0"/>
        <w:spacing w:lineRule="auto" w:line="288" w:before="0" w:after="0"/>
        <w:ind w:left="0" w:right="0" w:hanging="270"/>
        <w:jc w:val="both"/>
        <w:rPr/>
      </w:pPr>
      <w:r>
        <w:rPr>
          <w:rFonts w:ascii="Times New Roman;serif" w:hAnsi="Times New Roman;serif"/>
          <w:b w:val="false"/>
          <w:color w:val="000000"/>
          <w:sz w:val="20"/>
        </w:rPr>
        <w:t>ii.</w:t>
      </w:r>
      <w:r>
        <w:rPr>
          <w:color w:val="000000"/>
        </w:rPr>
        <w:t>“</w:t>
      </w:r>
      <w:r>
        <w:rPr>
          <w:rFonts w:ascii="Times New Roman;serif" w:hAnsi="Times New Roman;serif"/>
          <w:b w:val="false"/>
          <w:color w:val="000000"/>
          <w:sz w:val="20"/>
        </w:rPr>
        <w:t>Acquisition Properties,” which represents all properties or interests in properties acquired in 2026 and 2025 and all non-Same-Store Properties, including properties that are under development, redevelopment or were deconsolidated during the period,</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iii."Disposed Properties," which represents all properties or interests in properties sold or partially sold in 2026 and 2025,</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iv."Alternative Strategy Portfolio," which represents non-core assets, and</w:t>
      </w:r>
    </w:p>
    <w:p>
      <w:pPr>
        <w:pStyle w:val="TextBody"/>
        <w:bidi w:val="0"/>
        <w:spacing w:lineRule="auto" w:line="288" w:before="0" w:after="120"/>
        <w:ind w:left="0" w:right="0" w:hanging="270"/>
        <w:jc w:val="both"/>
        <w:rPr/>
      </w:pPr>
      <w:r>
        <w:rPr>
          <w:rFonts w:ascii="Times New Roman;serif" w:hAnsi="Times New Roman;serif"/>
          <w:b w:val="false"/>
          <w:color w:val="000000"/>
          <w:sz w:val="20"/>
        </w:rPr>
        <w:t>v.</w:t>
      </w:r>
      <w:r>
        <w:rPr>
          <w:color w:val="000000"/>
        </w:rPr>
        <w:t>“</w:t>
      </w:r>
      <w:r>
        <w:rPr>
          <w:rFonts w:ascii="Times New Roman;serif" w:hAnsi="Times New Roman;serif"/>
          <w:b w:val="false"/>
          <w:color w:val="000000"/>
          <w:sz w:val="20"/>
        </w:rPr>
        <w:t>Other,” which represents properties that were partially sold resulting in deconsolidation and corporate level items not allocable to specific properties, as well as the Service Corporation and eEmerge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tbl>
      <w:tblPr>
        <w:tblW w:w="14732" w:type="dxa"/>
        <w:jc w:val="left"/>
        <w:tblInd w:w="0" w:type="dxa"/>
        <w:tblLayout w:type="fixed"/>
        <w:tblCellMar>
          <w:top w:w="28" w:type="dxa"/>
          <w:left w:w="28" w:type="dxa"/>
          <w:bottom w:w="28" w:type="dxa"/>
          <w:right w:w="28" w:type="dxa"/>
        </w:tblCellMar>
      </w:tblPr>
      <w:tblGrid>
        <w:gridCol w:w="628"/>
        <w:gridCol w:w="196"/>
        <w:gridCol w:w="197"/>
        <w:gridCol w:w="109"/>
        <w:gridCol w:w="109"/>
        <w:gridCol w:w="109"/>
        <w:gridCol w:w="196"/>
        <w:gridCol w:w="556"/>
        <w:gridCol w:w="109"/>
        <w:gridCol w:w="109"/>
        <w:gridCol w:w="109"/>
        <w:gridCol w:w="109"/>
        <w:gridCol w:w="196"/>
        <w:gridCol w:w="556"/>
        <w:gridCol w:w="109"/>
        <w:gridCol w:w="109"/>
        <w:gridCol w:w="109"/>
        <w:gridCol w:w="109"/>
        <w:gridCol w:w="196"/>
        <w:gridCol w:w="481"/>
        <w:gridCol w:w="109"/>
        <w:gridCol w:w="109"/>
        <w:gridCol w:w="109"/>
        <w:gridCol w:w="109"/>
        <w:gridCol w:w="248"/>
        <w:gridCol w:w="233"/>
        <w:gridCol w:w="292"/>
        <w:gridCol w:w="109"/>
        <w:gridCol w:w="109"/>
        <w:gridCol w:w="109"/>
        <w:gridCol w:w="196"/>
        <w:gridCol w:w="406"/>
        <w:gridCol w:w="109"/>
        <w:gridCol w:w="109"/>
        <w:gridCol w:w="109"/>
        <w:gridCol w:w="109"/>
        <w:gridCol w:w="196"/>
        <w:gridCol w:w="406"/>
        <w:gridCol w:w="109"/>
        <w:gridCol w:w="109"/>
        <w:gridCol w:w="109"/>
        <w:gridCol w:w="109"/>
        <w:gridCol w:w="196"/>
        <w:gridCol w:w="466"/>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327"/>
        <w:gridCol w:w="196"/>
        <w:gridCol w:w="466"/>
        <w:gridCol w:w="109"/>
        <w:gridCol w:w="327"/>
        <w:gridCol w:w="706"/>
        <w:gridCol w:w="343"/>
      </w:tblGrid>
      <w:tr>
        <w:trPr/>
        <w:tc>
          <w:tcPr>
            <w:tcW w:w="6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Same-Store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Consolidated</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Rental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SUMMIT Operator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 from real estate loans held by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SUMMIT Operator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Marketing,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income (loss) before equity in net income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SUMMIT Operator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on senior obligations of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net income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net loss on sale of interest in unconsolidated joint venture/real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from debt fund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1,316.7 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price and other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gain on sale of real estate,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(2,183.3)</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Depreciable real estate reserves and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314.1 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loss and other investment reserves,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Gain on sale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Rental revenue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Rental revenues increased due primarily to the acquisition of Park Avenue Tower ($33.9 million) during the first quarter of 2026, the consolidation of 315 West 33rd Street ($18.1 million) during the third quarter of 2025, and the consolidation of 800 Third Avenue ($17.5 million) during the fourth quarter of 2025. Additionally, there was an increase in rental revenue from our Same-Store Properties, excluding 100 Park Avenue, of $1.0 million due to an increase in economic occupancy. This increase is partially offset by the deconsolidation of 100 Park Avenue ($20.1 million) at the end of the fourth quarter of 2025 and the sale of 690 Madison Avenue during the first quarter of 2026 ($1.3 million). </w:t>
      </w:r>
    </w:p>
    <w:p>
      <w:pPr>
        <w:pStyle w:val="TextBody"/>
        <w:bidi w:val="0"/>
        <w:spacing w:before="0" w:after="12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SUMMIT Operator revenue</w:t>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SUMMIT Operator revenues were higher due primarily to the Ascent experience coming back online during the fourth quarter of 2025, which is a premium ticket that generates incremental revenue.</w:t>
      </w:r>
    </w:p>
    <w:p>
      <w:pPr>
        <w:pStyle w:val="TextBody"/>
        <w:bidi w:val="0"/>
        <w:spacing w:before="0" w:after="0"/>
        <w:ind w:left="0" w:right="0" w:firstLine="45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Investment income</w:t>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Investment income decreased due primarily to one CMBS investment ($10.0 million) that was sold during the six months ended June 30, 2025. Investment income also decreased due to a lower weighted average debt and preferred equity investment balance for the six months ended June 30, 2026 as compared to the same period in 2025. For the six months ended June 30, 2026, the weighted average debt and preferred equity investment balance outstanding and weighted average yield were $111.3 million and 7.5%, respectively, as compared to $326.5 million and 6.0%, respectively, for the six months ended June 30, 2025.</w:t>
      </w:r>
    </w:p>
    <w:p>
      <w:pPr>
        <w:pStyle w:val="TextBody"/>
        <w:bidi w:val="0"/>
        <w:spacing w:before="0" w:after="0"/>
        <w:ind w:left="0" w:right="0" w:firstLine="45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income from real estate loans held by consolidated securitization vehicles</w:t>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own securities in CMBS securitization trusts that result in the consolidation of the trusts on our financial statements. The amounts recorded include our interest income as well as the interest income associated with CMBS positions owned by third parties, which is offset by the amounts recorded in "Interest expense on senior obligations of consolidated securitization vehicles." As a result, the net impact is limited to the interest income on the CMBS we own directly and not the consolidated interest income and interest expense.</w:t>
      </w:r>
    </w:p>
    <w:p>
      <w:pPr>
        <w:pStyle w:val="TextBody"/>
        <w:bidi w:val="0"/>
        <w:spacing w:before="0" w:after="0"/>
        <w:ind w:left="0" w:right="0" w:firstLine="45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Fee income</w:t>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Fee income increased due primarily to fees received in conjunction with the partial sale of 346 Madison Avenue ($4.2 million), the sale of 7 Dey Street ($2.1 million) and an increase in special servicing fees ($2.6 million).</w:t>
      </w:r>
    </w:p>
    <w:p>
      <w:pPr>
        <w:pStyle w:val="TextBody"/>
        <w:bidi w:val="0"/>
        <w:spacing w:before="0" w:after="0"/>
        <w:ind w:left="0" w:right="0" w:firstLine="450"/>
        <w:jc w:val="both"/>
        <w:rPr/>
      </w:pPr>
      <w:r>
        <w:rPr/>
      </w:r>
    </w:p>
    <w:p>
      <w:pPr>
        <w:pStyle w:val="TextBody"/>
        <w:bidi w:val="0"/>
        <w:spacing w:lineRule="auto" w:line="276" w:before="0" w:after="120"/>
        <w:jc w:val="both"/>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decreased due primarily to lease termination income ($3.8 million) recognized during the six months ended June 30, 2025.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Property operating expenses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Property operating expenses increased due primarily to the acquisition of Park Avenue Tower ($12.7 million) during the first quarter of 2026, the consolidation of 800 Third Avenue ($10.3 million) during the fourth quarter of 2025, and the consolidation of 315 West 33rd Street ($8.8 million) during the third quarter of 2025. This increase is partially offset by the deconsolidation of 100 Park Avenue ($13.1 million) at the end of the fourth quarter of 2025.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SUMMIT Operator expenses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SUMMIT Operator expenses were higher due to increased variable expenses as a result of increased operating hours and the Ascent premium experience coming back online.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Marketing, general and administrative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Marketing, general, and administrative expenses increased due primarily to higher compensation expenses.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net of interest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net of interest income, increased due primarily to the acquisition of Park Avenue Tower during the first quarter of 2026 ($12.3 million), the consolidation of 315 West 33rd Street ($6.2 million) during the third quarter of 2025, and the consolidation of 800 Third Avenue ($5.3 million) during the fourth quarter of 2025. These increases were offset by decreased interest expense from the deconsolidation of 100 Park Avenue ($12.5 million) at the end of the fourth quarter of 2025. The weighted average consolidated debt balance outstanding was $4.7 billion for the six months ended June 30, 2026, compared to $3.8 billion for the six months ended June 30, 2025. The consolidated weighted average interest rate was 4.88% for the six months ended June 30, 2026, as compared to 5.38%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senior obligations of consolidated securitization vehicles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own securities in CMBS securitization trusts that result in the consolidation of the trusts on our financial statements. The amounts include the interest expense associated with CMBS positions owned by third parties, which is an offset to the third party interest income recognized in "Interest income from real estate loans held by consolidated securitization vehicles." As a result, the impact is limited to interest income on the CMBS we own directly and not the consolidated interest income and interest expense.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increased primarily due to the acquisition of Park Avenue Tower ($16.5 million) during the first quarter of 2026, the consolidation of 315 West 33rd Street ($6.6 million) during the third quarter of 2025, and the consolidation of 800 Third Avenue ($5.8 million) during the fourth quarter of 2025. This increase is partially offset by the disposition of 7 Dey Street ($3.2 million) during the second quarter of 2026, and the deconsolidation of 100 Park Avenue ($9.6 million) at the end of the fourth quarter of 2025.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Equity in net income (loss) from unconsolidated joint ventures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recognized $26.6 million of income related to a reduction in the negative carrying value of an unconsolidated joint venture. During the six months ended June 30, 2025, we recognized $18.3 million of income related to the write-off of the negative carrying value of an unconsolidated joint venture after we were no longer obligated or otherwise committed to provide additional financial support to the entity.</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Equity in net loss on sale of interest in unconsolidated joint venture/real estate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did not dispose of any unconsolidated joint ventures. During the six months ended June 30, 2025, we recognized a loss on the sale of our interest in 85 Fifth Avenue ($1.9 million).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Income from debt fund investments, net</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Income from debt fund investments increased due primarily to the continued deployment of capital in the Fund, resulting in a higher average invested balance and an increase in the fair value of its investments from $41.4 million at June 30, 2025 to $379.0 million at June 30, 2026.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Purchase price and other fair value adjustments</w:t>
      </w:r>
    </w:p>
    <w:p>
      <w:pPr>
        <w:pStyle w:val="TextBody"/>
        <w:bidi w:val="0"/>
        <w:spacing w:lineRule="auto" w:line="288" w:before="0" w:after="120"/>
        <w:ind w:left="0" w:right="0" w:firstLine="450"/>
        <w:jc w:val="both"/>
        <w:rPr/>
      </w:pPr>
      <w:r>
        <w:rPr>
          <w:rFonts w:ascii="Times New Roman;serif" w:hAnsi="Times New Roman;serif"/>
          <w:b w:val="false"/>
          <w:color w:val="000000"/>
          <w:sz w:val="20"/>
        </w:rPr>
        <w:t>During the six months ended June 30, 2026, we recorded a $5.0 million</w:t>
      </w:r>
      <w:r>
        <w:rPr>
          <w:color w:val="000000"/>
        </w:rPr>
        <w:t xml:space="preserve"> </w:t>
      </w:r>
      <w:r>
        <w:rPr>
          <w:rFonts w:ascii="Times New Roman;serif" w:hAnsi="Times New Roman;serif"/>
          <w:b w:val="false"/>
          <w:color w:val="000000"/>
          <w:sz w:val="20"/>
        </w:rPr>
        <w:t xml:space="preserve">positive fair value adjustment related to the deconsolidation of 346 Madison Avenue, a $2.4 million positive fair value adjustment related to derivatives that are not designated as hedges for accounting purposes, and a $2.2 million positive fair value adjustment related to the previous sale of an interest in One Madison Avenue, which did not meet sale accounting under ASC 860. During the six months ended June 30, 2025, we recorded a $13.0 million negative fair value adjustment related to the initial valuation of Palisades Conference Center and a $4.3 million negative fair value adjustment related to derivatives that are not designated as hedges for accounting purposes.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(Loss) gain on sale of real estate, net</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recognized a gain of $15.3 million on the sale of 690 Madison Avenue and a gain of $1.3 million on the sale of a 49% interest in 346 Madison Avenue. These gains were offset by a loss of $4.2 million on the sale of 7 Dey Street.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Depreciable real estate reserves and impairments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recognized depreciable real estate reserves and impairments in connection with the classification of 7 Dey Street as held for sale ($35.2 million). During the six months ended June 30, 2025, we recognized depreciable real estate reserves and impairments related to the sale of residential condominium units at 760 Madison Avenue ($8.5 million).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Loan loss and other investment reserves, net of recoveries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we recognized a loan loss recovery of $71.6 million related to the repayment of the commercial mortgage investment at 522 Fifth Avenue.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Gain on sale of marketable securities</w:t>
      </w:r>
    </w:p>
    <w:p>
      <w:pPr>
        <w:pStyle w:val="TextBody"/>
        <w:bidi w:val="0"/>
        <w:spacing w:lineRule="auto" w:line="288" w:before="0" w:after="120"/>
        <w:ind w:left="0" w:right="0" w:firstLine="450"/>
        <w:jc w:val="both"/>
        <w:rPr/>
      </w:pPr>
      <w:r>
        <w:rPr>
          <w:rFonts w:ascii="Times New Roman;serif" w:hAnsi="Times New Roman;serif"/>
          <w:b w:val="false"/>
          <w:color w:val="000000"/>
          <w:sz w:val="20"/>
        </w:rPr>
        <w:t>During the</w:t>
      </w:r>
      <w:r>
        <w:rPr>
          <w:color w:val="000000"/>
        </w:rPr>
        <w:t xml:space="preserve"> </w:t>
      </w:r>
      <w:r>
        <w:rPr>
          <w:rFonts w:ascii="Times New Roman;serif" w:hAnsi="Times New Roman;serif"/>
          <w:b w:val="false"/>
          <w:color w:val="000000"/>
          <w:sz w:val="20"/>
        </w:rPr>
        <w:t xml:space="preserve">six months ended June 30, 2025, we recognized a gain on the sale of marketable securities of $10.2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expect that the principal sources of funds to meet our short-term and long-term liquidity requirements for working capital, acquisitions, development or redevelopment of properties, tenant improvements, leasing costs, dividends to shareholders, distributions to unitholders, repurchases or repayments of outstanding indebtedness or other investments will include:</w:t>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(1)Cash flow from operations;</w:t>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(2)Cash on hand;</w:t>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(3)Net proceeds from divestitures of properties and redemptions, participations, dispositions and repayments of debt and preferred equity investments;</w:t>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(4)Borrowings under the revolving credit facility;</w:t>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(5)Other forms of secured or unsecured financing; and</w:t>
      </w:r>
    </w:p>
    <w:p>
      <w:pPr>
        <w:pStyle w:val="TextBody"/>
        <w:bidi w:val="0"/>
        <w:spacing w:lineRule="auto" w:line="288" w:before="0" w:after="12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(6)Proceeds from common or preferred equity or debt offerings by the Company or the Operating Partnership (including issuances of units of limited partnership interest in the Operating Partnership and Trust preferred securities).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flow from operations is primarily dependent upon the collectability of rent, the occupancy level of our portfolio, the net effective rental rates achieved on our leases, the collectability of rent, operating escalations and recoveries from our tenants and the level of operating and other costs.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combined aggregate principal maturities of mortgages and other loans payable, the 2026 Credit Facility, trust preferred securities, our share of joint venture debt, including as-of-right extension options, estimated interest expense, and our obligations under our financing and operating leases, as of June 30, 2026 are as follows (in thousands):</w:t>
      </w:r>
    </w:p>
    <w:tbl>
      <w:tblPr>
        <w:tblW w:w="10945" w:type="dxa"/>
        <w:jc w:val="left"/>
        <w:tblInd w:w="0" w:type="dxa"/>
        <w:tblLayout w:type="fixed"/>
        <w:tblCellMar>
          <w:top w:w="28" w:type="dxa"/>
          <w:left w:w="28" w:type="dxa"/>
          <w:bottom w:w="28" w:type="dxa"/>
          <w:right w:w="28" w:type="dxa"/>
        </w:tblCellMar>
      </w:tblPr>
      <w:tblGrid>
        <w:gridCol w:w="340"/>
        <w:gridCol w:w="272"/>
        <w:gridCol w:w="274"/>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961"/>
        <w:gridCol w:w="154"/>
      </w:tblGrid>
      <w:tr>
        <w:trPr/>
        <w:tc>
          <w:tcPr>
            <w:tcW w:w="3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mortgages and other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term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preferred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Joint venture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5,987,615 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3,408,302 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13,142,009 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remainder of the year ending December 31, 2026, we estimate that we will incur $70.0 million of leasing capital expenditures and $25.2 million of recurring capital expenditures on existing consolidated properties, of which $22.0 million will be funded by construction financing facilities or loan reserves. In addition, we estimate that we will incur $41.2 million of development or redevelopment expenditures on existing consolidated properties, of which $2.4 million will be funded by construction financing facilities or loan reserves. We estimate that our share of capital expenditures at our joint venture properties will be $71.5 million, of which $24.5 million will be funded by construction financing facilities or loan reserves. Future property acquisitions may require substantial capital investments for refurbishment and leasing costs.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had liquidity of $0.6 billion, comprised of $393.0 million of availability under our revolving credit facility and $202.1 million of consolidated cash on hand, inclusive of $21.3 million of available-for-sale marketable securities. This liquidity excludes $115.7 million representing our share of cash at unconsolidated joint venture properties. We may seek to divest of properties, interests in properties, or access private and public debt and equity capital when the opportunity presents itself, although there is no guarantee that this capital will be made available to us at efficient levels or at all. Management believes that these sources of liquidity, if we are able to access them, along with potential refinancing opportunities for secured and unsecured debt, will allow us to satisfy our debt and other obligations, as described above, upon maturity, if not before.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investments in several real estate joint ventures with various partners, that are generally considered to be financially stable, and most are financed with non-recourse debt. We believe that property level cash flows along with unfunded committed indebtedness and proceeds from the refinancing of outstanding secured indebtedness will be sufficient to fund the capital needs of our joint venture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summary discussion of our cash flows is based on our consolidated statements of cash flows in "Item 1. Financial Statements" and is not meant to be an all-inclusive discussion of the changes in our cash flows for the periods presented below.</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restricted cash, and cash equivalents were $381.7 million and $342.8 million as of June 30, 2026 and 2025, respectively, representing an increase of $38.9 million. The increase was a result of the following changes in cash flows (in thousands): </w:t>
      </w:r>
    </w:p>
    <w:tbl>
      <w:tblPr>
        <w:tblW w:w="7880" w:type="dxa"/>
        <w:jc w:val="left"/>
        <w:tblInd w:w="0" w:type="dxa"/>
        <w:tblLayout w:type="fixed"/>
        <w:tblCellMar>
          <w:top w:w="28" w:type="dxa"/>
          <w:left w:w="28" w:type="dxa"/>
          <w:bottom w:w="28" w:type="dxa"/>
          <w:right w:w="28" w:type="dxa"/>
        </w:tblCellMar>
      </w:tblPr>
      <w:tblGrid>
        <w:gridCol w:w="1332"/>
        <w:gridCol w:w="1166"/>
        <w:gridCol w:w="1176"/>
        <w:gridCol w:w="196"/>
        <w:gridCol w:w="661"/>
        <w:gridCol w:w="109"/>
        <w:gridCol w:w="109"/>
        <w:gridCol w:w="109"/>
        <w:gridCol w:w="109"/>
        <w:gridCol w:w="196"/>
        <w:gridCol w:w="646"/>
        <w:gridCol w:w="109"/>
        <w:gridCol w:w="109"/>
        <w:gridCol w:w="109"/>
        <w:gridCol w:w="109"/>
        <w:gridCol w:w="352"/>
        <w:gridCol w:w="1003"/>
        <w:gridCol w:w="280"/>
      </w:tblGrid>
      <w:tr>
        <w:trPr/>
        <w:tc>
          <w:tcPr>
            <w:tcW w:w="133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(Decrease) Increase</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9,246 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(476,905)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496,203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501,734 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principal sources of operating cash flow are the properties in our consolidated and joint venture portfolios, third-party fees and our debt and preferred equity portfolio. These sources generate a relatively consistent stream of cash flow that provides us with resources to pay operating expenses, debt service and fund dividend and distribution requirements.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is used in investing activities to fund acquisitions, development or redevelopment projects and recurring and nonrecurring capital expenditures. We selectively invest in new projects that enable us to take advantage of our development, leasing, financing and property management skills and invest in existing buildings that meet our investment criteria. During the six months ended June 30, 2026, when compared to the six months ended June 30, 2025, we used cash primarily for the following investing activities (in thousands):</w:t>
      </w:r>
    </w:p>
    <w:tbl>
      <w:tblPr>
        <w:tblW w:w="5496" w:type="dxa"/>
        <w:jc w:val="left"/>
        <w:tblInd w:w="0" w:type="dxa"/>
        <w:tblLayout w:type="fixed"/>
        <w:tblCellMar>
          <w:top w:w="28" w:type="dxa"/>
          <w:left w:w="28" w:type="dxa"/>
          <w:bottom w:w="28" w:type="dxa"/>
          <w:right w:w="28" w:type="dxa"/>
        </w:tblCellMar>
      </w:tblPr>
      <w:tblGrid>
        <w:gridCol w:w="1572"/>
        <w:gridCol w:w="1380"/>
        <w:gridCol w:w="1383"/>
        <w:gridCol w:w="196"/>
        <w:gridCol w:w="811"/>
        <w:gridCol w:w="154"/>
      </w:tblGrid>
      <w:tr>
        <w:trPr/>
        <w:tc>
          <w:tcPr>
            <w:tcW w:w="157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(551,691)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and capitalized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Joint venture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joint ventures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real estate/partial interest in property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preferred equity and other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net cash used in investing activities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(476,905)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Capital expenditures, which are comprised of building and tenant improvements, decreased from $136.1 million for the six months ended June 30, 2025 to $129.0 million for the six months ended June 30, 2026 due to decreased leasing related costs as portfolio occupancy increases.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generally fund our investment activity through the sale of real estate, property-level financing, corporate credit facilities, the sale or repayment of debt and preferred equity investments, or construction loan facilities. From time to time, the Company may issue common or preferred stock or equity-linked securities, or the Operating Partnership may issue common or preferred units of limited partnership interest.</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when compared to the six months ended June 30, 2025, we used cash primarily for the following financing activities (in thousands):</w:t>
      </w:r>
    </w:p>
    <w:tbl>
      <w:tblPr>
        <w:tblW w:w="4986" w:type="dxa"/>
        <w:jc w:val="left"/>
        <w:tblInd w:w="0" w:type="dxa"/>
        <w:tblLayout w:type="fixed"/>
        <w:tblCellMar>
          <w:top w:w="28" w:type="dxa"/>
          <w:left w:w="28" w:type="dxa"/>
          <w:bottom w:w="28" w:type="dxa"/>
          <w:right w:w="28" w:type="dxa"/>
        </w:tblCellMar>
      </w:tblPr>
      <w:tblGrid>
        <w:gridCol w:w="1362"/>
        <w:gridCol w:w="1200"/>
        <w:gridCol w:w="1203"/>
        <w:gridCol w:w="196"/>
        <w:gridCol w:w="871"/>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our debt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our debt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distribution to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obligations related to secured borrowing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paid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net cash provided by financing activities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 place a share repurchase program of $3.5 billion under which we can buy shares of our common stock.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36,390,839 shares have been repurchased under the program. This amount excludes the redemption of OP units. During the six months ended June 30, 2026, we repurchased 283,120 shares under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Indebtedness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consolidated mortgages and other loans payable, the 2026 Credit Facility, and trust preferred securities outstanding as of June 30, 2026 and December 31, 2025, (amounts in thousands).</w:t>
      </w:r>
    </w:p>
    <w:tbl>
      <w:tblPr>
        <w:tblW w:w="8218" w:type="dxa"/>
        <w:jc w:val="left"/>
        <w:tblInd w:w="0" w:type="dxa"/>
        <w:tblLayout w:type="fixed"/>
        <w:tblCellMar>
          <w:top w:w="28" w:type="dxa"/>
          <w:left w:w="28" w:type="dxa"/>
          <w:bottom w:w="28" w:type="dxa"/>
          <w:right w:w="28" w:type="dxa"/>
        </w:tblCellMar>
      </w:tblPr>
      <w:tblGrid>
        <w:gridCol w:w="1787"/>
        <w:gridCol w:w="1571"/>
        <w:gridCol w:w="1576"/>
        <w:gridCol w:w="196"/>
        <w:gridCol w:w="886"/>
        <w:gridCol w:w="286"/>
        <w:gridCol w:w="109"/>
        <w:gridCol w:w="109"/>
        <w:gridCol w:w="109"/>
        <w:gridCol w:w="252"/>
        <w:gridCol w:w="949"/>
        <w:gridCol w:w="388"/>
      </w:tblGrid>
      <w:tr>
        <w:trPr/>
        <w:tc>
          <w:tcPr>
            <w:tcW w:w="178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Debt Summary:</w:t>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w:t>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1,693,383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1,058,524</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rate—hedged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1,926,325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2,616,698</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rate</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3,619,708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3,675,222</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variable rate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929,422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369,277</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4,549,130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4,044,499</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preferred equity, and other investments subject to variable rate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78,543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128,619 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exposure to variable rate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850,879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240,658 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Percent of Total Debt</w:t>
            </w:r>
            <w:r>
              <w:rPr>
                <w:rFonts w:ascii="Times New Roman;serif" w:hAnsi="Times New Roman;serif"/>
                <w:b w:val="false"/>
                <w:color w:val="000000"/>
                <w:sz w:val="18"/>
              </w:rPr>
              <w:t>:</w:t>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Variable rate </w:t>
            </w:r>
            <w:r>
              <w:rPr>
                <w:rFonts w:ascii="Times New Roman;serif" w:hAnsi="Times New Roman;serif"/>
                <w:b w:val="false"/>
                <w:color w:val="000000"/>
                <w:sz w:val="12"/>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Effective Interest Rate for the Year:</w:t>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rate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interest rate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    Inclusive of the mitigating effect of our debt, preferred equity, and other investments subject to variable rates, the percent of total debt of our net exposure to variable rate debt was 19.0% and 6.1% as of June 30, 2026 and December 31, 2025, respectively.</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variable rate debt shown above generally bears interest at an interest rate based on Term SOFR (3.65% and 3.69% as of June 30, 2026 and December 31, 2025, respectively). Our consolidated debt as of June 30, 2026 had a weighted average term to maturity of 3.13 years.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Certain of our debt and equity investments and other investments, with carrying values of $78.5 million as of June 30, 2026 and $128.6 million as of December 31, 2025, are variable rate investments which mitigate our exposure to interest rate changes on our unhedged variable rate debt. Inclusive of the mitigating effect of these investments, the net ratio of our consolidated variable rate debt to total debt was 19.0% and 6.1%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Corporate Indebtedness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2026 Credit Facility</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2026, the Company entered into an amended and restated credit facility (the "2026 Credit Facility"), which was previously amended in December 2021 and November 2017, and was originally entered into in November 2012. As of June 30, 2026, the 2026 Credit Facility consisted of a: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$1.25 billion revolving credit facility with a maturity of June 2030 and two six-month, as-of-right extension options to June 2031.</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$300.0 million term loan (or the "Term A Loans") with a maturity of May 2027.</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$100.0 million term loan (or the "Term B Loans") with a maturity of November 2026.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$750.0 million term loan (or the "Term C Loans") with a maturity of June 2031.</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have an option, subject to customary conditions, to increase the capacity of the credit facility to $4.5 billion at any time prior to the maturity date of the revolving credit facility without the consent of existing lenders, by obtaining additional commitments from our existing lenders and other financial institutions.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 2026 Credit Facility bore interest at a spread over Term SOFR with an interest period of one or three months, as we may elect, ranging from (i) 85 basis points to 185 basis points for loans under the revolving credit facility, (ii) 90 basis points to 170 basis points for the Term A Loans, (iii) 100 basis points to 180 basis points for the Term B Loans, and (iv) 95 basis points to 220 basis points for the Term C Loans,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 The revolving credit facility also contains a competitive bid option that allows banks that are part of the lender consortium to bid to make loan advances to us at a reduced interest rate. The 2026 Credit Facility provide for the ability to amend the 2026 Credit Facility to include a sustainability component whereby the revolving credit facility and Term C Loans pricing may improve by up to 3 basis points (depending on the sustainability rating achieved) upon the Company’s achievement of certain sustainability ratings, determined via an independent third-party evaluation.</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 applicable spread over Term SOFR for the 2026 Credit Facility was 125 basis points for the revolving credit facility, 170 basis points for the Term A Loans, 180 basis points for the Term B Loans and 145 basis points for the Term C loans. We are required to pay quarterly in arrears a 20 to 45 basis point facility fee on the total commitments under the revolving credit facility based on the credit rating assigned to the senior unsecured long term indebtedness of the Company. As of June 30, 2026, the facility fee was 30 basis points.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we had $7.0 million of outstanding letters of credit, $850.0 million drawn under the revolving credit facility and $1.15 billion of outstanding term loans, with total undrawn capacity of $393.0 million under the 2026 Credit Facility. As of June 30, 2026 and December 31, 2025, the revolving credit facility had a carrying value of $839.7 million and $637.8 million, respectively, net of deferred financing costs. As of June 30, 2026 and December 31, 2025, the term loans had a carrying value of $1.1 billion and $1.1 billion, respectively, net of deferred financing costs.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the Operating Partnership are borrowers jointly and severally obligated under the 2026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Restrictive Covenants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terms of the 2026 Credit Facility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Adjusted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June 30, 2026 and December 31, 2025, we were in compliance with all such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333333"/>
          <w:sz w:val="20"/>
        </w:rPr>
      </w:pPr>
      <w:r>
        <w:rPr>
          <w:rFonts w:ascii="Times New Roman;serif" w:hAnsi="Times New Roman;serif"/>
          <w:b/>
          <w:color w:val="333333"/>
          <w:sz w:val="20"/>
        </w:rPr>
        <w:t>CMBS Repurchase Facility</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entered into a repurchase facility for CMBS (CMBS Repurchase Facility), which provides us with the ability to sell certain CMBS investments with a simultaneous agreement to repurchase the same at a certain date or on demand. We seek to mitigate risks associated with our repurchase facility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CMBS investments, our asset management team regularly reviews our investment portfolio and is in contact with our borrowers in order to monitor the collateral and enforce our rights as necessary. The risk associated with potential margin calls is further mitigated by our ability to collateralize the facility with additional assets from our portfolio of investments, our ability to satisfy margin calls with cash or cash equivalents and our access to additional liquidity. As of June 30, 2026, there have been no margin calls on the CMBS Repurchase Facility. At June 30, 2026, there was no outstanding balance on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exposed to changes in interest rates primarily from our variable rate debt. Our exposure to interest rate fluctuations are managed through the use of interest rate derivative instruments and through our variable rate debt and preferred equity investments. Based on the debt outstanding as of June 30, 2026, a hypothetical 100 basis point increase in the applicable floating interest rate curve would increase our share of consolidated annual interest cost, net of interest income from variable rate debt and preferred equity investments, by $7.9 million and would increase our share of joint venture annual interest cost by $4.0 million. As of June 30, 2026, $77.6 million, or 68.6%, of our $113.1 million debt and preferred equity portfolio was variable rate.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recognize all derivatives on the balance sheet at fair value. Derivatives that are not designated as hedges for accounting purposes are adjusted to fair value through income. If a derivative is designated as a hedge for accounting purposes, depending on the nature of the hedge, changes in the fair value of the derivative will either be offset against the change in fair value of the hedged asset, liability, or firm commitment through earnings, or recognized in other comprehensive income (loss) until the hedged item is recognized in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off-balance sheet investments, including joint ventures and debt and preferred equity investments. These investments all have varying ownership structures. A majority of our joint venture arrangements are accounted for under the equity method of accounting as we have the ability to exercise significant influence over, but not control, the operating and financial decisions of these joint venture arrangements. Our off-balance sheet arrangements are discussed in Note 5, "Investments in Unconsolidated Joint Ventures" and Note 7, "Debt and Preferred Equity Investments" in the accompanying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Dividends/Distributions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pay dividends to our stockholders based on the distributions we receive from our Operating Partnership.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 maintain our qualification as a REIT, we must pay annual dividends to our stockholders of at least 90% of our REIT taxable income, determined before taking into consideration the dividends paid deduction and net capital gains.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Any dividend we pay may be in the form of cash, stock or a combination thereof, subject to IRS limitations on the use of stock for dividends. Additionally, if our REIT taxable income in a particular year exceeds the amount of cash dividends we pay in that year, we may pay stock dividends in order to maintain our REIT status and avoid certain REIT-level taxes.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Before we pay any cash dividend, whether for Federal income tax purposes or otherwise, which would only be paid out of available cash to the extent permitted under the 2026 Credit Facility, we must first meet both our operating requirements and scheduled debt service on our mortgages and loans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Insurance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“all-risk” property and rental value coverage (including coverage regarding the perils of flood, earthquake and terrorism, excluding nuclear, biological, chemical, and radiological terrorism ("NBCR")), within two property insurance programs and liability insurance. Separate property and liability coverage may be purchased on a stand-alone basis for certain assets, such as development projects. Additionally, one of our captive insurance companies, Belmont Insurance Company ("Belmont"), provides coverage for NBCR terrorist acts above a specified trigger. Belmont's retention is reinsured by our other captive insurance company, Ticonderoga Insurance Company ("Ticonderoga").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the Company or its affiliates. If Belmont or Ticonderoga are required to pay a claim under our insurance policies, we would ultimately record the loss to the extent of required payments.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Funds from Operations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Funds from Operations ("FFO") is a widely recognized non-GAAP financial measure of REIT performance. The Company computes FFO in accordance with standards established by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our ability to make cash distributions.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FFO for the three and six months ended June 30, 2026 and 2025 are as follows (in thousands):</w:t>
      </w:r>
    </w:p>
    <w:tbl>
      <w:tblPr>
        <w:tblW w:w="10205" w:type="dxa"/>
        <w:jc w:val="left"/>
        <w:tblInd w:w="0" w:type="dxa"/>
        <w:tblLayout w:type="fixed"/>
        <w:tblCellMar>
          <w:top w:w="28" w:type="dxa"/>
          <w:left w:w="28" w:type="dxa"/>
          <w:bottom w:w="28" w:type="dxa"/>
          <w:right w:w="28" w:type="dxa"/>
        </w:tblCellMar>
      </w:tblPr>
      <w:tblGrid>
        <w:gridCol w:w="1815"/>
        <w:gridCol w:w="1554"/>
        <w:gridCol w:w="1560"/>
        <w:gridCol w:w="196"/>
        <w:gridCol w:w="755"/>
        <w:gridCol w:w="109"/>
        <w:gridCol w:w="109"/>
        <w:gridCol w:w="109"/>
        <w:gridCol w:w="109"/>
        <w:gridCol w:w="196"/>
        <w:gridCol w:w="740"/>
        <w:gridCol w:w="109"/>
        <w:gridCol w:w="109"/>
        <w:gridCol w:w="109"/>
        <w:gridCol w:w="109"/>
        <w:gridCol w:w="196"/>
        <w:gridCol w:w="794"/>
        <w:gridCol w:w="109"/>
        <w:gridCol w:w="109"/>
        <w:gridCol w:w="109"/>
        <w:gridCol w:w="109"/>
        <w:gridCol w:w="196"/>
        <w:gridCol w:w="736"/>
        <w:gridCol w:w="159"/>
      </w:tblGrid>
      <w:tr>
        <w:trPr/>
        <w:tc>
          <w:tcPr>
            <w:tcW w:w="181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SL Green common stockholders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67,279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Joint venture depreciation and noncontrolling interest adjustments</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61,761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124,357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on sale of interest in unconsolidated joint venture/real estate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real estate, net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and impairments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in unconsolidated joint venture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on non-rental real estate assets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Funds from Operations attributable to SL Green common stockholders and unit holders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109,579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174,202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231,058 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business at SUMMIT is subject to, among other things, tourism trends and weather conditions, resulting in seasonal fluctuation. The table below shows SUMMIT's revenue for each quarter during 2025. We do not consider any other components of our business to be subject to material seasonal fluctuations.</w:t>
      </w:r>
    </w:p>
    <w:tbl>
      <w:tblPr>
        <w:tblW w:w="4445" w:type="dxa"/>
        <w:jc w:val="left"/>
        <w:tblInd w:w="0" w:type="dxa"/>
        <w:tblLayout w:type="fixed"/>
        <w:tblCellMar>
          <w:top w:w="28" w:type="dxa"/>
          <w:left w:w="28" w:type="dxa"/>
          <w:bottom w:w="28" w:type="dxa"/>
          <w:right w:w="28" w:type="dxa"/>
        </w:tblCellMar>
      </w:tblPr>
      <w:tblGrid>
        <w:gridCol w:w="391"/>
        <w:gridCol w:w="343"/>
        <w:gridCol w:w="346"/>
        <w:gridCol w:w="109"/>
        <w:gridCol w:w="109"/>
        <w:gridCol w:w="109"/>
        <w:gridCol w:w="109"/>
        <w:gridCol w:w="109"/>
        <w:gridCol w:w="824"/>
        <w:gridCol w:w="824"/>
        <w:gridCol w:w="1172"/>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26.0%</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29.0%</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Accounting Standards Updates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Accounting Standards Updates are discussed in Note 2, "Significant Accounting Policies Accounting Standards Updates"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This report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report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occupancy,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pStyle w:val="TextBody"/>
        <w:bidi w:val="0"/>
        <w:spacing w:before="0" w:after="12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Forward-looking statements contained in this report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the effect of general economic, geopolitical, business and financial conditions, and their effect on the New York City real estate market in particular;</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dependence upon the New York City real estate market;</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risks of real estate acquisitions, dispositions, development and redevelopment, including the cost of construction delays and cost overruns;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risks relating to debt and preferred equity investments;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availability and creditworthiness of prospective tenants and borrowers;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bankruptcy or insolvency of a major tenant or a significant number of smaller tenants or borrowers;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adverse changes in the real estate markets, including reduced demand for office space, increasing vacancy, and increasing availability of sublease space;</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availability of debt and equity capital for our operational needs and investment strategy;</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unanticipated increases in financing and other costs, including a rise in interest rates;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ability to comply with financial covenants in our debt instruments;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ability to maintain our status as a REIT;</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risks of investing through joint venture structures, including the fulfillment by our partners of their financial obligations;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the threat of terrorist attacks;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ability to obtain adequate insurance coverage at a reasonable cost and the potential for losses in excess of our insurance coverage, including as a result of environmental contamination;</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risks related to our asset management business, including our ability to identify suitable investments, manage actual and potential conflicts of interest and comply with regulations on our asset management subsidiary under the Investment Advisers Act of 1940; and</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legislative, regulatory and/or safety requirements adversely affecting REITs and the real estate business including costs of compliance with the Americans with Disabilities Act, the Fair Housing Act and other similar laws and regulations.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factors and risks to our business, many of which are beyond our control, are described in other sections of this report and in our other filings with the SEC. Except to the extent required by law, we undertake no obligation to publicly update or revise any forward-looking statements, whether as a result of future events, new information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quantitative and qualitative disclosures about market risk, see Item 2, "Management's Discussion and Analysis of Financial Condition and Results of Operation - Interest Rate Risk" in this Quarterly Report on Form 10-Q for the three and six months ended June 30, 2026 for the Company and the Operating Partnership and Item 7, "Management's Discussion and Analysis of Financial Condition and Results of Operations - Interest Rate Risk" in the Annual Report on Form 10-K for the year ended December 31, 2025 for the Company and the Operating Partnership. Our exposures to market risk have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SL GREEN REALTY CORP.</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during the quarter ended June 30, 2026 that has materially affected, or is reasonably likely to materially affect, its internal control over financial reporting.</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SL GREEN OPERATING PARTNERSHIP, L.P.</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Operating Partnership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Operating Partnership's management, including the Operating Partnership's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Operating Partnership to disclose material information otherwise required to be set forth in our periodic reports. Also, the Operating Partnership has investments in certain unconsolidated entities. As the Operating Partnership does not control these entities, its disclosure controls and procedures with respect to such entities are necessarily substantially more limited than those the Operating Partnership maintains with respect to its consolidated subsidiaries.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the Operating Partnership carried out an evaluation, under the supervision and with the participation of the Operating Partnership's management, including our Chief Executive Officer and our Chief Financial Officer, of the effectiveness of the design and operation of our disclosure controls and procedures. Based upon that evaluation as of the end of the period covered by this report, the Operating Partnership's Chief Executive Officer and Chief Financial Officer concluded that its disclosure controls and procedures were effective to give reasonable assurances to the timely collection, evaluation and disclosure of information relating to the Operating Partnership that would potentially be subject to disclosure under the Exchange Act and the rules and regulations promulgated thereunder.</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Operating Partnership's internal control over financial reporting during the quarter ended June 30, 2026 that has materially affected, or is reasonably likely to materially affect, its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and the Operating Partnership were not involved in any material litigation nor, to management's knowledge, was any material litigation threatened against us or our portfolio which if adversely determined could have a material adverse impact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have been no material changes to the Risk Factors disclosed in "Part I. Item 1A. Risk Factors" in the Company's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in place a share repurchase program of $3.5 billion under which we can buy shares of our common stock.</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share repurchases executed under the program, excluding the redemption of OP units, during the three months ended June 30, 2026:</w:t>
      </w:r>
    </w:p>
    <w:tbl>
      <w:tblPr>
        <w:tblW w:w="10205" w:type="dxa"/>
        <w:jc w:val="left"/>
        <w:tblInd w:w="0" w:type="dxa"/>
        <w:tblLayout w:type="fixed"/>
        <w:tblCellMar>
          <w:top w:w="28" w:type="dxa"/>
          <w:left w:w="28" w:type="dxa"/>
          <w:bottom w:w="28" w:type="dxa"/>
          <w:right w:w="28" w:type="dxa"/>
        </w:tblCellMar>
      </w:tblPr>
      <w:tblGrid>
        <w:gridCol w:w="282"/>
        <w:gridCol w:w="247"/>
        <w:gridCol w:w="248"/>
        <w:gridCol w:w="109"/>
        <w:gridCol w:w="109"/>
        <w:gridCol w:w="109"/>
        <w:gridCol w:w="748"/>
        <w:gridCol w:w="748"/>
        <w:gridCol w:w="751"/>
        <w:gridCol w:w="109"/>
        <w:gridCol w:w="109"/>
        <w:gridCol w:w="109"/>
        <w:gridCol w:w="581"/>
        <w:gridCol w:w="581"/>
        <w:gridCol w:w="583"/>
        <w:gridCol w:w="109"/>
        <w:gridCol w:w="109"/>
        <w:gridCol w:w="109"/>
        <w:gridCol w:w="1301"/>
        <w:gridCol w:w="1301"/>
        <w:gridCol w:w="1853"/>
      </w:tblGrid>
      <w:tr>
        <w:trPr/>
        <w:tc>
          <w:tcPr>
            <w:tcW w:w="2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8"/>
              </w:rPr>
            </w:pPr>
            <w:r>
              <w:rPr>
                <w:rFonts w:ascii="Times New Roman;serif" w:hAnsi="Times New Roman;serif"/>
                <w:b/>
                <w:color w:val="000000"/>
                <w:sz w:val="18"/>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8"/>
              </w:rPr>
            </w:pPr>
            <w:r>
              <w:rPr>
                <w:rFonts w:ascii="Times New Roman;serif" w:hAnsi="Times New Roman;serif"/>
                <w:b/>
                <w:color w:val="000000"/>
                <w:sz w:val="18"/>
              </w:rPr>
              <w:t>Total number of shares repurchased as part of the repurchase plan or programs</w:t>
            </w:r>
          </w:p>
        </w:tc>
      </w:tr>
      <w:tr>
        <w:trPr/>
        <w:tc>
          <w:tcPr>
            <w:tcW w:w="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April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36,107,719</w:t>
            </w:r>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36,107,719</w:t>
            </w:r>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283,120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36,390,839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Exhibits required by Item 601 of Regulation S-K are filed herewith or incorporated herein by reference and are listed in the attached Exhibit Index.</w:t>
      </w:r>
    </w:p>
    <w:tbl>
      <w:tblPr>
        <w:tblW w:w="10205" w:type="dxa"/>
        <w:jc w:val="center"/>
        <w:tblInd w:w="0" w:type="dxa"/>
        <w:tblLayout w:type="fixed"/>
        <w:tblCellMar>
          <w:top w:w="28" w:type="dxa"/>
          <w:left w:w="28" w:type="dxa"/>
          <w:bottom w:w="28" w:type="dxa"/>
          <w:right w:w="28" w:type="dxa"/>
        </w:tblCellMar>
      </w:tblPr>
      <w:tblGrid>
        <w:gridCol w:w="270"/>
        <w:gridCol w:w="237"/>
        <w:gridCol w:w="238"/>
        <w:gridCol w:w="109"/>
        <w:gridCol w:w="109"/>
        <w:gridCol w:w="109"/>
        <w:gridCol w:w="2666"/>
        <w:gridCol w:w="2666"/>
        <w:gridCol w:w="3801"/>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a26q210qex311.htm">
              <w:r>
                <w:rPr>
                  <w:rStyle w:val="InternetLink"/>
                  <w:rFonts w:ascii="Times New Roman;serif" w:hAnsi="Times New Roman;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Chairman and Chief Executive Officer of the Company pursuant to Section 302 of the Sarbanes-Oxley Act of 2002, filed herewith.</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6q210qex312.htm">
              <w:r>
                <w:rPr>
                  <w:rStyle w:val="InternetLink"/>
                  <w:rFonts w:ascii="Times New Roman;serif" w:hAnsi="Times New Roman;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Chief Financial Officer of the Company pursuant to Section 302 of the Sarbanes-Oxley Act of 2002, filed herewith.</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6q210qex313.htm">
              <w:r>
                <w:rPr>
                  <w:rStyle w:val="InternetLink"/>
                  <w:rFonts w:ascii="Times New Roman;serif" w:hAnsi="Times New Roman;serif"/>
                  <w:b w:val="false"/>
                  <w:color w:val="0000FF"/>
                  <w:sz w:val="18"/>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Chairman and Chief Executive Officer of the Company, the sole general partner of the Operating Partnership pursuant to Section 302 of the Sarbanes-Oxley Act of 2002, filed herewith.</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6q210qex314.htm">
              <w:r>
                <w:rPr>
                  <w:rStyle w:val="InternetLink"/>
                  <w:rFonts w:ascii="Times New Roman;serif" w:hAnsi="Times New Roman;serif"/>
                  <w:b w:val="false"/>
                  <w:color w:val="0000FF"/>
                  <w:sz w:val="18"/>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Chief Financial Officer of the Company, the sole general partner of the Operating Partnership pursuant to Section 302 of the Sarbanes-Oxley Act of 2002, filed herewith.</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6q210qex321.htm">
              <w:r>
                <w:rPr>
                  <w:rStyle w:val="InternetLink"/>
                  <w:rFonts w:ascii="Times New Roman;serif" w:hAnsi="Times New Roman;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Chairman and Chief Executive Officer pursuant to 18 U.S.C. section 1350, as adopted pursuant to Section 906 of the Sarbanes-Oxley Act of 2002, furnished herewith.</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6q210qex322.htm">
              <w:r>
                <w:rPr>
                  <w:rStyle w:val="InternetLink"/>
                  <w:rFonts w:ascii="Times New Roman;serif" w:hAnsi="Times New Roman;serif"/>
                  <w:b w:val="false"/>
                  <w:color w:val="0000FF"/>
                  <w:sz w:val="18"/>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Chief Financial Officer pursuant to 18 U.S.C. section 1350, as adopted pursuant to Section 906 of the Sarbanes-Oxley Act of 2002, furnished herewith.</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6q210qex323.htm">
              <w:r>
                <w:rPr>
                  <w:rStyle w:val="InternetLink"/>
                  <w:rFonts w:ascii="Times New Roman;serif" w:hAnsi="Times New Roman;serif"/>
                  <w:b w:val="false"/>
                  <w:color w:val="0000FF"/>
                  <w:sz w:val="18"/>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Chairman and Chief Executive Officer of the Company, the sole general partner of the Operating Partnership pursuant to 18 U.S.C. section 1350, as adopted pursuant to Section 906 of the Sarbanes-Oxley Act of 2002, furnished herewith.</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6q210qex324.htm">
              <w:r>
                <w:rPr>
                  <w:rStyle w:val="InternetLink"/>
                  <w:rFonts w:ascii="Times New Roman;serif" w:hAnsi="Times New Roman;serif"/>
                  <w:b w:val="false"/>
                  <w:color w:val="0000FF"/>
                  <w:sz w:val="18"/>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Chief Financial Officer of the Company, the sole general partner of the Operating Partnership pursuant to 18 U.S.C. section 1350, as adopted pursuant to Section 906 of the Sarbanes-Oxley Act of 2002, furnished herewith.</w:t>
            </w:r>
          </w:p>
        </w:tc>
      </w:tr>
      <w:tr>
        <w:trPr/>
        <w:tc>
          <w:tcPr>
            <w:tcW w:w="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SL Green Realty Corp. and SL Green Operating Partnership L.P.’s Quarterly Report on Form 10-Q for the quarter ended June 30, 2026, formatted in Inline XBRL: (i) Consolidated Balance Sheets (unaudited), (ii) Consolidated Statements of Operations (unaudited), (iii) Consolidated Statements of Comprehensive Loss (unaudited), (iv) Consolidated Statements of Equity (unaudited), (v) Consolidated Statements of Capital (unaudited) (vi) Consolidated Statements of Cash Flows (unaudited), and (vii) Notes to Consolidated Financial Statements (unaudited), detail tagged and filed herewith.</w:t>
            </w:r>
          </w:p>
        </w:tc>
      </w:tr>
      <w:tr>
        <w:trPr/>
        <w:tc>
          <w:tcPr>
            <w:tcW w:w="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830c50c4654c4d30961fbb9cefe4274c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7702"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277"/>
        <w:gridCol w:w="277"/>
        <w:gridCol w:w="277"/>
        <w:gridCol w:w="277"/>
        <w:gridCol w:w="277"/>
        <w:gridCol w:w="277"/>
        <w:gridCol w:w="1103"/>
        <w:gridCol w:w="1103"/>
        <w:gridCol w:w="155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SL GREEN REALTY CORP.</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SL Green Realty Corp.</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DiLiberto</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J. DiLiberto</w:t>
            </w:r>
          </w:p>
          <w:p>
            <w:pPr>
              <w:pStyle w:val="TableContents"/>
              <w:bidi w:val="0"/>
              <w:spacing w:lineRule="auto" w:line="240" w:before="0" w:after="0"/>
              <w:jc w:val="left"/>
              <w:rPr/>
            </w:pPr>
            <w:r>
              <w:rPr>
                <w:rFonts w:ascii="Times New Roman;serif" w:hAnsi="Times New Roman;serif"/>
                <w:b w:val="false"/>
                <w:color w:val="000000"/>
                <w:sz w:val="20"/>
              </w:rPr>
              <w:t>Chief Financial Officer</w:t>
            </w:r>
            <w:r>
              <w:rPr>
                <w:color w:val="000000"/>
              </w:rPr>
              <w:t xml:space="preserve">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497"/>
        <w:gridCol w:w="436"/>
        <w:gridCol w:w="440"/>
        <w:gridCol w:w="109"/>
        <w:gridCol w:w="109"/>
        <w:gridCol w:w="109"/>
        <w:gridCol w:w="321"/>
        <w:gridCol w:w="321"/>
        <w:gridCol w:w="321"/>
        <w:gridCol w:w="321"/>
        <w:gridCol w:w="321"/>
        <w:gridCol w:w="321"/>
        <w:gridCol w:w="2041"/>
        <w:gridCol w:w="1885"/>
        <w:gridCol w:w="2653"/>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SL GREEN OPERATING PARTNERSHIP, L.P.</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DiLiberto</w:t>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DiLiberto</w:t>
              <w:br/>
              <w:t>Chief Financial Officer of SL Green, the sole general partner of the Operating Partnership (Principal Financial and Accounting Officer)</w:t>
            </w:r>
          </w:p>
        </w:tc>
      </w:tr>
    </w:tbl>
    <w:p>
      <w:pPr>
        <w:pStyle w:val="TextBody"/>
        <w:bidi w:val="0"/>
        <w:spacing w:before="0" w:after="180"/>
        <w:ind w:left="0" w:right="0" w:firstLine="495"/>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 Marc Holliday, certify that:</w:t>
      </w:r>
    </w:p>
    <w:p>
      <w:pPr>
        <w:pStyle w:val="TextBody"/>
        <w:bidi w:val="0"/>
        <w:spacing w:before="160" w:after="283"/>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SL Green Realty Corp. (the “registrant”);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24" w:type="dxa"/>
        <w:jc w:val="left"/>
        <w:tblInd w:w="0" w:type="dxa"/>
        <w:tblLayout w:type="fixed"/>
        <w:tblCellMar>
          <w:top w:w="28" w:type="dxa"/>
          <w:left w:w="28" w:type="dxa"/>
          <w:bottom w:w="28" w:type="dxa"/>
          <w:right w:w="28" w:type="dxa"/>
        </w:tblCellMar>
      </w:tblPr>
      <w:tblGrid>
        <w:gridCol w:w="342"/>
        <w:gridCol w:w="300"/>
        <w:gridCol w:w="300"/>
        <w:gridCol w:w="1070"/>
        <w:gridCol w:w="1070"/>
        <w:gridCol w:w="1070"/>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Holliday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Holliday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 Matthew J. DiLiberto,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SL Green Realty Corp. (the “registrant”);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left"/>
        <w:rPr>
          <w:color w:val="000000"/>
        </w:rPr>
      </w:pPr>
      <w:r>
        <w:rPr>
          <w:color w:val="000000"/>
        </w:rPr>
        <w:t> </w:t>
      </w:r>
    </w:p>
    <w:tbl>
      <w:tblPr>
        <w:tblW w:w="3383" w:type="dxa"/>
        <w:jc w:val="left"/>
        <w:tblInd w:w="0" w:type="dxa"/>
        <w:tblLayout w:type="fixed"/>
        <w:tblCellMar>
          <w:top w:w="28" w:type="dxa"/>
          <w:left w:w="28" w:type="dxa"/>
          <w:bottom w:w="28" w:type="dxa"/>
          <w:right w:w="28" w:type="dxa"/>
        </w:tblCellMar>
      </w:tblPr>
      <w:tblGrid>
        <w:gridCol w:w="342"/>
        <w:gridCol w:w="300"/>
        <w:gridCol w:w="300"/>
        <w:gridCol w:w="689"/>
        <w:gridCol w:w="689"/>
        <w:gridCol w:w="691"/>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DiLiberto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DiLiberto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 Marc Holliday, certify that:</w:t>
      </w:r>
    </w:p>
    <w:p>
      <w:pPr>
        <w:pStyle w:val="TextBody"/>
        <w:bidi w:val="0"/>
        <w:spacing w:before="160" w:after="283"/>
        <w:ind w:left="0" w:right="0" w:hanging="36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SL Green Operating Partnership, L.P. (the “registrant”);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24" w:type="dxa"/>
        <w:jc w:val="left"/>
        <w:tblInd w:w="0" w:type="dxa"/>
        <w:tblLayout w:type="fixed"/>
        <w:tblCellMar>
          <w:top w:w="28" w:type="dxa"/>
          <w:left w:w="28" w:type="dxa"/>
          <w:bottom w:w="28" w:type="dxa"/>
          <w:right w:w="28" w:type="dxa"/>
        </w:tblCellMar>
      </w:tblPr>
      <w:tblGrid>
        <w:gridCol w:w="342"/>
        <w:gridCol w:w="300"/>
        <w:gridCol w:w="300"/>
        <w:gridCol w:w="1070"/>
        <w:gridCol w:w="1070"/>
        <w:gridCol w:w="1070"/>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Holliday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Holliday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SL Green Realty Corp., the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 of the 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 Matthew J. DiLiberto, certify that:</w:t>
      </w:r>
    </w:p>
    <w:p>
      <w:pPr>
        <w:pStyle w:val="TextBody"/>
        <w:bidi w:val="0"/>
        <w:spacing w:before="160" w:after="283"/>
        <w:ind w:left="0" w:right="0" w:hanging="36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SL Green Operating Partnership, L.P. (the “registrant”);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953" w:type="dxa"/>
        <w:jc w:val="left"/>
        <w:tblInd w:w="0" w:type="dxa"/>
        <w:tblLayout w:type="fixed"/>
        <w:tblCellMar>
          <w:top w:w="28" w:type="dxa"/>
          <w:left w:w="28" w:type="dxa"/>
          <w:bottom w:w="28" w:type="dxa"/>
          <w:right w:w="28" w:type="dxa"/>
        </w:tblCellMar>
      </w:tblPr>
      <w:tblGrid>
        <w:gridCol w:w="342"/>
        <w:gridCol w:w="300"/>
        <w:gridCol w:w="300"/>
        <w:gridCol w:w="879"/>
        <w:gridCol w:w="879"/>
        <w:gridCol w:w="881"/>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DiLiberto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DiLiberto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SL Green Realty Corp., the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 of the 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SL Green Realty Corp. (the “Company”) on Form 10-Q as filed with the Securities and Exchange Commission on the date hereof (the “Report”), I, Marc Holliday, Chairman and Chief Executive Officer of the Company, hereby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226" w:type="dxa"/>
        <w:jc w:val="left"/>
        <w:tblInd w:w="0" w:type="dxa"/>
        <w:tblLayout w:type="fixed"/>
        <w:tblCellMar>
          <w:top w:w="28" w:type="dxa"/>
          <w:left w:w="28" w:type="dxa"/>
          <w:bottom w:w="28" w:type="dxa"/>
          <w:right w:w="28" w:type="dxa"/>
        </w:tblCellMar>
      </w:tblPr>
      <w:tblGrid>
        <w:gridCol w:w="233"/>
        <w:gridCol w:w="205"/>
        <w:gridCol w:w="207"/>
        <w:gridCol w:w="1068"/>
        <w:gridCol w:w="1068"/>
        <w:gridCol w:w="1073"/>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Holliday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Holliday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SL Green Realty Corp. (the “Company”) on Form 10-Q as filed with the Securities and Exchange Commission on the date hereof (the “Report”), I, Matthew J. DiLiberto, Chief Financial Officer of the Company, hereby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086" w:type="dxa"/>
        <w:jc w:val="left"/>
        <w:tblInd w:w="0" w:type="dxa"/>
        <w:tblLayout w:type="fixed"/>
        <w:tblCellMar>
          <w:top w:w="28" w:type="dxa"/>
          <w:left w:w="28" w:type="dxa"/>
          <w:bottom w:w="28" w:type="dxa"/>
          <w:right w:w="28" w:type="dxa"/>
        </w:tblCellMar>
      </w:tblPr>
      <w:tblGrid>
        <w:gridCol w:w="233"/>
        <w:gridCol w:w="205"/>
        <w:gridCol w:w="207"/>
        <w:gridCol w:w="689"/>
        <w:gridCol w:w="689"/>
        <w:gridCol w:w="691"/>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DiLiberto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DiLiberto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SL Green Operating Partnership, L.P. (the “Operating Partnership”) on Form 10-Q as filed with the Securities and Exchange Commission on the date hereof (the “Report”), I, Marc Holliday, Chairman and Chief Executive Officer of SL Green Realty Corp, the sole general partner of the Operating Partnership, hereby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Operating Partnership.</w:t>
      </w:r>
    </w:p>
    <w:p>
      <w:pPr>
        <w:pStyle w:val="TextBody"/>
        <w:bidi w:val="0"/>
        <w:spacing w:before="0" w:after="0"/>
        <w:jc w:val="both"/>
        <w:rPr/>
      </w:pPr>
      <w:r>
        <w:rPr/>
      </w:r>
    </w:p>
    <w:tbl>
      <w:tblPr>
        <w:tblW w:w="4662" w:type="dxa"/>
        <w:jc w:val="left"/>
        <w:tblInd w:w="0" w:type="dxa"/>
        <w:tblLayout w:type="fixed"/>
        <w:tblCellMar>
          <w:top w:w="28" w:type="dxa"/>
          <w:left w:w="28" w:type="dxa"/>
          <w:bottom w:w="28" w:type="dxa"/>
          <w:right w:w="28" w:type="dxa"/>
        </w:tblCellMar>
      </w:tblPr>
      <w:tblGrid>
        <w:gridCol w:w="233"/>
        <w:gridCol w:w="205"/>
        <w:gridCol w:w="207"/>
        <w:gridCol w:w="1213"/>
        <w:gridCol w:w="1213"/>
        <w:gridCol w:w="121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Holliday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Holliday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SL Green Realty Corp., the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 of the Operating Partnership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SL Green Operating Partnership, L.P. (the “Operating Partnership”) on Form 10-Q as filed with the Securities and Exchange Commission on the date hereof (the “Report”), I, Matthew J. DiLiberto, Chief Financial Officer of SL Green Realty Corp, the sole general partner of the Operating Partnership, hereby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Operating Partnership.</w:t>
      </w:r>
    </w:p>
    <w:p>
      <w:pPr>
        <w:pStyle w:val="TextBody"/>
        <w:bidi w:val="0"/>
        <w:spacing w:before="0" w:after="0"/>
        <w:jc w:val="both"/>
        <w:rPr/>
      </w:pPr>
      <w:r>
        <w:rPr/>
      </w:r>
    </w:p>
    <w:tbl>
      <w:tblPr>
        <w:tblW w:w="4662" w:type="dxa"/>
        <w:jc w:val="left"/>
        <w:tblInd w:w="0" w:type="dxa"/>
        <w:tblLayout w:type="fixed"/>
        <w:tblCellMar>
          <w:top w:w="28" w:type="dxa"/>
          <w:left w:w="28" w:type="dxa"/>
          <w:bottom w:w="28" w:type="dxa"/>
          <w:right w:w="28" w:type="dxa"/>
        </w:tblCellMar>
      </w:tblPr>
      <w:tblGrid>
        <w:gridCol w:w="233"/>
        <w:gridCol w:w="205"/>
        <w:gridCol w:w="207"/>
        <w:gridCol w:w="1214"/>
        <w:gridCol w:w="1214"/>
        <w:gridCol w:w="1217"/>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DiLiberto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DiLiberto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SL Green Realty Corp., the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 of the Operating Partnership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42881</Words>
  <Characters>237980</Characters>
  <CharactersWithSpaces>277083</CharactersWithSpaces>
  <Paragraphs>6856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