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3"/>
          <w:szCs w:val="23"/>
          <w:b w:val="1"/>
          <w:bCs w:val="1"/>
          <w:color w:val="auto"/>
        </w:rPr>
        <w:t>UNITED STATES</w:t>
      </w:r>
    </w:p>
    <w:p>
      <w:pPr>
        <w:spacing w:after="0" w:line="35"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SECURITIES AND EXCHANGE COMMISSION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Washington, D.C. 20549</w:t>
      </w:r>
    </w:p>
    <w:p>
      <w:pPr>
        <w:spacing w:after="0" w:line="159" w:lineRule="exact"/>
        <w:rPr>
          <w:sz w:val="24"/>
          <w:szCs w:val="24"/>
          <w:color w:val="auto"/>
        </w:rPr>
      </w:pPr>
    </w:p>
    <w:p>
      <w:pPr>
        <w:ind w:left="5240"/>
        <w:spacing w:after="0"/>
        <w:rPr>
          <w:sz w:val="20"/>
          <w:szCs w:val="20"/>
          <w:color w:val="auto"/>
        </w:rPr>
      </w:pPr>
      <w:r>
        <w:rPr>
          <w:rFonts w:ascii="Arial" w:cs="Arial" w:eastAsia="Arial" w:hAnsi="Arial"/>
          <w:sz w:val="20"/>
          <w:szCs w:val="20"/>
          <w:b w:val="1"/>
          <w:bCs w:val="1"/>
          <w:color w:val="auto"/>
        </w:rPr>
        <w:t>FORM 8-K</w:t>
      </w:r>
    </w:p>
    <w:p>
      <w:pPr>
        <w:spacing w:after="0" w:line="363"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CURRENT REPORT</w:t>
      </w:r>
    </w:p>
    <w:p>
      <w:pPr>
        <w:spacing w:after="0" w:line="15" w:lineRule="exact"/>
        <w:rPr>
          <w:sz w:val="24"/>
          <w:szCs w:val="24"/>
          <w:color w:val="auto"/>
        </w:rPr>
      </w:pPr>
    </w:p>
    <w:p>
      <w:pPr>
        <w:jc w:val="center"/>
        <w:ind w:right="-1220"/>
        <w:spacing w:after="0"/>
        <w:rPr>
          <w:sz w:val="20"/>
          <w:szCs w:val="20"/>
          <w:color w:val="auto"/>
        </w:rPr>
      </w:pPr>
      <w:r>
        <w:rPr>
          <w:rFonts w:ascii="Arial" w:cs="Arial" w:eastAsia="Arial" w:hAnsi="Arial"/>
          <w:sz w:val="15"/>
          <w:szCs w:val="15"/>
          <w:b w:val="1"/>
          <w:bCs w:val="1"/>
          <w:color w:val="auto"/>
        </w:rPr>
        <w:t>Pursuant to Section 13 or 15(d) of the Securities Exchange Act of 1934</w:t>
      </w: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Date of Report (Date of earliest event reported):</w:t>
      </w:r>
    </w:p>
    <w:p>
      <w:pPr>
        <w:spacing w:after="0" w:line="90"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October 20, 2016 (October 19, 2016)</w:t>
      </w:r>
    </w:p>
    <w:p>
      <w:pPr>
        <w:spacing w:after="0" w:line="162" w:lineRule="exact"/>
        <w:rPr>
          <w:sz w:val="24"/>
          <w:szCs w:val="24"/>
          <w:color w:val="auto"/>
        </w:rPr>
      </w:pPr>
    </w:p>
    <w:p>
      <w:pPr>
        <w:jc w:val="center"/>
        <w:ind w:right="-1220"/>
        <w:spacing w:after="0"/>
        <w:rPr>
          <w:sz w:val="20"/>
          <w:szCs w:val="20"/>
          <w:color w:val="auto"/>
        </w:rPr>
      </w:pPr>
      <w:r>
        <w:rPr>
          <w:rFonts w:ascii="Arial" w:cs="Arial" w:eastAsia="Arial" w:hAnsi="Arial"/>
          <w:sz w:val="23"/>
          <w:szCs w:val="23"/>
          <w:b w:val="1"/>
          <w:bCs w:val="1"/>
          <w:color w:val="auto"/>
        </w:rPr>
        <w:t>SL GREEN REALTY CORP.</w:t>
      </w:r>
    </w:p>
    <w:p>
      <w:pPr>
        <w:spacing w:after="0" w:line="35" w:lineRule="exact"/>
        <w:rPr>
          <w:sz w:val="24"/>
          <w:szCs w:val="24"/>
          <w:color w:val="auto"/>
        </w:rPr>
      </w:pPr>
    </w:p>
    <w:p>
      <w:pPr>
        <w:ind w:left="3560"/>
        <w:spacing w:after="0"/>
        <w:rPr>
          <w:sz w:val="20"/>
          <w:szCs w:val="20"/>
          <w:color w:val="auto"/>
        </w:rPr>
      </w:pPr>
      <w:r>
        <w:rPr>
          <w:rFonts w:ascii="Arial" w:cs="Arial" w:eastAsia="Arial" w:hAnsi="Arial"/>
          <w:sz w:val="15"/>
          <w:szCs w:val="15"/>
          <w:color w:val="auto"/>
        </w:rPr>
        <w:t>(EXACT NAME OF REGISTRANT AS SPECIFIED IN ITS CHARTER)</w:t>
      </w:r>
    </w:p>
    <w:p>
      <w:pPr>
        <w:spacing w:after="0" w:line="34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MARYLAND</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(STATE OF INCORPORATION)</w:t>
      </w:r>
    </w:p>
    <w:p>
      <w:pPr>
        <w:spacing w:after="0" w:line="299" w:lineRule="exact"/>
        <w:rPr>
          <w:sz w:val="24"/>
          <w:szCs w:val="24"/>
          <w:color w:val="auto"/>
        </w:rPr>
      </w:pPr>
    </w:p>
    <w:tbl>
      <w:tblPr>
        <w:tblLayout w:type="fixed"/>
        <w:tblInd w:w="1840" w:type="dxa"/>
        <w:tblCellMar>
          <w:top w:w="0" w:type="dxa"/>
          <w:left w:w="0" w:type="dxa"/>
          <w:bottom w:w="0" w:type="dxa"/>
          <w:right w:w="0" w:type="dxa"/>
        </w:tblCellMar>
      </w:tblPr>
      <w:tr>
        <w:trPr>
          <w:trHeight w:val="184"/>
        </w:trPr>
        <w:tc>
          <w:tcPr>
            <w:tcW w:w="2160" w:type="dxa"/>
            <w:vAlign w:val="bottom"/>
          </w:tcPr>
          <w:p>
            <w:pPr>
              <w:jc w:val="center"/>
              <w:ind w:right="47"/>
              <w:spacing w:after="0"/>
              <w:rPr>
                <w:sz w:val="20"/>
                <w:szCs w:val="20"/>
                <w:color w:val="auto"/>
              </w:rPr>
            </w:pPr>
            <w:r>
              <w:rPr>
                <w:rFonts w:ascii="Arial" w:cs="Arial" w:eastAsia="Arial" w:hAnsi="Arial"/>
                <w:sz w:val="15"/>
                <w:szCs w:val="15"/>
                <w:color w:val="auto"/>
                <w:w w:val="87"/>
              </w:rPr>
              <w:t>1-13199</w:t>
            </w:r>
          </w:p>
        </w:tc>
        <w:tc>
          <w:tcPr>
            <w:tcW w:w="5640" w:type="dxa"/>
            <w:vAlign w:val="bottom"/>
          </w:tcPr>
          <w:p>
            <w:pPr>
              <w:ind w:left="4380"/>
              <w:spacing w:after="0"/>
              <w:rPr>
                <w:sz w:val="20"/>
                <w:szCs w:val="20"/>
                <w:color w:val="auto"/>
              </w:rPr>
            </w:pPr>
            <w:r>
              <w:rPr>
                <w:rFonts w:ascii="Arial" w:cs="Arial" w:eastAsia="Arial" w:hAnsi="Arial"/>
                <w:sz w:val="15"/>
                <w:szCs w:val="15"/>
                <w:color w:val="auto"/>
              </w:rPr>
              <w:t>13-3956775</w:t>
            </w:r>
          </w:p>
        </w:tc>
      </w:tr>
      <w:tr>
        <w:trPr>
          <w:trHeight w:val="219"/>
        </w:trPr>
        <w:tc>
          <w:tcPr>
            <w:tcW w:w="2160" w:type="dxa"/>
            <w:vAlign w:val="bottom"/>
          </w:tcPr>
          <w:p>
            <w:pPr>
              <w:jc w:val="center"/>
              <w:ind w:right="47"/>
              <w:spacing w:after="0"/>
              <w:rPr>
                <w:sz w:val="20"/>
                <w:szCs w:val="20"/>
                <w:color w:val="auto"/>
              </w:rPr>
            </w:pPr>
            <w:r>
              <w:rPr>
                <w:rFonts w:ascii="Arial" w:cs="Arial" w:eastAsia="Arial" w:hAnsi="Arial"/>
                <w:sz w:val="15"/>
                <w:szCs w:val="15"/>
                <w:color w:val="auto"/>
                <w:w w:val="95"/>
              </w:rPr>
              <w:t>(COMMISSION FILE NUMBER)</w:t>
            </w:r>
          </w:p>
        </w:tc>
        <w:tc>
          <w:tcPr>
            <w:tcW w:w="5640" w:type="dxa"/>
            <w:vAlign w:val="bottom"/>
          </w:tcPr>
          <w:p>
            <w:pPr>
              <w:ind w:left="3620"/>
              <w:spacing w:after="0"/>
              <w:rPr>
                <w:sz w:val="20"/>
                <w:szCs w:val="20"/>
                <w:color w:val="auto"/>
              </w:rPr>
            </w:pPr>
            <w:r>
              <w:rPr>
                <w:rFonts w:ascii="Arial" w:cs="Arial" w:eastAsia="Arial" w:hAnsi="Arial"/>
                <w:sz w:val="15"/>
                <w:szCs w:val="15"/>
                <w:color w:val="auto"/>
                <w:w w:val="92"/>
              </w:rPr>
              <w:t>(IRS EMPLOYER ID. NUMBER)</w:t>
            </w:r>
          </w:p>
        </w:tc>
      </w:tr>
      <w:tr>
        <w:trPr>
          <w:trHeight w:val="503"/>
        </w:trPr>
        <w:tc>
          <w:tcPr>
            <w:tcW w:w="2160" w:type="dxa"/>
            <w:vAlign w:val="bottom"/>
          </w:tcPr>
          <w:p>
            <w:pPr>
              <w:jc w:val="center"/>
              <w:ind w:right="27"/>
              <w:spacing w:after="0"/>
              <w:rPr>
                <w:sz w:val="20"/>
                <w:szCs w:val="20"/>
                <w:color w:val="auto"/>
              </w:rPr>
            </w:pPr>
            <w:r>
              <w:rPr>
                <w:rFonts w:ascii="Arial" w:cs="Arial" w:eastAsia="Arial" w:hAnsi="Arial"/>
                <w:sz w:val="15"/>
                <w:szCs w:val="15"/>
                <w:color w:val="auto"/>
                <w:w w:val="89"/>
              </w:rPr>
              <w:t>420 Lexington Avenue</w:t>
            </w:r>
          </w:p>
        </w:tc>
        <w:tc>
          <w:tcPr>
            <w:tcW w:w="5640" w:type="dxa"/>
            <w:vAlign w:val="bottom"/>
          </w:tcPr>
          <w:p>
            <w:pPr>
              <w:ind w:left="4580"/>
              <w:spacing w:after="0"/>
              <w:rPr>
                <w:sz w:val="20"/>
                <w:szCs w:val="20"/>
                <w:color w:val="auto"/>
              </w:rPr>
            </w:pPr>
            <w:r>
              <w:rPr>
                <w:rFonts w:ascii="Arial" w:cs="Arial" w:eastAsia="Arial" w:hAnsi="Arial"/>
                <w:sz w:val="15"/>
                <w:szCs w:val="15"/>
                <w:color w:val="auto"/>
              </w:rPr>
              <w:t>10170</w:t>
            </w:r>
          </w:p>
        </w:tc>
      </w:tr>
      <w:tr>
        <w:trPr>
          <w:trHeight w:val="219"/>
        </w:trPr>
        <w:tc>
          <w:tcPr>
            <w:tcW w:w="2160" w:type="dxa"/>
            <w:vAlign w:val="bottom"/>
          </w:tcPr>
          <w:p>
            <w:pPr>
              <w:jc w:val="center"/>
              <w:ind w:right="27"/>
              <w:spacing w:after="0"/>
              <w:rPr>
                <w:sz w:val="20"/>
                <w:szCs w:val="20"/>
                <w:color w:val="auto"/>
              </w:rPr>
            </w:pPr>
            <w:r>
              <w:rPr>
                <w:rFonts w:ascii="Arial" w:cs="Arial" w:eastAsia="Arial" w:hAnsi="Arial"/>
                <w:sz w:val="15"/>
                <w:szCs w:val="15"/>
                <w:color w:val="auto"/>
                <w:w w:val="91"/>
              </w:rPr>
              <w:t>New York, New York</w:t>
            </w:r>
          </w:p>
        </w:tc>
        <w:tc>
          <w:tcPr>
            <w:tcW w:w="5640" w:type="dxa"/>
            <w:vAlign w:val="bottom"/>
          </w:tcPr>
          <w:p>
            <w:pPr>
              <w:ind w:left="4360"/>
              <w:spacing w:after="0"/>
              <w:rPr>
                <w:sz w:val="20"/>
                <w:szCs w:val="20"/>
                <w:color w:val="auto"/>
              </w:rPr>
            </w:pPr>
            <w:r>
              <w:rPr>
                <w:rFonts w:ascii="Arial" w:cs="Arial" w:eastAsia="Arial" w:hAnsi="Arial"/>
                <w:sz w:val="15"/>
                <w:szCs w:val="15"/>
                <w:color w:val="auto"/>
              </w:rPr>
              <w:t>(ZIP CODE)</w:t>
            </w:r>
          </w:p>
        </w:tc>
      </w:tr>
      <w:tr>
        <w:trPr>
          <w:trHeight w:val="197"/>
        </w:trPr>
        <w:tc>
          <w:tcPr>
            <w:tcW w:w="2160" w:type="dxa"/>
            <w:vAlign w:val="bottom"/>
          </w:tcPr>
          <w:p>
            <w:pPr>
              <w:spacing w:after="0"/>
              <w:rPr>
                <w:sz w:val="17"/>
                <w:szCs w:val="17"/>
                <w:color w:val="auto"/>
              </w:rPr>
            </w:pPr>
          </w:p>
        </w:tc>
        <w:tc>
          <w:tcPr>
            <w:tcW w:w="5640" w:type="dxa"/>
            <w:vAlign w:val="bottom"/>
          </w:tcPr>
          <w:p>
            <w:pPr>
              <w:ind w:left="120"/>
              <w:spacing w:after="0"/>
              <w:rPr>
                <w:sz w:val="20"/>
                <w:szCs w:val="20"/>
                <w:color w:val="auto"/>
              </w:rPr>
            </w:pPr>
            <w:r>
              <w:rPr>
                <w:rFonts w:ascii="Arial" w:cs="Arial" w:eastAsia="Arial" w:hAnsi="Arial"/>
                <w:sz w:val="15"/>
                <w:szCs w:val="15"/>
                <w:color w:val="auto"/>
              </w:rPr>
              <w:t>(ADDRESS OF PRINCIPAL EXECUTIVE OFFICES)</w:t>
            </w:r>
          </w:p>
        </w:tc>
      </w:tr>
    </w:tbl>
    <w:p>
      <w:pPr>
        <w:spacing w:after="0" w:line="166"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(212) 594-2700</w:t>
      </w:r>
    </w:p>
    <w:p>
      <w:pPr>
        <w:spacing w:after="0" w:line="11" w:lineRule="exact"/>
        <w:rPr>
          <w:sz w:val="24"/>
          <w:szCs w:val="24"/>
          <w:color w:val="auto"/>
        </w:rPr>
      </w:pPr>
    </w:p>
    <w:p>
      <w:pPr>
        <w:jc w:val="center"/>
        <w:ind w:right="-1220"/>
        <w:spacing w:after="0"/>
        <w:rPr>
          <w:sz w:val="20"/>
          <w:szCs w:val="20"/>
          <w:color w:val="auto"/>
        </w:rPr>
      </w:pPr>
      <w:r>
        <w:rPr>
          <w:rFonts w:ascii="Arial" w:cs="Arial" w:eastAsia="Arial" w:hAnsi="Arial"/>
          <w:sz w:val="15"/>
          <w:szCs w:val="15"/>
          <w:color w:val="auto"/>
        </w:rPr>
        <w:t>(REGISTRANT'S TELEPHONE NUMBER, INCLUDING AREA CODE)</w:t>
      </w:r>
    </w:p>
    <w:p>
      <w:pPr>
        <w:spacing w:after="0" w:line="343" w:lineRule="exact"/>
        <w:rPr>
          <w:sz w:val="24"/>
          <w:szCs w:val="24"/>
          <w:color w:val="auto"/>
        </w:rPr>
      </w:pPr>
    </w:p>
    <w:p>
      <w:pPr>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Written communications pursuant to Rule 425 under the Securities Act (17 CFR 230.425)</w:t>
      </w:r>
    </w:p>
    <w:p>
      <w:pPr>
        <w:spacing w:after="0" w:line="2" w:lineRule="exact"/>
        <w:rPr>
          <w:rFonts w:ascii="Arial" w:cs="Arial" w:eastAsia="Arial" w:hAnsi="Arial"/>
          <w:sz w:val="15"/>
          <w:szCs w:val="15"/>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Soliciting material pursuant to Rule 14a-12 under the Exchange Act (17 CFR 240.14a-12)</w:t>
      </w:r>
    </w:p>
    <w:p>
      <w:pPr>
        <w:spacing w:after="0" w:line="2" w:lineRule="exact"/>
        <w:rPr>
          <w:rFonts w:ascii="Arial" w:cs="Arial" w:eastAsia="Arial" w:hAnsi="Arial"/>
          <w:sz w:val="15"/>
          <w:szCs w:val="15"/>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14d-2(b) under the Exchange Act (17 CFR 240.14d-2(b))</w:t>
      </w:r>
    </w:p>
    <w:p>
      <w:pPr>
        <w:spacing w:after="0" w:line="2" w:lineRule="exact"/>
        <w:rPr>
          <w:rFonts w:ascii="Arial" w:cs="Arial" w:eastAsia="Arial" w:hAnsi="Arial"/>
          <w:sz w:val="15"/>
          <w:szCs w:val="15"/>
          <w:color w:val="auto"/>
        </w:rPr>
      </w:pPr>
    </w:p>
    <w:p>
      <w:pPr>
        <w:ind w:left="100" w:hanging="93"/>
        <w:spacing w:after="0"/>
        <w:tabs>
          <w:tab w:leader="none" w:pos="100" w:val="left"/>
        </w:tabs>
        <w:numPr>
          <w:ilvl w:val="0"/>
          <w:numId w:val="1"/>
        </w:numPr>
        <w:rPr>
          <w:rFonts w:ascii="Arial" w:cs="Arial" w:eastAsia="Arial" w:hAnsi="Arial"/>
          <w:sz w:val="15"/>
          <w:szCs w:val="15"/>
          <w:color w:val="auto"/>
        </w:rPr>
      </w:pPr>
      <w:r>
        <w:rPr>
          <w:rFonts w:ascii="Arial" w:cs="Arial" w:eastAsia="Arial" w:hAnsi="Arial"/>
          <w:sz w:val="15"/>
          <w:szCs w:val="15"/>
          <w:color w:val="auto"/>
        </w:rPr>
        <w:t>] Pre-commencement communications pursuant to Rule 13e-4(c) under the Exchange Act (17 CFR 240.13e-4(c))</w:t>
      </w:r>
    </w:p>
    <w:p>
      <w:pPr>
        <w:sectPr>
          <w:pgSz w:w="11900" w:h="16838" w:orient="portrait"/>
          <w:cols w:equalWidth="0" w:num="1">
            <w:col w:w="10239"/>
          </w:cols>
          <w:pgMar w:left="220" w:top="922" w:right="1440" w:bottom="1440" w:gutter="0" w:footer="0" w:header="0"/>
        </w:sectPr>
      </w:pPr>
    </w:p>
    <w:bookmarkStart w:id="1" w:name="page2"/>
    <w:bookmarkEnd w:id="1"/>
    <w:p>
      <w:pPr>
        <w:spacing w:after="0"/>
        <w:tabs>
          <w:tab w:leader="none" w:pos="760" w:val="left"/>
        </w:tabs>
        <w:rPr>
          <w:sz w:val="20"/>
          <w:szCs w:val="20"/>
          <w:color w:val="auto"/>
        </w:rPr>
      </w:pPr>
      <w:r>
        <w:rPr>
          <w:rFonts w:ascii="Arial" w:cs="Arial" w:eastAsia="Arial" w:hAnsi="Arial"/>
          <w:sz w:val="15"/>
          <w:szCs w:val="15"/>
          <w:b w:val="1"/>
          <w:bCs w:val="1"/>
          <w:color w:val="auto"/>
        </w:rPr>
        <w:t>Item 2.02.</w:t>
      </w:r>
      <w:r>
        <w:rPr>
          <w:sz w:val="20"/>
          <w:szCs w:val="20"/>
          <w:color w:val="auto"/>
        </w:rPr>
        <w:tab/>
      </w:r>
      <w:r>
        <w:rPr>
          <w:rFonts w:ascii="Arial" w:cs="Arial" w:eastAsia="Arial" w:hAnsi="Arial"/>
          <w:sz w:val="12"/>
          <w:szCs w:val="12"/>
          <w:b w:val="1"/>
          <w:bCs w:val="1"/>
          <w:color w:val="auto"/>
        </w:rPr>
        <w:t>Results of Operations and Financial Condition</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Following the issuance of a press release on October 19, 2016 announcing SL Green Realty Corp.’s, or the Company, results for the quarter ended September 30, 2016, the Company intends has made available on its website supplemental information regarding the Company’s operations that is too voluminous for a press release. The Company is attaching the press release as Exhibit 99.1 and the supplemental package as Exhibit 99.2 to this Current Report on Form 8-K.</w:t>
      </w:r>
    </w:p>
    <w:p>
      <w:pPr>
        <w:spacing w:after="0" w:line="158" w:lineRule="exact"/>
        <w:rPr>
          <w:sz w:val="20"/>
          <w:szCs w:val="20"/>
          <w:color w:val="auto"/>
        </w:rPr>
      </w:pPr>
    </w:p>
    <w:p>
      <w:pPr>
        <w:jc w:val="both"/>
        <w:spacing w:after="0" w:line="343" w:lineRule="auto"/>
        <w:rPr>
          <w:sz w:val="20"/>
          <w:szCs w:val="20"/>
          <w:color w:val="auto"/>
        </w:rPr>
      </w:pPr>
      <w:r>
        <w:rPr>
          <w:rFonts w:ascii="Arial" w:cs="Arial" w:eastAsia="Arial" w:hAnsi="Arial"/>
          <w:sz w:val="12"/>
          <w:szCs w:val="12"/>
          <w:color w:val="auto"/>
        </w:rPr>
        <w:t>The information (including Exhibits 99.1 and 99.2) being furnished pursuant to this “Item 2.02. Results of Operations and Financial Condition” shall not be deemed to be “filed” for the purposes of Section 18 of the Securities Exchange Act of 1934, as amended, or the Exchange Act, or otherwise subject to the liabilities of that section and shall not be deemed to be incorporated by reference into any filing under the Securities Act of 1933, as amended, or the Securities Act, or the Exchange Act regardless of any general incorporation language in such filing.</w:t>
      </w:r>
    </w:p>
    <w:p>
      <w:pPr>
        <w:spacing w:after="0" w:line="279"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color w:val="auto"/>
        </w:rPr>
        <w:t>As discussed in Item 2.02 above, on October 19, 2016, the Company issued a press release announcing its results for the quarter ended September 30, 2016.</w:t>
      </w:r>
    </w:p>
    <w:p>
      <w:pPr>
        <w:spacing w:after="0" w:line="177" w:lineRule="exact"/>
        <w:rPr>
          <w:sz w:val="20"/>
          <w:szCs w:val="20"/>
          <w:color w:val="auto"/>
        </w:rPr>
      </w:pPr>
    </w:p>
    <w:p>
      <w:pPr>
        <w:jc w:val="both"/>
        <w:spacing w:after="0" w:line="277" w:lineRule="auto"/>
        <w:rPr>
          <w:sz w:val="20"/>
          <w:szCs w:val="20"/>
          <w:color w:val="auto"/>
        </w:rPr>
      </w:pPr>
      <w:r>
        <w:rPr>
          <w:rFonts w:ascii="Arial" w:cs="Arial" w:eastAsia="Arial" w:hAnsi="Arial"/>
          <w:sz w:val="14"/>
          <w:szCs w:val="14"/>
          <w:color w:val="auto"/>
        </w:rPr>
        <w:t>The information being furnished pursuant to this “Item 7.01. Regulation FD Disclosure” shall not be deemed to be “filed” for the purposes of Section 18 of the Exchange Act or otherwise subject to the liabilities of that section and shall not be deemed to be incorporated by reference into any filing under the Securities Act or the Exchange Act regardless of any general incorporation language in such filing. This information will not be deemed an admission as to the materiality of such information that is required to be disclosed solely by Regulation FD.</w:t>
      </w:r>
    </w:p>
    <w:p>
      <w:pPr>
        <w:spacing w:after="0" w:line="138" w:lineRule="exact"/>
        <w:rPr>
          <w:sz w:val="20"/>
          <w:szCs w:val="20"/>
          <w:color w:val="auto"/>
        </w:rPr>
      </w:pPr>
    </w:p>
    <w:p>
      <w:pPr>
        <w:spacing w:after="0"/>
        <w:tabs>
          <w:tab w:leader="none" w:pos="760" w:val="left"/>
        </w:tabs>
        <w:rPr>
          <w:sz w:val="20"/>
          <w:szCs w:val="20"/>
          <w:color w:val="auto"/>
        </w:rPr>
      </w:pPr>
      <w:r>
        <w:rPr>
          <w:rFonts w:ascii="Arial" w:cs="Arial" w:eastAsia="Arial" w:hAnsi="Arial"/>
          <w:sz w:val="15"/>
          <w:szCs w:val="15"/>
          <w:b w:val="1"/>
          <w:bCs w:val="1"/>
          <w:color w:val="auto"/>
        </w:rPr>
        <w:t>Item 9.01.</w:t>
      </w:r>
      <w:r>
        <w:rPr>
          <w:sz w:val="20"/>
          <w:szCs w:val="20"/>
          <w:color w:val="auto"/>
        </w:rPr>
        <w:tab/>
      </w:r>
      <w:r>
        <w:rPr>
          <w:rFonts w:ascii="Arial" w:cs="Arial" w:eastAsia="Arial" w:hAnsi="Arial"/>
          <w:sz w:val="12"/>
          <w:szCs w:val="12"/>
          <w:b w:val="1"/>
          <w:bCs w:val="1"/>
          <w:color w:val="auto"/>
        </w:rPr>
        <w:t>Financial Statements and Exhibits</w:t>
      </w:r>
    </w:p>
    <w:p>
      <w:pPr>
        <w:spacing w:after="0" w:line="181" w:lineRule="exact"/>
        <w:rPr>
          <w:sz w:val="20"/>
          <w:szCs w:val="20"/>
          <w:color w:val="auto"/>
        </w:rPr>
      </w:pPr>
    </w:p>
    <w:p>
      <w:pPr>
        <w:ind w:left="360" w:hanging="353"/>
        <w:spacing w:after="0"/>
        <w:tabs>
          <w:tab w:leader="none" w:pos="360" w:val="left"/>
        </w:tabs>
        <w:numPr>
          <w:ilvl w:val="0"/>
          <w:numId w:val="2"/>
        </w:numPr>
        <w:rPr>
          <w:rFonts w:ascii="Arial" w:cs="Arial" w:eastAsia="Arial" w:hAnsi="Arial"/>
          <w:sz w:val="15"/>
          <w:szCs w:val="15"/>
          <w:color w:val="auto"/>
        </w:rPr>
      </w:pPr>
      <w:r>
        <w:rPr>
          <w:rFonts w:ascii="Arial" w:cs="Arial" w:eastAsia="Arial" w:hAnsi="Arial"/>
          <w:sz w:val="15"/>
          <w:szCs w:val="15"/>
          <w:i w:val="1"/>
          <w:iCs w:val="1"/>
          <w:color w:val="auto"/>
        </w:rPr>
        <w:t>Exhibits</w:t>
      </w:r>
    </w:p>
    <w:p>
      <w:pPr>
        <w:spacing w:after="0" w:line="177"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5"/>
          <w:szCs w:val="15"/>
          <w:color w:val="auto"/>
        </w:rPr>
        <w:t>99.1</w:t>
      </w:r>
      <w:r>
        <w:rPr>
          <w:sz w:val="20"/>
          <w:szCs w:val="20"/>
          <w:color w:val="auto"/>
        </w:rPr>
        <w:tab/>
      </w:r>
      <w:r>
        <w:rPr>
          <w:rFonts w:ascii="Arial" w:cs="Arial" w:eastAsia="Arial" w:hAnsi="Arial"/>
          <w:sz w:val="12"/>
          <w:szCs w:val="12"/>
          <w:color w:val="auto"/>
        </w:rPr>
        <w:t>Press Release regarding results for the quarter ended September 30, 2016.</w:t>
      </w:r>
    </w:p>
    <w:p>
      <w:pPr>
        <w:spacing w:after="0" w:line="11" w:lineRule="exact"/>
        <w:rPr>
          <w:sz w:val="20"/>
          <w:szCs w:val="20"/>
          <w:color w:val="auto"/>
        </w:rPr>
      </w:pPr>
    </w:p>
    <w:p>
      <w:pPr>
        <w:ind w:left="540"/>
        <w:spacing w:after="0"/>
        <w:tabs>
          <w:tab w:leader="none" w:pos="920" w:val="left"/>
        </w:tabs>
        <w:rPr>
          <w:sz w:val="20"/>
          <w:szCs w:val="20"/>
          <w:color w:val="auto"/>
        </w:rPr>
      </w:pPr>
      <w:r>
        <w:rPr>
          <w:rFonts w:ascii="Arial" w:cs="Arial" w:eastAsia="Arial" w:hAnsi="Arial"/>
          <w:sz w:val="15"/>
          <w:szCs w:val="15"/>
          <w:color w:val="auto"/>
        </w:rPr>
        <w:t>99.2</w:t>
      </w:r>
      <w:r>
        <w:rPr>
          <w:sz w:val="20"/>
          <w:szCs w:val="20"/>
          <w:color w:val="auto"/>
        </w:rPr>
        <w:tab/>
      </w:r>
      <w:r>
        <w:rPr>
          <w:rFonts w:ascii="Arial" w:cs="Arial" w:eastAsia="Arial" w:hAnsi="Arial"/>
          <w:sz w:val="12"/>
          <w:szCs w:val="12"/>
          <w:color w:val="auto"/>
        </w:rPr>
        <w:t>Supplemental package.</w:t>
      </w: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Non-GAAP Supplemental Financial Measures</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Funds from Operations (FFO)</w:t>
      </w:r>
    </w:p>
    <w:p>
      <w:pPr>
        <w:spacing w:after="0" w:line="181" w:lineRule="exact"/>
        <w:rPr>
          <w:sz w:val="20"/>
          <w:szCs w:val="20"/>
          <w:color w:val="auto"/>
        </w:rPr>
      </w:pPr>
    </w:p>
    <w:p>
      <w:pPr>
        <w:jc w:val="both"/>
        <w:spacing w:after="0" w:line="311" w:lineRule="auto"/>
        <w:rPr>
          <w:sz w:val="20"/>
          <w:szCs w:val="20"/>
          <w:color w:val="auto"/>
        </w:rPr>
      </w:pPr>
      <w:r>
        <w:rPr>
          <w:rFonts w:ascii="Arial" w:cs="Arial" w:eastAsia="Arial" w:hAnsi="Arial"/>
          <w:sz w:val="12"/>
          <w:szCs w:val="12"/>
          <w:color w:val="auto"/>
        </w:rPr>
        <w:t>FFO is a widely recognized measure of REIT performance. The Company computes FFO in accordance with standards established by the National Association of Real Estate Investment Trusts, or NAREIT, which may not be comparable to FFO reported by other REITs that do not compute FFO in accordance with the NAREIT definition, or that interpret the NAREIT definition differently than the Company does. The revised White Paper on FFO approved by the Board of Governors of NAREIT in April 2002, and subsequently amended, defines FFO as net income (loss) (computed in accordance with GAAP), excluding gains (or losses) from debt restructuring, sales of properties and real estate related impairment charges, plus real estate related depreciation and amortization and after adjustments for unconsolidated partnerships and joint ventures. The Company presents FFO because it considers it an important supplemental measure of the Company’s operating performance and believes that it is frequently used by securities analysts, investors and other interested parties in the evaluation of REITs, particularly those that own and operate commercial office properties. The Company also uses FFO as one of several criteria to determine performance-based bonuses for members of its senior management. FFO is intended to exclude GAAP historical cost depreciation and amortization of real estate and related assets, which assumes that the value of real estate assets diminishes ratably over time. Historically, however, real estate values have risen or fallen with market conditions. Because FFO excludes depreciation and amortization unique to real estate, gains and losses from property dispositions and extraordinary items, it provides a performance measure that, when compared year over year, reflects the impact to operations from trends in occupancy rates, rental rates, operating costs, interest costs, providing perspective not immediately apparent from net income. FFO does not represent cash generated from operating activities in accordance with GAAP and should not be considered as an alternative to net income (determined in accordance with GAAP), as an indication of the Company’s financial performance or to cash flow from operating activities (determined in accordance with GAAP) as a measure of the Company’s liquidity, nor is it indicative of funds available to fund the Company’s cash needs, including our ability to make cash distributions.</w:t>
      </w:r>
    </w:p>
    <w:p>
      <w:pPr>
        <w:sectPr>
          <w:pgSz w:w="11900" w:h="16838" w:orient="portrait"/>
          <w:cols w:equalWidth="0" w:num="1">
            <w:col w:w="11460"/>
          </w:cols>
          <w:pgMar w:left="220" w:top="496" w:right="21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u w:val="single" w:color="auto"/>
          <w:color w:val="auto"/>
        </w:rPr>
        <w:t>Funds Available for Distribution (FAD)</w:t>
      </w:r>
    </w:p>
    <w:p>
      <w:pPr>
        <w:spacing w:after="0" w:line="181" w:lineRule="exact"/>
        <w:rPr>
          <w:sz w:val="20"/>
          <w:szCs w:val="20"/>
          <w:color w:val="auto"/>
        </w:rPr>
      </w:pPr>
    </w:p>
    <w:p>
      <w:pPr>
        <w:jc w:val="both"/>
        <w:spacing w:after="0" w:line="324" w:lineRule="auto"/>
        <w:rPr>
          <w:sz w:val="20"/>
          <w:szCs w:val="20"/>
          <w:color w:val="auto"/>
        </w:rPr>
      </w:pPr>
      <w:r>
        <w:rPr>
          <w:rFonts w:ascii="Arial" w:cs="Arial" w:eastAsia="Arial" w:hAnsi="Arial"/>
          <w:sz w:val="12"/>
          <w:szCs w:val="12"/>
          <w:color w:val="auto"/>
        </w:rPr>
        <w:t>FAD is a non-GAAP financial measure that is not intended to represent cash flow for the period and is not indicative of cash flow provided by operating activities as determined in accordance with GAAP. FAD is presented solely as a supplemental disclosure with respect to liquidity because the Company believes it provides useful information regarding the Company’s ability to fund its dividends. Because all companies do not calculate FAD the same way, the presentation of FAD may not be comparable to similarly titled measures of other companies. FAD does not represent cash flow from operating, investing and finance activities in accordance with GAAP and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Earnings Before Interest, Taxes, Depreciation and Amortization (EBITDA)</w:t>
      </w:r>
    </w:p>
    <w:p>
      <w:pPr>
        <w:spacing w:after="0" w:line="18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presents earnings before interest, taxes, depreciation and amortization, or EBITDA, because the Company believes that EBITDA, along with cash flow from operating activities, investing activities and financing activities, provides investors with an additional indicator of the Company’s ability to incur and service debt. EBITDA should not be considered as an alternative to net income (determined in accordance with GAAP), as an indication of the Company’s financial performance, as an alternative to net cash flows from operating activities (determined in accordance with GAAP), or as a measure of the Company’s liquidity. Adjusted earnings before interest, taxes, depreciation and amortization (Adjusted EBITDA) is calculated by adding income taxes, loan loss reserves and the Company’s share of joint venture depreciation and amortization to EBITDA.</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Same-Store Net Operating Income, Same-Store Cash Net Operating Income and Related Measures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Company presents same-store net operating income, same-store cash net operating income, same-store joint venture net operating income, and same-store joint venture cash net operating income because the Company believes that these measures provide investors with useful information regarding the operating performance of properties that are comparable for the periods presented. For properties owned since January 1, 2015 and still owned in the same manner at the end of the current quarter, the Company determines same-store net operating income by subtracting same-store property operating expenses and ground rent from same-store recurring rental and tenant reimbursement revenues. Same-store cash net operating income is derived by deducting same-store straight line and free rent from, and adding same-store tenant credit loss allowance to, same-store net operating income. Same-store joint venture net operating income and same-store joint venture cash net operating income are calculated in the same manner as noted above, but includes just the Company’s pro-rata share of the joint venture net operating income. None of these measures is an alternative to net income (determined in accordance with GAAP) and same-store performance should not be considered an alternative to GAAP net income performance.</w:t>
      </w:r>
    </w:p>
    <w:p>
      <w:pPr>
        <w:spacing w:after="0" w:line="161"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Debt to Market Capitalization Ratio</w:t>
      </w:r>
    </w:p>
    <w:p>
      <w:pPr>
        <w:spacing w:after="0" w:line="181"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Company presents the ratio of debt to market capitalization as a measure of the Company’s leverage position relative to the Company’s estimated market value. The Company’s estimated market value is based upon the quarter-end trading price of the Company’s common stock multiplied by all common shares and operating partnership units outstanding plus the face value of the Company’s preferred equity. This ratio is presented on a consolidated basis and a combined basis. The combined debt to market capitalization includes the Company’s pro-rata share of off-balance sheet (unconsolidated) joint venture debt. The Company believes this ratio may provide investors with another measure of the Company’s current leverage position. The debt to market capitalization ratio should be used as one measure of the Company’s leverage position, and this measure is commonly used in the REIT sector; however, this may not be comparable to other REITs that do not compute in the same manner. The debt to market capitalization ratio does not represent the Company’s borrowing capacity and should not be considered an alternative measure to the Company’s current lending arrangements.</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Coverage Ratios</w:t>
      </w:r>
    </w:p>
    <w:p>
      <w:pPr>
        <w:spacing w:after="0" w:line="181" w:lineRule="exact"/>
        <w:rPr>
          <w:sz w:val="20"/>
          <w:szCs w:val="20"/>
          <w:color w:val="auto"/>
        </w:rPr>
      </w:pPr>
    </w:p>
    <w:p>
      <w:pPr>
        <w:jc w:val="both"/>
        <w:spacing w:after="0" w:line="330" w:lineRule="auto"/>
        <w:rPr>
          <w:sz w:val="20"/>
          <w:szCs w:val="20"/>
          <w:color w:val="auto"/>
        </w:rPr>
      </w:pPr>
      <w:r>
        <w:rPr>
          <w:rFonts w:ascii="Arial" w:cs="Arial" w:eastAsia="Arial" w:hAnsi="Arial"/>
          <w:sz w:val="12"/>
          <w:szCs w:val="12"/>
          <w:color w:val="auto"/>
        </w:rPr>
        <w:t>The Company presents fixed charge and interest coverage ratios to provide a measure of the Company’s financial flexibility to service current debt amortization, interest expense and ground rent from current cash net operating income. These coverage ratios are provided on both a consolidated and combined basis. The combined coverage ratios include the Company’s pro-rata share of off-balance sheet (unconsolidated) joint venture fixed charges and cash net operating income. These coverage ratios represent a common measure of the Company’s ability to service fixed cash payments; however, these ratios are not used as an alternative to cash flow from operating, financing and investing activities (determined in accordance with GAAP).</w:t>
      </w:r>
    </w:p>
    <w:p>
      <w:pPr>
        <w:sectPr>
          <w:pgSz w:w="11900" w:h="16838" w:orient="portrait"/>
          <w:cols w:equalWidth="0" w:num="1">
            <w:col w:w="11460"/>
          </w:cols>
          <w:pgMar w:left="220" w:top="496" w:right="219" w:bottom="1440" w:gutter="0" w:footer="0" w:header="0"/>
        </w:sectPr>
      </w:pPr>
    </w:p>
    <w:bookmarkStart w:id="3" w:name="page4"/>
    <w:bookmarkEnd w:id="3"/>
    <w:p>
      <w:pPr>
        <w:ind w:left="5260"/>
        <w:spacing w:after="0"/>
        <w:rPr>
          <w:sz w:val="20"/>
          <w:szCs w:val="20"/>
          <w:color w:val="auto"/>
        </w:rPr>
      </w:pPr>
      <w:r>
        <w:rPr>
          <w:rFonts w:ascii="Arial" w:cs="Arial" w:eastAsia="Arial" w:hAnsi="Arial"/>
          <w:sz w:val="15"/>
          <w:szCs w:val="15"/>
          <w:b w:val="1"/>
          <w:bCs w:val="1"/>
          <w:color w:val="auto"/>
        </w:rPr>
        <w:t>SIGNATURES</w:t>
      </w:r>
    </w:p>
    <w:p>
      <w:pPr>
        <w:spacing w:after="0" w:line="356"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7360"/>
        <w:spacing w:after="0"/>
        <w:rPr>
          <w:sz w:val="20"/>
          <w:szCs w:val="20"/>
          <w:color w:val="auto"/>
        </w:rPr>
      </w:pPr>
      <w:r>
        <w:rPr>
          <w:rFonts w:ascii="Arial" w:cs="Arial" w:eastAsia="Arial" w:hAnsi="Arial"/>
          <w:sz w:val="15"/>
          <w:szCs w:val="15"/>
          <w:u w:val="single" w:color="auto"/>
          <w:color w:val="auto"/>
        </w:rPr>
        <w:t>SL GREEN REALTY CORP.</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/s/ Matthew J. DiLiberto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4660900</wp:posOffset>
            </wp:positionH>
            <wp:positionV relativeFrom="paragraph">
              <wp:posOffset>22225</wp:posOffset>
            </wp:positionV>
            <wp:extent cx="23736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73630" cy="6985"/>
                    </a:xfrm>
                    <a:prstGeom prst="rect">
                      <a:avLst/>
                    </a:prstGeom>
                    <a:noFill/>
                  </pic:spPr>
                </pic:pic>
              </a:graphicData>
            </a:graphic>
          </wp:anchor>
        </w:drawing>
      </w:r>
    </w:p>
    <w:p>
      <w:pPr>
        <w:spacing w:after="0" w:line="37"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Matthew J. DiLiberto</w:t>
      </w:r>
    </w:p>
    <w:p>
      <w:pPr>
        <w:spacing w:after="0" w:line="46" w:lineRule="exact"/>
        <w:rPr>
          <w:sz w:val="20"/>
          <w:szCs w:val="20"/>
          <w:color w:val="auto"/>
        </w:rPr>
      </w:pPr>
    </w:p>
    <w:p>
      <w:pPr>
        <w:ind w:left="736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Arial" w:cs="Arial" w:eastAsia="Arial" w:hAnsi="Arial"/>
          <w:sz w:val="15"/>
          <w:szCs w:val="15"/>
          <w:color w:val="auto"/>
        </w:rPr>
        <w:t>Date: October 20, 2016</w:t>
      </w:r>
    </w:p>
    <w:p>
      <w:pPr>
        <w:sectPr>
          <w:pgSz w:w="11900" w:h="16838" w:orient="portrait"/>
          <w:cols w:equalWidth="0" w:num="1">
            <w:col w:w="10640"/>
          </w:cols>
          <w:pgMar w:left="220" w:top="496" w:right="1039" w:bottom="1440" w:gutter="0" w:footer="0" w:header="0"/>
        </w:sectPr>
      </w:pPr>
    </w:p>
    <w:bookmarkStart w:id="4" w:name="page5"/>
    <w:bookmarkEnd w:id="4"/>
    <w:p>
      <w:pPr>
        <w:jc w:val="right"/>
        <w:spacing w:after="0"/>
        <w:rPr>
          <w:sz w:val="20"/>
          <w:szCs w:val="20"/>
          <w:color w:val="auto"/>
        </w:rPr>
      </w:pPr>
      <w:r>
        <w:rPr>
          <w:rFonts w:ascii="Arial" w:cs="Arial" w:eastAsia="Arial" w:hAnsi="Arial"/>
          <w:sz w:val="13"/>
          <w:szCs w:val="13"/>
          <w:b w:val="1"/>
          <w:bCs w:val="1"/>
          <w:color w:val="auto"/>
        </w:rPr>
        <w:t>Exhibit 99.1</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CONTACT</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Matt DiLiberto</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(212) 594-2700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SL GREEN REALTY CORP. REPORTS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THIRD QUARTER 2016 EPS OF $0.34 PER SHARE;</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AND FFO OF $1.63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177165</wp:posOffset>
            </wp:positionV>
            <wp:extent cx="7298055"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8055" cy="39370"/>
                    </a:xfrm>
                    <a:prstGeom prst="rect">
                      <a:avLst/>
                    </a:prstGeom>
                    <a:noFill/>
                  </pic:spPr>
                </pic:pic>
              </a:graphicData>
            </a:graphic>
          </wp:anchor>
        </w:drawing>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Financial and Operating Highlights</w:t>
      </w:r>
    </w:p>
    <w:p>
      <w:pPr>
        <w:spacing w:after="0" w:line="143" w:lineRule="exact"/>
        <w:rPr>
          <w:sz w:val="20"/>
          <w:szCs w:val="20"/>
          <w:color w:val="auto"/>
        </w:rPr>
      </w:pPr>
    </w:p>
    <w:p>
      <w:pPr>
        <w:jc w:val="both"/>
        <w:ind w:left="540" w:hanging="270"/>
        <w:spacing w:after="0" w:line="27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Third quarter 2016 net income attributable to common stockholders of $0.34 per share compared to third quarter 2015 net income attributable to common stockholders of $1.64 per share. Third quarter 2015 net income attributable to common stockholders includes $155.8 million, or $1.50 per share, of net gains recognized from the sale of real estate.</w:t>
      </w:r>
    </w:p>
    <w:p>
      <w:pPr>
        <w:spacing w:after="0" w:line="84" w:lineRule="exact"/>
        <w:rPr>
          <w:rFonts w:ascii="Arial" w:cs="Arial" w:eastAsia="Arial" w:hAnsi="Arial"/>
          <w:sz w:val="17"/>
          <w:szCs w:val="17"/>
          <w:b w:val="1"/>
          <w:bCs w:val="1"/>
          <w:color w:val="auto"/>
        </w:rPr>
      </w:pPr>
    </w:p>
    <w:p>
      <w:pPr>
        <w:jc w:val="both"/>
        <w:ind w:left="540" w:hanging="270"/>
        <w:spacing w:after="0" w:line="268"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Third quarter 2016 FFO of $1.63 per share net of transaction related costs of $0.05 per share compared to third quarter 2015 FFO of $1.65 per share net of transaction related costs of $0.06 per share. Third quarter 2016 FFO includes $41.1 million, or $0.39 per share, of additional income related to the recapitalization of a debt investment, offset by $19.6 million, or $0.19 per share, of lost income and accounting write-offs related to space previously leased to Aeropostale at 1515 Broadway.</w:t>
      </w:r>
    </w:p>
    <w:p>
      <w:pPr>
        <w:spacing w:after="0" w:line="88" w:lineRule="exact"/>
        <w:rPr>
          <w:rFonts w:ascii="Arial" w:cs="Arial" w:eastAsia="Arial" w:hAnsi="Arial"/>
          <w:sz w:val="17"/>
          <w:szCs w:val="17"/>
          <w:b w:val="1"/>
          <w:bCs w:val="1"/>
          <w:color w:val="auto"/>
        </w:rPr>
      </w:pPr>
    </w:p>
    <w:p>
      <w:pPr>
        <w:ind w:left="540" w:hanging="270"/>
        <w:spacing w:after="0"/>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Combined same-store cash NOI increased 6.0% for the first nine months of 2016 as compared to the same period in the prior year.</w:t>
      </w:r>
    </w:p>
    <w:p>
      <w:pPr>
        <w:spacing w:after="0" w:line="143"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Signed 41 Manhattan office leases covering 1,282,518 square feet during the third quarter. The mark-to-market on signed Manhattan office leases was 28.6% higher in the third quarter than the previously fully escalated rents on the same spaces.</w:t>
      </w:r>
    </w:p>
    <w:p>
      <w:pPr>
        <w:spacing w:after="0" w:line="67"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Signed 22 Suburban office leases covering 156,002 square feet during the third quarter. The mark-to-market on signed Suburban office leases was 4.4% higher in the third quarter than the previous fully escalated rents on the same spaces.</w:t>
      </w:r>
    </w:p>
    <w:p>
      <w:pPr>
        <w:spacing w:after="0" w:line="67"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Manhattan same-store occupancy, inclusive of leases signed but not yet commenced, was 97.5% as of September 30, 2016 as compared to 97.3% as of September 30, 2015 and 97.4% as of June 30, 2016.</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Investing Highlights</w:t>
      </w:r>
    </w:p>
    <w:p>
      <w:pPr>
        <w:spacing w:after="0" w:line="143" w:lineRule="exact"/>
        <w:rPr>
          <w:sz w:val="20"/>
          <w:szCs w:val="20"/>
          <w:color w:val="auto"/>
        </w:rPr>
      </w:pPr>
    </w:p>
    <w:p>
      <w:pPr>
        <w:ind w:left="540" w:hanging="270"/>
        <w:spacing w:after="0" w:line="294" w:lineRule="auto"/>
        <w:tabs>
          <w:tab w:leader="none" w:pos="54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color w:val="auto"/>
        </w:rPr>
        <w:t>Closed on the sale of a 40% interest in Eleven Madison Avenue for a total gross asset valuation of $2.6 billion, inclusive of the costs associated with lease stipulated improvements to the property. The Company received $484.2 million in net proceeds from the sale.</w:t>
      </w:r>
    </w:p>
    <w:p>
      <w:pPr>
        <w:sectPr>
          <w:pgSz w:w="11900" w:h="16838" w:orient="portrait"/>
          <w:cols w:equalWidth="0" w:num="1">
            <w:col w:w="11460"/>
          </w:cols>
          <w:pgMar w:left="220" w:top="129" w:right="219" w:bottom="1440" w:gutter="0" w:footer="0" w:header="0"/>
        </w:sectPr>
      </w:pPr>
    </w:p>
    <w:bookmarkStart w:id="5" w:name="page6"/>
    <w:bookmarkEnd w:id="5"/>
    <w:p>
      <w:pPr>
        <w:jc w:val="both"/>
        <w:ind w:left="540" w:hanging="270"/>
        <w:spacing w:after="0" w:line="283" w:lineRule="auto"/>
        <w:tabs>
          <w:tab w:leader="none" w:pos="54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In October, closed on the sale of a 49% interest in 400 East 57</w:t>
      </w:r>
      <w:r>
        <w:rPr>
          <w:rFonts w:ascii="Arial" w:cs="Arial" w:eastAsia="Arial" w:hAnsi="Arial"/>
          <w:sz w:val="20"/>
          <w:szCs w:val="20"/>
          <w:b w:val="1"/>
          <w:bCs w:val="1"/>
          <w:color w:val="auto"/>
          <w:vertAlign w:val="superscript"/>
        </w:rPr>
        <w:t>th</w:t>
      </w:r>
      <w:r>
        <w:rPr>
          <w:rFonts w:ascii="Arial" w:cs="Arial" w:eastAsia="Arial" w:hAnsi="Arial"/>
          <w:sz w:val="15"/>
          <w:szCs w:val="15"/>
          <w:b w:val="1"/>
          <w:bCs w:val="1"/>
          <w:color w:val="auto"/>
        </w:rPr>
        <w:t xml:space="preserve"> Street for a total gross asset valuation of $170.0 million. The Company recognized net proceeds of $65.0 million from the recapitalization of the property which included obtaining a new 10-year $100 million mortgage loan with a fixed interest rate of 3.0%. The new mortgage replaces the previous $66.7 million mortgage loan, which bore interest at a fixed rate of 4.13%.</w:t>
      </w:r>
    </w:p>
    <w:p>
      <w:pPr>
        <w:spacing w:after="0" w:line="81" w:lineRule="exact"/>
        <w:rPr>
          <w:rFonts w:ascii="Arial" w:cs="Arial" w:eastAsia="Arial" w:hAnsi="Arial"/>
          <w:sz w:val="15"/>
          <w:szCs w:val="15"/>
          <w:b w:val="1"/>
          <w:bCs w:val="1"/>
          <w:color w:val="auto"/>
        </w:rPr>
      </w:pPr>
    </w:p>
    <w:p>
      <w:pPr>
        <w:ind w:left="540" w:hanging="270"/>
        <w:spacing w:after="0" w:line="294"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Closed on the previously announced sale of 500 West Putnam Avenue in Greenwich, Connecticut, for a total gross asset valuation of $41.0 million. The Company recognized net proceeds of $39.5 million from the sale.</w:t>
      </w:r>
    </w:p>
    <w:p>
      <w:pPr>
        <w:spacing w:after="0" w:line="67"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Originated new debt and preferred equity investments totaling $472.0 million in the third quarter, of which $434.5 million was retained at a yield of 9.2%.</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Financing Highlights</w:t>
      </w:r>
    </w:p>
    <w:p>
      <w:pPr>
        <w:spacing w:after="0" w:line="143" w:lineRule="exact"/>
        <w:rPr>
          <w:sz w:val="20"/>
          <w:szCs w:val="20"/>
          <w:color w:val="auto"/>
        </w:rPr>
      </w:pPr>
    </w:p>
    <w:p>
      <w:pPr>
        <w:ind w:left="540" w:hanging="270"/>
        <w:spacing w:after="0" w:line="365" w:lineRule="auto"/>
        <w:tabs>
          <w:tab w:leader="none" w:pos="54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Closed on $1.5 billion of construction financing for One Vanderbilt Avenue. The facility has a term of up to 7 years and bears interest at a floating rate of 3.50% over LIBOR, with the ability to reduce the spread to as low as 3.00% upon achieving certain pre-leasing and completion milestones.</w:t>
      </w:r>
    </w:p>
    <w:p>
      <w:pPr>
        <w:spacing w:after="0" w:line="21" w:lineRule="exact"/>
        <w:rPr>
          <w:rFonts w:ascii="Arial" w:cs="Arial" w:eastAsia="Arial" w:hAnsi="Arial"/>
          <w:sz w:val="15"/>
          <w:szCs w:val="15"/>
          <w:b w:val="1"/>
          <w:bCs w:val="1"/>
          <w:color w:val="auto"/>
        </w:rPr>
      </w:pPr>
    </w:p>
    <w:p>
      <w:pPr>
        <w:ind w:left="540" w:hanging="270"/>
        <w:spacing w:after="0" w:line="294" w:lineRule="auto"/>
        <w:tabs>
          <w:tab w:leader="none" w:pos="5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Closed on an expansion of the term loan portion of the Company's unsecured corporate credit facility by $250.0 million, increasing the total facility size to $2.783 billion.</w:t>
      </w:r>
    </w:p>
    <w:p>
      <w:pPr>
        <w:spacing w:after="0" w:line="67" w:lineRule="exact"/>
        <w:rPr>
          <w:rFonts w:ascii="Arial" w:cs="Arial" w:eastAsia="Arial" w:hAnsi="Arial"/>
          <w:sz w:val="17"/>
          <w:szCs w:val="17"/>
          <w:b w:val="1"/>
          <w:bCs w:val="1"/>
          <w:color w:val="auto"/>
        </w:rPr>
      </w:pPr>
    </w:p>
    <w:p>
      <w:pPr>
        <w:ind w:left="540" w:hanging="270"/>
        <w:spacing w:after="0" w:line="294" w:lineRule="auto"/>
        <w:tabs>
          <w:tab w:leader="none" w:pos="54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color w:val="auto"/>
        </w:rPr>
        <w:t>Together with our joint venture partner, closed on a $97.0 million refinancing of 650 Fifth Avenue, which replaces the previous $65.0 million mortgage.</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Summary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New York, NY, October 19, 2016 - SL Green Realty Corp. (the "Company") (NYSE: SLG) today reported net income attributable to common stockholders for the quarter ended September 30, 2016 of $34.3 million, or $0.34 per share as compared to net income attributable to common stockholders of $163.7 million, or $1.64 per share for the same quarter in 2015. Net income attributable to common stockholders for the quarter ended September 30, 2016 includes $0.6 million, or $0.01 per share, of net gains recognized from the sale of real estate as compared to $155.8 million, or $1.50 per share, of net gains recognized from the sale of real estate for the same quarter in 2015.</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also reported net income attributable to common stockholders for the nine months ended September 30, 2016 of $190.9 million, or $1.90 per share as compared to net income attributable to common stockholders of $167.8 million, or $1.68 per share for the same period in 2015. Net income attributable to common stockholders for the nine months ended September 30, 2016 includes $244.0 million, or $2.33 per share, of net gains recognized from the sale of real estate as compared to $169.5 million, or $1.64 per share, of net gains recognized from the sale of real estate for the same period in 2015.</w:t>
      </w:r>
    </w:p>
    <w:p>
      <w:pPr>
        <w:spacing w:after="0" w:line="8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The Company reported funds from operations, or FFO, for the quarter ended September 30, 2016 of $171.6 million, or $1.63 per share, net of transaction related costs of $5.6 million, or $0.05 per share, as compared to FFO for the same period in 2015 of $171.5 million, or $1.65 per share, net of transaction related costs of $5.9 million, or $0.06 per share. Third quarter 2016 FFO includes $41.1 million, or $0.39 per share, of additional income related to the recapitalization of a debt investment, offset by $19.6 million, or $0.19 per share, of</w:t>
      </w:r>
    </w:p>
    <w:p>
      <w:pPr>
        <w:sectPr>
          <w:pgSz w:w="11900" w:h="16838" w:orient="portrait"/>
          <w:cols w:equalWidth="0" w:num="1">
            <w:col w:w="11460"/>
          </w:cols>
          <w:pgMar w:left="220" w:top="319" w:right="21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lost income and accounting write-offs related to space previously leased to Aeropostale at 1515 Broadway.</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also reported FFO for the nine months ended September 30, 2016 of $719.1 million, or $6.86 per share, net of transaction related costs of $9.0 million, or $0.09 per share, as compared to FFO for the same period in 2015 of $494.6 million, or $4.77 per share, net of transaction related costs of $10.1 million, or $0.10 per share.</w:t>
      </w:r>
    </w:p>
    <w:p>
      <w:pPr>
        <w:spacing w:after="0" w:line="92" w:lineRule="exact"/>
        <w:rPr>
          <w:sz w:val="20"/>
          <w:szCs w:val="20"/>
          <w:color w:val="auto"/>
        </w:rPr>
      </w:pPr>
    </w:p>
    <w:p>
      <w:pPr>
        <w:spacing w:after="0"/>
        <w:rPr>
          <w:sz w:val="20"/>
          <w:szCs w:val="20"/>
          <w:color w:val="auto"/>
        </w:rPr>
      </w:pPr>
      <w:r>
        <w:rPr>
          <w:rFonts w:ascii="Arial" w:cs="Arial" w:eastAsia="Arial" w:hAnsi="Arial"/>
          <w:sz w:val="17"/>
          <w:szCs w:val="17"/>
          <w:color w:val="auto"/>
        </w:rPr>
        <w:t>All per share amounts in this press release are presented on a diluted basis.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Operating and Leasing Activity</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For the quarter ended September 30, 2016, the Company reported consolidated revenues and operating income of $416.7 million and $232.8 million, respectively, compared to $432.1 million and $258.5 million, respectively, for the same period in 2015. For the nine months ended September 30, 2016, the Company reported consolidated revenues and operating income of $1.5 billion and $974.6 million, respectively, compared to $1.2 billion and $742.8 million, respectively, for the same period in 2015.</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Same-store cash NOI on a combined basis increased by 1.6% to $177.4 million for the quarter ended September 30, 2016 as compared to the same period in 2015. For the quarter, consolidated property same-store cash NOI increased by 1.7% to $158.1 million and unconsolidated joint venture property same-store cash NOI increased by 0.3% to $19.4 million in 2016 as compared to the same period in 2015.</w:t>
      </w:r>
    </w:p>
    <w:p>
      <w:pPr>
        <w:spacing w:after="0" w:line="9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Same-store cash NOI on a combined basis increased by 6.0% to $538.6 million for the nine months ended September 30, 2016 as compared to $508.0 million for the same period in 2015. For the nine months ended September 30, 2016, consolidated property same-store cash NOI increased by 6.0% to $480.0 million and unconsolidated joint venture property same-store cash NOI increased by 6.2% to $58.6 million, as compared to the same period in 2015.</w:t>
      </w:r>
    </w:p>
    <w:p>
      <w:pPr>
        <w:spacing w:after="0" w:line="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third quarter, the Company signed 41 office leases in its Manhattan portfolio totaling 1,282,518 square feet. Twenty-seven leases comprising 1,113,043 square feet, representing office leases on space that had been occupied within the prior twelve months, are considered replacement leases on which mark-to-market is calculated. Those replacement leases had average starting rents of $74.34 per rentable square foot, representing a 28.6% increase over the previously fully escalated rents on the same office spaces. The average lease term on the Manhattan office leases signed in the third quarter was 15.7 years and average tenant concessions were 4.8 months of free rent with a tenant improvement allowance of $54.51 per rentable square foot.</w:t>
      </w:r>
    </w:p>
    <w:p>
      <w:pPr>
        <w:spacing w:after="0" w:line="85"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first nine months of 2016, the Company signed 138 office leases in its Manhattan portfolio totaling 2,753,254 square feet. One hundred eight leases comprising 2,421,221 square feet, representing office leases on space that had been occupied within the prior twelve months, are considered replacement leases on which mark-to-market is calculated. Those replacement leases had average starting rents of $71.09 per rentable square foot, representing a 28.5% increase over the previously fully escalated rents on the same office spaces. The average lease term on the Manhattan office leases signed in the first nine months of 2016 was 12.4 years and average tenant concessions were 4.1 months of free rent with a tenant improvement allowance of $45.65 per rentable square foot.</w:t>
      </w:r>
    </w:p>
    <w:p>
      <w:pPr>
        <w:sectPr>
          <w:pgSz w:w="11900" w:h="16838" w:orient="portrait"/>
          <w:cols w:equalWidth="0" w:num="1">
            <w:col w:w="11460"/>
          </w:cols>
          <w:pgMar w:left="220" w:top="330" w:right="219" w:bottom="1440" w:gutter="0" w:footer="0" w:header="0"/>
        </w:sectPr>
      </w:pPr>
    </w:p>
    <w:bookmarkStart w:id="7" w:name="page8"/>
    <w:bookmarkEnd w:id="7"/>
    <w:p>
      <w:pPr>
        <w:jc w:val="both"/>
        <w:spacing w:after="0" w:line="287" w:lineRule="auto"/>
        <w:rPr>
          <w:sz w:val="20"/>
          <w:szCs w:val="20"/>
          <w:color w:val="auto"/>
        </w:rPr>
      </w:pPr>
      <w:r>
        <w:rPr>
          <w:rFonts w:ascii="Arial" w:cs="Arial" w:eastAsia="Arial" w:hAnsi="Arial"/>
          <w:sz w:val="17"/>
          <w:szCs w:val="17"/>
          <w:color w:val="auto"/>
        </w:rPr>
        <w:t>Manhattan same-store occupancy was 97.5% at September 30, 2016, inclusive of 238,234 square feet of leases signed but not yet commenced as compared to 97.3% at September 30, 2015 and 97.4% at June 30, 2016.</w:t>
      </w:r>
    </w:p>
    <w:p>
      <w:pPr>
        <w:spacing w:after="0" w:line="7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During the third quarter, the Company signed 22 office leases in its Suburban portfolio totaling 156,002 square feet. Nine leases comprising the remaining 54,514 square feet, representing office leases on space that had been occupied within the prior twelve months, are considered replacement leases on which mark-to-market is calculated. Those replacement leases had average starting rents of $33.09 per rentable square foot, representing a 4.4% increase over the previously fully escalated rents on the same office spaces. The average lease term on the Suburban office leases signed in the third quarter was 6.6 years and average tenant concessions were 6.1 months of free rent with a tenant improvement allowance of $23.99 per rentable square foot.</w:t>
      </w:r>
    </w:p>
    <w:p>
      <w:pPr>
        <w:spacing w:after="0" w:line="85"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During the first nine months of 2016, the Company signed 65 office leases in its Suburban portfolio totaling 555,933 square feet. Thirty-seven leases comprising the remaining 334,179 square feet, representing office leases on space that had been occupied within the prior twelve months, are considered replacement leases on which mark-to-market is calculated. Those replacement leases had average starting rents of $38.72 per rentable square foot, representing a 5.3% increase over the previously fully escalated rents on the same office spaces. The average lease term on the Suburban office leases signed in the first nine months of 2016 was 7 years and average tenant concessions were 6.4 months of free rent with a tenant improvement allowance of $27.52 per rentable square foot.</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Same-store occupancy for the Company's Suburban portfolio was 85.4% at September 30, 2016, inclusive of 67,639 square feet of leases signed but not yet commenced as compared to 84.3% at September 30, 2015 and 83.9% at June 30, 2016.</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Significant leases that were signed during the third quarter included:</w:t>
      </w:r>
    </w:p>
    <w:p>
      <w:pPr>
        <w:spacing w:after="0" w:line="143" w:lineRule="exact"/>
        <w:rPr>
          <w:sz w:val="20"/>
          <w:szCs w:val="20"/>
          <w:color w:val="auto"/>
        </w:rPr>
      </w:pPr>
    </w:p>
    <w:p>
      <w:pPr>
        <w:ind w:left="540" w:hanging="27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Renewal on 603,650 square feet with Penguin Random House at 1745 Broadway, bringing the remaining lease term to 16.8 years;</w:t>
      </w:r>
    </w:p>
    <w:p>
      <w:pPr>
        <w:spacing w:after="0" w:line="133" w:lineRule="exact"/>
        <w:rPr>
          <w:rFonts w:ascii="Arial" w:cs="Arial" w:eastAsia="Arial" w:hAnsi="Arial"/>
          <w:sz w:val="17"/>
          <w:szCs w:val="17"/>
          <w:color w:val="auto"/>
        </w:rPr>
      </w:pPr>
    </w:p>
    <w:p>
      <w:pPr>
        <w:ind w:left="540" w:hanging="27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lease on 308,115 square feet with Visiting Nurse Service of New York at 220 East 42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Street for 30.5 years;</w:t>
      </w:r>
    </w:p>
    <w:p>
      <w:pPr>
        <w:spacing w:after="0" w:line="74" w:lineRule="exact"/>
        <w:rPr>
          <w:rFonts w:ascii="Arial" w:cs="Arial" w:eastAsia="Arial" w:hAnsi="Arial"/>
          <w:sz w:val="17"/>
          <w:szCs w:val="17"/>
          <w:color w:val="auto"/>
        </w:rPr>
      </w:pPr>
    </w:p>
    <w:p>
      <w:pPr>
        <w:ind w:left="540" w:hanging="27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Renewal on 64,111 square feet with Omnicom Group at 220 East 42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Street bringing the remaining lease terms to 15.6 years;</w:t>
      </w:r>
    </w:p>
    <w:p>
      <w:pPr>
        <w:spacing w:after="0" w:line="74" w:lineRule="exact"/>
        <w:rPr>
          <w:rFonts w:ascii="Arial" w:cs="Arial" w:eastAsia="Arial" w:hAnsi="Arial"/>
          <w:sz w:val="17"/>
          <w:szCs w:val="17"/>
          <w:color w:val="auto"/>
        </w:rPr>
      </w:pPr>
    </w:p>
    <w:p>
      <w:pPr>
        <w:ind w:left="540" w:hanging="27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Renewal on 28,650 square feet with Newmark &amp; Company at 110 East 42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Street bringing the remaining lease terms to 15.1 years;</w:t>
      </w:r>
    </w:p>
    <w:p>
      <w:pPr>
        <w:spacing w:after="0" w:line="83" w:lineRule="exact"/>
        <w:rPr>
          <w:rFonts w:ascii="Arial" w:cs="Arial" w:eastAsia="Arial" w:hAnsi="Arial"/>
          <w:sz w:val="17"/>
          <w:szCs w:val="17"/>
          <w:color w:val="auto"/>
        </w:rPr>
      </w:pPr>
    </w:p>
    <w:p>
      <w:pPr>
        <w:ind w:left="540" w:hanging="27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lease on 34,393 square feet with Pace University at 100 Summit Lake Drive in Valhalla, New York, for 11.0 years; and</w:t>
      </w:r>
    </w:p>
    <w:p>
      <w:pPr>
        <w:spacing w:after="0" w:line="143" w:lineRule="exact"/>
        <w:rPr>
          <w:rFonts w:ascii="Arial" w:cs="Arial" w:eastAsia="Arial" w:hAnsi="Arial"/>
          <w:sz w:val="17"/>
          <w:szCs w:val="17"/>
          <w:color w:val="auto"/>
        </w:rPr>
      </w:pPr>
    </w:p>
    <w:p>
      <w:pPr>
        <w:ind w:left="540" w:hanging="270"/>
        <w:spacing w:after="0"/>
        <w:tabs>
          <w:tab w:leader="none" w:pos="540" w:val="left"/>
        </w:tabs>
        <w:numPr>
          <w:ilvl w:val="0"/>
          <w:numId w:val="7"/>
        </w:numPr>
        <w:rPr>
          <w:rFonts w:ascii="Arial" w:cs="Arial" w:eastAsia="Arial" w:hAnsi="Arial"/>
          <w:sz w:val="17"/>
          <w:szCs w:val="17"/>
          <w:color w:val="auto"/>
        </w:rPr>
      </w:pPr>
      <w:r>
        <w:rPr>
          <w:rFonts w:ascii="Arial" w:cs="Arial" w:eastAsia="Arial" w:hAnsi="Arial"/>
          <w:sz w:val="17"/>
          <w:szCs w:val="17"/>
          <w:color w:val="auto"/>
        </w:rPr>
        <w:t>New lease on 16,210 square feet with Canon U.S.A, Inc. at 125 Chubb Way, Lyndhurst, New Jersey, for 7.8 years.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Marketing, general and administrative, or MG&amp;A, expenses for the quarter ended September 30, 2016 were $25.5 million, or 5.2% of total combined revenues and an annualized 53 basis points of total combined assets.</w:t>
      </w:r>
    </w:p>
    <w:p>
      <w:pPr>
        <w:sectPr>
          <w:pgSz w:w="11900" w:h="16838" w:orient="portrait"/>
          <w:cols w:equalWidth="0" w:num="1">
            <w:col w:w="11460"/>
          </w:cols>
          <w:pgMar w:left="220" w:top="330" w:right="21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u w:val="single" w:color="auto"/>
          <w:color w:val="auto"/>
        </w:rPr>
        <w:t>Real Estate Investment Activity</w:t>
      </w:r>
    </w:p>
    <w:p>
      <w:pPr>
        <w:spacing w:after="0" w:line="14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October, the Company closed on the sale of a 49% interest in the entity that owns 400 East 57th Street at a gross asset valuation of $170.0 million and obtained a new 10-year $100 million mortgage loan, which bears interest at a fixed rate of 3.0%, replacing the previous $66.7 million mortgage loan, which bore interest at a fixed rate of 4.13%. The Company recognized net proceeds of $65.0 million from the recapitalization of the property.</w:t>
      </w:r>
    </w:p>
    <w:p>
      <w:pPr>
        <w:spacing w:after="0" w:line="9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In August, the Company closed on the sale of a 40% interest in Eleven Madison Avenue to PGIM Real Estate, the real estate investment business of PGIM, Inc., the global investment management businesses of Prudential Financial, Inc. (NYSE: PRU) for a total gross asset valuation of $2.6 billion, inclusive of the costs associated with lease stipulated improvements to the property. PGIM Real Estate has a one-year option to acquire an additional 9% stake in the venture at the same total gross property valuation of $2.6 billion. The Company received $484.2 million in cash proceeds from the sale. The partnership is seeking a modification to the mortgage on the property, which, if not obtained within six months after the closing, may result in the Company repurchasing the sold interest. The modification is expected to be granted during the fourth quarter of 2016.</w:t>
      </w:r>
    </w:p>
    <w:p>
      <w:pPr>
        <w:spacing w:after="0" w:line="10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July, the Company sold 500 West Putnam Avenue, a 121,500-square-foot office property located in Greenwich, Connecticut, for a gross sale price of $41.0 million, or $337 per square foot. The transaction closed in July and the Company recognized net proceeds of $39.5 million.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Debt and Preferred Equity Investment Activity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carrying value of the Company’s debt and preferred equity investment portfolio totaled $1.5 billion at September 30, 2016 at a weighted average current yield of 9.2%, excluding $0.3 billion of debt and preferred equity investments that are included in other balance sheet line items for accounting purposes. During the third quarter, the Company originated new debt and preferred equity investments totaling $472.0 million, of which $434.5 million was retained and $309.6 million was funded, at a weighted average current yield of 9.2%. During the third quarter, the Company recorded $239.3 million of principal reductions from investments that were repaid and sold/syndicated.</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Financing Activity</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September, the Company closed on $1.5 billion of construction financing for One Vanderbilt Avenue. The facility, which paves the way for the development of the 1,401 foot tower adjacent to Grand Central Terminal, was led by Wells Fargo Bank, N.A. as Administrative Agent, The Bank of New York Mellon, JP Morgan Chase Bank, TD Bank, N.A., and Bank of China, as Syndication Agents, and Landesbank Baden-Württemberg as Documentation Agent, has a term of up to 7 years and bears interest at a floating interest rate of 3.50% over LIBOR, with the ability to reduce the spread to as low as 3.00% upon achieving certain pre-leasing and completion milestones.</w:t>
      </w:r>
    </w:p>
    <w:p>
      <w:pPr>
        <w:spacing w:after="0" w:line="9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September, the Company closed on the expansion of its unsecured corporate credit facility by $250.0 million, to $2.783 billion. The term loan portion of the facility, which matures in June 2019, has been increased from $933.0 million to $1.183 billion while the revolving line of credit portion of the facility, which matures in March 2020, remains at $1.6 billion.</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July, the Company, along with its joint venture partner, closed on the refinancing of 650 Fifth Avenue. The $97.0 million facility has a 2-year term (subject to two 1-year extension</w:t>
      </w:r>
    </w:p>
    <w:p>
      <w:pPr>
        <w:sectPr>
          <w:pgSz w:w="11900" w:h="16838" w:orient="portrait"/>
          <w:cols w:equalWidth="0" w:num="1">
            <w:col w:w="11460"/>
          </w:cols>
          <w:pgMar w:left="220" w:top="324" w:right="219" w:bottom="1440" w:gutter="0" w:footer="0" w:header="0"/>
        </w:sectPr>
      </w:pPr>
    </w:p>
    <w:bookmarkStart w:id="9" w:name="page10"/>
    <w:bookmarkEnd w:id="9"/>
    <w:p>
      <w:pPr>
        <w:spacing w:after="0"/>
        <w:rPr>
          <w:sz w:val="20"/>
          <w:szCs w:val="20"/>
          <w:color w:val="auto"/>
        </w:rPr>
      </w:pPr>
      <w:r>
        <w:rPr>
          <w:rFonts w:ascii="Arial" w:cs="Arial" w:eastAsia="Arial" w:hAnsi="Arial"/>
          <w:sz w:val="17"/>
          <w:szCs w:val="17"/>
          <w:color w:val="auto"/>
        </w:rPr>
        <w:t>options), carries a floating interest rate of LIBOR plus 3.75%, and replaces the previous $65.0 million of indebtedness on the property.</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Dividends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color w:val="auto"/>
        </w:rPr>
        <w:t>During the third quarter of 2016, the Company declared quarterly dividends on its outstanding common and preferred stock as follows:</w:t>
      </w:r>
    </w:p>
    <w:p>
      <w:pPr>
        <w:spacing w:after="0" w:line="143" w:lineRule="exact"/>
        <w:rPr>
          <w:sz w:val="20"/>
          <w:szCs w:val="20"/>
          <w:color w:val="auto"/>
        </w:rPr>
      </w:pPr>
    </w:p>
    <w:p>
      <w:pPr>
        <w:ind w:left="540" w:hanging="270"/>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6"/>
          <w:szCs w:val="16"/>
          <w:color w:val="auto"/>
        </w:rPr>
        <w:t>$0.72 per share of common stock, which was paid on October 17, 2016 to shareholders of record on the close of business on September 30, 2016; and</w:t>
      </w:r>
    </w:p>
    <w:p>
      <w:pPr>
        <w:spacing w:after="0" w:line="154" w:lineRule="exact"/>
        <w:rPr>
          <w:rFonts w:ascii="Arial" w:cs="Arial" w:eastAsia="Arial" w:hAnsi="Arial"/>
          <w:sz w:val="14"/>
          <w:szCs w:val="14"/>
          <w:color w:val="auto"/>
        </w:rPr>
      </w:pPr>
    </w:p>
    <w:p>
      <w:pPr>
        <w:jc w:val="both"/>
        <w:ind w:left="540" w:hanging="270"/>
        <w:spacing w:after="0" w:line="271" w:lineRule="auto"/>
        <w:tabs>
          <w:tab w:leader="none" w:pos="540" w:val="left"/>
        </w:tabs>
        <w:numPr>
          <w:ilvl w:val="0"/>
          <w:numId w:val="8"/>
        </w:numPr>
        <w:rPr>
          <w:rFonts w:ascii="Arial" w:cs="Arial" w:eastAsia="Arial" w:hAnsi="Arial"/>
          <w:sz w:val="15"/>
          <w:szCs w:val="15"/>
          <w:color w:val="auto"/>
        </w:rPr>
      </w:pPr>
      <w:r>
        <w:rPr>
          <w:rFonts w:ascii="Arial" w:cs="Arial" w:eastAsia="Arial" w:hAnsi="Arial"/>
          <w:sz w:val="17"/>
          <w:szCs w:val="17"/>
          <w:color w:val="auto"/>
        </w:rPr>
        <w:t>$0.40625 per share on the Company's 6.50% Series I Cumulative Redeemable Preferred Stock for the period July 15, 2016 through and including October 14, 2016, which was paid on October 17, 2016 to shareholders of record on the close of business on September 30, 2016, and reflects the regular quarterly dividend, which is the equivalent of an annualized dividend of $1.625 per share.</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Annual Institutional Investor Conference</w:t>
      </w:r>
    </w:p>
    <w:p>
      <w:pPr>
        <w:spacing w:after="0" w:line="215" w:lineRule="exact"/>
        <w:rPr>
          <w:sz w:val="20"/>
          <w:szCs w:val="20"/>
          <w:color w:val="auto"/>
        </w:rPr>
      </w:pPr>
    </w:p>
    <w:p>
      <w:pPr>
        <w:ind w:right="640"/>
        <w:spacing w:after="0" w:line="287" w:lineRule="auto"/>
        <w:rPr>
          <w:sz w:val="20"/>
          <w:szCs w:val="20"/>
          <w:color w:val="auto"/>
        </w:rPr>
      </w:pPr>
      <w:r>
        <w:rPr>
          <w:rFonts w:ascii="Arial" w:cs="Arial" w:eastAsia="Arial" w:hAnsi="Arial"/>
          <w:sz w:val="17"/>
          <w:szCs w:val="17"/>
          <w:color w:val="auto"/>
        </w:rPr>
        <w:t>The Company will host its Annual Institutional Investor Conference on Monday, December 5, 2016 in New York City beginning at 9:00am EST. For more information on the Conference, please email SLG2016@slgreen.com .</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Conference Call and Audio Webcast</w:t>
      </w:r>
    </w:p>
    <w:p>
      <w:pPr>
        <w:spacing w:after="0" w:line="14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The Company's executive management team, led by Marc Holliday, Chief Executive Officer, will host a conference call and audio webcast on Thursday, October 20, 2016 at 2:00 pm ET to discuss the financial results.</w:t>
      </w:r>
    </w:p>
    <w:p>
      <w:pPr>
        <w:spacing w:after="0" w:line="79"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The supplemental data will be available prior to the quarterly conference call in the Investors section of the SL Green Realty Corp. website at </w:t>
      </w:r>
      <w:r>
        <w:rPr>
          <w:rFonts w:ascii="Arial" w:cs="Arial" w:eastAsia="Arial" w:hAnsi="Arial"/>
          <w:sz w:val="17"/>
          <w:szCs w:val="17"/>
          <w:color w:val="336699"/>
        </w:rPr>
        <w:t>http://slgreen.com/</w:t>
      </w:r>
      <w:r>
        <w:rPr>
          <w:rFonts w:ascii="Arial" w:cs="Arial" w:eastAsia="Arial" w:hAnsi="Arial"/>
          <w:sz w:val="17"/>
          <w:szCs w:val="17"/>
          <w:color w:val="auto"/>
        </w:rPr>
        <w:t xml:space="preserve"> under “Financial Reports.”</w:t>
      </w:r>
    </w:p>
    <w:p>
      <w:pPr>
        <w:spacing w:after="0" w:line="79" w:lineRule="exact"/>
        <w:rPr>
          <w:sz w:val="20"/>
          <w:szCs w:val="20"/>
          <w:color w:val="auto"/>
        </w:rPr>
      </w:pPr>
    </w:p>
    <w:p>
      <w:pPr>
        <w:spacing w:after="0" w:line="320" w:lineRule="auto"/>
        <w:rPr>
          <w:sz w:val="20"/>
          <w:szCs w:val="20"/>
          <w:color w:val="auto"/>
        </w:rPr>
      </w:pPr>
      <w:r>
        <w:rPr>
          <w:rFonts w:ascii="Arial" w:cs="Arial" w:eastAsia="Arial" w:hAnsi="Arial"/>
          <w:sz w:val="16"/>
          <w:szCs w:val="16"/>
          <w:color w:val="auto"/>
        </w:rPr>
        <w:t xml:space="preserve">The live conference call will be webcast in listen-only mode in the Investors section of the SL Green Realty Corp. website at </w:t>
      </w:r>
      <w:r>
        <w:rPr>
          <w:rFonts w:ascii="Arial" w:cs="Arial" w:eastAsia="Arial" w:hAnsi="Arial"/>
          <w:sz w:val="16"/>
          <w:szCs w:val="16"/>
          <w:color w:val="336699"/>
        </w:rPr>
        <w:t>http://slgreen.com/</w:t>
      </w:r>
      <w:r>
        <w:rPr>
          <w:rFonts w:ascii="Arial" w:cs="Arial" w:eastAsia="Arial" w:hAnsi="Arial"/>
          <w:sz w:val="16"/>
          <w:szCs w:val="16"/>
          <w:color w:val="auto"/>
        </w:rPr>
        <w:t xml:space="preserve"> under “Event Calendar &amp; Webcasts”. The conference may also be accessed by dialing toll-free (877) 312-8765 or international (419) 386-0002, and using passcode 85055428.</w:t>
      </w:r>
    </w:p>
    <w:p>
      <w:pPr>
        <w:spacing w:after="0" w:line="56" w:lineRule="exact"/>
        <w:rPr>
          <w:sz w:val="20"/>
          <w:szCs w:val="20"/>
          <w:color w:val="auto"/>
        </w:rPr>
      </w:pPr>
    </w:p>
    <w:p>
      <w:pPr>
        <w:spacing w:after="0" w:line="287" w:lineRule="auto"/>
        <w:rPr>
          <w:sz w:val="20"/>
          <w:szCs w:val="20"/>
          <w:color w:val="auto"/>
        </w:rPr>
      </w:pPr>
      <w:r>
        <w:rPr>
          <w:rFonts w:ascii="Arial" w:cs="Arial" w:eastAsia="Arial" w:hAnsi="Arial"/>
          <w:sz w:val="17"/>
          <w:szCs w:val="17"/>
          <w:color w:val="auto"/>
        </w:rPr>
        <w:t xml:space="preserve">A replay of the call will be available 7 days after the call by dialing (855) 859-2056 using pass-code 85055428. A webcast replay will also be available in the Investors section of the SL Green Realty Corp. website at </w:t>
      </w:r>
      <w:r>
        <w:rPr>
          <w:rFonts w:ascii="Arial" w:cs="Arial" w:eastAsia="Arial" w:hAnsi="Arial"/>
          <w:sz w:val="17"/>
          <w:szCs w:val="17"/>
          <w:color w:val="336699"/>
        </w:rPr>
        <w:t>http://slgreen.com/</w:t>
      </w:r>
      <w:r>
        <w:rPr>
          <w:rFonts w:ascii="Arial" w:cs="Arial" w:eastAsia="Arial" w:hAnsi="Arial"/>
          <w:sz w:val="17"/>
          <w:szCs w:val="17"/>
          <w:color w:val="auto"/>
        </w:rPr>
        <w:t xml:space="preserve"> under “Event Calendar &amp; Webcasts”.</w:t>
      </w:r>
    </w:p>
    <w:p>
      <w:pPr>
        <w:sectPr>
          <w:pgSz w:w="11900" w:h="16838" w:orient="portrait"/>
          <w:cols w:equalWidth="0" w:num="1">
            <w:col w:w="11460"/>
          </w:cols>
          <w:pgMar w:left="220" w:top="396" w:right="219" w:bottom="1440" w:gutter="0" w:footer="0" w:header="0"/>
        </w:sectPr>
      </w:pPr>
    </w:p>
    <w:bookmarkStart w:id="10" w:name="page11"/>
    <w:bookmarkEnd w:id="10"/>
    <w:p>
      <w:pPr>
        <w:spacing w:after="0"/>
        <w:rPr>
          <w:sz w:val="20"/>
          <w:szCs w:val="20"/>
          <w:color w:val="auto"/>
        </w:rPr>
      </w:pPr>
      <w:r>
        <w:rPr>
          <w:rFonts w:ascii="Arial" w:cs="Arial" w:eastAsia="Arial" w:hAnsi="Arial"/>
          <w:sz w:val="17"/>
          <w:szCs w:val="17"/>
          <w:b w:val="1"/>
          <w:bCs w:val="1"/>
          <w:u w:val="single" w:color="auto"/>
          <w:color w:val="auto"/>
        </w:rPr>
        <w:t>Company Profile</w:t>
      </w:r>
    </w:p>
    <w:p>
      <w:pPr>
        <w:spacing w:after="0" w:line="14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SL Green Realty Corp., an S&amp;P 500 company and New York City's largest office landlord, is a fully integrated real estate investment trust, or REIT, that is focused primarily on acquiring, managing and maximizing value of Manhattan commercial properties. As of September 30, 2016, SL Green held interests in 125 Manhattan buildings totaling 46.6 million square feet. This included ownership interests in 28.1 million square feet of commercial buildings and debt and preferred equity investments secured by 18.6 million square feet of buildings. In addition, SL Green held ownership interests in 30 suburban buildings totaling 4.8 million square feet in Brooklyn, Long Island, Westchester County, Connecticut and New Jersey.</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 xml:space="preserve">To be added to the Company's distribution list or to obtain the latest news releases and other Company information, please visit our website at </w:t>
      </w:r>
      <w:r>
        <w:rPr>
          <w:rFonts w:ascii="Arial" w:cs="Arial" w:eastAsia="Arial" w:hAnsi="Arial"/>
          <w:sz w:val="17"/>
          <w:szCs w:val="17"/>
          <w:color w:val="336699"/>
        </w:rPr>
        <w:t>www.slgreen.com</w:t>
      </w:r>
      <w:r>
        <w:rPr>
          <w:rFonts w:ascii="Arial" w:cs="Arial" w:eastAsia="Arial" w:hAnsi="Arial"/>
          <w:sz w:val="17"/>
          <w:szCs w:val="17"/>
          <w:color w:val="auto"/>
        </w:rPr>
        <w:t xml:space="preserve"> or contact Investor Relations at (212) 594-2700.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Disclaimers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Non-GAAP Financial Measures</w:t>
      </w:r>
    </w:p>
    <w:p>
      <w:pPr>
        <w:spacing w:after="0" w:line="26" w:lineRule="exact"/>
        <w:rPr>
          <w:sz w:val="20"/>
          <w:szCs w:val="20"/>
          <w:color w:val="auto"/>
        </w:rPr>
      </w:pPr>
    </w:p>
    <w:p>
      <w:pPr>
        <w:jc w:val="both"/>
        <w:spacing w:after="0" w:line="262" w:lineRule="auto"/>
        <w:rPr>
          <w:sz w:val="20"/>
          <w:szCs w:val="20"/>
          <w:color w:val="auto"/>
        </w:rPr>
      </w:pPr>
      <w:r>
        <w:rPr>
          <w:rFonts w:ascii="Arial" w:cs="Arial" w:eastAsia="Arial" w:hAnsi="Arial"/>
          <w:sz w:val="17"/>
          <w:szCs w:val="17"/>
          <w:i w:val="1"/>
          <w:iCs w:val="1"/>
          <w:color w:val="auto"/>
        </w:rPr>
        <w:t>During the quarterly conference call, the Company may discuss non-GAAP financial measures as defined by SEC Regulation G. In addition, the Company has used non-GAAP financial measures in this press release. A reconciliation of each non-GAAP financial measure and the comparable GAAP financial measure can be found in this release and in the Company’s Supplemental Package.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Forward-looking Statement</w:t>
      </w:r>
    </w:p>
    <w:p>
      <w:pPr>
        <w:spacing w:after="0" w:line="78" w:lineRule="exact"/>
        <w:rPr>
          <w:sz w:val="20"/>
          <w:szCs w:val="20"/>
          <w:color w:val="auto"/>
        </w:rPr>
      </w:pPr>
    </w:p>
    <w:p>
      <w:pPr>
        <w:jc w:val="both"/>
        <w:spacing w:after="0" w:line="261" w:lineRule="auto"/>
        <w:rPr>
          <w:sz w:val="20"/>
          <w:szCs w:val="20"/>
          <w:color w:val="auto"/>
        </w:rPr>
      </w:pPr>
      <w:r>
        <w:rPr>
          <w:rFonts w:ascii="Arial" w:cs="Arial" w:eastAsia="Arial" w:hAnsi="Arial"/>
          <w:sz w:val="17"/>
          <w:szCs w:val="17"/>
          <w:i w:val="1"/>
          <w:iCs w:val="1"/>
          <w:color w:val="auto"/>
        </w:rPr>
        <w:t>This press release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press release that address activities, events or developments that we expect, believe or anticipate will or may occur in the future, are forward-looking statements. Forward-looking statements are not guarantees of future performance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Forward-looking statements contained in this press release are subject to a number of risks and uncertainties, many of which are beyond our control, that may cause our actual results, performance or achievements to be materially different from future results, performance or achievements expressed or implied by forward-looking statements made by us. Factors and risks to our business that could cause actual results to differ from those contained in the forward-looking statements are described in our filings with the Securities and Exchange Commission. We undertake no obligation to publicly update or revise any forward-looking statements, whether as a result of future events, new information or otherwise.</w:t>
      </w:r>
    </w:p>
    <w:p>
      <w:pPr>
        <w:sectPr>
          <w:pgSz w:w="11900" w:h="16838" w:orient="portrait"/>
          <w:cols w:equalWidth="0" w:num="1">
            <w:col w:w="11460"/>
          </w:cols>
          <w:pgMar w:left="220" w:top="324" w:right="21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 and 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0" w:type="dxa"/>
            <w:vAlign w:val="bottom"/>
            <w:gridSpan w:val="5"/>
          </w:tcPr>
          <w:p>
            <w:pPr>
              <w:ind w:left="360"/>
              <w:spacing w:after="0"/>
              <w:rPr>
                <w:sz w:val="20"/>
                <w:szCs w:val="20"/>
                <w:color w:val="auto"/>
              </w:rPr>
            </w:pPr>
            <w:r>
              <w:rPr>
                <w:rFonts w:ascii="Arial" w:cs="Arial" w:eastAsia="Arial" w:hAnsi="Arial"/>
                <w:sz w:val="12"/>
                <w:szCs w:val="12"/>
                <w:b w:val="1"/>
                <w:bCs w:val="1"/>
                <w:color w:val="auto"/>
              </w:rPr>
              <w:t>Three Months Ended</w:t>
            </w:r>
          </w:p>
        </w:tc>
        <w:tc>
          <w:tcPr>
            <w:tcW w:w="240" w:type="dxa"/>
            <w:vAlign w:val="bottom"/>
          </w:tcPr>
          <w:p>
            <w:pPr>
              <w:spacing w:after="0"/>
              <w:rPr>
                <w:sz w:val="13"/>
                <w:szCs w:val="13"/>
                <w:color w:val="auto"/>
              </w:rPr>
            </w:pPr>
          </w:p>
        </w:tc>
        <w:tc>
          <w:tcPr>
            <w:tcW w:w="1900" w:type="dxa"/>
            <w:vAlign w:val="bottom"/>
            <w:gridSpan w:val="4"/>
          </w:tcPr>
          <w:p>
            <w:pPr>
              <w:jc w:val="right"/>
              <w:ind w:right="502"/>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7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September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rPr>
              <w:t>2016</w:t>
            </w: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2015</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342"/>
              <w:spacing w:after="0"/>
              <w:rPr>
                <w:sz w:val="20"/>
                <w:szCs w:val="20"/>
                <w:color w:val="auto"/>
              </w:rPr>
            </w:pPr>
            <w:r>
              <w:rPr>
                <w:rFonts w:ascii="Arial" w:cs="Arial" w:eastAsia="Arial" w:hAnsi="Arial"/>
                <w:sz w:val="12"/>
                <w:szCs w:val="12"/>
                <w:b w:val="1"/>
                <w:bCs w:val="1"/>
                <w:color w:val="auto"/>
                <w:w w:val="89"/>
              </w:rPr>
              <w:t>2015</w:t>
            </w:r>
          </w:p>
        </w:tc>
        <w:tc>
          <w:tcPr>
            <w:tcW w:w="0" w:type="dxa"/>
            <w:vAlign w:val="bottom"/>
          </w:tcPr>
          <w:p>
            <w:pPr>
              <w:spacing w:after="0"/>
              <w:rPr>
                <w:sz w:val="1"/>
                <w:szCs w:val="1"/>
                <w:color w:val="auto"/>
              </w:rPr>
            </w:pPr>
          </w:p>
        </w:tc>
      </w:tr>
      <w:tr>
        <w:trPr>
          <w:trHeight w:val="209"/>
        </w:trPr>
        <w:tc>
          <w:tcPr>
            <w:tcW w:w="6860" w:type="dxa"/>
            <w:vAlign w:val="bottom"/>
            <w:gridSpan w:val="3"/>
          </w:tcPr>
          <w:p>
            <w:pPr>
              <w:spacing w:after="0"/>
              <w:rPr>
                <w:sz w:val="20"/>
                <w:szCs w:val="20"/>
                <w:color w:val="auto"/>
              </w:rPr>
            </w:pPr>
            <w:r>
              <w:rPr>
                <w:rFonts w:ascii="Arial" w:cs="Arial" w:eastAsia="Arial" w:hAnsi="Arial"/>
                <w:sz w:val="12"/>
                <w:szCs w:val="12"/>
                <w:b w:val="1"/>
                <w:bCs w:val="1"/>
                <w:color w:val="auto"/>
              </w:rPr>
              <w:t>Revenues: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Rental revenue, net</w:t>
            </w:r>
          </w:p>
        </w:tc>
        <w:tc>
          <w:tcPr>
            <w:tcW w:w="240" w:type="dxa"/>
            <w:vAlign w:val="bottom"/>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281,482</w:t>
            </w:r>
          </w:p>
        </w:tc>
        <w:tc>
          <w:tcPr>
            <w:tcW w:w="120" w:type="dxa"/>
            <w:vAlign w:val="bottom"/>
          </w:tcPr>
          <w:p>
            <w:pPr>
              <w:spacing w:after="0"/>
              <w:rPr>
                <w:sz w:val="19"/>
                <w:szCs w:val="19"/>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318,465</w:t>
            </w:r>
          </w:p>
        </w:tc>
        <w:tc>
          <w:tcPr>
            <w:tcW w:w="220" w:type="dxa"/>
            <w:vAlign w:val="bottom"/>
          </w:tcPr>
          <w:p>
            <w:pPr>
              <w:spacing w:after="0"/>
              <w:rPr>
                <w:sz w:val="19"/>
                <w:szCs w:val="19"/>
                <w:color w:val="auto"/>
              </w:rPr>
            </w:pPr>
          </w:p>
        </w:tc>
        <w:tc>
          <w:tcPr>
            <w:tcW w:w="240" w:type="dxa"/>
            <w:vAlign w:val="bottom"/>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1,043,898</w:t>
            </w:r>
          </w:p>
        </w:tc>
        <w:tc>
          <w:tcPr>
            <w:tcW w:w="100" w:type="dxa"/>
            <w:vAlign w:val="bottom"/>
          </w:tcPr>
          <w:p>
            <w:pPr>
              <w:spacing w:after="0"/>
              <w:rPr>
                <w:sz w:val="19"/>
                <w:szCs w:val="19"/>
                <w:color w:val="auto"/>
              </w:rPr>
            </w:pPr>
          </w:p>
        </w:tc>
        <w:tc>
          <w:tcPr>
            <w:tcW w:w="360" w:type="dxa"/>
            <w:vAlign w:val="bottom"/>
          </w:tcPr>
          <w:p>
            <w:pPr>
              <w:jc w:val="right"/>
              <w:ind w:right="22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926,020</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Escalation and reimbursement</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53,130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48,254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147,357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130,630</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Investment income</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75,396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49,328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174,347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136,588</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Other income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6,673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16,019</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124,137</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44,201</w:t>
            </w:r>
          </w:p>
        </w:tc>
        <w:tc>
          <w:tcPr>
            <w:tcW w:w="0" w:type="dxa"/>
            <w:vAlign w:val="bottom"/>
          </w:tcPr>
          <w:p>
            <w:pPr>
              <w:spacing w:after="0"/>
              <w:rPr>
                <w:sz w:val="1"/>
                <w:szCs w:val="1"/>
                <w:color w:val="auto"/>
              </w:rPr>
            </w:pPr>
          </w:p>
        </w:tc>
      </w:tr>
      <w:tr>
        <w:trPr>
          <w:trHeight w:val="194"/>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Total revenues</w:t>
            </w:r>
          </w:p>
        </w:tc>
        <w:tc>
          <w:tcPr>
            <w:tcW w:w="24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416,681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432,066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1,489,739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1,237,439</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b w:val="1"/>
                <w:bCs w:val="1"/>
                <w:color w:val="auto"/>
              </w:rPr>
              <w:t>Expenses: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Operating expenses, including related party expenses of $5,042 and $15,171 in 2016 and $5,238 and $13,415 in 2015.</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79,425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78,648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234,269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225,539</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Real estate taxes</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64,133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61,009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187,931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173,018</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Ground rent</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8,338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8,252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24,953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24,526</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Interest expense, net of interest income</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72,565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84,141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256,326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235,694</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Amortization of deferred financing costs</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4,815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7,160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20,180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19,727</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112,665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146,185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717,015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454,087</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Transaction related costs</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2,593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5,829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5,987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10,039</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Marketing, general and administrative</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25,458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23,475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73,974</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72,139</w:t>
            </w:r>
          </w:p>
        </w:tc>
        <w:tc>
          <w:tcPr>
            <w:tcW w:w="0" w:type="dxa"/>
            <w:vAlign w:val="bottom"/>
          </w:tcPr>
          <w:p>
            <w:pPr>
              <w:spacing w:after="0"/>
              <w:rPr>
                <w:sz w:val="1"/>
                <w:szCs w:val="1"/>
                <w:color w:val="auto"/>
              </w:rPr>
            </w:pPr>
          </w:p>
        </w:tc>
      </w:tr>
      <w:tr>
        <w:trPr>
          <w:trHeight w:val="194"/>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Total expenses</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369,992</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414,699</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1,520,635</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1,214,769</w:t>
            </w:r>
          </w:p>
        </w:tc>
        <w:tc>
          <w:tcPr>
            <w:tcW w:w="0" w:type="dxa"/>
            <w:vAlign w:val="bottom"/>
          </w:tcPr>
          <w:p>
            <w:pPr>
              <w:spacing w:after="0"/>
              <w:rPr>
                <w:sz w:val="1"/>
                <w:szCs w:val="1"/>
                <w:color w:val="auto"/>
              </w:rPr>
            </w:pPr>
          </w:p>
        </w:tc>
      </w:tr>
      <w:tr>
        <w:trPr>
          <w:trHeight w:val="116"/>
        </w:trPr>
        <w:tc>
          <w:tcPr>
            <w:tcW w:w="6860" w:type="dxa"/>
            <w:vAlign w:val="bottom"/>
            <w:gridSpan w:val="3"/>
          </w:tcPr>
          <w:p>
            <w:pPr>
              <w:spacing w:after="0" w:line="116" w:lineRule="exact"/>
              <w:rPr>
                <w:sz w:val="20"/>
                <w:szCs w:val="20"/>
                <w:color w:val="auto"/>
              </w:rPr>
            </w:pPr>
            <w:r>
              <w:rPr>
                <w:rFonts w:ascii="Arial" w:cs="Arial" w:eastAsia="Arial" w:hAnsi="Arial"/>
                <w:sz w:val="12"/>
                <w:szCs w:val="12"/>
                <w:color w:val="auto"/>
                <w:w w:val="90"/>
              </w:rPr>
              <w:t>Income (loss) from continuing operations before equity in net income from unconsolidated joint ventures, equity in net gain on sale of interest in</w:t>
            </w:r>
          </w:p>
        </w:tc>
        <w:tc>
          <w:tcPr>
            <w:tcW w:w="240" w:type="dxa"/>
            <w:vAlign w:val="bottom"/>
          </w:tcPr>
          <w:p>
            <w:pPr>
              <w:spacing w:after="0"/>
              <w:rPr>
                <w:sz w:val="10"/>
                <w:szCs w:val="10"/>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46,689</w:t>
            </w: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vMerge w:val="restart"/>
          </w:tcPr>
          <w:p>
            <w:pPr>
              <w:jc w:val="right"/>
              <w:ind w:right="22"/>
              <w:spacing w:after="0"/>
              <w:rPr>
                <w:sz w:val="20"/>
                <w:szCs w:val="20"/>
                <w:color w:val="auto"/>
              </w:rPr>
            </w:pPr>
            <w:r>
              <w:rPr>
                <w:rFonts w:ascii="Arial" w:cs="Arial" w:eastAsia="Arial" w:hAnsi="Arial"/>
                <w:sz w:val="12"/>
                <w:szCs w:val="12"/>
                <w:b w:val="1"/>
                <w:bCs w:val="1"/>
                <w:color w:val="auto"/>
              </w:rPr>
              <w:t>(30,896)</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860" w:type="dxa"/>
            <w:vAlign w:val="bottom"/>
            <w:gridSpan w:val="3"/>
          </w:tcPr>
          <w:p>
            <w:pPr>
              <w:spacing w:after="0"/>
              <w:rPr>
                <w:sz w:val="20"/>
                <w:szCs w:val="20"/>
                <w:color w:val="auto"/>
              </w:rPr>
            </w:pPr>
            <w:r>
              <w:rPr>
                <w:rFonts w:ascii="Arial" w:cs="Arial" w:eastAsia="Arial" w:hAnsi="Arial"/>
                <w:sz w:val="12"/>
                <w:szCs w:val="12"/>
                <w:color w:val="auto"/>
                <w:w w:val="88"/>
              </w:rPr>
              <w:t>unconsolidated joint venture/real estate, gain on sale of real estate, loss on sale of marketable securities and loss on early extinguishment of debt</w:t>
            </w:r>
          </w:p>
        </w:tc>
        <w:tc>
          <w:tcPr>
            <w:tcW w:w="2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17,367</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22,670</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Equity in net (loss) income from unconsolidated joint ventures</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(3,968)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3,627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11,969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10,651</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Equity in net gain on sale of interest in unconsolidated joint venture/real estate</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225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15,281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43,588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16,050</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Gain on sale of real estate, net</w:t>
            </w:r>
          </w:p>
        </w:tc>
        <w:tc>
          <w:tcPr>
            <w:tcW w:w="240" w:type="dxa"/>
            <w:vAlign w:val="bottom"/>
          </w:tcPr>
          <w:p>
            <w:pPr>
              <w:spacing w:after="0"/>
              <w:rPr>
                <w:sz w:val="19"/>
                <w:szCs w:val="19"/>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397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159,704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210,750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159,704</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Depreciable real estate reserves</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9"/>
                <w:szCs w:val="19"/>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(19,226)</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(10,387)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(19,226)</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Loss on sale of marketable securities</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Loss on early extinguishment of debt</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(49)</w:t>
            </w:r>
          </w:p>
        </w:tc>
        <w:tc>
          <w:tcPr>
            <w:tcW w:w="0" w:type="dxa"/>
            <w:vAlign w:val="bottom"/>
          </w:tcPr>
          <w:p>
            <w:pPr>
              <w:spacing w:after="0"/>
              <w:rPr>
                <w:sz w:val="1"/>
                <w:szCs w:val="1"/>
                <w:color w:val="auto"/>
              </w:rPr>
            </w:pPr>
          </w:p>
        </w:tc>
      </w:tr>
      <w:tr>
        <w:trPr>
          <w:trHeight w:val="194"/>
        </w:trPr>
        <w:tc>
          <w:tcPr>
            <w:tcW w:w="6860" w:type="dxa"/>
            <w:vAlign w:val="bottom"/>
            <w:gridSpan w:val="3"/>
          </w:tcPr>
          <w:p>
            <w:pPr>
              <w:spacing w:after="0"/>
              <w:rPr>
                <w:sz w:val="20"/>
                <w:szCs w:val="20"/>
                <w:color w:val="auto"/>
              </w:rPr>
            </w:pPr>
            <w:r>
              <w:rPr>
                <w:rFonts w:ascii="Arial" w:cs="Arial" w:eastAsia="Arial" w:hAnsi="Arial"/>
                <w:sz w:val="12"/>
                <w:szCs w:val="12"/>
                <w:color w:val="auto"/>
              </w:rPr>
              <w:t>Income from continuing operations</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43,343</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176,753</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224,941</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189,800</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from discontinued operations</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427</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Gain on sale of discontinued operations</w:t>
            </w:r>
          </w:p>
        </w:tc>
        <w:tc>
          <w:tcPr>
            <w:tcW w:w="2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w:t>
            </w:r>
          </w:p>
        </w:tc>
        <w:tc>
          <w:tcPr>
            <w:tcW w:w="34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w:t>
            </w: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12,983</w:t>
            </w:r>
          </w:p>
        </w:tc>
        <w:tc>
          <w:tcPr>
            <w:tcW w:w="0" w:type="dxa"/>
            <w:vAlign w:val="bottom"/>
          </w:tcPr>
          <w:p>
            <w:pPr>
              <w:spacing w:after="0"/>
              <w:rPr>
                <w:sz w:val="1"/>
                <w:szCs w:val="1"/>
                <w:color w:val="auto"/>
              </w:rPr>
            </w:pPr>
          </w:p>
        </w:tc>
      </w:tr>
      <w:tr>
        <w:trPr>
          <w:trHeight w:val="194"/>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Net income</w:t>
            </w: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43,343</w:t>
            </w: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color w:val="auto"/>
              </w:rPr>
              <w:t>176,753</w:t>
            </w:r>
          </w:p>
        </w:tc>
        <w:tc>
          <w:tcPr>
            <w:tcW w:w="2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224,941</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color w:val="auto"/>
              </w:rPr>
              <w:t>203,210</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attributable to noncontrolling interests in the Operating Partnership</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(1,663)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(6,467)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(8,171)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(6,634)</w:t>
            </w:r>
          </w:p>
        </w:tc>
        <w:tc>
          <w:tcPr>
            <w:tcW w:w="0" w:type="dxa"/>
            <w:vAlign w:val="bottom"/>
          </w:tcPr>
          <w:p>
            <w:pPr>
              <w:spacing w:after="0"/>
              <w:rPr>
                <w:sz w:val="1"/>
                <w:szCs w:val="1"/>
                <w:color w:val="auto"/>
              </w:rPr>
            </w:pPr>
          </w:p>
        </w:tc>
      </w:tr>
      <w:tr>
        <w:trPr>
          <w:trHeight w:val="21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attributable to noncontrolling interests in other partnerships</w:t>
            </w:r>
          </w:p>
        </w:tc>
        <w:tc>
          <w:tcPr>
            <w:tcW w:w="24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2"/>
                <w:szCs w:val="12"/>
                <w:b w:val="1"/>
                <w:bCs w:val="1"/>
                <w:color w:val="auto"/>
              </w:rPr>
              <w:t>(836)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22"/>
              <w:spacing w:after="0"/>
              <w:rPr>
                <w:sz w:val="20"/>
                <w:szCs w:val="20"/>
                <w:color w:val="auto"/>
              </w:rPr>
            </w:pPr>
            <w:r>
              <w:rPr>
                <w:rFonts w:ascii="Arial" w:cs="Arial" w:eastAsia="Arial" w:hAnsi="Arial"/>
                <w:sz w:val="12"/>
                <w:szCs w:val="12"/>
                <w:color w:val="auto"/>
              </w:rPr>
              <w:t>(665)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2"/>
              <w:spacing w:after="0"/>
              <w:rPr>
                <w:sz w:val="20"/>
                <w:szCs w:val="20"/>
                <w:color w:val="auto"/>
              </w:rPr>
            </w:pPr>
            <w:r>
              <w:rPr>
                <w:rFonts w:ascii="Arial" w:cs="Arial" w:eastAsia="Arial" w:hAnsi="Arial"/>
                <w:sz w:val="12"/>
                <w:szCs w:val="12"/>
                <w:b w:val="1"/>
                <w:bCs w:val="1"/>
                <w:color w:val="auto"/>
              </w:rPr>
              <w:t>(6,245)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(13,217)</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Preferred unit distributions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(2,854)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(2,225)</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(8,382)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(4,316)</w:t>
            </w:r>
          </w:p>
        </w:tc>
        <w:tc>
          <w:tcPr>
            <w:tcW w:w="0" w:type="dxa"/>
            <w:vAlign w:val="bottom"/>
          </w:tcPr>
          <w:p>
            <w:pPr>
              <w:spacing w:after="0"/>
              <w:rPr>
                <w:sz w:val="1"/>
                <w:szCs w:val="1"/>
                <w:color w:val="auto"/>
              </w:rPr>
            </w:pPr>
          </w:p>
        </w:tc>
      </w:tr>
      <w:tr>
        <w:trPr>
          <w:trHeight w:val="194"/>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attributable to SL Green</w:t>
            </w:r>
          </w:p>
        </w:tc>
        <w:tc>
          <w:tcPr>
            <w:tcW w:w="24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2"/>
                <w:szCs w:val="12"/>
                <w:b w:val="1"/>
                <w:bCs w:val="1"/>
                <w:color w:val="auto"/>
              </w:rPr>
              <w:t>37,990</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167,396</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62"/>
              <w:spacing w:after="0"/>
              <w:rPr>
                <w:sz w:val="20"/>
                <w:szCs w:val="20"/>
                <w:color w:val="auto"/>
              </w:rPr>
            </w:pPr>
            <w:r>
              <w:rPr>
                <w:rFonts w:ascii="Arial" w:cs="Arial" w:eastAsia="Arial" w:hAnsi="Arial"/>
                <w:sz w:val="12"/>
                <w:szCs w:val="12"/>
                <w:b w:val="1"/>
                <w:bCs w:val="1"/>
                <w:color w:val="auto"/>
              </w:rPr>
              <w:t>202,143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179,043</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Perpetual preferred stock dividends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(3,738)</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(3,738)</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(11,213)</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(11,214)</w:t>
            </w:r>
          </w:p>
        </w:tc>
        <w:tc>
          <w:tcPr>
            <w:tcW w:w="0" w:type="dxa"/>
            <w:vAlign w:val="bottom"/>
          </w:tcPr>
          <w:p>
            <w:pPr>
              <w:spacing w:after="0"/>
              <w:rPr>
                <w:sz w:val="1"/>
                <w:szCs w:val="1"/>
                <w:color w:val="auto"/>
              </w:rPr>
            </w:pPr>
          </w:p>
        </w:tc>
      </w:tr>
      <w:tr>
        <w:trPr>
          <w:trHeight w:val="193"/>
        </w:trPr>
        <w:tc>
          <w:tcPr>
            <w:tcW w:w="6860" w:type="dxa"/>
            <w:vAlign w:val="bottom"/>
            <w:gridSpan w:val="3"/>
          </w:tcPr>
          <w:p>
            <w:pPr>
              <w:ind w:left="240"/>
              <w:spacing w:after="0"/>
              <w:rPr>
                <w:sz w:val="20"/>
                <w:szCs w:val="20"/>
                <w:color w:val="auto"/>
              </w:rPr>
            </w:pPr>
            <w:r>
              <w:rPr>
                <w:rFonts w:ascii="Arial" w:cs="Arial" w:eastAsia="Arial" w:hAnsi="Arial"/>
                <w:sz w:val="12"/>
                <w:szCs w:val="12"/>
                <w:color w:val="auto"/>
              </w:rPr>
              <w:t>Net income attributable to SL Green common stockholders</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34,252</w:t>
            </w:r>
          </w:p>
        </w:tc>
        <w:tc>
          <w:tcPr>
            <w:tcW w:w="120" w:type="dxa"/>
            <w:vAlign w:val="bottom"/>
          </w:tcPr>
          <w:p>
            <w:pPr>
              <w:spacing w:after="0"/>
              <w:rPr>
                <w:sz w:val="16"/>
                <w:szCs w:val="16"/>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163,658</w:t>
            </w:r>
          </w:p>
        </w:tc>
        <w:tc>
          <w:tcPr>
            <w:tcW w:w="220" w:type="dxa"/>
            <w:vAlign w:val="bottom"/>
          </w:tcPr>
          <w:p>
            <w:pPr>
              <w:spacing w:after="0"/>
              <w:rPr>
                <w:sz w:val="16"/>
                <w:szCs w:val="16"/>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190,930</w:t>
            </w:r>
          </w:p>
        </w:tc>
        <w:tc>
          <w:tcPr>
            <w:tcW w:w="100" w:type="dxa"/>
            <w:vAlign w:val="bottom"/>
          </w:tcPr>
          <w:p>
            <w:pPr>
              <w:spacing w:after="0"/>
              <w:rPr>
                <w:sz w:val="16"/>
                <w:szCs w:val="16"/>
                <w:color w:val="auto"/>
              </w:rPr>
            </w:pP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167,829</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Earnings Per Share (EPS)</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per share (Basic)</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0.34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1.64</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1.91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60" w:type="dxa"/>
            <w:vAlign w:val="bottom"/>
            <w:gridSpan w:val="3"/>
          </w:tcPr>
          <w:p>
            <w:pPr>
              <w:spacing w:after="0"/>
              <w:rPr>
                <w:sz w:val="20"/>
                <w:szCs w:val="20"/>
                <w:color w:val="auto"/>
              </w:rPr>
            </w:pPr>
            <w:r>
              <w:rPr>
                <w:rFonts w:ascii="Arial" w:cs="Arial" w:eastAsia="Arial" w:hAnsi="Arial"/>
                <w:sz w:val="12"/>
                <w:szCs w:val="12"/>
                <w:color w:val="auto"/>
              </w:rPr>
              <w:t>Net income per share (Diluted)</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0.34</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1.64</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1.90</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1.68</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Funds From Operations (FFO)</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6860" w:type="dxa"/>
            <w:vAlign w:val="bottom"/>
            <w:gridSpan w:val="3"/>
          </w:tcPr>
          <w:p>
            <w:pPr>
              <w:spacing w:after="0"/>
              <w:rPr>
                <w:sz w:val="20"/>
                <w:szCs w:val="20"/>
                <w:color w:val="auto"/>
              </w:rPr>
            </w:pPr>
            <w:r>
              <w:rPr>
                <w:rFonts w:ascii="Arial" w:cs="Arial" w:eastAsia="Arial" w:hAnsi="Arial"/>
                <w:sz w:val="12"/>
                <w:szCs w:val="12"/>
                <w:color w:val="auto"/>
              </w:rPr>
              <w:t>FFO per share (Basic)</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1.64</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1.66</w:t>
            </w:r>
          </w:p>
        </w:tc>
        <w:tc>
          <w:tcPr>
            <w:tcW w:w="220" w:type="dxa"/>
            <w:vAlign w:val="bottom"/>
          </w:tcPr>
          <w:p>
            <w:pPr>
              <w:spacing w:after="0"/>
              <w:rPr>
                <w:sz w:val="18"/>
                <w:szCs w:val="18"/>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6.89</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4.80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60" w:type="dxa"/>
            <w:vAlign w:val="bottom"/>
            <w:gridSpan w:val="3"/>
          </w:tcPr>
          <w:p>
            <w:pPr>
              <w:spacing w:after="0"/>
              <w:rPr>
                <w:sz w:val="20"/>
                <w:szCs w:val="20"/>
                <w:color w:val="auto"/>
              </w:rPr>
            </w:pPr>
            <w:r>
              <w:rPr>
                <w:rFonts w:ascii="Arial" w:cs="Arial" w:eastAsia="Arial" w:hAnsi="Arial"/>
                <w:sz w:val="12"/>
                <w:szCs w:val="12"/>
                <w:color w:val="auto"/>
              </w:rPr>
              <w:t>FFO per share (Diluted)</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1.63</w:t>
            </w:r>
          </w:p>
        </w:tc>
        <w:tc>
          <w:tcPr>
            <w:tcW w:w="120" w:type="dxa"/>
            <w:vAlign w:val="bottom"/>
          </w:tcPr>
          <w:p>
            <w:pPr>
              <w:spacing w:after="0"/>
              <w:rPr>
                <w:sz w:val="13"/>
                <w:szCs w:val="13"/>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1.65</w:t>
            </w:r>
          </w:p>
        </w:tc>
        <w:tc>
          <w:tcPr>
            <w:tcW w:w="220" w:type="dxa"/>
            <w:vAlign w:val="bottom"/>
          </w:tcPr>
          <w:p>
            <w:pPr>
              <w:spacing w:after="0"/>
              <w:rPr>
                <w:sz w:val="13"/>
                <w:szCs w:val="13"/>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6.86</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4.77</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Basic ownership interest</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100,233</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100,140</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REIT common shares for net income per share</w:t>
            </w: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99,621</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99,205</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partnership units held by noncontrolling interests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4,497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3,901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4,272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3,924</w:t>
            </w:r>
          </w:p>
        </w:tc>
        <w:tc>
          <w:tcPr>
            <w:tcW w:w="0" w:type="dxa"/>
            <w:vAlign w:val="bottom"/>
          </w:tcPr>
          <w:p>
            <w:pPr>
              <w:spacing w:after="0"/>
              <w:rPr>
                <w:sz w:val="1"/>
                <w:szCs w:val="1"/>
                <w:color w:val="auto"/>
              </w:rPr>
            </w:pPr>
          </w:p>
        </w:tc>
      </w:tr>
      <w:tr>
        <w:trPr>
          <w:trHeight w:val="193"/>
        </w:trPr>
        <w:tc>
          <w:tcPr>
            <w:tcW w:w="6860" w:type="dxa"/>
            <w:vAlign w:val="bottom"/>
            <w:gridSpan w:val="3"/>
          </w:tcPr>
          <w:p>
            <w:pPr>
              <w:spacing w:after="0"/>
              <w:rPr>
                <w:sz w:val="20"/>
                <w:szCs w:val="20"/>
                <w:color w:val="auto"/>
              </w:rPr>
            </w:pPr>
            <w:r>
              <w:rPr>
                <w:rFonts w:ascii="Arial" w:cs="Arial" w:eastAsia="Arial" w:hAnsi="Arial"/>
                <w:sz w:val="12"/>
                <w:szCs w:val="12"/>
                <w:color w:val="auto"/>
              </w:rPr>
              <w:t>Basic weighted average shares and units outstanding</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104,730</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103,522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104,412</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103,129</w:t>
            </w:r>
          </w:p>
        </w:tc>
        <w:tc>
          <w:tcPr>
            <w:tcW w:w="0" w:type="dxa"/>
            <w:vAlign w:val="bottom"/>
          </w:tcPr>
          <w:p>
            <w:pPr>
              <w:spacing w:after="0"/>
              <w:rPr>
                <w:sz w:val="1"/>
                <w:szCs w:val="1"/>
                <w:color w:val="auto"/>
              </w:rPr>
            </w:pPr>
          </w:p>
        </w:tc>
      </w:tr>
      <w:tr>
        <w:trPr>
          <w:trHeight w:val="20"/>
        </w:trPr>
        <w:tc>
          <w:tcPr>
            <w:tcW w:w="68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Diluted ownership interest</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6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20" w:type="dxa"/>
            <w:vAlign w:val="bottom"/>
            <w:gridSpan w:val="2"/>
            <w:shd w:val="clear" w:color="auto" w:fill="000000"/>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100,646</w:t>
            </w: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vMerge w:val="restart"/>
          </w:tcPr>
          <w:p>
            <w:pPr>
              <w:jc w:val="right"/>
              <w:ind w:right="62"/>
              <w:spacing w:after="0"/>
              <w:rPr>
                <w:sz w:val="20"/>
                <w:szCs w:val="20"/>
                <w:color w:val="auto"/>
              </w:rPr>
            </w:pPr>
            <w:r>
              <w:rPr>
                <w:rFonts w:ascii="Arial" w:cs="Arial" w:eastAsia="Arial" w:hAnsi="Arial"/>
                <w:sz w:val="12"/>
                <w:szCs w:val="12"/>
                <w:b w:val="1"/>
                <w:bCs w:val="1"/>
                <w:color w:val="auto"/>
              </w:rPr>
              <w:t>100,489</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REIT common share and common share equivalents</w:t>
            </w: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ind w:right="62"/>
              <w:spacing w:after="0"/>
              <w:rPr>
                <w:sz w:val="20"/>
                <w:szCs w:val="20"/>
                <w:color w:val="auto"/>
              </w:rPr>
            </w:pPr>
            <w:r>
              <w:rPr>
                <w:rFonts w:ascii="Arial" w:cs="Arial" w:eastAsia="Arial" w:hAnsi="Arial"/>
                <w:sz w:val="12"/>
                <w:szCs w:val="12"/>
                <w:color w:val="auto"/>
              </w:rPr>
              <w:t>100,028</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99,685</w:t>
            </w:r>
          </w:p>
        </w:tc>
        <w:tc>
          <w:tcPr>
            <w:tcW w:w="0" w:type="dxa"/>
            <w:vAlign w:val="bottom"/>
          </w:tcPr>
          <w:p>
            <w:pPr>
              <w:spacing w:after="0"/>
              <w:rPr>
                <w:sz w:val="1"/>
                <w:szCs w:val="1"/>
                <w:color w:val="auto"/>
              </w:rPr>
            </w:pPr>
          </w:p>
        </w:tc>
      </w:tr>
      <w:tr>
        <w:trPr>
          <w:trHeight w:val="223"/>
        </w:trPr>
        <w:tc>
          <w:tcPr>
            <w:tcW w:w="6860" w:type="dxa"/>
            <w:vAlign w:val="bottom"/>
            <w:gridSpan w:val="3"/>
          </w:tcPr>
          <w:p>
            <w:pPr>
              <w:spacing w:after="0"/>
              <w:rPr>
                <w:sz w:val="20"/>
                <w:szCs w:val="20"/>
                <w:color w:val="auto"/>
              </w:rPr>
            </w:pPr>
            <w:r>
              <w:rPr>
                <w:rFonts w:ascii="Arial" w:cs="Arial" w:eastAsia="Arial" w:hAnsi="Arial"/>
                <w:sz w:val="12"/>
                <w:szCs w:val="12"/>
                <w:color w:val="auto"/>
              </w:rPr>
              <w:t>Weighted average partnership units held by noncontrolling interests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4,497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3,901</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4,272</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3,924</w:t>
            </w:r>
          </w:p>
        </w:tc>
        <w:tc>
          <w:tcPr>
            <w:tcW w:w="0" w:type="dxa"/>
            <w:vAlign w:val="bottom"/>
          </w:tcPr>
          <w:p>
            <w:pPr>
              <w:spacing w:after="0"/>
              <w:rPr>
                <w:sz w:val="1"/>
                <w:szCs w:val="1"/>
                <w:color w:val="auto"/>
              </w:rPr>
            </w:pPr>
          </w:p>
        </w:tc>
      </w:tr>
      <w:tr>
        <w:trPr>
          <w:trHeight w:val="193"/>
        </w:trPr>
        <w:tc>
          <w:tcPr>
            <w:tcW w:w="6860" w:type="dxa"/>
            <w:vAlign w:val="bottom"/>
            <w:gridSpan w:val="3"/>
          </w:tcPr>
          <w:p>
            <w:pPr>
              <w:spacing w:after="0"/>
              <w:rPr>
                <w:sz w:val="20"/>
                <w:szCs w:val="20"/>
                <w:color w:val="auto"/>
              </w:rPr>
            </w:pPr>
            <w:r>
              <w:rPr>
                <w:rFonts w:ascii="Arial" w:cs="Arial" w:eastAsia="Arial" w:hAnsi="Arial"/>
                <w:sz w:val="12"/>
                <w:szCs w:val="12"/>
                <w:color w:val="auto"/>
              </w:rPr>
              <w:t>Diluted weighted average shares and units outstanding</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105,143</w:t>
            </w: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103,929</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104,761</w:t>
            </w: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103,609</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2" w:right="21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(in thousands,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7"/>
              </w:rPr>
              <w:t>September 30,</w:t>
            </w:r>
          </w:p>
        </w:tc>
        <w:tc>
          <w:tcPr>
            <w:tcW w:w="180" w:type="dxa"/>
            <w:vAlign w:val="bottom"/>
          </w:tcPr>
          <w:p>
            <w:pPr>
              <w:spacing w:after="0"/>
              <w:rPr>
                <w:sz w:val="13"/>
                <w:szCs w:val="13"/>
                <w:color w:val="auto"/>
              </w:rPr>
            </w:pPr>
          </w:p>
        </w:tc>
        <w:tc>
          <w:tcPr>
            <w:tcW w:w="1060" w:type="dxa"/>
            <w:vAlign w:val="bottom"/>
          </w:tcPr>
          <w:p>
            <w:pPr>
              <w:jc w:val="right"/>
              <w:ind w:right="222"/>
              <w:spacing w:after="0"/>
              <w:rPr>
                <w:sz w:val="20"/>
                <w:szCs w:val="20"/>
                <w:color w:val="auto"/>
              </w:rPr>
            </w:pPr>
            <w:r>
              <w:rPr>
                <w:rFonts w:ascii="Arial" w:cs="Arial" w:eastAsia="Arial" w:hAnsi="Arial"/>
                <w:sz w:val="12"/>
                <w:szCs w:val="12"/>
                <w:b w:val="1"/>
                <w:bCs w:val="1"/>
                <w:color w:val="auto"/>
                <w:w w:val="97"/>
              </w:rPr>
              <w:t>December 31,</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122"/>
              <w:spacing w:after="0"/>
              <w:rPr>
                <w:sz w:val="20"/>
                <w:szCs w:val="20"/>
                <w:color w:val="auto"/>
              </w:rPr>
            </w:pPr>
            <w:r>
              <w:rPr>
                <w:rFonts w:ascii="Arial" w:cs="Arial" w:eastAsia="Arial" w:hAnsi="Arial"/>
                <w:sz w:val="12"/>
                <w:szCs w:val="12"/>
                <w:b w:val="1"/>
                <w:bCs w:val="1"/>
                <w:color w:val="auto"/>
                <w:w w:val="89"/>
              </w:rPr>
              <w:t>2016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42"/>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05"/>
        </w:trPr>
        <w:tc>
          <w:tcPr>
            <w:tcW w:w="8700" w:type="dxa"/>
            <w:vAlign w:val="bottom"/>
          </w:tcPr>
          <w:p>
            <w:pPr>
              <w:spacing w:after="0"/>
              <w:rPr>
                <w:sz w:val="20"/>
                <w:szCs w:val="20"/>
                <w:color w:val="auto"/>
              </w:rPr>
            </w:pPr>
            <w:r>
              <w:rPr>
                <w:rFonts w:ascii="Arial" w:cs="Arial" w:eastAsia="Arial" w:hAnsi="Arial"/>
                <w:sz w:val="12"/>
                <w:szCs w:val="12"/>
                <w:b w:val="1"/>
                <w:bCs w:val="1"/>
                <w:color w:val="auto"/>
              </w:rPr>
              <w:t>Assets</w:t>
            </w:r>
          </w:p>
        </w:tc>
        <w:tc>
          <w:tcPr>
            <w:tcW w:w="180" w:type="dxa"/>
            <w:vAlign w:val="bottom"/>
          </w:tcPr>
          <w:p>
            <w:pPr>
              <w:spacing w:after="0"/>
              <w:rPr>
                <w:sz w:val="17"/>
                <w:szCs w:val="17"/>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89"/>
              </w:rPr>
              <w:t>(Unaudited)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Commercial real estate properties, at cost:</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Land and land interests</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3,347,482</w:t>
            </w:r>
          </w:p>
        </w:tc>
        <w:tc>
          <w:tcPr>
            <w:tcW w:w="220" w:type="dxa"/>
            <w:vAlign w:val="bottom"/>
          </w:tcPr>
          <w:p>
            <w:pPr>
              <w:spacing w:after="0"/>
              <w:rPr>
                <w:sz w:val="19"/>
                <w:szCs w:val="19"/>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4,779,159</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Building and improvements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7,777,647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10,423,739</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Building leasehold and improvements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1,436,287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1,431,259</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Properties under capital lease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47,445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47,445</w:t>
            </w:r>
          </w:p>
        </w:tc>
        <w:tc>
          <w:tcPr>
            <w:tcW w:w="0" w:type="dxa"/>
            <w:vAlign w:val="bottom"/>
          </w:tcPr>
          <w:p>
            <w:pPr>
              <w:spacing w:after="0"/>
              <w:rPr>
                <w:sz w:val="1"/>
                <w:szCs w:val="1"/>
                <w:color w:val="auto"/>
              </w:rPr>
            </w:pPr>
          </w:p>
        </w:tc>
      </w:tr>
      <w:tr>
        <w:trPr>
          <w:trHeight w:val="194"/>
        </w:trPr>
        <w:tc>
          <w:tcPr>
            <w:tcW w:w="8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12,608,861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16,681,602</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(2,190,142)</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(2,060,706)</w:t>
            </w:r>
          </w:p>
        </w:tc>
        <w:tc>
          <w:tcPr>
            <w:tcW w:w="0" w:type="dxa"/>
            <w:vAlign w:val="bottom"/>
          </w:tcPr>
          <w:p>
            <w:pPr>
              <w:spacing w:after="0"/>
              <w:rPr>
                <w:sz w:val="1"/>
                <w:szCs w:val="1"/>
                <w:color w:val="auto"/>
              </w:rPr>
            </w:pPr>
          </w:p>
        </w:tc>
      </w:tr>
      <w:tr>
        <w:trPr>
          <w:trHeight w:val="194"/>
        </w:trPr>
        <w:tc>
          <w:tcPr>
            <w:tcW w:w="8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10,418,719</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14,620,896</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Assets held for sale</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117,159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34,981</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405,896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255,399</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Restricted cash</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100,195</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233,578</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Investment in marketable securities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60,352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45,138</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Tenant and other receivables, net of allowance of $18,278 and $17,618 in 2016 and 2015, respectively</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55,976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63,491</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Related party receivables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14,840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10,650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rents receivable, net of allowance of $24,922 and $21,730 in 2016 and 2015, respectively</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430,642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498,776</w:t>
            </w:r>
          </w:p>
        </w:tc>
        <w:tc>
          <w:tcPr>
            <w:tcW w:w="0" w:type="dxa"/>
            <w:vAlign w:val="bottom"/>
          </w:tcPr>
          <w:p>
            <w:pPr>
              <w:spacing w:after="0"/>
              <w:rPr>
                <w:sz w:val="1"/>
                <w:szCs w:val="1"/>
                <w:color w:val="auto"/>
              </w:rPr>
            </w:pPr>
          </w:p>
        </w:tc>
      </w:tr>
      <w:tr>
        <w:trPr>
          <w:trHeight w:val="136"/>
        </w:trPr>
        <w:tc>
          <w:tcPr>
            <w:tcW w:w="8700" w:type="dxa"/>
            <w:vAlign w:val="bottom"/>
          </w:tcPr>
          <w:p>
            <w:pPr>
              <w:spacing w:after="0" w:line="137" w:lineRule="exact"/>
              <w:rPr>
                <w:sz w:val="20"/>
                <w:szCs w:val="20"/>
                <w:color w:val="auto"/>
              </w:rPr>
            </w:pPr>
            <w:r>
              <w:rPr>
                <w:rFonts w:ascii="Arial" w:cs="Arial" w:eastAsia="Arial" w:hAnsi="Arial"/>
                <w:sz w:val="12"/>
                <w:szCs w:val="12"/>
                <w:color w:val="auto"/>
              </w:rPr>
              <w:t>Debt and preferred equity investments, net of discounts and deferred origination fees of $14,630 and $18,759 in 2016 and</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00" w:type="dxa"/>
            <w:vAlign w:val="bottom"/>
          </w:tcPr>
          <w:p>
            <w:pPr>
              <w:ind w:left="120"/>
              <w:spacing w:after="0"/>
              <w:rPr>
                <w:sz w:val="20"/>
                <w:szCs w:val="20"/>
                <w:color w:val="auto"/>
              </w:rPr>
            </w:pPr>
            <w:r>
              <w:rPr>
                <w:rFonts w:ascii="Arial" w:cs="Arial" w:eastAsia="Arial" w:hAnsi="Arial"/>
                <w:sz w:val="12"/>
                <w:szCs w:val="12"/>
                <w:color w:val="auto"/>
              </w:rPr>
              <w:t>2015, respectively</w:t>
            </w:r>
          </w:p>
        </w:tc>
        <w:tc>
          <w:tcPr>
            <w:tcW w:w="180" w:type="dxa"/>
            <w:vAlign w:val="bottom"/>
          </w:tcPr>
          <w:p>
            <w:pPr>
              <w:spacing w:after="0"/>
              <w:rPr>
                <w:sz w:val="12"/>
                <w:szCs w:val="12"/>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1,453,234</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1,670,020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Investments in unconsolidated joint ventures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1,860,912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1,203,858</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costs, net</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252,179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239,920</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Other assets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620,838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850,939</w:t>
            </w:r>
          </w:p>
        </w:tc>
        <w:tc>
          <w:tcPr>
            <w:tcW w:w="0" w:type="dxa"/>
            <w:vAlign w:val="bottom"/>
          </w:tcPr>
          <w:p>
            <w:pPr>
              <w:spacing w:after="0"/>
              <w:rPr>
                <w:sz w:val="1"/>
                <w:szCs w:val="1"/>
                <w:color w:val="auto"/>
              </w:rPr>
            </w:pPr>
          </w:p>
        </w:tc>
      </w:tr>
      <w:tr>
        <w:trPr>
          <w:trHeight w:val="193"/>
        </w:trPr>
        <w:tc>
          <w:tcPr>
            <w:tcW w:w="8700" w:type="dxa"/>
            <w:vAlign w:val="bottom"/>
          </w:tcPr>
          <w:p>
            <w:pPr>
              <w:ind w:left="240"/>
              <w:spacing w:after="0"/>
              <w:rPr>
                <w:sz w:val="20"/>
                <w:szCs w:val="20"/>
                <w:color w:val="auto"/>
              </w:rPr>
            </w:pPr>
            <w:r>
              <w:rPr>
                <w:rFonts w:ascii="Arial" w:cs="Arial" w:eastAsia="Arial" w:hAnsi="Arial"/>
                <w:sz w:val="12"/>
                <w:szCs w:val="12"/>
                <w:color w:val="auto"/>
              </w:rPr>
              <w:t>Total assets</w:t>
            </w: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15,790,942</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19,727,646</w:t>
            </w:r>
          </w:p>
        </w:tc>
        <w:tc>
          <w:tcPr>
            <w:tcW w:w="0" w:type="dxa"/>
            <w:vAlign w:val="bottom"/>
          </w:tcPr>
          <w:p>
            <w:pPr>
              <w:spacing w:after="0"/>
              <w:rPr>
                <w:sz w:val="1"/>
                <w:szCs w:val="1"/>
                <w:color w:val="auto"/>
              </w:rPr>
            </w:pPr>
          </w:p>
        </w:tc>
      </w:tr>
      <w:tr>
        <w:trPr>
          <w:trHeight w:val="20"/>
        </w:trPr>
        <w:tc>
          <w:tcPr>
            <w:tcW w:w="8700" w:type="dxa"/>
            <w:vAlign w:val="bottom"/>
            <w:vMerge w:val="restart"/>
          </w:tcPr>
          <w:p>
            <w:pPr>
              <w:spacing w:after="0"/>
              <w:rPr>
                <w:sz w:val="20"/>
                <w:szCs w:val="20"/>
                <w:color w:val="auto"/>
              </w:rPr>
            </w:pPr>
            <w:r>
              <w:rPr>
                <w:rFonts w:ascii="Arial" w:cs="Arial" w:eastAsia="Arial" w:hAnsi="Arial"/>
                <w:sz w:val="12"/>
                <w:szCs w:val="12"/>
                <w:b w:val="1"/>
                <w:bCs w:val="1"/>
                <w:color w:val="auto"/>
              </w:rPr>
              <w:t>Liabilities</w:t>
            </w: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87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Mortgages and other loans payable</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4,024,896</w:t>
            </w:r>
          </w:p>
        </w:tc>
        <w:tc>
          <w:tcPr>
            <w:tcW w:w="220" w:type="dxa"/>
            <w:vAlign w:val="bottom"/>
          </w:tcPr>
          <w:p>
            <w:pPr>
              <w:spacing w:after="0"/>
              <w:rPr>
                <w:sz w:val="19"/>
                <w:szCs w:val="19"/>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6,992,504</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Revolving credit facility</w:t>
            </w:r>
          </w:p>
        </w:tc>
        <w:tc>
          <w:tcPr>
            <w:tcW w:w="180" w:type="dxa"/>
            <w:vAlign w:val="bottom"/>
          </w:tcPr>
          <w:p>
            <w:pPr>
              <w:spacing w:after="0"/>
              <w:rPr>
                <w:sz w:val="19"/>
                <w:szCs w:val="19"/>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994,000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Term loan and senior unsecured notes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2,313,616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2,319,244</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Deferred financing costs, net</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(87,591)</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(130,295)</w:t>
            </w:r>
          </w:p>
        </w:tc>
        <w:tc>
          <w:tcPr>
            <w:tcW w:w="0" w:type="dxa"/>
            <w:vAlign w:val="bottom"/>
          </w:tcPr>
          <w:p>
            <w:pPr>
              <w:spacing w:after="0"/>
              <w:rPr>
                <w:sz w:val="1"/>
                <w:szCs w:val="1"/>
                <w:color w:val="auto"/>
              </w:rPr>
            </w:pPr>
          </w:p>
        </w:tc>
      </w:tr>
      <w:tr>
        <w:trPr>
          <w:trHeight w:val="194"/>
        </w:trPr>
        <w:tc>
          <w:tcPr>
            <w:tcW w:w="8700" w:type="dxa"/>
            <w:vAlign w:val="bottom"/>
          </w:tcPr>
          <w:p>
            <w:pPr>
              <w:spacing w:after="0"/>
              <w:rPr>
                <w:sz w:val="20"/>
                <w:szCs w:val="20"/>
                <w:color w:val="auto"/>
              </w:rPr>
            </w:pPr>
            <w:r>
              <w:rPr>
                <w:rFonts w:ascii="Arial" w:cs="Arial" w:eastAsia="Arial" w:hAnsi="Arial"/>
                <w:sz w:val="12"/>
                <w:szCs w:val="12"/>
                <w:color w:val="auto"/>
              </w:rPr>
              <w:t>Total debt, net of deferred financing costs</w:t>
            </w: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6,250,921</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10,175,453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Accrued interest payable</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30,734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42,406</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Other liabilities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218,404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168,477</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Accounts payable and accrued expenses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178,946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196,213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revenue</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237,548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399,102</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Capitalized lease obligations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41,951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41,360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Deferred land leases payable</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2,419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1,783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Dividend and distributions payable</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81,392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79,790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Security deposits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67,709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68,023</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Liabilities related to assets held for sale</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65,520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29,000</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Junior subordinate deferrable interest debentures held by trusts that issued trust preferred securities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100,000</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100,000</w:t>
            </w:r>
          </w:p>
        </w:tc>
        <w:tc>
          <w:tcPr>
            <w:tcW w:w="0" w:type="dxa"/>
            <w:vAlign w:val="bottom"/>
          </w:tcPr>
          <w:p>
            <w:pPr>
              <w:spacing w:after="0"/>
              <w:rPr>
                <w:sz w:val="1"/>
                <w:szCs w:val="1"/>
                <w:color w:val="auto"/>
              </w:rPr>
            </w:pPr>
          </w:p>
        </w:tc>
      </w:tr>
      <w:tr>
        <w:trPr>
          <w:trHeight w:val="194"/>
        </w:trPr>
        <w:tc>
          <w:tcPr>
            <w:tcW w:w="8700" w:type="dxa"/>
            <w:vAlign w:val="bottom"/>
          </w:tcPr>
          <w:p>
            <w:pPr>
              <w:ind w:left="240"/>
              <w:spacing w:after="0"/>
              <w:rPr>
                <w:sz w:val="20"/>
                <w:szCs w:val="20"/>
                <w:color w:val="auto"/>
              </w:rPr>
            </w:pPr>
            <w:r>
              <w:rPr>
                <w:rFonts w:ascii="Arial" w:cs="Arial" w:eastAsia="Arial" w:hAnsi="Arial"/>
                <w:sz w:val="12"/>
                <w:szCs w:val="12"/>
                <w:color w:val="auto"/>
              </w:rPr>
              <w:t>Total liabilities</w:t>
            </w: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7,275,544</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11,301,607</w:t>
            </w:r>
          </w:p>
        </w:tc>
        <w:tc>
          <w:tcPr>
            <w:tcW w:w="0" w:type="dxa"/>
            <w:vAlign w:val="bottom"/>
          </w:tcPr>
          <w:p>
            <w:pPr>
              <w:spacing w:after="0"/>
              <w:rPr>
                <w:sz w:val="1"/>
                <w:szCs w:val="1"/>
                <w:color w:val="auto"/>
              </w:rPr>
            </w:pPr>
          </w:p>
        </w:tc>
      </w:tr>
      <w:tr>
        <w:trPr>
          <w:trHeight w:val="350"/>
        </w:trPr>
        <w:tc>
          <w:tcPr>
            <w:tcW w:w="8700" w:type="dxa"/>
            <w:vAlign w:val="bottom"/>
          </w:tcPr>
          <w:p>
            <w:pPr>
              <w:spacing w:after="0"/>
              <w:rPr>
                <w:sz w:val="20"/>
                <w:szCs w:val="20"/>
                <w:color w:val="auto"/>
              </w:rPr>
            </w:pPr>
            <w:r>
              <w:rPr>
                <w:rFonts w:ascii="Arial" w:cs="Arial" w:eastAsia="Arial" w:hAnsi="Arial"/>
                <w:sz w:val="12"/>
                <w:szCs w:val="12"/>
                <w:color w:val="auto"/>
              </w:rPr>
              <w:t>Commitments and contingencies</w:t>
            </w:r>
          </w:p>
        </w:tc>
        <w:tc>
          <w:tcPr>
            <w:tcW w:w="180" w:type="dxa"/>
            <w:vAlign w:val="bottom"/>
          </w:tcPr>
          <w:p>
            <w:pPr>
              <w:spacing w:after="0"/>
              <w:rPr>
                <w:sz w:val="24"/>
                <w:szCs w:val="24"/>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24"/>
                <w:szCs w:val="24"/>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Noncontrolling interest in the Operating Partnership</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490,440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424,206</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Preferred units</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302,310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282,516</w:t>
            </w:r>
          </w:p>
        </w:tc>
        <w:tc>
          <w:tcPr>
            <w:tcW w:w="0" w:type="dxa"/>
            <w:vAlign w:val="bottom"/>
          </w:tcPr>
          <w:p>
            <w:pPr>
              <w:spacing w:after="0"/>
              <w:rPr>
                <w:sz w:val="1"/>
                <w:szCs w:val="1"/>
                <w:color w:val="auto"/>
              </w:rPr>
            </w:pPr>
          </w:p>
        </w:tc>
      </w:tr>
      <w:tr>
        <w:trPr>
          <w:trHeight w:val="350"/>
        </w:trPr>
        <w:tc>
          <w:tcPr>
            <w:tcW w:w="8700" w:type="dxa"/>
            <w:vAlign w:val="bottom"/>
          </w:tcPr>
          <w:p>
            <w:pPr>
              <w:spacing w:after="0"/>
              <w:rPr>
                <w:sz w:val="20"/>
                <w:szCs w:val="20"/>
                <w:color w:val="auto"/>
              </w:rPr>
            </w:pPr>
            <w:r>
              <w:rPr>
                <w:rFonts w:ascii="Arial" w:cs="Arial" w:eastAsia="Arial" w:hAnsi="Arial"/>
                <w:sz w:val="12"/>
                <w:szCs w:val="12"/>
                <w:b w:val="1"/>
                <w:bCs w:val="1"/>
                <w:color w:val="auto"/>
              </w:rPr>
              <w:t>Equity</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Stockholders’ equity:</w:t>
            </w: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Series I Preferred Stock, $0.01 par value, $25.00 liquidation preference, 9,200 issued and outstanding at both September 30, 2016 and December 31, 2015</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221,932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221,932</w:t>
            </w:r>
          </w:p>
        </w:tc>
        <w:tc>
          <w:tcPr>
            <w:tcW w:w="0" w:type="dxa"/>
            <w:vAlign w:val="bottom"/>
          </w:tcPr>
          <w:p>
            <w:pPr>
              <w:spacing w:after="0"/>
              <w:rPr>
                <w:sz w:val="1"/>
                <w:szCs w:val="1"/>
                <w:color w:val="auto"/>
              </w:rPr>
            </w:pPr>
          </w:p>
        </w:tc>
      </w:tr>
      <w:tr>
        <w:trPr>
          <w:trHeight w:val="136"/>
        </w:trPr>
        <w:tc>
          <w:tcPr>
            <w:tcW w:w="8700" w:type="dxa"/>
            <w:vAlign w:val="bottom"/>
          </w:tcPr>
          <w:p>
            <w:pPr>
              <w:spacing w:after="0" w:line="137" w:lineRule="exact"/>
              <w:rPr>
                <w:sz w:val="20"/>
                <w:szCs w:val="20"/>
                <w:color w:val="auto"/>
              </w:rPr>
            </w:pPr>
            <w:r>
              <w:rPr>
                <w:rFonts w:ascii="Arial" w:cs="Arial" w:eastAsia="Arial" w:hAnsi="Arial"/>
                <w:sz w:val="12"/>
                <w:szCs w:val="12"/>
                <w:color w:val="auto"/>
                <w:w w:val="88"/>
              </w:rPr>
              <w:t>Common stock, $0.01 par value 160,000 shares authorized, 101,319 and 100,063 issued and outstanding at September 30, 2016 and December 31, 2015, respectively (including 1,055</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700" w:type="dxa"/>
            <w:vAlign w:val="bottom"/>
          </w:tcPr>
          <w:p>
            <w:pPr>
              <w:spacing w:after="0"/>
              <w:rPr>
                <w:sz w:val="20"/>
                <w:szCs w:val="20"/>
                <w:color w:val="auto"/>
              </w:rPr>
            </w:pPr>
            <w:r>
              <w:rPr>
                <w:rFonts w:ascii="Arial" w:cs="Arial" w:eastAsia="Arial" w:hAnsi="Arial"/>
                <w:sz w:val="12"/>
                <w:szCs w:val="12"/>
                <w:color w:val="auto"/>
              </w:rPr>
              <w:t>and 87 shares held in Treasury at September 30, 2016 and December 31, 2015, respectively)</w:t>
            </w:r>
          </w:p>
        </w:tc>
        <w:tc>
          <w:tcPr>
            <w:tcW w:w="180" w:type="dxa"/>
            <w:vAlign w:val="bottom"/>
          </w:tcPr>
          <w:p>
            <w:pPr>
              <w:spacing w:after="0"/>
              <w:rPr>
                <w:sz w:val="12"/>
                <w:szCs w:val="12"/>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1,013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1,001</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Additional paid-in capital</w:t>
            </w:r>
          </w:p>
        </w:tc>
        <w:tc>
          <w:tcPr>
            <w:tcW w:w="180" w:type="dxa"/>
            <w:vAlign w:val="bottom"/>
          </w:tcPr>
          <w:p>
            <w:pPr>
              <w:spacing w:after="0"/>
              <w:rPr>
                <w:sz w:val="19"/>
                <w:szCs w:val="19"/>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5,596,026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5,439,735</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Treasury stock at cost</w:t>
            </w:r>
          </w:p>
        </w:tc>
        <w:tc>
          <w:tcPr>
            <w:tcW w:w="18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(124,049)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(10,000)</w:t>
            </w:r>
          </w:p>
        </w:tc>
        <w:tc>
          <w:tcPr>
            <w:tcW w:w="0" w:type="dxa"/>
            <w:vAlign w:val="bottom"/>
          </w:tcPr>
          <w:p>
            <w:pPr>
              <w:spacing w:after="0"/>
              <w:rPr>
                <w:sz w:val="1"/>
                <w:szCs w:val="1"/>
                <w:color w:val="auto"/>
              </w:rPr>
            </w:pPr>
          </w:p>
        </w:tc>
      </w:tr>
      <w:tr>
        <w:trPr>
          <w:trHeight w:val="219"/>
        </w:trPr>
        <w:tc>
          <w:tcPr>
            <w:tcW w:w="8700" w:type="dxa"/>
            <w:vAlign w:val="bottom"/>
          </w:tcPr>
          <w:p>
            <w:pPr>
              <w:spacing w:after="0"/>
              <w:rPr>
                <w:sz w:val="20"/>
                <w:szCs w:val="20"/>
                <w:color w:val="auto"/>
              </w:rPr>
            </w:pPr>
            <w:r>
              <w:rPr>
                <w:rFonts w:ascii="Arial" w:cs="Arial" w:eastAsia="Arial" w:hAnsi="Arial"/>
                <w:sz w:val="12"/>
                <w:szCs w:val="12"/>
                <w:color w:val="auto"/>
              </w:rPr>
              <w:t>Accumulated other comprehensive loss</w:t>
            </w:r>
          </w:p>
        </w:tc>
        <w:tc>
          <w:tcPr>
            <w:tcW w:w="180" w:type="dxa"/>
            <w:vAlign w:val="bottom"/>
          </w:tcPr>
          <w:p>
            <w:pPr>
              <w:spacing w:after="0"/>
              <w:rPr>
                <w:sz w:val="19"/>
                <w:szCs w:val="19"/>
                <w:color w:val="auto"/>
              </w:rPr>
            </w:pPr>
          </w:p>
        </w:tc>
        <w:tc>
          <w:tcPr>
            <w:tcW w:w="1100" w:type="dxa"/>
            <w:vAlign w:val="bottom"/>
          </w:tcPr>
          <w:p>
            <w:pPr>
              <w:jc w:val="right"/>
              <w:ind w:right="22"/>
              <w:spacing w:after="0"/>
              <w:rPr>
                <w:sz w:val="20"/>
                <w:szCs w:val="20"/>
                <w:color w:val="auto"/>
              </w:rPr>
            </w:pPr>
            <w:r>
              <w:rPr>
                <w:rFonts w:ascii="Arial" w:cs="Arial" w:eastAsia="Arial" w:hAnsi="Arial"/>
                <w:sz w:val="12"/>
                <w:szCs w:val="12"/>
                <w:color w:val="auto"/>
              </w:rPr>
              <w:t>(14,074)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Arial" w:cs="Arial" w:eastAsia="Arial" w:hAnsi="Arial"/>
                <w:sz w:val="12"/>
                <w:szCs w:val="12"/>
                <w:color w:val="auto"/>
              </w:rPr>
              <w:t>(8,749)</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Retained earnings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1,612,707</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1,643,546</w:t>
            </w:r>
          </w:p>
        </w:tc>
        <w:tc>
          <w:tcPr>
            <w:tcW w:w="0" w:type="dxa"/>
            <w:vAlign w:val="bottom"/>
          </w:tcPr>
          <w:p>
            <w:pPr>
              <w:spacing w:after="0"/>
              <w:rPr>
                <w:sz w:val="1"/>
                <w:szCs w:val="1"/>
                <w:color w:val="auto"/>
              </w:rPr>
            </w:pPr>
          </w:p>
        </w:tc>
      </w:tr>
      <w:tr>
        <w:trPr>
          <w:trHeight w:val="194"/>
        </w:trPr>
        <w:tc>
          <w:tcPr>
            <w:tcW w:w="8700" w:type="dxa"/>
            <w:vAlign w:val="bottom"/>
          </w:tcPr>
          <w:p>
            <w:pPr>
              <w:spacing w:after="0"/>
              <w:rPr>
                <w:sz w:val="20"/>
                <w:szCs w:val="20"/>
                <w:color w:val="auto"/>
              </w:rPr>
            </w:pPr>
            <w:r>
              <w:rPr>
                <w:rFonts w:ascii="Arial" w:cs="Arial" w:eastAsia="Arial" w:hAnsi="Arial"/>
                <w:sz w:val="12"/>
                <w:szCs w:val="12"/>
                <w:color w:val="auto"/>
              </w:rPr>
              <w:t>Total SL Green Realty Corp. stockholders’ equity</w:t>
            </w:r>
          </w:p>
        </w:tc>
        <w:tc>
          <w:tcPr>
            <w:tcW w:w="180" w:type="dxa"/>
            <w:vAlign w:val="bottom"/>
          </w:tcPr>
          <w:p>
            <w:pPr>
              <w:spacing w:after="0"/>
              <w:rPr>
                <w:sz w:val="16"/>
                <w:szCs w:val="16"/>
                <w:color w:val="auto"/>
              </w:rPr>
            </w:pPr>
          </w:p>
        </w:tc>
        <w:tc>
          <w:tcPr>
            <w:tcW w:w="1100" w:type="dxa"/>
            <w:vAlign w:val="bottom"/>
          </w:tcPr>
          <w:p>
            <w:pPr>
              <w:jc w:val="right"/>
              <w:ind w:right="62"/>
              <w:spacing w:after="0"/>
              <w:rPr>
                <w:sz w:val="20"/>
                <w:szCs w:val="20"/>
                <w:color w:val="auto"/>
              </w:rPr>
            </w:pPr>
            <w:r>
              <w:rPr>
                <w:rFonts w:ascii="Arial" w:cs="Arial" w:eastAsia="Arial" w:hAnsi="Arial"/>
                <w:sz w:val="12"/>
                <w:szCs w:val="12"/>
                <w:color w:val="auto"/>
              </w:rPr>
              <w:t>7,293,555</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ind w:right="42"/>
              <w:spacing w:after="0"/>
              <w:rPr>
                <w:sz w:val="20"/>
                <w:szCs w:val="20"/>
                <w:color w:val="auto"/>
              </w:rPr>
            </w:pPr>
            <w:r>
              <w:rPr>
                <w:rFonts w:ascii="Arial" w:cs="Arial" w:eastAsia="Arial" w:hAnsi="Arial"/>
                <w:sz w:val="12"/>
                <w:szCs w:val="12"/>
                <w:color w:val="auto"/>
              </w:rPr>
              <w:t>7,287,465</w:t>
            </w:r>
          </w:p>
        </w:tc>
        <w:tc>
          <w:tcPr>
            <w:tcW w:w="0" w:type="dxa"/>
            <w:vAlign w:val="bottom"/>
          </w:tcPr>
          <w:p>
            <w:pPr>
              <w:spacing w:after="0"/>
              <w:rPr>
                <w:sz w:val="1"/>
                <w:szCs w:val="1"/>
                <w:color w:val="auto"/>
              </w:rPr>
            </w:pPr>
          </w:p>
        </w:tc>
      </w:tr>
      <w:tr>
        <w:trPr>
          <w:trHeight w:val="223"/>
        </w:trPr>
        <w:tc>
          <w:tcPr>
            <w:tcW w:w="8700" w:type="dxa"/>
            <w:vAlign w:val="bottom"/>
          </w:tcPr>
          <w:p>
            <w:pPr>
              <w:spacing w:after="0"/>
              <w:rPr>
                <w:sz w:val="20"/>
                <w:szCs w:val="20"/>
                <w:color w:val="auto"/>
              </w:rPr>
            </w:pPr>
            <w:r>
              <w:rPr>
                <w:rFonts w:ascii="Arial" w:cs="Arial" w:eastAsia="Arial" w:hAnsi="Arial"/>
                <w:sz w:val="12"/>
                <w:szCs w:val="12"/>
                <w:color w:val="auto"/>
              </w:rPr>
              <w:t>Noncontrolling interests in other partnerships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429,093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431,852</w:t>
            </w:r>
          </w:p>
        </w:tc>
        <w:tc>
          <w:tcPr>
            <w:tcW w:w="0" w:type="dxa"/>
            <w:vAlign w:val="bottom"/>
          </w:tcPr>
          <w:p>
            <w:pPr>
              <w:spacing w:after="0"/>
              <w:rPr>
                <w:sz w:val="1"/>
                <w:szCs w:val="1"/>
                <w:color w:val="auto"/>
              </w:rPr>
            </w:pPr>
          </w:p>
        </w:tc>
      </w:tr>
      <w:tr>
        <w:trPr>
          <w:trHeight w:val="199"/>
        </w:trPr>
        <w:tc>
          <w:tcPr>
            <w:tcW w:w="8700" w:type="dxa"/>
            <w:vAlign w:val="bottom"/>
          </w:tcPr>
          <w:p>
            <w:pPr>
              <w:ind w:left="240"/>
              <w:spacing w:after="0"/>
              <w:rPr>
                <w:sz w:val="20"/>
                <w:szCs w:val="20"/>
                <w:color w:val="auto"/>
              </w:rPr>
            </w:pPr>
            <w:r>
              <w:rPr>
                <w:rFonts w:ascii="Arial" w:cs="Arial" w:eastAsia="Arial" w:hAnsi="Arial"/>
                <w:sz w:val="12"/>
                <w:szCs w:val="12"/>
                <w:color w:val="auto"/>
              </w:rPr>
              <w:t>Total equity</w:t>
            </w: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7,722,648</w:t>
            </w: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7,719,317</w:t>
            </w:r>
          </w:p>
        </w:tc>
        <w:tc>
          <w:tcPr>
            <w:tcW w:w="0" w:type="dxa"/>
            <w:vAlign w:val="bottom"/>
          </w:tcPr>
          <w:p>
            <w:pPr>
              <w:spacing w:after="0"/>
              <w:rPr>
                <w:sz w:val="1"/>
                <w:szCs w:val="1"/>
                <w:color w:val="auto"/>
              </w:rPr>
            </w:pPr>
          </w:p>
        </w:tc>
      </w:tr>
      <w:tr>
        <w:trPr>
          <w:trHeight w:val="193"/>
        </w:trPr>
        <w:tc>
          <w:tcPr>
            <w:tcW w:w="8700" w:type="dxa"/>
            <w:vAlign w:val="bottom"/>
          </w:tcPr>
          <w:p>
            <w:pPr>
              <w:spacing w:after="0"/>
              <w:rPr>
                <w:sz w:val="20"/>
                <w:szCs w:val="20"/>
                <w:color w:val="auto"/>
              </w:rPr>
            </w:pPr>
            <w:r>
              <w:rPr>
                <w:rFonts w:ascii="Arial" w:cs="Arial" w:eastAsia="Arial" w:hAnsi="Arial"/>
                <w:sz w:val="12"/>
                <w:szCs w:val="12"/>
                <w:color w:val="auto"/>
              </w:rPr>
              <w:t>Total liabilities and equity</w:t>
            </w: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1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15,790,942</w:t>
            </w:r>
          </w:p>
        </w:tc>
        <w:tc>
          <w:tcPr>
            <w:tcW w:w="220" w:type="dxa"/>
            <w:vAlign w:val="bottom"/>
          </w:tcPr>
          <w:p>
            <w:pPr>
              <w:spacing w:after="0"/>
              <w:rPr>
                <w:sz w:val="16"/>
                <w:szCs w:val="16"/>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10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19,727,646</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40"/>
          </w:cols>
          <w:pgMar w:left="240" w:top="322" w:right="21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RECONCILIATION OF NON-GAAP FINANCIAL MEASURES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 and in thousands,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Three Months Ended</w:t>
            </w:r>
          </w:p>
        </w:tc>
        <w:tc>
          <w:tcPr>
            <w:tcW w:w="680" w:type="dxa"/>
            <w:vAlign w:val="bottom"/>
          </w:tcPr>
          <w:p>
            <w:pPr>
              <w:spacing w:after="0"/>
              <w:rPr>
                <w:sz w:val="13"/>
                <w:szCs w:val="13"/>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2"/>
                <w:szCs w:val="12"/>
                <w:b w:val="1"/>
                <w:bCs w:val="1"/>
                <w:color w:val="auto"/>
              </w:rPr>
              <w:t>September 30,</w:t>
            </w:r>
          </w:p>
        </w:tc>
        <w:tc>
          <w:tcPr>
            <w:tcW w:w="680" w:type="dxa"/>
            <w:vAlign w:val="bottom"/>
            <w:tcBorders>
              <w:bottom w:val="single" w:sz="8" w:color="auto"/>
            </w:tcBorders>
          </w:tcPr>
          <w:p>
            <w:pPr>
              <w:spacing w:after="0"/>
              <w:rPr>
                <w:sz w:val="19"/>
                <w:szCs w:val="19"/>
                <w:color w:val="auto"/>
              </w:rPr>
            </w:pPr>
          </w:p>
        </w:tc>
      </w:tr>
      <w:tr>
        <w:trPr>
          <w:trHeight w:val="205"/>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82"/>
              </w:rPr>
              <w:t>2015</w:t>
            </w:r>
          </w:p>
        </w:tc>
      </w:tr>
      <w:tr>
        <w:trPr>
          <w:trHeight w:val="186"/>
        </w:trPr>
        <w:tc>
          <w:tcPr>
            <w:tcW w:w="7720" w:type="dxa"/>
            <w:vAlign w:val="bottom"/>
            <w:gridSpan w:val="4"/>
          </w:tcPr>
          <w:p>
            <w:pPr>
              <w:spacing w:after="0"/>
              <w:rPr>
                <w:sz w:val="20"/>
                <w:szCs w:val="20"/>
                <w:color w:val="auto"/>
              </w:rPr>
            </w:pPr>
            <w:r>
              <w:rPr>
                <w:rFonts w:ascii="Arial" w:cs="Arial" w:eastAsia="Arial" w:hAnsi="Arial"/>
                <w:sz w:val="12"/>
                <w:szCs w:val="12"/>
                <w:b w:val="1"/>
                <w:bCs w:val="1"/>
                <w:color w:val="auto"/>
              </w:rPr>
              <w:t>FFO Reconciliation:</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7720" w:type="dxa"/>
            <w:vAlign w:val="bottom"/>
            <w:gridSpan w:val="4"/>
          </w:tcPr>
          <w:p>
            <w:pPr>
              <w:spacing w:after="0"/>
              <w:rPr>
                <w:sz w:val="20"/>
                <w:szCs w:val="20"/>
                <w:color w:val="auto"/>
              </w:rPr>
            </w:pPr>
            <w:r>
              <w:rPr>
                <w:rFonts w:ascii="Arial" w:cs="Arial" w:eastAsia="Arial" w:hAnsi="Arial"/>
                <w:sz w:val="12"/>
                <w:szCs w:val="12"/>
                <w:color w:val="auto"/>
              </w:rPr>
              <w:t>Net income attributable to SL Green common stockholders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34,252</w:t>
            </w:r>
          </w:p>
        </w:tc>
        <w:tc>
          <w:tcPr>
            <w:tcW w:w="200" w:type="dxa"/>
            <w:vAlign w:val="bottom"/>
          </w:tcPr>
          <w:p>
            <w:pPr>
              <w:spacing w:after="0"/>
              <w:rPr>
                <w:sz w:val="19"/>
                <w:szCs w:val="19"/>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163,658</w:t>
            </w:r>
          </w:p>
        </w:tc>
      </w:tr>
      <w:tr>
        <w:trPr>
          <w:trHeight w:val="195"/>
        </w:trPr>
        <w:tc>
          <w:tcPr>
            <w:tcW w:w="7720" w:type="dxa"/>
            <w:vAlign w:val="bottom"/>
            <w:gridSpan w:val="4"/>
          </w:tcPr>
          <w:p>
            <w:pPr>
              <w:spacing w:after="0"/>
              <w:rPr>
                <w:sz w:val="20"/>
                <w:szCs w:val="20"/>
                <w:color w:val="auto"/>
              </w:rPr>
            </w:pPr>
            <w:r>
              <w:rPr>
                <w:rFonts w:ascii="Arial" w:cs="Arial" w:eastAsia="Arial" w:hAnsi="Arial"/>
                <w:sz w:val="12"/>
                <w:szCs w:val="12"/>
                <w:color w:val="auto"/>
              </w:rPr>
              <w:t>Add: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112,665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146,185</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Joint venture depreciation and noncontrolling interest adjustments</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23,349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10,796</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Net income attributable to noncontrolling interests</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2,499</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7,132</w:t>
            </w:r>
          </w:p>
        </w:tc>
      </w:tr>
      <w:tr>
        <w:trPr>
          <w:trHeight w:val="195"/>
        </w:trPr>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3"/>
              </w:rPr>
              <w:t>Less:</w:t>
            </w:r>
          </w:p>
        </w:tc>
        <w:tc>
          <w:tcPr>
            <w:tcW w:w="74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Gain on sale of real estate and discontinued operations, net</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397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159,704</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Equity in net gain on sale of interest in unconsolidated joint venture/real estate</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225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15,281</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Depreciable real estate reserve</w:t>
            </w:r>
          </w:p>
        </w:tc>
        <w:tc>
          <w:tcPr>
            <w:tcW w:w="280" w:type="dxa"/>
            <w:vAlign w:val="bottom"/>
          </w:tcPr>
          <w:p>
            <w:pPr>
              <w:spacing w:after="0"/>
              <w:rPr>
                <w:sz w:val="19"/>
                <w:szCs w:val="19"/>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(19,226)</w:t>
            </w:r>
          </w:p>
        </w:tc>
      </w:tr>
      <w:tr>
        <w:trPr>
          <w:trHeight w:val="223"/>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Depreciation on non-rental real estate assets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509</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500</w:t>
            </w:r>
          </w:p>
        </w:tc>
      </w:tr>
      <w:tr>
        <w:trPr>
          <w:trHeight w:val="171"/>
        </w:trPr>
        <w:tc>
          <w:tcPr>
            <w:tcW w:w="7720" w:type="dxa"/>
            <w:vAlign w:val="bottom"/>
            <w:gridSpan w:val="4"/>
          </w:tcPr>
          <w:p>
            <w:pPr>
              <w:spacing w:after="0"/>
              <w:rPr>
                <w:sz w:val="20"/>
                <w:szCs w:val="20"/>
                <w:color w:val="auto"/>
              </w:rPr>
            </w:pPr>
            <w:r>
              <w:rPr>
                <w:rFonts w:ascii="Arial" w:cs="Arial" w:eastAsia="Arial" w:hAnsi="Arial"/>
                <w:sz w:val="12"/>
                <w:szCs w:val="12"/>
                <w:b w:val="1"/>
                <w:bCs w:val="1"/>
                <w:color w:val="auto"/>
              </w:rPr>
              <w:t>Funds From Operations attributable to SL Green common stockholders and noncontrolling interests</w:t>
            </w: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171,634</w:t>
            </w: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171,512</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182"/>
              <w:spacing w:after="0"/>
              <w:rPr>
                <w:sz w:val="20"/>
                <w:szCs w:val="20"/>
                <w:color w:val="auto"/>
              </w:rPr>
            </w:pPr>
            <w:r>
              <w:rPr>
                <w:rFonts w:ascii="Arial" w:cs="Arial" w:eastAsia="Arial" w:hAnsi="Arial"/>
                <w:sz w:val="12"/>
                <w:szCs w:val="12"/>
                <w:b w:val="1"/>
                <w:bCs w:val="1"/>
                <w:color w:val="auto"/>
                <w:w w:val="86"/>
              </w:rPr>
              <w:t>Consolidated Properties</w:t>
            </w:r>
          </w:p>
        </w:tc>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right="2"/>
              <w:spacing w:after="0"/>
              <w:rPr>
                <w:sz w:val="20"/>
                <w:szCs w:val="20"/>
                <w:color w:val="auto"/>
              </w:rPr>
            </w:pPr>
            <w:r>
              <w:rPr>
                <w:rFonts w:ascii="Arial" w:cs="Arial" w:eastAsia="Arial" w:hAnsi="Arial"/>
                <w:sz w:val="12"/>
                <w:szCs w:val="12"/>
                <w:b w:val="1"/>
                <w:bCs w:val="1"/>
                <w:color w:val="auto"/>
                <w:w w:val="87"/>
              </w:rPr>
              <w:t>Unconsolidated Joint Ventures (100%)</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center"/>
              <w:ind w:right="1240"/>
              <w:spacing w:after="0"/>
              <w:rPr>
                <w:sz w:val="20"/>
                <w:szCs w:val="20"/>
                <w:color w:val="auto"/>
              </w:rPr>
            </w:pPr>
            <w:r>
              <w:rPr>
                <w:rFonts w:ascii="Arial" w:cs="Arial" w:eastAsia="Arial" w:hAnsi="Arial"/>
                <w:sz w:val="12"/>
                <w:szCs w:val="12"/>
                <w:b w:val="1"/>
                <w:bCs w:val="1"/>
                <w:color w:val="auto"/>
                <w:w w:val="89"/>
              </w:rPr>
              <w:t>Three Months Ended</w:t>
            </w:r>
          </w:p>
        </w:tc>
        <w:tc>
          <w:tcPr>
            <w:tcW w:w="80" w:type="dxa"/>
            <w:vAlign w:val="bottom"/>
          </w:tcPr>
          <w:p>
            <w:pPr>
              <w:spacing w:after="0"/>
              <w:rPr>
                <w:sz w:val="16"/>
                <w:szCs w:val="16"/>
                <w:color w:val="auto"/>
              </w:rPr>
            </w:pPr>
          </w:p>
        </w:tc>
        <w:tc>
          <w:tcPr>
            <w:tcW w:w="2020" w:type="dxa"/>
            <w:vAlign w:val="bottom"/>
            <w:gridSpan w:val="4"/>
          </w:tcPr>
          <w:p>
            <w:pPr>
              <w:jc w:val="center"/>
              <w:ind w:right="22"/>
              <w:spacing w:after="0"/>
              <w:rPr>
                <w:sz w:val="20"/>
                <w:szCs w:val="20"/>
                <w:color w:val="auto"/>
              </w:rPr>
            </w:pPr>
            <w:r>
              <w:rPr>
                <w:rFonts w:ascii="Arial" w:cs="Arial" w:eastAsia="Arial" w:hAnsi="Arial"/>
                <w:sz w:val="12"/>
                <w:szCs w:val="12"/>
                <w:b w:val="1"/>
                <w:bCs w:val="1"/>
                <w:color w:val="auto"/>
                <w:w w:val="89"/>
              </w:rPr>
              <w:t>Three Months Ended</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2"/>
                <w:szCs w:val="12"/>
                <w:b w:val="1"/>
                <w:bCs w:val="1"/>
                <w:color w:val="auto"/>
                <w:w w:val="87"/>
              </w:rPr>
              <w:t>September 30,</w:t>
            </w:r>
          </w:p>
        </w:tc>
        <w:tc>
          <w:tcPr>
            <w:tcW w:w="68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2"/>
                <w:szCs w:val="12"/>
                <w:b w:val="1"/>
                <w:bCs w:val="1"/>
                <w:color w:val="auto"/>
                <w:w w:val="87"/>
              </w:rPr>
              <w:t>September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Operating income and Same-store NOI Reconciliation:</w:t>
            </w: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42"/>
              <w:spacing w:after="0"/>
              <w:rPr>
                <w:sz w:val="20"/>
                <w:szCs w:val="20"/>
                <w:color w:val="auto"/>
              </w:rPr>
            </w:pPr>
            <w:r>
              <w:rPr>
                <w:rFonts w:ascii="Arial" w:cs="Arial" w:eastAsia="Arial" w:hAnsi="Arial"/>
                <w:sz w:val="12"/>
                <w:szCs w:val="12"/>
                <w:b w:val="1"/>
                <w:bCs w:val="1"/>
                <w:color w:val="auto"/>
                <w:w w:val="97"/>
              </w:rPr>
              <w:t>2015</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32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322"/>
              <w:spacing w:after="0"/>
              <w:rPr>
                <w:sz w:val="20"/>
                <w:szCs w:val="20"/>
                <w:color w:val="auto"/>
              </w:rPr>
            </w:pPr>
            <w:r>
              <w:rPr>
                <w:rFonts w:ascii="Arial" w:cs="Arial" w:eastAsia="Arial" w:hAnsi="Arial"/>
                <w:sz w:val="12"/>
                <w:szCs w:val="12"/>
                <w:b w:val="1"/>
                <w:bCs w:val="1"/>
                <w:color w:val="auto"/>
                <w:w w:val="97"/>
              </w:rPr>
              <w:t>2015</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2"/>
                <w:szCs w:val="12"/>
                <w:color w:val="auto"/>
                <w:w w:val="97"/>
              </w:rPr>
              <w:t>Income (loss) from continuing operations before equity in net income from unconsolidated joint</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880" w:type="dxa"/>
            <w:vAlign w:val="bottom"/>
            <w:gridSpan w:val="2"/>
          </w:tcPr>
          <w:p>
            <w:pPr>
              <w:spacing w:after="0" w:line="121" w:lineRule="exact"/>
              <w:rPr>
                <w:sz w:val="20"/>
                <w:szCs w:val="20"/>
                <w:color w:val="auto"/>
              </w:rPr>
            </w:pPr>
            <w:r>
              <w:rPr>
                <w:rFonts w:ascii="Arial" w:cs="Arial" w:eastAsia="Arial" w:hAnsi="Arial"/>
                <w:sz w:val="12"/>
                <w:szCs w:val="12"/>
                <w:color w:val="auto"/>
                <w:w w:val="88"/>
              </w:rPr>
              <w:t>ventures, equity in net gain on sale of interest in unconsolidated joint venture/real estate, gain on sale of</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rPr>
                <w:sz w:val="20"/>
                <w:szCs w:val="20"/>
                <w:color w:val="auto"/>
              </w:rPr>
            </w:pPr>
            <w:r>
              <w:rPr>
                <w:rFonts w:ascii="Arial" w:cs="Arial" w:eastAsia="Arial" w:hAnsi="Arial"/>
                <w:sz w:val="12"/>
                <w:szCs w:val="12"/>
                <w:color w:val="auto"/>
              </w:rPr>
              <w:t>real estate, loss on sale of marketable securities and loss on early extinguishment of debt</w:t>
            </w: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46,689</w:t>
            </w:r>
          </w:p>
        </w:tc>
        <w:tc>
          <w:tcPr>
            <w:tcW w:w="100" w:type="dxa"/>
            <w:vAlign w:val="bottom"/>
          </w:tcPr>
          <w:p>
            <w:pPr>
              <w:spacing w:after="0"/>
              <w:rPr>
                <w:sz w:val="12"/>
                <w:szCs w:val="12"/>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17,367</w:t>
            </w:r>
          </w:p>
        </w:tc>
        <w:tc>
          <w:tcPr>
            <w:tcW w:w="10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(6,255)</w:t>
            </w:r>
          </w:p>
        </w:tc>
        <w:tc>
          <w:tcPr>
            <w:tcW w:w="100" w:type="dxa"/>
            <w:vAlign w:val="bottom"/>
          </w:tcPr>
          <w:p>
            <w:pPr>
              <w:spacing w:after="0"/>
              <w:rPr>
                <w:sz w:val="12"/>
                <w:szCs w:val="12"/>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1,169</w:t>
            </w:r>
          </w:p>
        </w:tc>
        <w:tc>
          <w:tcPr>
            <w:tcW w:w="0" w:type="dxa"/>
            <w:vAlign w:val="bottom"/>
          </w:tcPr>
          <w:p>
            <w:pPr>
              <w:spacing w:after="0"/>
              <w:rPr>
                <w:sz w:val="1"/>
                <w:szCs w:val="1"/>
                <w:color w:val="auto"/>
              </w:rPr>
            </w:pPr>
          </w:p>
        </w:tc>
      </w:tr>
      <w:tr>
        <w:trPr>
          <w:trHeight w:val="404"/>
        </w:trPr>
        <w:tc>
          <w:tcPr>
            <w:tcW w:w="48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4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(3,968)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3,627</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112,665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146,185</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56,890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38,144</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Interest expense, net of interest income</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72,565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84,141</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51,789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51,430</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Amortization of deferred financing costs</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4,815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7,160</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7,155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3,473</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1700" w:type="dxa"/>
            <w:vAlign w:val="bottom"/>
            <w:gridSpan w:val="2"/>
          </w:tcPr>
          <w:p>
            <w:pPr>
              <w:jc w:val="right"/>
              <w:ind w:right="1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193"/>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Operating income</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232,766</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258,480</w:t>
            </w:r>
          </w:p>
        </w:tc>
        <w:tc>
          <w:tcPr>
            <w:tcW w:w="10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109,579</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93,968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880" w:type="dxa"/>
            <w:vAlign w:val="bottom"/>
            <w:gridSpan w:val="2"/>
          </w:tcPr>
          <w:p>
            <w:pPr>
              <w:spacing w:after="0"/>
              <w:rPr>
                <w:sz w:val="20"/>
                <w:szCs w:val="20"/>
                <w:color w:val="auto"/>
              </w:rPr>
            </w:pPr>
            <w:r>
              <w:rPr>
                <w:rFonts w:ascii="Arial" w:cs="Arial" w:eastAsia="Arial" w:hAnsi="Arial"/>
                <w:sz w:val="12"/>
                <w:szCs w:val="12"/>
                <w:color w:val="auto"/>
              </w:rPr>
              <w:t>Marketing, general and administrative expense</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25,458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23,475</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Net operating income from discontinued operations</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1700" w:type="dxa"/>
            <w:vAlign w:val="bottom"/>
            <w:gridSpan w:val="2"/>
          </w:tcPr>
          <w:p>
            <w:pPr>
              <w:jc w:val="right"/>
              <w:ind w:right="1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Transaction related costs, net</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2,593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5,829</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5,359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604</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Non-building revenue</w:t>
            </w:r>
          </w:p>
        </w:tc>
        <w:tc>
          <w:tcPr>
            <w:tcW w:w="24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(77,962)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(55,707)</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(8,990)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(2,990)</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3,968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(3,627)</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1120"/>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(248)</w:t>
            </w:r>
          </w:p>
        </w:tc>
        <w:tc>
          <w:tcPr>
            <w:tcW w:w="0" w:type="dxa"/>
            <w:vAlign w:val="bottom"/>
          </w:tcPr>
          <w:p>
            <w:pPr>
              <w:spacing w:after="0"/>
              <w:rPr>
                <w:sz w:val="1"/>
                <w:szCs w:val="1"/>
                <w:color w:val="auto"/>
              </w:rPr>
            </w:pPr>
          </w:p>
        </w:tc>
      </w:tr>
      <w:tr>
        <w:trPr>
          <w:trHeight w:val="205"/>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Net operating income (NOI)</w:t>
            </w:r>
          </w:p>
        </w:tc>
        <w:tc>
          <w:tcPr>
            <w:tcW w:w="240" w:type="dxa"/>
            <w:vAlign w:val="bottom"/>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Pr>
          <w:p>
            <w:pPr>
              <w:jc w:val="right"/>
              <w:ind w:right="62"/>
              <w:spacing w:after="0"/>
              <w:rPr>
                <w:sz w:val="20"/>
                <w:szCs w:val="20"/>
                <w:color w:val="auto"/>
              </w:rPr>
            </w:pPr>
            <w:r>
              <w:rPr>
                <w:rFonts w:ascii="Arial" w:cs="Arial" w:eastAsia="Arial" w:hAnsi="Arial"/>
                <w:sz w:val="12"/>
                <w:szCs w:val="12"/>
                <w:b w:val="1"/>
                <w:bCs w:val="1"/>
                <w:color w:val="auto"/>
              </w:rPr>
              <w:t>186,823</w:t>
            </w:r>
          </w:p>
        </w:tc>
        <w:tc>
          <w:tcPr>
            <w:tcW w:w="100" w:type="dxa"/>
            <w:vAlign w:val="bottom"/>
          </w:tcPr>
          <w:p>
            <w:pPr>
              <w:spacing w:after="0"/>
              <w:rPr>
                <w:sz w:val="17"/>
                <w:szCs w:val="17"/>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b w:val="1"/>
                <w:bCs w:val="1"/>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b w:val="1"/>
                <w:bCs w:val="1"/>
                <w:color w:val="auto"/>
              </w:rPr>
              <w:t>228,450</w:t>
            </w:r>
          </w:p>
        </w:tc>
        <w:tc>
          <w:tcPr>
            <w:tcW w:w="10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2"/>
                <w:szCs w:val="12"/>
                <w:b w:val="1"/>
                <w:bCs w:val="1"/>
                <w:color w:val="auto"/>
              </w:rPr>
              <w:t>105,948</w:t>
            </w:r>
          </w:p>
        </w:tc>
        <w:tc>
          <w:tcPr>
            <w:tcW w:w="100" w:type="dxa"/>
            <w:vAlign w:val="bottom"/>
          </w:tcPr>
          <w:p>
            <w:pPr>
              <w:spacing w:after="0"/>
              <w:rPr>
                <w:sz w:val="17"/>
                <w:szCs w:val="17"/>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b w:val="1"/>
                <w:bCs w:val="1"/>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2"/>
                <w:szCs w:val="12"/>
                <w:b w:val="1"/>
                <w:bCs w:val="1"/>
                <w:color w:val="auto"/>
              </w:rPr>
              <w:t>91,334</w:t>
            </w:r>
          </w:p>
        </w:tc>
        <w:tc>
          <w:tcPr>
            <w:tcW w:w="0" w:type="dxa"/>
            <w:vAlign w:val="bottom"/>
          </w:tcPr>
          <w:p>
            <w:pPr>
              <w:spacing w:after="0"/>
              <w:rPr>
                <w:sz w:val="1"/>
                <w:szCs w:val="1"/>
                <w:color w:val="auto"/>
              </w:rPr>
            </w:pPr>
          </w:p>
        </w:tc>
      </w:tr>
      <w:tr>
        <w:trPr>
          <w:trHeight w:val="590"/>
        </w:trPr>
        <w:tc>
          <w:tcPr>
            <w:tcW w:w="4880" w:type="dxa"/>
            <w:vAlign w:val="bottom"/>
            <w:gridSpan w:val="2"/>
          </w:tcPr>
          <w:p>
            <w:pPr>
              <w:spacing w:after="0"/>
              <w:rPr>
                <w:sz w:val="20"/>
                <w:szCs w:val="20"/>
                <w:color w:val="auto"/>
              </w:rPr>
            </w:pPr>
            <w:r>
              <w:rPr>
                <w:rFonts w:ascii="Arial" w:cs="Arial" w:eastAsia="Arial" w:hAnsi="Arial"/>
                <w:sz w:val="12"/>
                <w:szCs w:val="12"/>
                <w:color w:val="auto"/>
              </w:rPr>
              <w:t>NOI from discontinued operations</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1700" w:type="dxa"/>
            <w:vAlign w:val="bottom"/>
            <w:gridSpan w:val="2"/>
          </w:tcPr>
          <w:p>
            <w:pPr>
              <w:jc w:val="right"/>
              <w:ind w:right="1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NOI from other properties/affiliates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(33,531)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(59,000)</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(84,620)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(70,244)</w:t>
            </w:r>
          </w:p>
        </w:tc>
        <w:tc>
          <w:tcPr>
            <w:tcW w:w="0" w:type="dxa"/>
            <w:vAlign w:val="bottom"/>
          </w:tcPr>
          <w:p>
            <w:pPr>
              <w:spacing w:after="0"/>
              <w:rPr>
                <w:sz w:val="1"/>
                <w:szCs w:val="1"/>
                <w:color w:val="auto"/>
              </w:rPr>
            </w:pPr>
          </w:p>
        </w:tc>
      </w:tr>
      <w:tr>
        <w:trPr>
          <w:trHeight w:val="193"/>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Same-Store NOI</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153,292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169,450</w:t>
            </w:r>
          </w:p>
        </w:tc>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21,328</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21,090</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880" w:type="dxa"/>
            <w:vAlign w:val="bottom"/>
            <w:gridSpan w:val="2"/>
          </w:tcPr>
          <w:p>
            <w:pPr>
              <w:spacing w:after="0"/>
              <w:rPr>
                <w:sz w:val="20"/>
                <w:szCs w:val="20"/>
                <w:color w:val="auto"/>
              </w:rPr>
            </w:pPr>
            <w:r>
              <w:rPr>
                <w:rFonts w:ascii="Arial" w:cs="Arial" w:eastAsia="Arial" w:hAnsi="Arial"/>
                <w:sz w:val="12"/>
                <w:szCs w:val="12"/>
                <w:color w:val="auto"/>
              </w:rPr>
              <w:t>Ground lease straight-line adjustment</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424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472</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04"/>
        </w:trPr>
        <w:tc>
          <w:tcPr>
            <w:tcW w:w="4880" w:type="dxa"/>
            <w:vAlign w:val="bottom"/>
            <w:gridSpan w:val="2"/>
          </w:tcPr>
          <w:p>
            <w:pPr>
              <w:spacing w:after="0"/>
              <w:rPr>
                <w:sz w:val="20"/>
                <w:szCs w:val="20"/>
                <w:color w:val="auto"/>
              </w:rPr>
            </w:pPr>
            <w:r>
              <w:rPr>
                <w:rFonts w:ascii="Arial" w:cs="Arial" w:eastAsia="Arial" w:hAnsi="Arial"/>
                <w:sz w:val="12"/>
                <w:szCs w:val="12"/>
                <w:color w:val="auto"/>
              </w:rPr>
              <w:t>Straight-line and free rent</w:t>
            </w:r>
          </w:p>
        </w:tc>
        <w:tc>
          <w:tcPr>
            <w:tcW w:w="24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(2,843)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(9,194)</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(1,577)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(1,334)</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Rental income - FAS 141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7,192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(5,330)</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(454)</w:t>
            </w:r>
          </w:p>
        </w:tc>
        <w:tc>
          <w:tcPr>
            <w:tcW w:w="0" w:type="dxa"/>
            <w:vAlign w:val="bottom"/>
          </w:tcPr>
          <w:p>
            <w:pPr>
              <w:spacing w:after="0"/>
              <w:rPr>
                <w:sz w:val="1"/>
                <w:szCs w:val="1"/>
                <w:color w:val="auto"/>
              </w:rPr>
            </w:pPr>
          </w:p>
        </w:tc>
      </w:tr>
      <w:tr>
        <w:trPr>
          <w:trHeight w:val="192"/>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Same-store cash NOI</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158,065</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155,398</w:t>
            </w:r>
          </w:p>
        </w:tc>
        <w:tc>
          <w:tcPr>
            <w:tcW w:w="10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19,363</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19,302</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60"/>
          </w:cols>
          <w:pgMar w:left="880" w:top="322" w:right="85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RECONCILIATION OF NON-GAAP FINANCIAL MEASURES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5"/>
          <w:szCs w:val="15"/>
          <w:i w:val="1"/>
          <w:iCs w:val="1"/>
          <w:color w:val="auto"/>
        </w:rPr>
        <w:t>(unaudited and in thousands, except per share data)</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gridSpan w:val="3"/>
          </w:tcPr>
          <w:p>
            <w:pPr>
              <w:jc w:val="right"/>
              <w:spacing w:after="0"/>
              <w:rPr>
                <w:sz w:val="20"/>
                <w:szCs w:val="20"/>
                <w:color w:val="auto"/>
              </w:rPr>
            </w:pPr>
            <w:r>
              <w:rPr>
                <w:rFonts w:ascii="Arial" w:cs="Arial" w:eastAsia="Arial" w:hAnsi="Arial"/>
                <w:sz w:val="12"/>
                <w:szCs w:val="12"/>
                <w:b w:val="1"/>
                <w:bCs w:val="1"/>
                <w:color w:val="auto"/>
              </w:rPr>
              <w:t>Nine Months Ended</w:t>
            </w:r>
          </w:p>
        </w:tc>
        <w:tc>
          <w:tcPr>
            <w:tcW w:w="680" w:type="dxa"/>
            <w:vAlign w:val="bottom"/>
          </w:tcPr>
          <w:p>
            <w:pPr>
              <w:spacing w:after="0"/>
              <w:rPr>
                <w:sz w:val="13"/>
                <w:szCs w:val="13"/>
                <w:color w:val="auto"/>
              </w:rPr>
            </w:pPr>
          </w:p>
        </w:tc>
      </w:tr>
      <w:tr>
        <w:trPr>
          <w:trHeight w:val="223"/>
        </w:trPr>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right"/>
              <w:ind w:right="122"/>
              <w:spacing w:after="0"/>
              <w:rPr>
                <w:sz w:val="20"/>
                <w:szCs w:val="20"/>
                <w:color w:val="auto"/>
              </w:rPr>
            </w:pPr>
            <w:r>
              <w:rPr>
                <w:rFonts w:ascii="Arial" w:cs="Arial" w:eastAsia="Arial" w:hAnsi="Arial"/>
                <w:sz w:val="12"/>
                <w:szCs w:val="12"/>
                <w:b w:val="1"/>
                <w:bCs w:val="1"/>
                <w:color w:val="auto"/>
              </w:rPr>
              <w:t>September 30,</w:t>
            </w:r>
          </w:p>
        </w:tc>
        <w:tc>
          <w:tcPr>
            <w:tcW w:w="680" w:type="dxa"/>
            <w:vAlign w:val="bottom"/>
            <w:tcBorders>
              <w:bottom w:val="single" w:sz="8" w:color="auto"/>
            </w:tcBorders>
          </w:tcPr>
          <w:p>
            <w:pPr>
              <w:spacing w:after="0"/>
              <w:rPr>
                <w:sz w:val="19"/>
                <w:szCs w:val="19"/>
                <w:color w:val="auto"/>
              </w:rPr>
            </w:pPr>
          </w:p>
        </w:tc>
      </w:tr>
      <w:tr>
        <w:trPr>
          <w:trHeight w:val="205"/>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0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82"/>
              <w:spacing w:after="0"/>
              <w:rPr>
                <w:sz w:val="20"/>
                <w:szCs w:val="20"/>
                <w:color w:val="auto"/>
              </w:rPr>
            </w:pPr>
            <w:r>
              <w:rPr>
                <w:rFonts w:ascii="Arial" w:cs="Arial" w:eastAsia="Arial" w:hAnsi="Arial"/>
                <w:sz w:val="12"/>
                <w:szCs w:val="12"/>
                <w:b w:val="1"/>
                <w:bCs w:val="1"/>
                <w:color w:val="auto"/>
                <w:w w:val="82"/>
              </w:rPr>
              <w:t>2015</w:t>
            </w:r>
          </w:p>
        </w:tc>
      </w:tr>
      <w:tr>
        <w:trPr>
          <w:trHeight w:val="186"/>
        </w:trPr>
        <w:tc>
          <w:tcPr>
            <w:tcW w:w="7720" w:type="dxa"/>
            <w:vAlign w:val="bottom"/>
            <w:gridSpan w:val="4"/>
          </w:tcPr>
          <w:p>
            <w:pPr>
              <w:spacing w:after="0"/>
              <w:rPr>
                <w:sz w:val="20"/>
                <w:szCs w:val="20"/>
                <w:color w:val="auto"/>
              </w:rPr>
            </w:pPr>
            <w:r>
              <w:rPr>
                <w:rFonts w:ascii="Arial" w:cs="Arial" w:eastAsia="Arial" w:hAnsi="Arial"/>
                <w:sz w:val="12"/>
                <w:szCs w:val="12"/>
                <w:b w:val="1"/>
                <w:bCs w:val="1"/>
                <w:color w:val="auto"/>
              </w:rPr>
              <w:t>FFO Reconciliation:</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7720" w:type="dxa"/>
            <w:vAlign w:val="bottom"/>
            <w:gridSpan w:val="4"/>
          </w:tcPr>
          <w:p>
            <w:pPr>
              <w:spacing w:after="0"/>
              <w:rPr>
                <w:sz w:val="20"/>
                <w:szCs w:val="20"/>
                <w:color w:val="auto"/>
              </w:rPr>
            </w:pPr>
            <w:r>
              <w:rPr>
                <w:rFonts w:ascii="Arial" w:cs="Arial" w:eastAsia="Arial" w:hAnsi="Arial"/>
                <w:sz w:val="12"/>
                <w:szCs w:val="12"/>
                <w:color w:val="auto"/>
              </w:rPr>
              <w:t>Net income attributable to SL Green common stockholders</w:t>
            </w: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190,930</w:t>
            </w:r>
          </w:p>
        </w:tc>
        <w:tc>
          <w:tcPr>
            <w:tcW w:w="200" w:type="dxa"/>
            <w:vAlign w:val="bottom"/>
          </w:tcPr>
          <w:p>
            <w:pPr>
              <w:spacing w:after="0"/>
              <w:rPr>
                <w:sz w:val="19"/>
                <w:szCs w:val="19"/>
                <w:color w:val="auto"/>
              </w:rPr>
            </w:pPr>
          </w:p>
        </w:tc>
        <w:tc>
          <w:tcPr>
            <w:tcW w:w="420" w:type="dxa"/>
            <w:vAlign w:val="bottom"/>
          </w:tcPr>
          <w:p>
            <w:pPr>
              <w:jc w:val="right"/>
              <w:ind w:right="28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167,829</w:t>
            </w:r>
          </w:p>
        </w:tc>
      </w:tr>
      <w:tr>
        <w:trPr>
          <w:trHeight w:val="195"/>
        </w:trPr>
        <w:tc>
          <w:tcPr>
            <w:tcW w:w="7720" w:type="dxa"/>
            <w:vAlign w:val="bottom"/>
            <w:gridSpan w:val="4"/>
          </w:tcPr>
          <w:p>
            <w:pPr>
              <w:spacing w:after="0"/>
              <w:rPr>
                <w:sz w:val="20"/>
                <w:szCs w:val="20"/>
                <w:color w:val="auto"/>
              </w:rPr>
            </w:pPr>
            <w:r>
              <w:rPr>
                <w:rFonts w:ascii="Arial" w:cs="Arial" w:eastAsia="Arial" w:hAnsi="Arial"/>
                <w:sz w:val="12"/>
                <w:szCs w:val="12"/>
                <w:color w:val="auto"/>
              </w:rPr>
              <w:t>Add:</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2"/>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Depreciation and amortization</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717,015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454,087</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Joint venture depreciation and noncontrolling interest adjustments</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42,191</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23,853</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Net income attributable to noncontrolling interests</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14,416</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19,851</w:t>
            </w:r>
          </w:p>
        </w:tc>
      </w:tr>
      <w:tr>
        <w:trPr>
          <w:trHeight w:val="196"/>
        </w:trPr>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w w:val="83"/>
              </w:rPr>
              <w:t>Less:</w:t>
            </w:r>
          </w:p>
        </w:tc>
        <w:tc>
          <w:tcPr>
            <w:tcW w:w="7460" w:type="dxa"/>
            <w:vAlign w:val="bottom"/>
            <w:gridSpan w:val="2"/>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22"/>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Gain on sale of real estate and discontinued operations, net</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210,750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172,687</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Equity in net gain on sale of interest in unconsolidated joint venture/real estate</w:t>
            </w:r>
          </w:p>
        </w:tc>
        <w:tc>
          <w:tcPr>
            <w:tcW w:w="280" w:type="dxa"/>
            <w:vAlign w:val="bottom"/>
          </w:tcPr>
          <w:p>
            <w:pPr>
              <w:spacing w:after="0"/>
              <w:rPr>
                <w:sz w:val="19"/>
                <w:szCs w:val="19"/>
                <w:color w:val="auto"/>
              </w:rPr>
            </w:pPr>
          </w:p>
        </w:tc>
        <w:tc>
          <w:tcPr>
            <w:tcW w:w="860" w:type="dxa"/>
            <w:vAlign w:val="bottom"/>
          </w:tcPr>
          <w:p>
            <w:pPr>
              <w:jc w:val="right"/>
              <w:ind w:right="42"/>
              <w:spacing w:after="0"/>
              <w:rPr>
                <w:sz w:val="20"/>
                <w:szCs w:val="20"/>
                <w:color w:val="auto"/>
              </w:rPr>
            </w:pPr>
            <w:r>
              <w:rPr>
                <w:rFonts w:ascii="Arial" w:cs="Arial" w:eastAsia="Arial" w:hAnsi="Arial"/>
                <w:sz w:val="12"/>
                <w:szCs w:val="12"/>
                <w:color w:val="auto"/>
              </w:rPr>
              <w:t>43,588</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16,050</w:t>
            </w:r>
          </w:p>
        </w:tc>
      </w:tr>
      <w:tr>
        <w:trPr>
          <w:trHeight w:val="219"/>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Depreciable real estate reserve</w:t>
            </w:r>
          </w:p>
        </w:tc>
        <w:tc>
          <w:tcPr>
            <w:tcW w:w="280" w:type="dxa"/>
            <w:vAlign w:val="bottom"/>
          </w:tcPr>
          <w:p>
            <w:pPr>
              <w:spacing w:after="0"/>
              <w:rPr>
                <w:sz w:val="19"/>
                <w:szCs w:val="19"/>
                <w:color w:val="auto"/>
              </w:rPr>
            </w:pPr>
          </w:p>
        </w:tc>
        <w:tc>
          <w:tcPr>
            <w:tcW w:w="860" w:type="dxa"/>
            <w:vAlign w:val="bottom"/>
          </w:tcPr>
          <w:p>
            <w:pPr>
              <w:jc w:val="right"/>
              <w:ind w:right="2"/>
              <w:spacing w:after="0"/>
              <w:rPr>
                <w:sz w:val="20"/>
                <w:szCs w:val="20"/>
                <w:color w:val="auto"/>
              </w:rPr>
            </w:pPr>
            <w:r>
              <w:rPr>
                <w:rFonts w:ascii="Arial" w:cs="Arial" w:eastAsia="Arial" w:hAnsi="Arial"/>
                <w:sz w:val="12"/>
                <w:szCs w:val="12"/>
                <w:color w:val="auto"/>
              </w:rPr>
              <w:t>(10,387)</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(19,226)</w:t>
            </w:r>
          </w:p>
        </w:tc>
      </w:tr>
      <w:tr>
        <w:trPr>
          <w:trHeight w:val="223"/>
        </w:trPr>
        <w:tc>
          <w:tcPr>
            <w:tcW w:w="7720" w:type="dxa"/>
            <w:vAlign w:val="bottom"/>
            <w:gridSpan w:val="4"/>
          </w:tcPr>
          <w:p>
            <w:pPr>
              <w:ind w:left="120"/>
              <w:spacing w:after="0"/>
              <w:rPr>
                <w:sz w:val="20"/>
                <w:szCs w:val="20"/>
                <w:color w:val="auto"/>
              </w:rPr>
            </w:pPr>
            <w:r>
              <w:rPr>
                <w:rFonts w:ascii="Arial" w:cs="Arial" w:eastAsia="Arial" w:hAnsi="Arial"/>
                <w:sz w:val="12"/>
                <w:szCs w:val="12"/>
                <w:color w:val="auto"/>
              </w:rPr>
              <w:t>Depreciation on non-rental real estate assets</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1,505</w:t>
            </w: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1,525</w:t>
            </w:r>
          </w:p>
        </w:tc>
      </w:tr>
      <w:tr>
        <w:trPr>
          <w:trHeight w:val="193"/>
        </w:trPr>
        <w:tc>
          <w:tcPr>
            <w:tcW w:w="7720" w:type="dxa"/>
            <w:vAlign w:val="bottom"/>
            <w:gridSpan w:val="4"/>
          </w:tcPr>
          <w:p>
            <w:pPr>
              <w:spacing w:after="0"/>
              <w:rPr>
                <w:sz w:val="20"/>
                <w:szCs w:val="20"/>
                <w:color w:val="auto"/>
              </w:rPr>
            </w:pPr>
            <w:r>
              <w:rPr>
                <w:rFonts w:ascii="Arial" w:cs="Arial" w:eastAsia="Arial" w:hAnsi="Arial"/>
                <w:sz w:val="12"/>
                <w:szCs w:val="12"/>
                <w:b w:val="1"/>
                <w:bCs w:val="1"/>
                <w:color w:val="auto"/>
              </w:rPr>
              <w:t>Funds From Operations attributable to SL Green common stockholders and noncontrolling interests</w:t>
            </w: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w w:val="89"/>
              </w:rPr>
              <w:t>$</w:t>
            </w:r>
          </w:p>
        </w:tc>
        <w:tc>
          <w:tcPr>
            <w:tcW w:w="8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719,096</w:t>
            </w:r>
          </w:p>
        </w:tc>
        <w:tc>
          <w:tcPr>
            <w:tcW w:w="200" w:type="dxa"/>
            <w:vAlign w:val="bottom"/>
          </w:tcPr>
          <w:p>
            <w:pPr>
              <w:spacing w:after="0"/>
              <w:rPr>
                <w:sz w:val="16"/>
                <w:szCs w:val="16"/>
                <w:color w:val="auto"/>
              </w:rPr>
            </w:pPr>
          </w:p>
        </w:tc>
        <w:tc>
          <w:tcPr>
            <w:tcW w:w="4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494,584</w:t>
            </w:r>
          </w:p>
        </w:tc>
      </w:tr>
      <w:tr>
        <w:trPr>
          <w:trHeight w:val="20"/>
        </w:trPr>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7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center"/>
              <w:ind w:right="182"/>
              <w:spacing w:after="0"/>
              <w:rPr>
                <w:sz w:val="20"/>
                <w:szCs w:val="20"/>
                <w:color w:val="auto"/>
              </w:rPr>
            </w:pPr>
            <w:r>
              <w:rPr>
                <w:rFonts w:ascii="Arial" w:cs="Arial" w:eastAsia="Arial" w:hAnsi="Arial"/>
                <w:sz w:val="12"/>
                <w:szCs w:val="12"/>
                <w:b w:val="1"/>
                <w:bCs w:val="1"/>
                <w:color w:val="auto"/>
                <w:w w:val="86"/>
              </w:rPr>
              <w:t>Consolidated Properties</w:t>
            </w:r>
          </w:p>
        </w:tc>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ind w:right="2"/>
              <w:spacing w:after="0"/>
              <w:rPr>
                <w:sz w:val="20"/>
                <w:szCs w:val="20"/>
                <w:color w:val="auto"/>
              </w:rPr>
            </w:pPr>
            <w:r>
              <w:rPr>
                <w:rFonts w:ascii="Arial" w:cs="Arial" w:eastAsia="Arial" w:hAnsi="Arial"/>
                <w:sz w:val="12"/>
                <w:szCs w:val="12"/>
                <w:b w:val="1"/>
                <w:bCs w:val="1"/>
                <w:color w:val="auto"/>
                <w:w w:val="87"/>
              </w:rPr>
              <w:t>Unconsolidated Joint Ventures (100%)</w:t>
            </w: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940" w:type="dxa"/>
            <w:vAlign w:val="bottom"/>
            <w:gridSpan w:val="5"/>
          </w:tcPr>
          <w:p>
            <w:pPr>
              <w:jc w:val="center"/>
              <w:ind w:right="1260"/>
              <w:spacing w:after="0"/>
              <w:rPr>
                <w:sz w:val="20"/>
                <w:szCs w:val="20"/>
                <w:color w:val="auto"/>
              </w:rPr>
            </w:pPr>
            <w:r>
              <w:rPr>
                <w:rFonts w:ascii="Arial" w:cs="Arial" w:eastAsia="Arial" w:hAnsi="Arial"/>
                <w:sz w:val="12"/>
                <w:szCs w:val="12"/>
                <w:b w:val="1"/>
                <w:bCs w:val="1"/>
                <w:color w:val="auto"/>
                <w:w w:val="89"/>
              </w:rPr>
              <w:t>Nine Months Ended</w:t>
            </w:r>
          </w:p>
        </w:tc>
        <w:tc>
          <w:tcPr>
            <w:tcW w:w="80" w:type="dxa"/>
            <w:vAlign w:val="bottom"/>
          </w:tcPr>
          <w:p>
            <w:pPr>
              <w:spacing w:after="0"/>
              <w:rPr>
                <w:sz w:val="16"/>
                <w:szCs w:val="16"/>
                <w:color w:val="auto"/>
              </w:rPr>
            </w:pPr>
          </w:p>
        </w:tc>
        <w:tc>
          <w:tcPr>
            <w:tcW w:w="2020" w:type="dxa"/>
            <w:vAlign w:val="bottom"/>
            <w:gridSpan w:val="4"/>
          </w:tcPr>
          <w:p>
            <w:pPr>
              <w:jc w:val="center"/>
              <w:ind w:right="2"/>
              <w:spacing w:after="0"/>
              <w:rPr>
                <w:sz w:val="20"/>
                <w:szCs w:val="20"/>
                <w:color w:val="auto"/>
              </w:rPr>
            </w:pPr>
            <w:r>
              <w:rPr>
                <w:rFonts w:ascii="Arial" w:cs="Arial" w:eastAsia="Arial" w:hAnsi="Arial"/>
                <w:sz w:val="12"/>
                <w:szCs w:val="12"/>
                <w:b w:val="1"/>
                <w:bCs w:val="1"/>
                <w:color w:val="auto"/>
                <w:w w:val="89"/>
              </w:rPr>
              <w:t>Nine Months Ended</w:t>
            </w:r>
          </w:p>
        </w:tc>
        <w:tc>
          <w:tcPr>
            <w:tcW w:w="0" w:type="dxa"/>
            <w:vAlign w:val="bottom"/>
          </w:tcPr>
          <w:p>
            <w:pPr>
              <w:spacing w:after="0"/>
              <w:rPr>
                <w:sz w:val="1"/>
                <w:szCs w:val="1"/>
                <w:color w:val="auto"/>
              </w:rPr>
            </w:pPr>
          </w:p>
        </w:tc>
      </w:tr>
      <w:tr>
        <w:trPr>
          <w:trHeight w:val="223"/>
        </w:trPr>
        <w:tc>
          <w:tcPr>
            <w:tcW w:w="27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center"/>
              <w:ind w:left="382"/>
              <w:spacing w:after="0"/>
              <w:rPr>
                <w:sz w:val="20"/>
                <w:szCs w:val="20"/>
                <w:color w:val="auto"/>
              </w:rPr>
            </w:pPr>
            <w:r>
              <w:rPr>
                <w:rFonts w:ascii="Arial" w:cs="Arial" w:eastAsia="Arial" w:hAnsi="Arial"/>
                <w:sz w:val="12"/>
                <w:szCs w:val="12"/>
                <w:b w:val="1"/>
                <w:bCs w:val="1"/>
                <w:color w:val="auto"/>
                <w:w w:val="87"/>
              </w:rPr>
              <w:t>September 30,</w:t>
            </w:r>
          </w:p>
        </w:tc>
        <w:tc>
          <w:tcPr>
            <w:tcW w:w="680" w:type="dxa"/>
            <w:vAlign w:val="bottom"/>
            <w:tcBorders>
              <w:bottom w:val="single" w:sz="8" w:color="auto"/>
            </w:tcBorders>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3"/>
          </w:tcPr>
          <w:p>
            <w:pPr>
              <w:jc w:val="center"/>
              <w:ind w:left="542"/>
              <w:spacing w:after="0"/>
              <w:rPr>
                <w:sz w:val="20"/>
                <w:szCs w:val="20"/>
                <w:color w:val="auto"/>
              </w:rPr>
            </w:pPr>
            <w:r>
              <w:rPr>
                <w:rFonts w:ascii="Arial" w:cs="Arial" w:eastAsia="Arial" w:hAnsi="Arial"/>
                <w:sz w:val="12"/>
                <w:szCs w:val="12"/>
                <w:b w:val="1"/>
                <w:bCs w:val="1"/>
                <w:color w:val="auto"/>
                <w:w w:val="87"/>
              </w:rPr>
              <w:t>September 30,</w:t>
            </w: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7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7"/>
              </w:rPr>
              <w:t>Operating income and Same-store NOI Reconciliation:</w:t>
            </w:r>
          </w:p>
        </w:tc>
        <w:tc>
          <w:tcPr>
            <w:tcW w:w="2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36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Pr>
          <w:p>
            <w:pPr>
              <w:jc w:val="right"/>
              <w:ind w:right="342"/>
              <w:spacing w:after="0"/>
              <w:rPr>
                <w:sz w:val="20"/>
                <w:szCs w:val="20"/>
                <w:color w:val="auto"/>
              </w:rPr>
            </w:pPr>
            <w:r>
              <w:rPr>
                <w:rFonts w:ascii="Arial" w:cs="Arial" w:eastAsia="Arial" w:hAnsi="Arial"/>
                <w:sz w:val="12"/>
                <w:szCs w:val="12"/>
                <w:b w:val="1"/>
                <w:bCs w:val="1"/>
                <w:color w:val="auto"/>
                <w:w w:val="97"/>
              </w:rPr>
              <w:t>2015</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322"/>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60" w:type="dxa"/>
            <w:vAlign w:val="bottom"/>
          </w:tcPr>
          <w:p>
            <w:pPr>
              <w:jc w:val="right"/>
              <w:ind w:right="322"/>
              <w:spacing w:after="0"/>
              <w:rPr>
                <w:sz w:val="20"/>
                <w:szCs w:val="20"/>
                <w:color w:val="auto"/>
              </w:rPr>
            </w:pPr>
            <w:r>
              <w:rPr>
                <w:rFonts w:ascii="Arial" w:cs="Arial" w:eastAsia="Arial" w:hAnsi="Arial"/>
                <w:sz w:val="12"/>
                <w:szCs w:val="12"/>
                <w:b w:val="1"/>
                <w:bCs w:val="1"/>
                <w:color w:val="auto"/>
                <w:w w:val="97"/>
              </w:rPr>
              <w:t>2015</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2"/>
                <w:szCs w:val="12"/>
                <w:color w:val="auto"/>
                <w:w w:val="97"/>
              </w:rPr>
              <w:t>Income (loss) from continuing operations before equity in net income from unconsolidated joint</w:t>
            </w: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48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4880" w:type="dxa"/>
            <w:vAlign w:val="bottom"/>
            <w:gridSpan w:val="2"/>
          </w:tcPr>
          <w:p>
            <w:pPr>
              <w:spacing w:after="0" w:line="121" w:lineRule="exact"/>
              <w:rPr>
                <w:sz w:val="20"/>
                <w:szCs w:val="20"/>
                <w:color w:val="auto"/>
              </w:rPr>
            </w:pPr>
            <w:r>
              <w:rPr>
                <w:rFonts w:ascii="Arial" w:cs="Arial" w:eastAsia="Arial" w:hAnsi="Arial"/>
                <w:sz w:val="12"/>
                <w:szCs w:val="12"/>
                <w:color w:val="auto"/>
                <w:w w:val="88"/>
              </w:rPr>
              <w:t>ventures, equity in net gain on sale of interest in unconsolidated joint venture/real estate, gain on sale of</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880" w:type="dxa"/>
            <w:vAlign w:val="bottom"/>
            <w:gridSpan w:val="2"/>
          </w:tcPr>
          <w:p>
            <w:pPr>
              <w:spacing w:after="0"/>
              <w:rPr>
                <w:sz w:val="20"/>
                <w:szCs w:val="20"/>
                <w:color w:val="auto"/>
              </w:rPr>
            </w:pPr>
            <w:r>
              <w:rPr>
                <w:rFonts w:ascii="Arial" w:cs="Arial" w:eastAsia="Arial" w:hAnsi="Arial"/>
                <w:sz w:val="12"/>
                <w:szCs w:val="12"/>
                <w:color w:val="auto"/>
              </w:rPr>
              <w:t>real estate, loss on sale of marketable securities and loss on early extinguishment of debt</w:t>
            </w: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(30,896)</w:t>
            </w:r>
          </w:p>
        </w:tc>
        <w:tc>
          <w:tcPr>
            <w:tcW w:w="100" w:type="dxa"/>
            <w:vAlign w:val="bottom"/>
          </w:tcPr>
          <w:p>
            <w:pPr>
              <w:spacing w:after="0"/>
              <w:rPr>
                <w:sz w:val="12"/>
                <w:szCs w:val="12"/>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22,670</w:t>
            </w:r>
          </w:p>
        </w:tc>
        <w:tc>
          <w:tcPr>
            <w:tcW w:w="102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16,198</w:t>
            </w:r>
          </w:p>
        </w:tc>
        <w:tc>
          <w:tcPr>
            <w:tcW w:w="100" w:type="dxa"/>
            <w:vAlign w:val="bottom"/>
          </w:tcPr>
          <w:p>
            <w:pPr>
              <w:spacing w:after="0"/>
              <w:rPr>
                <w:sz w:val="12"/>
                <w:szCs w:val="12"/>
                <w:color w:val="auto"/>
              </w:rPr>
            </w:pPr>
          </w:p>
        </w:tc>
        <w:tc>
          <w:tcPr>
            <w:tcW w:w="340" w:type="dxa"/>
            <w:vAlign w:val="bottom"/>
          </w:tcPr>
          <w:p>
            <w:pPr>
              <w:jc w:val="right"/>
              <w:ind w:right="20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2,148</w:t>
            </w:r>
          </w:p>
        </w:tc>
        <w:tc>
          <w:tcPr>
            <w:tcW w:w="0" w:type="dxa"/>
            <w:vAlign w:val="bottom"/>
          </w:tcPr>
          <w:p>
            <w:pPr>
              <w:spacing w:after="0"/>
              <w:rPr>
                <w:sz w:val="1"/>
                <w:szCs w:val="1"/>
                <w:color w:val="auto"/>
              </w:rPr>
            </w:pPr>
          </w:p>
        </w:tc>
      </w:tr>
      <w:tr>
        <w:trPr>
          <w:trHeight w:val="404"/>
        </w:trPr>
        <w:tc>
          <w:tcPr>
            <w:tcW w:w="48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11,969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10,651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Depreciation and amortization</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717,015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454,087</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132,035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109,022</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Interest expense, net of interest income</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256,326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235,694</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147,876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147,152</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Amortization of deferred financing costs</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20,180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19,727</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17,667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9,628</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(49)</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(1,606)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(1,081)</w:t>
            </w:r>
          </w:p>
        </w:tc>
        <w:tc>
          <w:tcPr>
            <w:tcW w:w="0" w:type="dxa"/>
            <w:vAlign w:val="bottom"/>
          </w:tcPr>
          <w:p>
            <w:pPr>
              <w:spacing w:after="0"/>
              <w:rPr>
                <w:sz w:val="1"/>
                <w:szCs w:val="1"/>
                <w:color w:val="auto"/>
              </w:rPr>
            </w:pPr>
          </w:p>
        </w:tc>
      </w:tr>
      <w:tr>
        <w:trPr>
          <w:trHeight w:val="193"/>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Operating income</w:t>
            </w: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color w:val="auto"/>
              </w:rPr>
              <w:t>974,594</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742,780</w:t>
            </w:r>
          </w:p>
        </w:tc>
        <w:tc>
          <w:tcPr>
            <w:tcW w:w="102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312,170</w:t>
            </w:r>
          </w:p>
        </w:tc>
        <w:tc>
          <w:tcPr>
            <w:tcW w:w="10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ind w:right="42"/>
              <w:spacing w:after="0"/>
              <w:rPr>
                <w:sz w:val="20"/>
                <w:szCs w:val="20"/>
                <w:color w:val="auto"/>
              </w:rPr>
            </w:pPr>
            <w:r>
              <w:rPr>
                <w:rFonts w:ascii="Arial" w:cs="Arial" w:eastAsia="Arial" w:hAnsi="Arial"/>
                <w:sz w:val="12"/>
                <w:szCs w:val="12"/>
                <w:color w:val="auto"/>
              </w:rPr>
              <w:t>266,869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7"/>
        </w:trPr>
        <w:tc>
          <w:tcPr>
            <w:tcW w:w="4880" w:type="dxa"/>
            <w:vAlign w:val="bottom"/>
            <w:gridSpan w:val="2"/>
          </w:tcPr>
          <w:p>
            <w:pPr>
              <w:spacing w:after="0"/>
              <w:rPr>
                <w:sz w:val="20"/>
                <w:szCs w:val="20"/>
                <w:color w:val="auto"/>
              </w:rPr>
            </w:pPr>
            <w:r>
              <w:rPr>
                <w:rFonts w:ascii="Arial" w:cs="Arial" w:eastAsia="Arial" w:hAnsi="Arial"/>
                <w:sz w:val="12"/>
                <w:szCs w:val="12"/>
                <w:color w:val="auto"/>
              </w:rPr>
              <w:t>Marketing, general and administrative expense</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73,974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72,139</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Net operating income from discontinued operations</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427</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Transaction related costs, net</w:t>
            </w:r>
          </w:p>
        </w:tc>
        <w:tc>
          <w:tcPr>
            <w:tcW w:w="240" w:type="dxa"/>
            <w:vAlign w:val="bottom"/>
          </w:tcPr>
          <w:p>
            <w:pPr>
              <w:spacing w:after="0"/>
              <w:rPr>
                <w:sz w:val="19"/>
                <w:szCs w:val="19"/>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5,987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10,039</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5,359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615</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Non-building revenue</w:t>
            </w:r>
          </w:p>
        </w:tc>
        <w:tc>
          <w:tcPr>
            <w:tcW w:w="24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(180,345)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(151,112)</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(20,531)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(8,853)</w:t>
            </w:r>
          </w:p>
        </w:tc>
        <w:tc>
          <w:tcPr>
            <w:tcW w:w="0" w:type="dxa"/>
            <w:vAlign w:val="bottom"/>
          </w:tcPr>
          <w:p>
            <w:pPr>
              <w:spacing w:after="0"/>
              <w:rPr>
                <w:sz w:val="1"/>
                <w:szCs w:val="1"/>
                <w:color w:val="auto"/>
              </w:rPr>
            </w:pPr>
          </w:p>
        </w:tc>
      </w:tr>
      <w:tr>
        <w:trPr>
          <w:trHeight w:val="219"/>
        </w:trPr>
        <w:tc>
          <w:tcPr>
            <w:tcW w:w="4880" w:type="dxa"/>
            <w:vAlign w:val="bottom"/>
            <w:gridSpan w:val="2"/>
          </w:tcPr>
          <w:p>
            <w:pPr>
              <w:spacing w:after="0"/>
              <w:rPr>
                <w:sz w:val="20"/>
                <w:szCs w:val="20"/>
                <w:color w:val="auto"/>
              </w:rPr>
            </w:pPr>
            <w:r>
              <w:rPr>
                <w:rFonts w:ascii="Arial" w:cs="Arial" w:eastAsia="Arial" w:hAnsi="Arial"/>
                <w:sz w:val="12"/>
                <w:szCs w:val="12"/>
                <w:color w:val="auto"/>
              </w:rPr>
              <w:t>Equity in net income from unconsolidated joint ventures</w:t>
            </w:r>
          </w:p>
        </w:tc>
        <w:tc>
          <w:tcPr>
            <w:tcW w:w="24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(11,969)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(10,651)</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Loss on early extinguishment of debt</w:t>
            </w:r>
          </w:p>
        </w:tc>
        <w:tc>
          <w:tcPr>
            <w:tcW w:w="24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49</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2"/>
                <w:szCs w:val="12"/>
                <w:color w:val="auto"/>
              </w:rPr>
              <w:t>1,606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1,081</w:t>
            </w:r>
          </w:p>
        </w:tc>
        <w:tc>
          <w:tcPr>
            <w:tcW w:w="0" w:type="dxa"/>
            <w:vAlign w:val="bottom"/>
          </w:tcPr>
          <w:p>
            <w:pPr>
              <w:spacing w:after="0"/>
              <w:rPr>
                <w:sz w:val="1"/>
                <w:szCs w:val="1"/>
                <w:color w:val="auto"/>
              </w:rPr>
            </w:pPr>
          </w:p>
        </w:tc>
      </w:tr>
      <w:tr>
        <w:trPr>
          <w:trHeight w:val="194"/>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Net operating income (NOI)</w:t>
            </w:r>
          </w:p>
        </w:tc>
        <w:tc>
          <w:tcPr>
            <w:tcW w:w="240" w:type="dxa"/>
            <w:vAlign w:val="bottom"/>
            <w:tcBorders>
              <w:top w:val="single" w:sz="8" w:color="auto"/>
            </w:tcBorders>
          </w:tcPr>
          <w:p>
            <w:pPr>
              <w:jc w:val="right"/>
              <w:ind w:right="10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862,241</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202"/>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663,671</w:t>
            </w:r>
          </w:p>
        </w:tc>
        <w:tc>
          <w:tcPr>
            <w:tcW w:w="1020" w:type="dxa"/>
            <w:vAlign w:val="bottom"/>
          </w:tcPr>
          <w:p>
            <w:pPr>
              <w:spacing w:after="0"/>
              <w:rPr>
                <w:sz w:val="16"/>
                <w:szCs w:val="16"/>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298,604</w:t>
            </w:r>
          </w:p>
        </w:tc>
        <w:tc>
          <w:tcPr>
            <w:tcW w:w="100" w:type="dxa"/>
            <w:vAlign w:val="bottom"/>
          </w:tcPr>
          <w:p>
            <w:pPr>
              <w:spacing w:after="0"/>
              <w:rPr>
                <w:sz w:val="16"/>
                <w:szCs w:val="16"/>
                <w:color w:val="auto"/>
              </w:rPr>
            </w:pPr>
          </w:p>
        </w:tc>
        <w:tc>
          <w:tcPr>
            <w:tcW w:w="340" w:type="dxa"/>
            <w:vAlign w:val="bottom"/>
            <w:tcBorders>
              <w:top w:val="single" w:sz="8" w:color="auto"/>
            </w:tcBorders>
          </w:tcPr>
          <w:p>
            <w:pPr>
              <w:jc w:val="right"/>
              <w:ind w:right="202"/>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tcPr>
          <w:p>
            <w:pPr>
              <w:jc w:val="right"/>
              <w:ind w:right="42"/>
              <w:spacing w:after="0"/>
              <w:rPr>
                <w:sz w:val="20"/>
                <w:szCs w:val="20"/>
                <w:color w:val="auto"/>
              </w:rPr>
            </w:pPr>
            <w:r>
              <w:rPr>
                <w:rFonts w:ascii="Arial" w:cs="Arial" w:eastAsia="Arial" w:hAnsi="Arial"/>
                <w:sz w:val="12"/>
                <w:szCs w:val="12"/>
                <w:b w:val="1"/>
                <w:bCs w:val="1"/>
                <w:color w:val="auto"/>
              </w:rPr>
              <w:t>259,712</w:t>
            </w:r>
          </w:p>
        </w:tc>
        <w:tc>
          <w:tcPr>
            <w:tcW w:w="0" w:type="dxa"/>
            <w:vAlign w:val="bottom"/>
          </w:tcPr>
          <w:p>
            <w:pPr>
              <w:spacing w:after="0"/>
              <w:rPr>
                <w:sz w:val="1"/>
                <w:szCs w:val="1"/>
                <w:color w:val="auto"/>
              </w:rPr>
            </w:pPr>
          </w:p>
        </w:tc>
      </w:tr>
      <w:tr>
        <w:trPr>
          <w:trHeight w:val="590"/>
        </w:trPr>
        <w:tc>
          <w:tcPr>
            <w:tcW w:w="4880" w:type="dxa"/>
            <w:vAlign w:val="bottom"/>
            <w:gridSpan w:val="2"/>
          </w:tcPr>
          <w:p>
            <w:pPr>
              <w:spacing w:after="0"/>
              <w:rPr>
                <w:sz w:val="20"/>
                <w:szCs w:val="20"/>
                <w:color w:val="auto"/>
              </w:rPr>
            </w:pPr>
            <w:r>
              <w:rPr>
                <w:rFonts w:ascii="Arial" w:cs="Arial" w:eastAsia="Arial" w:hAnsi="Arial"/>
                <w:sz w:val="12"/>
                <w:szCs w:val="12"/>
                <w:color w:val="auto"/>
              </w:rPr>
              <w:t>NOI from discontinued operations</w:t>
            </w:r>
          </w:p>
        </w:tc>
        <w:tc>
          <w:tcPr>
            <w:tcW w:w="240" w:type="dxa"/>
            <w:vAlign w:val="bottom"/>
          </w:tcPr>
          <w:p>
            <w:pPr>
              <w:spacing w:after="0"/>
              <w:rPr>
                <w:sz w:val="24"/>
                <w:szCs w:val="2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1700" w:type="dxa"/>
            <w:vAlign w:val="bottom"/>
            <w:gridSpan w:val="2"/>
          </w:tcPr>
          <w:p>
            <w:pPr>
              <w:jc w:val="right"/>
              <w:ind w:right="1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NOI from other properties/affiliates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(364,355)</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(160,909)</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(233,642)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(198,555)</w:t>
            </w:r>
          </w:p>
        </w:tc>
        <w:tc>
          <w:tcPr>
            <w:tcW w:w="0" w:type="dxa"/>
            <w:vAlign w:val="bottom"/>
          </w:tcPr>
          <w:p>
            <w:pPr>
              <w:spacing w:after="0"/>
              <w:rPr>
                <w:sz w:val="1"/>
                <w:szCs w:val="1"/>
                <w:color w:val="auto"/>
              </w:rPr>
            </w:pPr>
          </w:p>
        </w:tc>
      </w:tr>
      <w:tr>
        <w:trPr>
          <w:trHeight w:val="192"/>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Same-Store NOI</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497,886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502,762</w:t>
            </w:r>
          </w:p>
        </w:tc>
        <w:tc>
          <w:tcPr>
            <w:tcW w:w="10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64,962</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61,157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4880" w:type="dxa"/>
            <w:vAlign w:val="bottom"/>
            <w:gridSpan w:val="2"/>
          </w:tcPr>
          <w:p>
            <w:pPr>
              <w:spacing w:after="0"/>
              <w:rPr>
                <w:sz w:val="20"/>
                <w:szCs w:val="20"/>
                <w:color w:val="auto"/>
              </w:rPr>
            </w:pPr>
            <w:r>
              <w:rPr>
                <w:rFonts w:ascii="Arial" w:cs="Arial" w:eastAsia="Arial" w:hAnsi="Arial"/>
                <w:sz w:val="12"/>
                <w:szCs w:val="12"/>
                <w:color w:val="auto"/>
              </w:rPr>
              <w:t>Ground lease straight-line adjustment</w:t>
            </w:r>
          </w:p>
        </w:tc>
        <w:tc>
          <w:tcPr>
            <w:tcW w:w="240" w:type="dxa"/>
            <w:vAlign w:val="bottom"/>
          </w:tcPr>
          <w:p>
            <w:pPr>
              <w:spacing w:after="0"/>
              <w:rPr>
                <w:sz w:val="24"/>
                <w:szCs w:val="24"/>
                <w:color w:val="auto"/>
              </w:rPr>
            </w:pPr>
          </w:p>
        </w:tc>
        <w:tc>
          <w:tcPr>
            <w:tcW w:w="800" w:type="dxa"/>
            <w:vAlign w:val="bottom"/>
          </w:tcPr>
          <w:p>
            <w:pPr>
              <w:jc w:val="right"/>
              <w:ind w:right="62"/>
              <w:spacing w:after="0"/>
              <w:rPr>
                <w:sz w:val="20"/>
                <w:szCs w:val="20"/>
                <w:color w:val="auto"/>
              </w:rPr>
            </w:pPr>
            <w:r>
              <w:rPr>
                <w:rFonts w:ascii="Arial" w:cs="Arial" w:eastAsia="Arial" w:hAnsi="Arial"/>
                <w:sz w:val="12"/>
                <w:szCs w:val="12"/>
                <w:color w:val="auto"/>
              </w:rPr>
              <w:t>1,359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1,415</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24"/>
                <w:szCs w:val="24"/>
                <w:color w:val="auto"/>
              </w:rPr>
            </w:pPr>
          </w:p>
        </w:tc>
        <w:tc>
          <w:tcPr>
            <w:tcW w:w="660" w:type="dxa"/>
            <w:vAlign w:val="bottom"/>
          </w:tcPr>
          <w:p>
            <w:pPr>
              <w:jc w:val="right"/>
              <w:ind w:right="4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04"/>
        </w:trPr>
        <w:tc>
          <w:tcPr>
            <w:tcW w:w="4880" w:type="dxa"/>
            <w:vAlign w:val="bottom"/>
            <w:gridSpan w:val="2"/>
          </w:tcPr>
          <w:p>
            <w:pPr>
              <w:spacing w:after="0"/>
              <w:rPr>
                <w:sz w:val="20"/>
                <w:szCs w:val="20"/>
                <w:color w:val="auto"/>
              </w:rPr>
            </w:pPr>
            <w:r>
              <w:rPr>
                <w:rFonts w:ascii="Arial" w:cs="Arial" w:eastAsia="Arial" w:hAnsi="Arial"/>
                <w:sz w:val="12"/>
                <w:szCs w:val="12"/>
                <w:color w:val="auto"/>
              </w:rPr>
              <w:t>Straight-line and free rent</w:t>
            </w:r>
          </w:p>
        </w:tc>
        <w:tc>
          <w:tcPr>
            <w:tcW w:w="240" w:type="dxa"/>
            <w:vAlign w:val="bottom"/>
          </w:tcPr>
          <w:p>
            <w:pPr>
              <w:spacing w:after="0"/>
              <w:rPr>
                <w:sz w:val="24"/>
                <w:szCs w:val="24"/>
                <w:color w:val="auto"/>
              </w:rPr>
            </w:pPr>
          </w:p>
        </w:tc>
        <w:tc>
          <w:tcPr>
            <w:tcW w:w="800" w:type="dxa"/>
            <w:vAlign w:val="bottom"/>
          </w:tcPr>
          <w:p>
            <w:pPr>
              <w:jc w:val="right"/>
              <w:ind w:right="22"/>
              <w:spacing w:after="0"/>
              <w:rPr>
                <w:sz w:val="20"/>
                <w:szCs w:val="20"/>
                <w:color w:val="auto"/>
              </w:rPr>
            </w:pPr>
            <w:r>
              <w:rPr>
                <w:rFonts w:ascii="Arial" w:cs="Arial" w:eastAsia="Arial" w:hAnsi="Arial"/>
                <w:sz w:val="12"/>
                <w:szCs w:val="12"/>
                <w:color w:val="auto"/>
              </w:rPr>
              <w:t>(18,937)</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jc w:val="right"/>
              <w:ind w:right="2"/>
              <w:spacing w:after="0"/>
              <w:rPr>
                <w:sz w:val="20"/>
                <w:szCs w:val="20"/>
                <w:color w:val="auto"/>
              </w:rPr>
            </w:pPr>
            <w:r>
              <w:rPr>
                <w:rFonts w:ascii="Arial" w:cs="Arial" w:eastAsia="Arial" w:hAnsi="Arial"/>
                <w:sz w:val="12"/>
                <w:szCs w:val="12"/>
                <w:color w:val="auto"/>
              </w:rPr>
              <w:t>(38,181)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2"/>
              <w:spacing w:after="0"/>
              <w:rPr>
                <w:sz w:val="20"/>
                <w:szCs w:val="20"/>
                <w:color w:val="auto"/>
              </w:rPr>
            </w:pPr>
            <w:r>
              <w:rPr>
                <w:rFonts w:ascii="Arial" w:cs="Arial" w:eastAsia="Arial" w:hAnsi="Arial"/>
                <w:sz w:val="12"/>
                <w:szCs w:val="12"/>
                <w:color w:val="auto"/>
              </w:rPr>
              <w:t>(5,172)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(4,551)</w:t>
            </w: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Arial" w:cs="Arial" w:eastAsia="Arial" w:hAnsi="Arial"/>
                <w:sz w:val="12"/>
                <w:szCs w:val="12"/>
                <w:color w:val="auto"/>
              </w:rPr>
              <w:t>Rental income - FAS 141</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(346)</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(13,155)</w:t>
            </w:r>
          </w:p>
        </w:tc>
        <w:tc>
          <w:tcPr>
            <w:tcW w:w="10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(1,170)</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(1,417)</w:t>
            </w:r>
          </w:p>
        </w:tc>
        <w:tc>
          <w:tcPr>
            <w:tcW w:w="0" w:type="dxa"/>
            <w:vAlign w:val="bottom"/>
          </w:tcPr>
          <w:p>
            <w:pPr>
              <w:spacing w:after="0"/>
              <w:rPr>
                <w:sz w:val="1"/>
                <w:szCs w:val="1"/>
                <w:color w:val="auto"/>
              </w:rPr>
            </w:pPr>
          </w:p>
        </w:tc>
      </w:tr>
      <w:tr>
        <w:trPr>
          <w:trHeight w:val="192"/>
        </w:trPr>
        <w:tc>
          <w:tcPr>
            <w:tcW w:w="4880" w:type="dxa"/>
            <w:vAlign w:val="bottom"/>
            <w:gridSpan w:val="2"/>
          </w:tcPr>
          <w:p>
            <w:pPr>
              <w:spacing w:after="0"/>
              <w:rPr>
                <w:sz w:val="20"/>
                <w:szCs w:val="20"/>
                <w:color w:val="auto"/>
              </w:rPr>
            </w:pPr>
            <w:r>
              <w:rPr>
                <w:rFonts w:ascii="Arial" w:cs="Arial" w:eastAsia="Arial" w:hAnsi="Arial"/>
                <w:sz w:val="12"/>
                <w:szCs w:val="12"/>
                <w:b w:val="1"/>
                <w:bCs w:val="1"/>
                <w:color w:val="auto"/>
              </w:rPr>
              <w:t>Same-store cash NOI</w:t>
            </w: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479,962</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452,841</w:t>
            </w:r>
          </w:p>
        </w:tc>
        <w:tc>
          <w:tcPr>
            <w:tcW w:w="10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58,620</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rPr>
              <w:t>55,189</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160"/>
          </w:cols>
          <w:pgMar w:left="880" w:top="322" w:right="85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5"/>
          <w:szCs w:val="15"/>
          <w:b w:val="1"/>
          <w:bCs w:val="1"/>
          <w:color w:val="auto"/>
        </w:rPr>
        <w:t>SL GREEN REALTY CORP.</w:t>
      </w:r>
    </w:p>
    <w:p>
      <w:pPr>
        <w:spacing w:after="0" w:line="15"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SELECTED OPERATING DATA-UNAUDITED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40" w:type="dxa"/>
            <w:vAlign w:val="bottom"/>
          </w:tcPr>
          <w:p>
            <w:pPr>
              <w:spacing w:after="0"/>
              <w:rPr>
                <w:sz w:val="13"/>
                <w:szCs w:val="13"/>
                <w:color w:val="auto"/>
              </w:rPr>
            </w:pPr>
          </w:p>
        </w:tc>
        <w:tc>
          <w:tcPr>
            <w:tcW w:w="7240" w:type="dxa"/>
            <w:vAlign w:val="bottom"/>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gridSpan w:val="3"/>
          </w:tcPr>
          <w:p>
            <w:pPr>
              <w:jc w:val="right"/>
              <w:ind w:right="182"/>
              <w:spacing w:after="0"/>
              <w:rPr>
                <w:sz w:val="20"/>
                <w:szCs w:val="20"/>
                <w:color w:val="auto"/>
              </w:rPr>
            </w:pPr>
            <w:r>
              <w:rPr>
                <w:rFonts w:ascii="Arial" w:cs="Arial" w:eastAsia="Arial" w:hAnsi="Arial"/>
                <w:sz w:val="12"/>
                <w:szCs w:val="12"/>
                <w:b w:val="1"/>
                <w:bCs w:val="1"/>
                <w:color w:val="auto"/>
              </w:rPr>
              <w:t>September 30,</w:t>
            </w:r>
          </w:p>
        </w:tc>
        <w:tc>
          <w:tcPr>
            <w:tcW w:w="1220" w:type="dxa"/>
            <w:vAlign w:val="bottom"/>
            <w:tcBorders>
              <w:bottom w:val="single" w:sz="8" w:color="auto"/>
            </w:tcBorders>
          </w:tcPr>
          <w:p>
            <w:pPr>
              <w:spacing w:after="0"/>
              <w:rPr>
                <w:sz w:val="13"/>
                <w:szCs w:val="13"/>
                <w:color w:val="auto"/>
              </w:rPr>
            </w:pPr>
          </w:p>
        </w:tc>
      </w:tr>
      <w:tr>
        <w:trPr>
          <w:trHeight w:val="205"/>
        </w:trPr>
        <w:tc>
          <w:tcPr>
            <w:tcW w:w="540" w:type="dxa"/>
            <w:vAlign w:val="bottom"/>
          </w:tcPr>
          <w:p>
            <w:pPr>
              <w:spacing w:after="0"/>
              <w:rPr>
                <w:sz w:val="17"/>
                <w:szCs w:val="17"/>
                <w:color w:val="auto"/>
              </w:rPr>
            </w:pPr>
          </w:p>
        </w:tc>
        <w:tc>
          <w:tcPr>
            <w:tcW w:w="7240" w:type="dxa"/>
            <w:vAlign w:val="bottom"/>
          </w:tcPr>
          <w:p>
            <w:pPr>
              <w:spacing w:after="0"/>
              <w:rPr>
                <w:sz w:val="17"/>
                <w:szCs w:val="17"/>
                <w:color w:val="auto"/>
              </w:rPr>
            </w:pPr>
          </w:p>
        </w:tc>
        <w:tc>
          <w:tcPr>
            <w:tcW w:w="10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2016</w:t>
            </w:r>
          </w:p>
        </w:tc>
        <w:tc>
          <w:tcPr>
            <w:tcW w:w="6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682"/>
              <w:spacing w:after="0"/>
              <w:rPr>
                <w:sz w:val="20"/>
                <w:szCs w:val="20"/>
                <w:color w:val="auto"/>
              </w:rPr>
            </w:pPr>
            <w:r>
              <w:rPr>
                <w:rFonts w:ascii="Arial" w:cs="Arial" w:eastAsia="Arial" w:hAnsi="Arial"/>
                <w:sz w:val="12"/>
                <w:szCs w:val="12"/>
                <w:b w:val="1"/>
                <w:bCs w:val="1"/>
                <w:color w:val="auto"/>
              </w:rPr>
              <w:t>2015</w:t>
            </w:r>
          </w:p>
        </w:tc>
      </w:tr>
      <w:tr>
        <w:trPr>
          <w:trHeight w:val="209"/>
        </w:trPr>
        <w:tc>
          <w:tcPr>
            <w:tcW w:w="7780" w:type="dxa"/>
            <w:vAlign w:val="bottom"/>
            <w:gridSpan w:val="2"/>
          </w:tcPr>
          <w:p>
            <w:pPr>
              <w:spacing w:after="0"/>
              <w:rPr>
                <w:sz w:val="20"/>
                <w:szCs w:val="20"/>
                <w:color w:val="auto"/>
              </w:rPr>
            </w:pPr>
            <w:r>
              <w:rPr>
                <w:rFonts w:ascii="Arial" w:cs="Arial" w:eastAsia="Arial" w:hAnsi="Arial"/>
                <w:sz w:val="12"/>
                <w:szCs w:val="12"/>
                <w:b w:val="1"/>
                <w:bCs w:val="1"/>
                <w:color w:val="auto"/>
              </w:rPr>
              <w:t xml:space="preserve">Manhattan Operating Data: </w:t>
            </w:r>
            <w:r>
              <w:rPr>
                <w:rFonts w:ascii="Arial" w:cs="Arial" w:eastAsia="Arial" w:hAnsi="Arial"/>
                <w:sz w:val="7"/>
                <w:szCs w:val="7"/>
                <w:color w:val="auto"/>
              </w:rPr>
              <w:t>(1)</w:t>
            </w:r>
          </w:p>
        </w:tc>
        <w:tc>
          <w:tcPr>
            <w:tcW w:w="10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Net rentable area at end of period (in 000’s)</w:t>
            </w:r>
          </w:p>
        </w:tc>
        <w:tc>
          <w:tcPr>
            <w:tcW w:w="1060" w:type="dxa"/>
            <w:vAlign w:val="bottom"/>
          </w:tcPr>
          <w:p>
            <w:pPr>
              <w:spacing w:after="0"/>
              <w:rPr>
                <w:sz w:val="19"/>
                <w:szCs w:val="19"/>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22,613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24,029</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Portfolio percentage leased at end of period</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95.4%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94.5%</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Same-Store percentage leased at end of period</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96.3%</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96.7%</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Number of properties in operation</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31</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32</w:t>
            </w:r>
          </w:p>
        </w:tc>
      </w:tr>
      <w:tr>
        <w:trPr>
          <w:trHeight w:val="404"/>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Office square feet where leases commenced during quarter ended (rentable)</w:t>
            </w:r>
          </w:p>
        </w:tc>
        <w:tc>
          <w:tcPr>
            <w:tcW w:w="1060" w:type="dxa"/>
            <w:vAlign w:val="bottom"/>
          </w:tcPr>
          <w:p>
            <w:pPr>
              <w:spacing w:after="0"/>
              <w:rPr>
                <w:sz w:val="24"/>
                <w:szCs w:val="24"/>
                <w:color w:val="auto"/>
              </w:rPr>
            </w:pPr>
          </w:p>
        </w:tc>
        <w:tc>
          <w:tcPr>
            <w:tcW w:w="660" w:type="dxa"/>
            <w:vAlign w:val="bottom"/>
          </w:tcPr>
          <w:p>
            <w:pPr>
              <w:jc w:val="right"/>
              <w:ind w:right="62"/>
              <w:spacing w:after="0"/>
              <w:rPr>
                <w:sz w:val="20"/>
                <w:szCs w:val="20"/>
                <w:color w:val="auto"/>
              </w:rPr>
            </w:pPr>
            <w:r>
              <w:rPr>
                <w:rFonts w:ascii="Arial" w:cs="Arial" w:eastAsia="Arial" w:hAnsi="Arial"/>
                <w:sz w:val="12"/>
                <w:szCs w:val="12"/>
                <w:color w:val="auto"/>
                <w:w w:val="97"/>
              </w:rPr>
              <w:t>1,195,004</w:t>
            </w: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289,016</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Average mark-to-market percentage-office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18.4%</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2"/>
                <w:szCs w:val="12"/>
                <w:color w:val="auto"/>
              </w:rPr>
              <w:t>26.8%</w:t>
            </w:r>
          </w:p>
        </w:tc>
      </w:tr>
      <w:tr>
        <w:trPr>
          <w:trHeight w:val="219"/>
        </w:trPr>
        <w:tc>
          <w:tcPr>
            <w:tcW w:w="7780" w:type="dxa"/>
            <w:vAlign w:val="bottom"/>
            <w:gridSpan w:val="2"/>
          </w:tcPr>
          <w:p>
            <w:pPr>
              <w:ind w:left="120"/>
              <w:spacing w:after="0"/>
              <w:rPr>
                <w:sz w:val="20"/>
                <w:szCs w:val="20"/>
                <w:color w:val="auto"/>
              </w:rPr>
            </w:pPr>
            <w:r>
              <w:rPr>
                <w:rFonts w:ascii="Arial" w:cs="Arial" w:eastAsia="Arial" w:hAnsi="Arial"/>
                <w:sz w:val="12"/>
                <w:szCs w:val="12"/>
                <w:color w:val="auto"/>
              </w:rPr>
              <w:t>Average starting cash rent per rentable square foot-office</w:t>
            </w:r>
          </w:p>
        </w:tc>
        <w:tc>
          <w:tcPr>
            <w:tcW w:w="1060" w:type="dxa"/>
            <w:vAlign w:val="bottom"/>
          </w:tcPr>
          <w:p>
            <w:pPr>
              <w:jc w:val="right"/>
              <w:ind w:right="922"/>
              <w:spacing w:after="0"/>
              <w:rPr>
                <w:sz w:val="20"/>
                <w:szCs w:val="20"/>
                <w:color w:val="auto"/>
              </w:rPr>
            </w:pPr>
            <w:r>
              <w:rPr>
                <w:rFonts w:ascii="Arial" w:cs="Arial" w:eastAsia="Arial" w:hAnsi="Arial"/>
                <w:sz w:val="12"/>
                <w:szCs w:val="12"/>
                <w:color w:val="auto"/>
                <w:w w:val="89"/>
              </w:rPr>
              <w:t>$</w:t>
            </w:r>
          </w:p>
        </w:tc>
        <w:tc>
          <w:tcPr>
            <w:tcW w:w="660" w:type="dxa"/>
            <w:vAlign w:val="bottom"/>
          </w:tcPr>
          <w:p>
            <w:pPr>
              <w:jc w:val="right"/>
              <w:ind w:right="62"/>
              <w:spacing w:after="0"/>
              <w:rPr>
                <w:sz w:val="20"/>
                <w:szCs w:val="20"/>
                <w:color w:val="auto"/>
              </w:rPr>
            </w:pPr>
            <w:r>
              <w:rPr>
                <w:rFonts w:ascii="Arial" w:cs="Arial" w:eastAsia="Arial" w:hAnsi="Arial"/>
                <w:sz w:val="12"/>
                <w:szCs w:val="12"/>
                <w:color w:val="auto"/>
              </w:rPr>
              <w:t>73.22</w:t>
            </w:r>
          </w:p>
        </w:tc>
        <w:tc>
          <w:tcPr>
            <w:tcW w:w="220" w:type="dxa"/>
            <w:vAlign w:val="bottom"/>
          </w:tcPr>
          <w:p>
            <w:pPr>
              <w:spacing w:after="0"/>
              <w:rPr>
                <w:sz w:val="19"/>
                <w:szCs w:val="19"/>
                <w:color w:val="auto"/>
              </w:rPr>
            </w:pP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1220" w:type="dxa"/>
            <w:vAlign w:val="bottom"/>
          </w:tcPr>
          <w:p>
            <w:pPr>
              <w:jc w:val="right"/>
              <w:ind w:right="62"/>
              <w:spacing w:after="0"/>
              <w:rPr>
                <w:sz w:val="20"/>
                <w:szCs w:val="20"/>
                <w:color w:val="auto"/>
              </w:rPr>
            </w:pPr>
            <w:r>
              <w:rPr>
                <w:rFonts w:ascii="Arial" w:cs="Arial" w:eastAsia="Arial" w:hAnsi="Arial"/>
                <w:sz w:val="12"/>
                <w:szCs w:val="12"/>
                <w:color w:val="auto"/>
              </w:rPr>
              <w:t>70.45</w:t>
            </w:r>
          </w:p>
        </w:tc>
      </w:tr>
      <w:tr>
        <w:trPr>
          <w:trHeight w:val="317"/>
        </w:trPr>
        <w:tc>
          <w:tcPr>
            <w:tcW w:w="540" w:type="dxa"/>
            <w:vAlign w:val="bottom"/>
          </w:tcPr>
          <w:p>
            <w:pPr>
              <w:ind w:left="320"/>
              <w:spacing w:after="0"/>
              <w:rPr>
                <w:sz w:val="20"/>
                <w:szCs w:val="20"/>
                <w:color w:val="auto"/>
              </w:rPr>
            </w:pPr>
            <w:r>
              <w:rPr>
                <w:rFonts w:ascii="Arial" w:cs="Arial" w:eastAsia="Arial" w:hAnsi="Arial"/>
                <w:sz w:val="12"/>
                <w:szCs w:val="12"/>
                <w:color w:val="auto"/>
              </w:rPr>
              <w:t>(1)</w:t>
            </w:r>
          </w:p>
        </w:tc>
        <w:tc>
          <w:tcPr>
            <w:tcW w:w="7240" w:type="dxa"/>
            <w:vAlign w:val="bottom"/>
          </w:tcPr>
          <w:p>
            <w:pPr>
              <w:ind w:left="100"/>
              <w:spacing w:after="0"/>
              <w:rPr>
                <w:sz w:val="20"/>
                <w:szCs w:val="20"/>
                <w:color w:val="auto"/>
              </w:rPr>
            </w:pPr>
            <w:r>
              <w:rPr>
                <w:rFonts w:ascii="Arial" w:cs="Arial" w:eastAsia="Arial" w:hAnsi="Arial"/>
                <w:sz w:val="12"/>
                <w:szCs w:val="12"/>
                <w:color w:val="auto"/>
              </w:rPr>
              <w:t>Includes wholly-owned and joint venture properties.</w:t>
            </w: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440"/>
          </w:cols>
          <w:pgMar w:left="240" w:top="322" w:right="219" w:bottom="1440"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311150</wp:posOffset>
            </wp:positionV>
            <wp:extent cx="7323455" cy="51841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323455" cy="518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SL Green Realty Corp. is a fully integrated, self-administered and self-managed Real Estate Investment Trust, or REIT, that primarily acquires, owns, manages, leases and repositions office properties in emerging, high-growth submarkets of Manhattan.</w:t>
      </w:r>
    </w:p>
    <w:p>
      <w:pPr>
        <w:spacing w:after="0" w:line="175" w:lineRule="exact"/>
        <w:rPr>
          <w:sz w:val="20"/>
          <w:szCs w:val="20"/>
          <w:color w:val="auto"/>
        </w:rPr>
      </w:pPr>
    </w:p>
    <w:p>
      <w:pPr>
        <w:ind w:left="540" w:hanging="270"/>
        <w:spacing w:after="0" w:line="242"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6"/>
          <w:szCs w:val="16"/>
          <w:color w:val="auto"/>
        </w:rPr>
        <w:t>SL Green’s common stock is listed on the New York Stock Exchange, and trades under the symbol SLG.</w:t>
      </w:r>
    </w:p>
    <w:p>
      <w:pPr>
        <w:jc w:val="both"/>
        <w:ind w:left="540" w:hanging="270"/>
        <w:spacing w:after="0" w:line="242"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6"/>
          <w:szCs w:val="16"/>
          <w:color w:val="auto"/>
        </w:rPr>
        <w:t xml:space="preserve">SL Green maintains an internet site at </w:t>
      </w:r>
      <w:r>
        <w:rPr>
          <w:rFonts w:ascii="Arial" w:cs="Arial" w:eastAsia="Arial" w:hAnsi="Arial"/>
          <w:sz w:val="16"/>
          <w:szCs w:val="16"/>
          <w:b w:val="1"/>
          <w:bCs w:val="1"/>
          <w:color w:val="auto"/>
        </w:rPr>
        <w:t>www.slgreen.com</w:t>
      </w:r>
      <w:r>
        <w:rPr>
          <w:rFonts w:ascii="Arial" w:cs="Arial" w:eastAsia="Arial" w:hAnsi="Arial"/>
          <w:sz w:val="16"/>
          <w:szCs w:val="16"/>
          <w:color w:val="auto"/>
        </w:rPr>
        <w:t xml:space="preserve"> at which most key investor relations data pertaining to dividend declaration, payout, current and historic share price, etc. can be found. Such information is not incorporated into this supplemental financial package. This supplemental financial package is available through the Company’s internet site.</w:t>
      </w:r>
    </w:p>
    <w:p>
      <w:pPr>
        <w:spacing w:after="0" w:line="1" w:lineRule="exact"/>
        <w:rPr>
          <w:rFonts w:ascii="Arial" w:cs="Arial" w:eastAsia="Arial" w:hAnsi="Arial"/>
          <w:sz w:val="15"/>
          <w:szCs w:val="15"/>
          <w:color w:val="auto"/>
        </w:rPr>
      </w:pPr>
    </w:p>
    <w:p>
      <w:pPr>
        <w:jc w:val="both"/>
        <w:ind w:left="540" w:hanging="270"/>
        <w:spacing w:after="0" w:line="244" w:lineRule="auto"/>
        <w:tabs>
          <w:tab w:leader="none" w:pos="540" w:val="left"/>
        </w:tabs>
        <w:numPr>
          <w:ilvl w:val="0"/>
          <w:numId w:val="9"/>
        </w:numPr>
        <w:rPr>
          <w:rFonts w:ascii="Arial" w:cs="Arial" w:eastAsia="Arial" w:hAnsi="Arial"/>
          <w:sz w:val="15"/>
          <w:szCs w:val="15"/>
          <w:color w:val="auto"/>
        </w:rPr>
      </w:pPr>
      <w:r>
        <w:rPr>
          <w:rFonts w:ascii="Arial" w:cs="Arial" w:eastAsia="Arial" w:hAnsi="Arial"/>
          <w:sz w:val="16"/>
          <w:szCs w:val="16"/>
          <w:color w:val="auto"/>
        </w:rPr>
        <w:t>This data is furnished to supplement audited and unaudited regulatory filings of the Company and should be read in conjunction with those filings. The financial data herein is unaudited and is provided from the perspective of timeliness to assist readers of quarterly and annual financial filings. As such, data otherwise contained in future regulatory filings covering the same period may restate the data presented herein.</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Questions pertaining to the information contained herein should be referred to Investor Relations at investor.relations@slgreen.com or at 212-594-2700.</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Ratings</w:t>
      </w:r>
    </w:p>
    <w:p>
      <w:pPr>
        <w:spacing w:after="0" w:line="2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Ratings are not recommendations to buy, sell or hold the Company’s securities.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SLG Interest</w:t>
      </w:r>
    </w:p>
    <w:p>
      <w:pPr>
        <w:spacing w:after="0" w:line="22"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We highlight to investors that 'SLG Interest' is computed by multiplying each financial statement line items by the Company's percentage ownership in the respective joint ventures and may not accurately depict the legal and economic implications of holding a non-controlling interest in the joint ventures.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Forward-looking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-3183890</wp:posOffset>
            </wp:positionH>
            <wp:positionV relativeFrom="paragraph">
              <wp:posOffset>-1003935</wp:posOffset>
            </wp:positionV>
            <wp:extent cx="6412230"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12230" cy="27940"/>
                    </a:xfrm>
                    <a:prstGeom prst="rect">
                      <a:avLst/>
                    </a:prstGeom>
                    <a:noFill/>
                  </pic:spPr>
                </pic:pic>
              </a:graphicData>
            </a:graphic>
          </wp:anchor>
        </w:drawing>
        <w:drawing>
          <wp:anchor simplePos="0" relativeHeight="251657728" behindDoc="1" locked="0" layoutInCell="0" allowOverlap="1">
            <wp:simplePos x="0" y="0"/>
            <wp:positionH relativeFrom="column">
              <wp:posOffset>-3183890</wp:posOffset>
            </wp:positionH>
            <wp:positionV relativeFrom="paragraph">
              <wp:posOffset>-892810</wp:posOffset>
            </wp:positionV>
            <wp:extent cx="6412230" cy="4305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2" w:lineRule="exact"/>
        <w:rPr>
          <w:sz w:val="20"/>
          <w:szCs w:val="20"/>
          <w:color w:val="auto"/>
        </w:rPr>
      </w:pPr>
    </w:p>
    <w:p>
      <w:pPr>
        <w:jc w:val="both"/>
        <w:ind w:left="260"/>
        <w:spacing w:after="0" w:line="243" w:lineRule="auto"/>
        <w:rPr>
          <w:sz w:val="20"/>
          <w:szCs w:val="20"/>
          <w:color w:val="auto"/>
        </w:rPr>
      </w:pPr>
      <w:r>
        <w:rPr>
          <w:rFonts w:ascii="Arial" w:cs="Arial" w:eastAsia="Arial" w:hAnsi="Arial"/>
          <w:sz w:val="16"/>
          <w:szCs w:val="16"/>
          <w:i w:val="1"/>
          <w:iCs w:val="1"/>
          <w:color w:val="auto"/>
        </w:rPr>
        <w:t>This press release includes certain statements that may be deemed to be "forward-looking statements" within the meaning of the Private Securities Litigation Reform Act of 1995 and are intended to be covered by the safe harbor provisions thereof. All statements, other than statements of historical facts, included in this press release that address activities, events or developments that we expect, believe or anticipate will or may occur in the future, are forward-looking statements. Forward-looking statements are not guarantees of future performance and we caution you not to place undue reliance on such statements. Forward-looking statements are generally identifiable by the use of the words "may," "will," "should," "expect," "anticipate," "estimate," "believe," "intend," "project," "continue," or the negative of these words, or other similar words or terms.</w:t>
      </w:r>
    </w:p>
    <w:p>
      <w:pPr>
        <w:spacing w:after="0" w:line="164" w:lineRule="exact"/>
        <w:rPr>
          <w:sz w:val="20"/>
          <w:szCs w:val="20"/>
          <w:color w:val="auto"/>
        </w:rPr>
      </w:pPr>
    </w:p>
    <w:p>
      <w:pPr>
        <w:jc w:val="both"/>
        <w:ind w:left="260"/>
        <w:spacing w:after="0" w:line="245" w:lineRule="auto"/>
        <w:rPr>
          <w:sz w:val="20"/>
          <w:szCs w:val="20"/>
          <w:color w:val="auto"/>
        </w:rPr>
      </w:pPr>
      <w:r>
        <w:rPr>
          <w:rFonts w:ascii="Arial" w:cs="Arial" w:eastAsia="Arial" w:hAnsi="Arial"/>
          <w:sz w:val="16"/>
          <w:szCs w:val="16"/>
          <w:i w:val="1"/>
          <w:iCs w:val="1"/>
          <w:color w:val="auto"/>
        </w:rPr>
        <w:t>Forward-looking statements contained in this press release are subject to a number of risks and uncertainties, many of which are beyond our control, that may cause our actual results, performance or achievements to be materially different from future results, performance or achievements expressed or implied by forward-looking statements made by us. Factors and risks to our business that could cause actual results to differ from those contained in the forward-looking statements are described in our filings with the Securities and Exchange Commission. We undertake no obligation to publicly update or revise any forward-looking statements, whether as a result of future events, new information or otherwise.</w:t>
      </w:r>
    </w:p>
    <w:p>
      <w:pPr>
        <w:spacing w:after="0" w:line="171" w:lineRule="exact"/>
        <w:rPr>
          <w:sz w:val="20"/>
          <w:szCs w:val="20"/>
          <w:color w:val="auto"/>
        </w:rPr>
      </w:pPr>
    </w:p>
    <w:p>
      <w:pPr>
        <w:jc w:val="both"/>
        <w:ind w:left="260"/>
        <w:spacing w:after="0" w:line="246" w:lineRule="auto"/>
        <w:rPr>
          <w:sz w:val="20"/>
          <w:szCs w:val="20"/>
          <w:color w:val="auto"/>
        </w:rPr>
      </w:pPr>
      <w:r>
        <w:rPr>
          <w:rFonts w:ascii="Arial" w:cs="Arial" w:eastAsia="Arial" w:hAnsi="Arial"/>
          <w:sz w:val="16"/>
          <w:szCs w:val="16"/>
          <w:color w:val="auto"/>
        </w:rPr>
        <w:t>The following discussion related to the consolidated financial statements of the Company should be read in conjunction with the financial statements for the quarter ended September 30, 2016 that will be released on Form 10-Q to be filed on or before November 9,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color w:val="auto"/>
        </w:rPr>
        <w:t>2</w:t>
      </w:r>
    </w:p>
    <w:p>
      <w:pPr>
        <w:sectPr>
          <w:pgSz w:w="11900" w:h="16838" w:orient="portrait"/>
          <w:cols w:equalWidth="0" w:num="2">
            <w:col w:w="5500" w:space="200"/>
            <w:col w:w="5760"/>
          </w:cols>
          <w:pgMar w:left="220" w:top="1440"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-83185</wp:posOffset>
            </wp:positionV>
            <wp:extent cx="6412230" cy="4305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ectPr>
          <w:pgSz w:w="11900" w:h="16838" w:orient="portrait"/>
          <w:cols w:equalWidth="0" w:num="1">
            <w:col w:w="9559"/>
          </w:cols>
          <w:pgMar w:left="900" w:top="3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680" w:type="dxa"/>
        <w:tblCellMar>
          <w:top w:w="0" w:type="dxa"/>
          <w:left w:w="0" w:type="dxa"/>
          <w:bottom w:w="0" w:type="dxa"/>
          <w:right w:w="0" w:type="dxa"/>
        </w:tblCellMar>
      </w:tblPr>
      <w:tr>
        <w:trPr>
          <w:trHeight w:val="213"/>
        </w:trPr>
        <w:tc>
          <w:tcPr>
            <w:tcW w:w="6200" w:type="dxa"/>
            <w:vAlign w:val="bottom"/>
          </w:tcPr>
          <w:p>
            <w:pPr>
              <w:spacing w:after="0"/>
              <w:rPr>
                <w:sz w:val="20"/>
                <w:szCs w:val="20"/>
                <w:color w:val="auto"/>
              </w:rPr>
            </w:pPr>
            <w:r>
              <w:rPr>
                <w:rFonts w:ascii="Arial" w:cs="Arial" w:eastAsia="Arial" w:hAnsi="Arial"/>
                <w:sz w:val="16"/>
                <w:szCs w:val="16"/>
                <w:b w:val="1"/>
                <w:bCs w:val="1"/>
                <w:color w:val="auto"/>
              </w:rPr>
              <w:t>Highlights of Current Period Financial Performance</w:t>
            </w:r>
          </w:p>
        </w:tc>
        <w:tc>
          <w:tcPr>
            <w:tcW w:w="2340" w:type="dxa"/>
            <w:vAlign w:val="bottom"/>
          </w:tcPr>
          <w:p>
            <w:pPr>
              <w:spacing w:after="0"/>
              <w:rPr>
                <w:sz w:val="18"/>
                <w:szCs w:val="18"/>
                <w:color w:val="auto"/>
              </w:rPr>
            </w:pP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Unaudited Financial Statements</w:t>
            </w:r>
          </w:p>
        </w:tc>
        <w:tc>
          <w:tcPr>
            <w:tcW w:w="2340" w:type="dxa"/>
            <w:vAlign w:val="bottom"/>
          </w:tcPr>
          <w:p>
            <w:pPr>
              <w:spacing w:after="0"/>
              <w:rPr>
                <w:sz w:val="24"/>
                <w:szCs w:val="24"/>
                <w:color w:val="auto"/>
              </w:rPr>
            </w:pP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Supplemental Definitions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89"/>
              </w:rPr>
              <w:t>4</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Corporate Profile</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89"/>
              </w:rPr>
              <w:t>5</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Highlights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9"/>
              </w:rPr>
              <w:t>6-13</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Comparative Balance Sheets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14-15</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Comparative Statements of Operations</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16</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Comparative Computation of FFO and FAD</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17</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Consolidated Statement of Equity</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18</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Joint Venture Statements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19-21</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Selected Financial Data</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22-25</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Debt Summary Schedule</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26-28</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Summary of Ground Lease Arrangements</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29</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Debt and Preferred Equity Investments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30-32</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Selected Property Data</w:t>
            </w:r>
          </w:p>
        </w:tc>
        <w:tc>
          <w:tcPr>
            <w:tcW w:w="2340" w:type="dxa"/>
            <w:vAlign w:val="bottom"/>
          </w:tcPr>
          <w:p>
            <w:pPr>
              <w:spacing w:after="0"/>
              <w:rPr>
                <w:sz w:val="24"/>
                <w:szCs w:val="24"/>
                <w:color w:val="auto"/>
              </w:rPr>
            </w:pP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Composition of Property Portfolio</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33-40</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Largest Tenants</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41</w:t>
            </w:r>
          </w:p>
        </w:tc>
      </w:tr>
      <w:tr>
        <w:trPr>
          <w:trHeight w:val="219"/>
        </w:trPr>
        <w:tc>
          <w:tcPr>
            <w:tcW w:w="6200" w:type="dxa"/>
            <w:vAlign w:val="bottom"/>
          </w:tcPr>
          <w:p>
            <w:pPr>
              <w:ind w:left="460"/>
              <w:spacing w:after="0"/>
              <w:rPr>
                <w:sz w:val="20"/>
                <w:szCs w:val="20"/>
                <w:color w:val="auto"/>
              </w:rPr>
            </w:pPr>
            <w:r>
              <w:rPr>
                <w:rFonts w:ascii="Arial" w:cs="Arial" w:eastAsia="Arial" w:hAnsi="Arial"/>
                <w:sz w:val="16"/>
                <w:szCs w:val="16"/>
                <w:color w:val="auto"/>
              </w:rPr>
              <w:t>Tenant Diversification</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42</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Leasing Activity Summary</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43-47</w:t>
            </w:r>
          </w:p>
        </w:tc>
      </w:tr>
      <w:tr>
        <w:trPr>
          <w:trHeight w:val="219"/>
        </w:trPr>
        <w:tc>
          <w:tcPr>
            <w:tcW w:w="6200" w:type="dxa"/>
            <w:vAlign w:val="bottom"/>
          </w:tcPr>
          <w:p>
            <w:pPr>
              <w:ind w:left="440"/>
              <w:spacing w:after="0"/>
              <w:rPr>
                <w:sz w:val="20"/>
                <w:szCs w:val="20"/>
                <w:color w:val="auto"/>
              </w:rPr>
            </w:pPr>
            <w:r>
              <w:rPr>
                <w:rFonts w:ascii="Arial" w:cs="Arial" w:eastAsia="Arial" w:hAnsi="Arial"/>
                <w:sz w:val="16"/>
                <w:szCs w:val="16"/>
                <w:color w:val="auto"/>
              </w:rPr>
              <w:t>Annual Lease Expirations</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48-50</w:t>
            </w:r>
          </w:p>
        </w:tc>
      </w:tr>
      <w:tr>
        <w:trPr>
          <w:trHeight w:val="481"/>
        </w:trPr>
        <w:tc>
          <w:tcPr>
            <w:tcW w:w="6200" w:type="dxa"/>
            <w:vAlign w:val="bottom"/>
          </w:tcPr>
          <w:p>
            <w:pPr>
              <w:spacing w:after="0"/>
              <w:rPr>
                <w:sz w:val="20"/>
                <w:szCs w:val="20"/>
                <w:color w:val="auto"/>
              </w:rPr>
            </w:pPr>
            <w:r>
              <w:rPr>
                <w:rFonts w:ascii="Arial" w:cs="Arial" w:eastAsia="Arial" w:hAnsi="Arial"/>
                <w:sz w:val="16"/>
                <w:szCs w:val="16"/>
                <w:b w:val="1"/>
                <w:bCs w:val="1"/>
                <w:color w:val="auto"/>
              </w:rPr>
              <w:t>Summary of Real Estate Acquisition/Disposition Activity</w:t>
            </w:r>
          </w:p>
        </w:tc>
        <w:tc>
          <w:tcPr>
            <w:tcW w:w="2340" w:type="dxa"/>
            <w:vAlign w:val="bottom"/>
          </w:tcPr>
          <w:p>
            <w:pPr>
              <w:jc w:val="center"/>
              <w:ind w:left="1860"/>
              <w:spacing w:after="0"/>
              <w:rPr>
                <w:sz w:val="20"/>
                <w:szCs w:val="20"/>
                <w:color w:val="auto"/>
              </w:rPr>
            </w:pPr>
            <w:r>
              <w:rPr>
                <w:rFonts w:ascii="Arial" w:cs="Arial" w:eastAsia="Arial" w:hAnsi="Arial"/>
                <w:sz w:val="16"/>
                <w:szCs w:val="16"/>
                <w:color w:val="auto"/>
                <w:w w:val="97"/>
              </w:rPr>
              <w:t>51-55</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Corporate Information</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56</w:t>
            </w:r>
          </w:p>
        </w:tc>
      </w:tr>
      <w:tr>
        <w:trPr>
          <w:trHeight w:val="219"/>
        </w:trPr>
        <w:tc>
          <w:tcPr>
            <w:tcW w:w="6200" w:type="dxa"/>
            <w:vAlign w:val="bottom"/>
          </w:tcPr>
          <w:p>
            <w:pPr>
              <w:spacing w:after="0"/>
              <w:rPr>
                <w:sz w:val="20"/>
                <w:szCs w:val="20"/>
                <w:color w:val="auto"/>
              </w:rPr>
            </w:pPr>
            <w:r>
              <w:rPr>
                <w:rFonts w:ascii="Arial" w:cs="Arial" w:eastAsia="Arial" w:hAnsi="Arial"/>
                <w:sz w:val="16"/>
                <w:szCs w:val="16"/>
                <w:b w:val="1"/>
                <w:bCs w:val="1"/>
                <w:color w:val="auto"/>
              </w:rPr>
              <w:t>Analyst Coverage</w:t>
            </w:r>
          </w:p>
        </w:tc>
        <w:tc>
          <w:tcPr>
            <w:tcW w:w="2340" w:type="dxa"/>
            <w:vAlign w:val="bottom"/>
          </w:tcPr>
          <w:p>
            <w:pPr>
              <w:jc w:val="center"/>
              <w:ind w:left="1840"/>
              <w:spacing w:after="0"/>
              <w:rPr>
                <w:sz w:val="20"/>
                <w:szCs w:val="20"/>
                <w:color w:val="auto"/>
              </w:rPr>
            </w:pPr>
            <w:r>
              <w:rPr>
                <w:rFonts w:ascii="Arial" w:cs="Arial" w:eastAsia="Arial" w:hAnsi="Arial"/>
                <w:sz w:val="16"/>
                <w:szCs w:val="16"/>
                <w:color w:val="auto"/>
              </w:rPr>
              <w:t>57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5020"/>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9559"/>
          </w:cols>
          <w:pgMar w:left="900" w:top="338" w:right="1440" w:bottom="1440" w:gutter="0" w:footer="0" w:header="0"/>
          <w:type w:val="continuous"/>
        </w:sectPr>
      </w:pPr>
    </w:p>
    <w:bookmarkStart w:id="19" w:name="page20"/>
    <w:bookmarkEnd w:id="19"/>
    <w:p>
      <w:pPr>
        <w:ind w:left="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SUPPLEMENTAL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-41275</wp:posOffset>
            </wp:positionV>
            <wp:extent cx="6412230" cy="43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ectPr>
          <w:pgSz w:w="11900" w:h="16838" w:orient="portrait"/>
          <w:cols w:equalWidth="0" w:num="1">
            <w:col w:w="11460"/>
          </w:cols>
          <w:pgMar w:left="220" w:top="338"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color w:val="auto"/>
        </w:rPr>
        <w:t xml:space="preserve">Annualized rent </w:t>
      </w:r>
      <w:r>
        <w:rPr>
          <w:rFonts w:ascii="Arial" w:cs="Arial" w:eastAsia="Arial" w:hAnsi="Arial"/>
          <w:sz w:val="13"/>
          <w:szCs w:val="13"/>
          <w:color w:val="auto"/>
        </w:rPr>
        <w:t>is calculated as monthly base rent and escalations per the lease, as of a</w:t>
      </w:r>
      <w:r>
        <w:rPr>
          <w:rFonts w:ascii="Arial" w:cs="Arial" w:eastAsia="Arial" w:hAnsi="Arial"/>
          <w:sz w:val="13"/>
          <w:szCs w:val="13"/>
          <w:b w:val="1"/>
          <w:bCs w:val="1"/>
          <w:color w:val="auto"/>
        </w:rPr>
        <w:t xml:space="preserve"> </w:t>
      </w:r>
      <w:r>
        <w:rPr>
          <w:rFonts w:ascii="Arial" w:cs="Arial" w:eastAsia="Arial" w:hAnsi="Arial"/>
          <w:sz w:val="13"/>
          <w:szCs w:val="13"/>
          <w:color w:val="auto"/>
        </w:rPr>
        <w:t>certain date, multiplied by 12.</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Debt service coverage </w:t>
      </w:r>
      <w:r>
        <w:rPr>
          <w:rFonts w:ascii="Arial" w:cs="Arial" w:eastAsia="Arial" w:hAnsi="Arial"/>
          <w:sz w:val="13"/>
          <w:szCs w:val="13"/>
          <w:color w:val="auto"/>
        </w:rPr>
        <w:t>is adjusted EBITDA divided by total interest and principal payments.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 xml:space="preserve">EBITDA </w:t>
      </w:r>
      <w:r>
        <w:rPr>
          <w:rFonts w:ascii="Arial" w:cs="Arial" w:eastAsia="Arial" w:hAnsi="Arial"/>
          <w:sz w:val="13"/>
          <w:szCs w:val="13"/>
          <w:color w:val="auto"/>
        </w:rPr>
        <w:t>is calculated by adding transaction related costs and losses on early extinguishment</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of debt to operating income. </w:t>
      </w:r>
      <w:r>
        <w:rPr>
          <w:rFonts w:ascii="Arial" w:cs="Arial" w:eastAsia="Arial" w:hAnsi="Arial"/>
          <w:sz w:val="13"/>
          <w:szCs w:val="13"/>
          <w:b w:val="1"/>
          <w:bCs w:val="1"/>
          <w:color w:val="auto"/>
        </w:rPr>
        <w:t>Adjusted EBITDA</w:t>
      </w:r>
      <w:r>
        <w:rPr>
          <w:rFonts w:ascii="Arial" w:cs="Arial" w:eastAsia="Arial" w:hAnsi="Arial"/>
          <w:sz w:val="13"/>
          <w:szCs w:val="13"/>
          <w:color w:val="auto"/>
        </w:rPr>
        <w:t xml:space="preserve"> is calculated by adding income taxes, loan loss reserves and our share of joint venture depreciation and amortization to EBITDA.</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color w:val="auto"/>
        </w:rPr>
        <w:t xml:space="preserve">Fixed charge </w:t>
      </w:r>
      <w:r>
        <w:rPr>
          <w:rFonts w:ascii="Arial" w:cs="Arial" w:eastAsia="Arial" w:hAnsi="Arial"/>
          <w:sz w:val="13"/>
          <w:szCs w:val="13"/>
          <w:color w:val="auto"/>
        </w:rPr>
        <w:t>is the total payments for interest, principal amortization, ground leases and</w:t>
      </w:r>
      <w:r>
        <w:rPr>
          <w:rFonts w:ascii="Arial" w:cs="Arial" w:eastAsia="Arial" w:hAnsi="Arial"/>
          <w:sz w:val="13"/>
          <w:szCs w:val="13"/>
          <w:b w:val="1"/>
          <w:bCs w:val="1"/>
          <w:color w:val="auto"/>
        </w:rPr>
        <w:t xml:space="preserve"> </w:t>
      </w:r>
      <w:r>
        <w:rPr>
          <w:rFonts w:ascii="Arial" w:cs="Arial" w:eastAsia="Arial" w:hAnsi="Arial"/>
          <w:sz w:val="13"/>
          <w:szCs w:val="13"/>
          <w:color w:val="auto"/>
        </w:rPr>
        <w:t>preferred stock dividend.</w:t>
      </w:r>
    </w:p>
    <w:p>
      <w:pPr>
        <w:spacing w:after="0" w:line="1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Fixed charge coverage </w:t>
      </w:r>
      <w:r>
        <w:rPr>
          <w:rFonts w:ascii="Arial" w:cs="Arial" w:eastAsia="Arial" w:hAnsi="Arial"/>
          <w:sz w:val="13"/>
          <w:szCs w:val="13"/>
          <w:color w:val="auto"/>
        </w:rPr>
        <w:t>is adjusted EBITDA divided by fixed charge.</w:t>
      </w:r>
    </w:p>
    <w:p>
      <w:pPr>
        <w:spacing w:after="0" w:line="15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 xml:space="preserve">Funds available for distribution (FAD) </w:t>
      </w:r>
      <w:r>
        <w:rPr>
          <w:rFonts w:ascii="Arial" w:cs="Arial" w:eastAsia="Arial" w:hAnsi="Arial"/>
          <w:sz w:val="13"/>
          <w:szCs w:val="13"/>
          <w:color w:val="auto"/>
        </w:rPr>
        <w:t>is defined as FFO plus non-real estate depreciation,</w:t>
      </w:r>
      <w:r>
        <w:rPr>
          <w:rFonts w:ascii="Arial" w:cs="Arial" w:eastAsia="Arial" w:hAnsi="Arial"/>
          <w:sz w:val="13"/>
          <w:szCs w:val="13"/>
          <w:b w:val="1"/>
          <w:bCs w:val="1"/>
          <w:color w:val="auto"/>
        </w:rPr>
        <w:t xml:space="preserve"> </w:t>
      </w:r>
      <w:r>
        <w:rPr>
          <w:rFonts w:ascii="Arial" w:cs="Arial" w:eastAsia="Arial" w:hAnsi="Arial"/>
          <w:sz w:val="13"/>
          <w:szCs w:val="13"/>
          <w:color w:val="auto"/>
        </w:rPr>
        <w:t>allowance for straight line credit loss, adjustment for straight line ground rent, non-cash deferred compensation, a pro-rata adjustment for FAD for SLG’s unconsolidated JV, less straight line rental income, free rent net of amortization, second cycle tenant improvement and leasing costs, and recurring building improvements.</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 xml:space="preserve">Funds from operations (FFO) </w:t>
      </w:r>
      <w:r>
        <w:rPr>
          <w:rFonts w:ascii="Arial" w:cs="Arial" w:eastAsia="Arial" w:hAnsi="Arial"/>
          <w:sz w:val="13"/>
          <w:szCs w:val="13"/>
          <w:color w:val="auto"/>
        </w:rPr>
        <w:t>is defined under the White Paper approved by the Board of</w:t>
      </w:r>
      <w:r>
        <w:rPr>
          <w:rFonts w:ascii="Arial" w:cs="Arial" w:eastAsia="Arial" w:hAnsi="Arial"/>
          <w:sz w:val="13"/>
          <w:szCs w:val="13"/>
          <w:b w:val="1"/>
          <w:bCs w:val="1"/>
          <w:color w:val="auto"/>
        </w:rPr>
        <w:t xml:space="preserve"> </w:t>
      </w:r>
      <w:r>
        <w:rPr>
          <w:rFonts w:ascii="Arial" w:cs="Arial" w:eastAsia="Arial" w:hAnsi="Arial"/>
          <w:sz w:val="13"/>
          <w:szCs w:val="13"/>
          <w:color w:val="auto"/>
        </w:rPr>
        <w:t>Governors of NAREIT in April 2002, as amended, as net income (loss) (computed in accordance with GAAP), sales of properties and real estate related impairment charges, plus real estate depreciation and amortization and after adjustments for unconsolidated partnerships and joint ventures.</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Interest coverage </w:t>
      </w:r>
      <w:r>
        <w:rPr>
          <w:rFonts w:ascii="Arial" w:cs="Arial" w:eastAsia="Arial" w:hAnsi="Arial"/>
          <w:sz w:val="13"/>
          <w:szCs w:val="13"/>
          <w:color w:val="auto"/>
        </w:rPr>
        <w:t>is adjusted EBITDA divided by total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Junior Mortgage Participations </w:t>
      </w:r>
      <w:r>
        <w:rPr>
          <w:rFonts w:ascii="Arial" w:cs="Arial" w:eastAsia="Arial" w:hAnsi="Arial"/>
          <w:sz w:val="13"/>
          <w:szCs w:val="13"/>
          <w:color w:val="auto"/>
        </w:rPr>
        <w:t>are subordinate interests in first mortgages.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Mezzanine Debt Loans </w:t>
      </w:r>
      <w:r>
        <w:rPr>
          <w:rFonts w:ascii="Arial" w:cs="Arial" w:eastAsia="Arial" w:hAnsi="Arial"/>
          <w:sz w:val="13"/>
          <w:szCs w:val="13"/>
          <w:color w:val="auto"/>
        </w:rPr>
        <w:t>are loans secured by ownership interests.</w:t>
      </w:r>
    </w:p>
    <w:p>
      <w:pPr>
        <w:spacing w:after="0" w:line="157"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 xml:space="preserve">Percentage leased </w:t>
      </w:r>
      <w:r>
        <w:rPr>
          <w:rFonts w:ascii="Arial" w:cs="Arial" w:eastAsia="Arial" w:hAnsi="Arial"/>
          <w:sz w:val="13"/>
          <w:szCs w:val="13"/>
          <w:color w:val="auto"/>
        </w:rPr>
        <w:t>represents the percentage of leased square feet, including month-to-month leases, to total rentable square feet owned, as of the date reported. Space is considered leased when the tenant has either taken physical or economic occupancy.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color w:val="auto"/>
        </w:rPr>
        <w:t xml:space="preserve">Preferred Equity Investments </w:t>
      </w:r>
      <w:r>
        <w:rPr>
          <w:rFonts w:ascii="Arial" w:cs="Arial" w:eastAsia="Arial" w:hAnsi="Arial"/>
          <w:sz w:val="13"/>
          <w:szCs w:val="13"/>
          <w:color w:val="auto"/>
        </w:rPr>
        <w:t>are equity investments entitled to preferential returns that are</w:t>
      </w:r>
      <w:r>
        <w:rPr>
          <w:rFonts w:ascii="Arial" w:cs="Arial" w:eastAsia="Arial" w:hAnsi="Arial"/>
          <w:sz w:val="13"/>
          <w:szCs w:val="13"/>
          <w:b w:val="1"/>
          <w:bCs w:val="1"/>
          <w:color w:val="auto"/>
        </w:rPr>
        <w:t xml:space="preserve"> </w:t>
      </w:r>
      <w:r>
        <w:rPr>
          <w:rFonts w:ascii="Arial" w:cs="Arial" w:eastAsia="Arial" w:hAnsi="Arial"/>
          <w:sz w:val="13"/>
          <w:szCs w:val="13"/>
          <w:color w:val="auto"/>
        </w:rPr>
        <w:t>senior to common equity.</w:t>
      </w:r>
    </w:p>
    <w:p>
      <w:pPr>
        <w:spacing w:after="0" w:line="108" w:lineRule="exact"/>
        <w:rPr>
          <w:sz w:val="20"/>
          <w:szCs w:val="20"/>
          <w:color w:val="auto"/>
        </w:rPr>
      </w:pPr>
    </w:p>
    <w:p>
      <w:pPr>
        <w:jc w:val="both"/>
        <w:spacing w:after="0" w:line="255" w:lineRule="auto"/>
        <w:rPr>
          <w:sz w:val="20"/>
          <w:szCs w:val="20"/>
          <w:color w:val="auto"/>
        </w:rPr>
      </w:pPr>
      <w:r>
        <w:rPr>
          <w:rFonts w:ascii="Arial" w:cs="Arial" w:eastAsia="Arial" w:hAnsi="Arial"/>
          <w:sz w:val="13"/>
          <w:szCs w:val="13"/>
          <w:b w:val="1"/>
          <w:bCs w:val="1"/>
          <w:color w:val="auto"/>
        </w:rPr>
        <w:t xml:space="preserve">Recurring capital expenditures </w:t>
      </w:r>
      <w:r>
        <w:rPr>
          <w:rFonts w:ascii="Arial" w:cs="Arial" w:eastAsia="Arial" w:hAnsi="Arial"/>
          <w:sz w:val="13"/>
          <w:szCs w:val="13"/>
          <w:color w:val="auto"/>
        </w:rPr>
        <w:t>represents non-incremental building improvements and</w:t>
      </w:r>
      <w:r>
        <w:rPr>
          <w:rFonts w:ascii="Arial" w:cs="Arial" w:eastAsia="Arial" w:hAnsi="Arial"/>
          <w:sz w:val="13"/>
          <w:szCs w:val="13"/>
          <w:b w:val="1"/>
          <w:bCs w:val="1"/>
          <w:color w:val="auto"/>
        </w:rPr>
        <w:t xml:space="preserve"> </w:t>
      </w:r>
      <w:r>
        <w:rPr>
          <w:rFonts w:ascii="Arial" w:cs="Arial" w:eastAsia="Arial" w:hAnsi="Arial"/>
          <w:sz w:val="13"/>
          <w:szCs w:val="13"/>
          <w:color w:val="auto"/>
        </w:rPr>
        <w:t>leasing costs required to maintain current revenues. Recurring capital expenditures do not include immediate building improvements that were taken into consideration when underwriting the purchase of a building or which are incurred to bring a building up to “operating standard.”</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 xml:space="preserve">Redevelopment costs </w:t>
      </w:r>
      <w:r>
        <w:rPr>
          <w:rFonts w:ascii="Arial" w:cs="Arial" w:eastAsia="Arial" w:hAnsi="Arial"/>
          <w:sz w:val="13"/>
          <w:szCs w:val="13"/>
          <w:color w:val="auto"/>
        </w:rPr>
        <w:t>are non-recurring capital expenditures incurred in order to improve</w:t>
      </w:r>
      <w:r>
        <w:rPr>
          <w:rFonts w:ascii="Arial" w:cs="Arial" w:eastAsia="Arial" w:hAnsi="Arial"/>
          <w:sz w:val="13"/>
          <w:szCs w:val="13"/>
          <w:b w:val="1"/>
          <w:bCs w:val="1"/>
          <w:color w:val="auto"/>
        </w:rPr>
        <w:t xml:space="preserve"> </w:t>
      </w:r>
      <w:r>
        <w:rPr>
          <w:rFonts w:ascii="Arial" w:cs="Arial" w:eastAsia="Arial" w:hAnsi="Arial"/>
          <w:sz w:val="13"/>
          <w:szCs w:val="13"/>
          <w:color w:val="auto"/>
        </w:rPr>
        <w:t>buildings to SLG’s “operating standards.” These building costs are taken into consideration during the underwriting for a given property’s acquisition.</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color w:val="auto"/>
        </w:rPr>
        <w:t xml:space="preserve">Same-store NOI growth </w:t>
      </w:r>
      <w:r>
        <w:rPr>
          <w:rFonts w:ascii="Arial" w:cs="Arial" w:eastAsia="Arial" w:hAnsi="Arial"/>
          <w:sz w:val="13"/>
          <w:szCs w:val="13"/>
          <w:color w:val="auto"/>
        </w:rPr>
        <w:t>is the change in the NOI of the same-store properties from the prior</w:t>
      </w:r>
      <w:r>
        <w:rPr>
          <w:rFonts w:ascii="Arial" w:cs="Arial" w:eastAsia="Arial" w:hAnsi="Arial"/>
          <w:sz w:val="13"/>
          <w:szCs w:val="13"/>
          <w:b w:val="1"/>
          <w:bCs w:val="1"/>
          <w:color w:val="auto"/>
        </w:rPr>
        <w:t xml:space="preserve"> </w:t>
      </w:r>
      <w:r>
        <w:rPr>
          <w:rFonts w:ascii="Arial" w:cs="Arial" w:eastAsia="Arial" w:hAnsi="Arial"/>
          <w:sz w:val="13"/>
          <w:szCs w:val="13"/>
          <w:color w:val="auto"/>
        </w:rPr>
        <w:t>year reporting period to the current year reporting period.</w:t>
      </w:r>
    </w:p>
    <w:p>
      <w:pPr>
        <w:spacing w:after="0" w:line="108" w:lineRule="exact"/>
        <w:rPr>
          <w:sz w:val="20"/>
          <w:szCs w:val="20"/>
          <w:color w:val="auto"/>
        </w:rPr>
      </w:pPr>
    </w:p>
    <w:p>
      <w:pPr>
        <w:jc w:val="both"/>
        <w:spacing w:after="0" w:line="264" w:lineRule="auto"/>
        <w:rPr>
          <w:sz w:val="20"/>
          <w:szCs w:val="20"/>
          <w:color w:val="auto"/>
        </w:rPr>
      </w:pPr>
      <w:r>
        <w:rPr>
          <w:rFonts w:ascii="Arial" w:cs="Arial" w:eastAsia="Arial" w:hAnsi="Arial"/>
          <w:sz w:val="13"/>
          <w:szCs w:val="13"/>
          <w:b w:val="1"/>
          <w:bCs w:val="1"/>
          <w:color w:val="auto"/>
        </w:rPr>
        <w:t xml:space="preserve">Same-store properties </w:t>
      </w:r>
      <w:r>
        <w:rPr>
          <w:rFonts w:ascii="Arial" w:cs="Arial" w:eastAsia="Arial" w:hAnsi="Arial"/>
          <w:sz w:val="13"/>
          <w:szCs w:val="13"/>
          <w:color w:val="auto"/>
        </w:rPr>
        <w:t>include all properties that were owned in the same manner during</w:t>
      </w:r>
      <w:r>
        <w:rPr>
          <w:rFonts w:ascii="Arial" w:cs="Arial" w:eastAsia="Arial" w:hAnsi="Arial"/>
          <w:sz w:val="13"/>
          <w:szCs w:val="13"/>
          <w:b w:val="1"/>
          <w:bCs w:val="1"/>
          <w:color w:val="auto"/>
        </w:rPr>
        <w:t xml:space="preserve"> </w:t>
      </w:r>
      <w:r>
        <w:rPr>
          <w:rFonts w:ascii="Arial" w:cs="Arial" w:eastAsia="Arial" w:hAnsi="Arial"/>
          <w:sz w:val="13"/>
          <w:szCs w:val="13"/>
          <w:color w:val="auto"/>
        </w:rPr>
        <w:t>both the current and prior year, and excludes development properties prior to being stabilized for both the current and prior year.</w:t>
      </w:r>
    </w:p>
    <w:p>
      <w:pPr>
        <w:spacing w:after="0" w:line="119" w:lineRule="exact"/>
        <w:rPr>
          <w:sz w:val="20"/>
          <w:szCs w:val="20"/>
          <w:color w:val="auto"/>
        </w:rPr>
      </w:pPr>
    </w:p>
    <w:p>
      <w:pPr>
        <w:jc w:val="both"/>
        <w:spacing w:after="0" w:line="258" w:lineRule="auto"/>
        <w:rPr>
          <w:sz w:val="20"/>
          <w:szCs w:val="20"/>
          <w:color w:val="auto"/>
        </w:rPr>
      </w:pPr>
      <w:r>
        <w:rPr>
          <w:rFonts w:ascii="Arial" w:cs="Arial" w:eastAsia="Arial" w:hAnsi="Arial"/>
          <w:sz w:val="13"/>
          <w:szCs w:val="13"/>
          <w:b w:val="1"/>
          <w:bCs w:val="1"/>
          <w:color w:val="auto"/>
        </w:rPr>
        <w:t xml:space="preserve">Second generation TIs and LCs </w:t>
      </w:r>
      <w:r>
        <w:rPr>
          <w:rFonts w:ascii="Arial" w:cs="Arial" w:eastAsia="Arial" w:hAnsi="Arial"/>
          <w:sz w:val="13"/>
          <w:szCs w:val="13"/>
          <w:color w:val="auto"/>
        </w:rPr>
        <w:t>are tenant improvements, lease commissions, and other</w:t>
      </w:r>
      <w:r>
        <w:rPr>
          <w:rFonts w:ascii="Arial" w:cs="Arial" w:eastAsia="Arial" w:hAnsi="Arial"/>
          <w:sz w:val="13"/>
          <w:szCs w:val="13"/>
          <w:b w:val="1"/>
          <w:bCs w:val="1"/>
          <w:color w:val="auto"/>
        </w:rPr>
        <w:t xml:space="preserve"> </w:t>
      </w:r>
      <w:r>
        <w:rPr>
          <w:rFonts w:ascii="Arial" w:cs="Arial" w:eastAsia="Arial" w:hAnsi="Arial"/>
          <w:sz w:val="13"/>
          <w:szCs w:val="13"/>
          <w:color w:val="auto"/>
        </w:rPr>
        <w:t>leasing costs incurred during leasing of second generation space. Costs incurred prior to leasing available square feet are not included until such space is leased. Second generation space excludes square footage vacant at acquisition.</w:t>
      </w:r>
    </w:p>
    <w:p>
      <w:pPr>
        <w:spacing w:after="0" w:line="122" w:lineRule="exact"/>
        <w:rPr>
          <w:sz w:val="20"/>
          <w:szCs w:val="20"/>
          <w:color w:val="auto"/>
        </w:rPr>
      </w:pPr>
    </w:p>
    <w:p>
      <w:pPr>
        <w:jc w:val="both"/>
        <w:spacing w:after="0" w:line="254" w:lineRule="auto"/>
        <w:rPr>
          <w:sz w:val="20"/>
          <w:szCs w:val="20"/>
          <w:color w:val="auto"/>
        </w:rPr>
      </w:pPr>
      <w:r>
        <w:rPr>
          <w:rFonts w:ascii="Arial" w:cs="Arial" w:eastAsia="Arial" w:hAnsi="Arial"/>
          <w:sz w:val="13"/>
          <w:szCs w:val="13"/>
          <w:b w:val="1"/>
          <w:bCs w:val="1"/>
          <w:color w:val="auto"/>
        </w:rPr>
        <w:t xml:space="preserve">SLG’s share of total debt to market capitalization </w:t>
      </w:r>
      <w:r>
        <w:rPr>
          <w:rFonts w:ascii="Arial" w:cs="Arial" w:eastAsia="Arial" w:hAnsi="Arial"/>
          <w:sz w:val="13"/>
          <w:szCs w:val="13"/>
          <w:color w:val="auto"/>
        </w:rPr>
        <w:t>is calculated as SLG’s share of total debt</w:t>
      </w:r>
      <w:r>
        <w:rPr>
          <w:rFonts w:ascii="Arial" w:cs="Arial" w:eastAsia="Arial" w:hAnsi="Arial"/>
          <w:sz w:val="13"/>
          <w:szCs w:val="13"/>
          <w:b w:val="1"/>
          <w:bCs w:val="1"/>
          <w:color w:val="auto"/>
        </w:rPr>
        <w:t xml:space="preserve"> </w:t>
      </w:r>
      <w:r>
        <w:rPr>
          <w:rFonts w:ascii="Arial" w:cs="Arial" w:eastAsia="Arial" w:hAnsi="Arial"/>
          <w:sz w:val="13"/>
          <w:szCs w:val="13"/>
          <w:color w:val="auto"/>
        </w:rPr>
        <w:t>divided by the sum of total debt plus market equity and preferred stock at liquidation value. SLG’s share of total debt includes total consolidated debt plus SLG’s pro rata share of the debt of unconsolidated joint ventures. Market equity assumes conversion of all OP units into common stock.</w:t>
      </w:r>
    </w:p>
    <w:p>
      <w:pPr>
        <w:spacing w:after="0" w:line="127" w:lineRule="exact"/>
        <w:rPr>
          <w:sz w:val="20"/>
          <w:szCs w:val="20"/>
          <w:color w:val="auto"/>
        </w:rPr>
      </w:pPr>
    </w:p>
    <w:p>
      <w:pPr>
        <w:jc w:val="both"/>
        <w:spacing w:after="0" w:line="282" w:lineRule="auto"/>
        <w:rPr>
          <w:sz w:val="20"/>
          <w:szCs w:val="20"/>
          <w:color w:val="auto"/>
        </w:rPr>
      </w:pPr>
      <w:r>
        <w:rPr>
          <w:rFonts w:ascii="Arial" w:cs="Arial" w:eastAsia="Arial" w:hAnsi="Arial"/>
          <w:sz w:val="13"/>
          <w:szCs w:val="13"/>
          <w:b w:val="1"/>
          <w:bCs w:val="1"/>
          <w:color w:val="auto"/>
        </w:rPr>
        <w:t xml:space="preserve">Total square feet owned </w:t>
      </w:r>
      <w:r>
        <w:rPr>
          <w:rFonts w:ascii="Arial" w:cs="Arial" w:eastAsia="Arial" w:hAnsi="Arial"/>
          <w:sz w:val="13"/>
          <w:szCs w:val="13"/>
          <w:color w:val="auto"/>
        </w:rPr>
        <w:t>represents 100% of the square footage of properties either owned</w:t>
      </w:r>
      <w:r>
        <w:rPr>
          <w:rFonts w:ascii="Arial" w:cs="Arial" w:eastAsia="Arial" w:hAnsi="Arial"/>
          <w:sz w:val="13"/>
          <w:szCs w:val="13"/>
          <w:b w:val="1"/>
          <w:bCs w:val="1"/>
          <w:color w:val="auto"/>
        </w:rPr>
        <w:t xml:space="preserve"> </w:t>
      </w:r>
      <w:r>
        <w:rPr>
          <w:rFonts w:ascii="Arial" w:cs="Arial" w:eastAsia="Arial" w:hAnsi="Arial"/>
          <w:sz w:val="13"/>
          <w:szCs w:val="13"/>
          <w:color w:val="auto"/>
        </w:rPr>
        <w:t>directly by SLG or in which SLG has an interest (e.g. joint ventures).</w:t>
      </w:r>
    </w:p>
    <w:p>
      <w:pPr>
        <w:spacing w:after="0" w:line="495" w:lineRule="exact"/>
        <w:rPr>
          <w:sz w:val="20"/>
          <w:szCs w:val="20"/>
          <w:color w:val="auto"/>
        </w:rPr>
      </w:pPr>
    </w:p>
    <w:p>
      <w:pPr>
        <w:sectPr>
          <w:pgSz w:w="11900" w:h="16838" w:orient="portrait"/>
          <w:cols w:equalWidth="0" w:num="2">
            <w:col w:w="5500" w:space="460"/>
            <w:col w:w="5500"/>
          </w:cols>
          <w:pgMar w:left="220" w:top="338"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60"/>
          </w:cols>
          <w:pgMar w:left="220" w:top="338" w:right="219" w:bottom="1440" w:gutter="0" w:footer="0" w:header="0"/>
          <w:type w:val="continuous"/>
        </w:sectPr>
      </w:pPr>
    </w:p>
    <w:bookmarkStart w:id="20" w:name="page21"/>
    <w:bookmarkEnd w:id="20"/>
    <w:p>
      <w:pPr>
        <w:ind w:left="4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CORPORATE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269875</wp:posOffset>
            </wp:positionH>
            <wp:positionV relativeFrom="paragraph">
              <wp:posOffset>13335</wp:posOffset>
            </wp:positionV>
            <wp:extent cx="6412230" cy="43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262"/>
        <w:spacing w:after="0" w:line="254" w:lineRule="auto"/>
        <w:rPr>
          <w:sz w:val="20"/>
          <w:szCs w:val="20"/>
          <w:color w:val="auto"/>
        </w:rPr>
      </w:pPr>
      <w:r>
        <w:rPr>
          <w:rFonts w:ascii="Arial" w:cs="Arial" w:eastAsia="Arial" w:hAnsi="Arial"/>
          <w:sz w:val="16"/>
          <w:szCs w:val="16"/>
          <w:color w:val="auto"/>
        </w:rPr>
        <w:t>SL Green Realty Corp., an S&amp;P 500 company and New York City's largest office landlord, is a fully integrated real estate investment trust, or REIT, that is focused primarily on acquiring, managing, and maximizing value of Manhattan commercial properties.</w:t>
      </w:r>
    </w:p>
    <w:p>
      <w:pPr>
        <w:spacing w:after="0" w:line="354" w:lineRule="exact"/>
        <w:rPr>
          <w:sz w:val="20"/>
          <w:szCs w:val="20"/>
          <w:color w:val="auto"/>
        </w:rPr>
      </w:pPr>
    </w:p>
    <w:p>
      <w:pPr>
        <w:jc w:val="both"/>
        <w:ind w:firstLine="262"/>
        <w:spacing w:after="0" w:line="245" w:lineRule="auto"/>
        <w:rPr>
          <w:sz w:val="20"/>
          <w:szCs w:val="20"/>
          <w:color w:val="auto"/>
        </w:rPr>
      </w:pPr>
      <w:r>
        <w:rPr>
          <w:rFonts w:ascii="Arial" w:cs="Arial" w:eastAsia="Arial" w:hAnsi="Arial"/>
          <w:sz w:val="16"/>
          <w:szCs w:val="16"/>
          <w:color w:val="auto"/>
        </w:rPr>
        <w:t>Our core business is the ownership of high-quality commercial properties, and our primary business objective is to maximize the total return to stockholders, through strategically acquiring, redeveloping, and repositioning office properties primarily located in Manhattan, and re-leasing and managing these properties for maximum cash flow. The commercial real estate expertise resulting from owning, operating, investing, and lending in Manhattan for over 34 years has enabled us to invest in a collection of premier office and retail properties, selected multifamily residential assets, and high-quality debt and preferred equity investments.</w:t>
      </w:r>
    </w:p>
    <w:p>
      <w:pPr>
        <w:spacing w:after="0" w:line="361" w:lineRule="exact"/>
        <w:rPr>
          <w:sz w:val="20"/>
          <w:szCs w:val="20"/>
          <w:color w:val="auto"/>
        </w:rPr>
      </w:pPr>
    </w:p>
    <w:p>
      <w:pPr>
        <w:jc w:val="both"/>
        <w:ind w:firstLine="262"/>
        <w:spacing w:after="0" w:line="246" w:lineRule="auto"/>
        <w:rPr>
          <w:sz w:val="20"/>
          <w:szCs w:val="20"/>
          <w:color w:val="auto"/>
        </w:rPr>
      </w:pPr>
      <w:r>
        <w:rPr>
          <w:rFonts w:ascii="Arial" w:cs="Arial" w:eastAsia="Arial" w:hAnsi="Arial"/>
          <w:sz w:val="16"/>
          <w:szCs w:val="16"/>
          <w:color w:val="auto"/>
        </w:rPr>
        <w:t>As of September 30, 2016, the Company held interests in 125 Manhattan buildings totaling 46.6 million square feet. This included ownership interests in 28.1 million square feet of commercial buildings and debt and preferred equity investments secured by 18.6 million square feet of buildings. In addition, the Company held ownership interests in 30 suburban buildings totaling 4.8 million square feet in Brooklyn, Long Island, Westchester County, Connecticut and New Jersey.</w:t>
      </w:r>
    </w:p>
    <w:p>
      <w:pPr>
        <w:spacing w:after="0" w:line="200" w:lineRule="exact"/>
        <w:rPr>
          <w:sz w:val="20"/>
          <w:szCs w:val="20"/>
          <w:color w:val="auto"/>
        </w:rPr>
      </w:pPr>
    </w:p>
    <w:p>
      <w:pPr>
        <w:spacing w:after="0" w:line="295" w:lineRule="exact"/>
        <w:rPr>
          <w:sz w:val="20"/>
          <w:szCs w:val="20"/>
          <w:color w:val="auto"/>
        </w:rPr>
      </w:pPr>
    </w:p>
    <w:p>
      <w:pPr>
        <w:jc w:val="center"/>
        <w:ind w:right="260"/>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1200"/>
          </w:cols>
          <w:pgMar w:left="480" w:top="338" w:right="219" w:bottom="1440" w:gutter="0" w:footer="0" w:header="0"/>
        </w:sectPr>
      </w:pPr>
    </w:p>
    <w:bookmarkStart w:id="21" w:name="page22"/>
    <w:bookmarkEnd w:id="21"/>
    <w:p>
      <w:pPr>
        <w:ind w:left="680"/>
        <w:spacing w:after="0"/>
        <w:rPr>
          <w:sz w:val="20"/>
          <w:szCs w:val="20"/>
          <w:color w:val="auto"/>
        </w:rPr>
      </w:pPr>
      <w:r>
        <w:rPr>
          <w:rFonts w:ascii="Arial" w:cs="Arial" w:eastAsia="Arial" w:hAnsi="Arial"/>
          <w:sz w:val="19"/>
          <w:szCs w:val="19"/>
          <w:b w:val="1"/>
          <w:bCs w:val="1"/>
          <w:color w:val="auto"/>
        </w:rPr>
        <w:t>THIRD QUARTER 2016 HIGHLIGHTS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Summary</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New York, NY, October 19, 2016 - SL Green Realty Corp. (the "Company") (NYSE: SLG) today reported net income attributable to common stockholders for the quarter ended September 30, 2016 of $34.3 million, or $0.34 per share as compared to net income attributable to common stockholders of $163.7 million, or $1.64 per share for the same quarter in 2015. Net income attributable to common stockholders for the quarter ended September 30, 2016 includes $0.6 million, or $0.01 per share, of net gains recognized from the sale of real estate as compared to $155.8 million, or $1.50 per share, of net gains recognized from the sale of real estate for the same quarter in 2015.</w:t>
      </w:r>
    </w:p>
    <w:p>
      <w:pPr>
        <w:spacing w:after="0" w:line="126"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also reported net income attributable to common stockholders for the nine months ended September 30, 2016 of $190.9 million, or $1.90 per share as compared to net income attributable to common stockholders of $167.8 million, or $1.68 per share for the same period in 2015. Net income attributable to common stockholders for the nine months ended September 30, 2016 includes $244.0 million, or $2.33 per share, of net gains recognized from the sale of real estate as compared to $169.5 million, or $1.64 per share, of net gains recognized from the sale of real estate for the same period in 2015.</w:t>
      </w:r>
    </w:p>
    <w:p>
      <w:pPr>
        <w:spacing w:after="0" w:line="127"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Company reported funds from operations, or FFO, for the quarter ended September 30, 2016 of $171.6 million, or $1.63 per share, net of transaction related costs of $5.6 million, or $0.05 per share, as compared to FFO for the same period in 2015 of $171.5 million, or $1.65 per share, net of transaction related costs of $5.9 million, or $0.06 per share. Third quarter 2016 FFO includes $41.1 million, or $0.39 per share, of additional income related to the recapitalization of a debt investment, offset by $19.6 million, or $0.19 per share, of lost income and accounting write-offs related to space previously leased to Aeropostale at 1515 Broadway.</w:t>
      </w:r>
    </w:p>
    <w:p>
      <w:pPr>
        <w:spacing w:after="0" w:line="127"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Company also reported FFO for the nine months ended September 30, 2016 of $719.1 million, or $6.86 per share, net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transaction related costs of $9.0 million, or $0.09 per share, as compared to FFO for the same period in 2015 of $494.6 million, or $4.77 per share, net of transaction related costs of $10.1 million, or $0.10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-1192530</wp:posOffset>
            </wp:positionV>
            <wp:extent cx="6412230"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2230" cy="2794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-1039495</wp:posOffset>
            </wp:positionV>
            <wp:extent cx="6412230" cy="43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98" w:lineRule="exact"/>
        <w:rPr>
          <w:sz w:val="20"/>
          <w:szCs w:val="20"/>
          <w:color w:val="auto"/>
        </w:rPr>
      </w:pPr>
    </w:p>
    <w:p>
      <w:pPr>
        <w:ind w:right="100"/>
        <w:spacing w:after="0" w:line="413" w:lineRule="auto"/>
        <w:rPr>
          <w:sz w:val="20"/>
          <w:szCs w:val="20"/>
          <w:color w:val="auto"/>
        </w:rPr>
      </w:pPr>
      <w:r>
        <w:rPr>
          <w:rFonts w:ascii="Arial" w:cs="Arial" w:eastAsia="Arial" w:hAnsi="Arial"/>
          <w:sz w:val="16"/>
          <w:szCs w:val="16"/>
          <w:color w:val="auto"/>
        </w:rPr>
        <w:t xml:space="preserve">All per share amounts in this press release are presented on a diluted basis. </w:t>
      </w:r>
      <w:r>
        <w:rPr>
          <w:rFonts w:ascii="Arial" w:cs="Arial" w:eastAsia="Arial" w:hAnsi="Arial"/>
          <w:sz w:val="16"/>
          <w:szCs w:val="16"/>
          <w:b w:val="1"/>
          <w:bCs w:val="1"/>
          <w:u w:val="single" w:color="auto"/>
          <w:color w:val="auto"/>
        </w:rPr>
        <w:t>Operating and Leasing Activity</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For the quarter ended September 30, 2016, the Company reported consolidated revenues and operating income of $416.7 million and $232.8 million, respectively, compared to $432.1 million and $258.5 million, respectively, for the same period in 2015. For the nine months ended September 30, 2016, the Company reported consolidated revenues and operating income of $1.5 billion and $974.6 million, respectively, compared to $1.2 billion and $742.8 million, respectively, for the same period in 2015.</w:t>
      </w:r>
    </w:p>
    <w:p>
      <w:pPr>
        <w:spacing w:after="0" w:line="122"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Same-store cash NOI on a combined basis increased by 1.6% to $ 177.4 million for the quarter ended September 30, 2016 as compared to the same period in 2015. For the quarter, consolidated property same-store cash NOI increased by 1.7% to $158.1 million and unconsolidated joint venture property same-store cash NOI increased by 0.3% to $19.4 million in 2016 as compared to the same period in 2015.</w:t>
      </w:r>
    </w:p>
    <w:p>
      <w:pPr>
        <w:spacing w:after="0" w:line="12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Same-store cash NOI on a combined basis increased by 6.0% to $538.6 million for the nine months ended September 30, 2016 as compared to $508.0 million for the same period in 2015. For the nine months ended September 30, 2016, consolidated property same-store cash NOI increased by 6.0% to $480.0 million and unconsolidated joint venture property same-store cash NOI increased by 6.2% to $58.6 million, as compared to the same period in 2015.</w:t>
      </w:r>
    </w:p>
    <w:p>
      <w:pPr>
        <w:spacing w:after="0" w:line="12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the third quarter, the Company signed 41 office leases in its Manhattan portfolio totaling 1,282,518 square feet. Twenty-seven leases comprising 1,113,043 square feet, representing office leases</w:t>
      </w:r>
    </w:p>
    <w:p>
      <w:pPr>
        <w:spacing w:after="0" w:line="499" w:lineRule="exact"/>
        <w:rPr>
          <w:sz w:val="20"/>
          <w:szCs w:val="20"/>
          <w:color w:val="auto"/>
        </w:rPr>
      </w:pPr>
    </w:p>
    <w:p>
      <w:pPr>
        <w:sectPr>
          <w:pgSz w:w="11900" w:h="16838" w:orient="portrait"/>
          <w:cols w:equalWidth="0" w:num="2">
            <w:col w:w="5500" w:space="460"/>
            <w:col w:w="5500"/>
          </w:cols>
          <w:pgMar w:left="220" w:top="338" w:right="21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ectPr>
          <w:pgSz w:w="11900" w:h="16838" w:orient="portrait"/>
          <w:cols w:equalWidth="0" w:num="1">
            <w:col w:w="11460"/>
          </w:cols>
          <w:pgMar w:left="220" w:top="338" w:right="219" w:bottom="1440" w:gutter="0" w:footer="0" w:header="0"/>
          <w:type w:val="continuous"/>
        </w:sectPr>
      </w:pPr>
    </w:p>
    <w:bookmarkStart w:id="22" w:name="page23"/>
    <w:bookmarkEnd w:id="22"/>
    <w:p>
      <w:pPr>
        <w:ind w:left="6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THIRD QUARTER 2016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-20320</wp:posOffset>
            </wp:positionV>
            <wp:extent cx="1263015" cy="3606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68"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138430</wp:posOffset>
            </wp:positionV>
            <wp:extent cx="64122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ectPr>
          <w:pgSz w:w="11900" w:h="16838" w:orient="portrait"/>
          <w:cols w:equalWidth="0" w:num="1">
            <w:col w:w="11460"/>
          </w:cols>
          <w:pgMar w:left="220" w:top="337"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on space that had been occupied within the prior twelve months, are considered replacement leases on which mark-to-market is calculated. Those replacement leases had average starting rents of $74.34 per rentable square foot, representing a 28.6% increase over the previously fully escalated rents on the same office spaces. The average lease term on the Manhattan office leases signed in the third quarter was 15.7 years and average tenant concessions were 4.8 months of free rent with a tenant improvement allowance of $54.51 per rentable square foot.</w:t>
      </w:r>
    </w:p>
    <w:p>
      <w:pPr>
        <w:spacing w:after="0" w:line="12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During the first nine months of 2016, the Company signed 138 office leases in its Manhattan portfolio totaling 2,753,254 square feet. One hundred eight leases comprising 2,421,221 square feet, representing office leases on space that had been occupied within the prior twelve months, are considered replacement leases on which mark-to-market is calculated. Those replacement leases had average starting rents of $71.09 per rentable square foot, representing a 28.5% increase over the previously fully escalated rents on the same office spaces. The average lease term on the Manhattan office leases signed in the first nine months of 2016 was 12.4 years and average tenant concessions were 4.1 months of free rent with a tenant improvement allowance of $45.65 per rentable square foot.</w:t>
      </w:r>
    </w:p>
    <w:p>
      <w:pPr>
        <w:spacing w:after="0" w:line="12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Manhattan same-store occupancy was 97.5% at September 30, 2016, inclusive of 238,234 square feet of leases signed but not yet commenced as compared to 97.3% at September 30, 2015 and 97.4% at June 30, 2016.</w:t>
      </w:r>
    </w:p>
    <w:p>
      <w:pPr>
        <w:spacing w:after="0" w:line="118"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During the third quarter, the Company signed 22 office leases in its Suburban portfolio totaling 156,002 square feet. Nine leases comprising the remaining 54,514 square feet, representing office leases on space that had been occupied within the prior twelve months, are considered replacement leases on which mark-to-market is calculated. Those replacement leases had average starting rents of $33.09 per rentable square foot, representing a 4.4% increase over the previously fully escalated rents on the same office spaces. The average lease term on the Suburban office leases signed in the third quarter was 6.6 years and average tenant concessions were 6.1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months of free rent with a tenant improvement allowance of $23.99 per rentable square foot.</w:t>
      </w:r>
    </w:p>
    <w:p>
      <w:pPr>
        <w:spacing w:after="0" w:line="11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During the first nine months of 2016, the Company signed 65 office leases in its Suburban portfolio totaling 555,933 square feet. Thirty-seven leases comprising the remaining 334,179 square feet, representing office leases on space that had been occupied within the prior twelve months, are considered replacement leases on which mark-to-market is calculated. Those replacement leases had average starting rents of $38.72 per rentable square foot, representing a 5.3% increase over the previously fully escalated rents on the same office spaces. The average lease term on the Suburban office leases signed in the first nine months of 2016 was 7 years and average tenant concessions were 6.4 months of free rent with a tenant improvement allowance of $27.52 per rentable square foot.</w:t>
      </w:r>
    </w:p>
    <w:p>
      <w:pPr>
        <w:spacing w:after="0" w:line="126"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Same-store occupancy for the Company's Suburban portfolio was 85.4% at September 30, 2016, inclusive of 67,639 square feet of leases signed but not yet commenced as compared to 84.3% at September 30, 2015 and 83.9% at June 30, 2016.</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Significant leases that were signed during the third quarter included:</w:t>
      </w:r>
    </w:p>
    <w:p>
      <w:pPr>
        <w:spacing w:after="0" w:line="133" w:lineRule="exact"/>
        <w:rPr>
          <w:sz w:val="20"/>
          <w:szCs w:val="20"/>
          <w:color w:val="auto"/>
        </w:rPr>
      </w:pPr>
    </w:p>
    <w:p>
      <w:pPr>
        <w:jc w:val="both"/>
        <w:ind w:left="520" w:right="360" w:hanging="255"/>
        <w:spacing w:after="0" w:line="254"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Renewal on 603,650 square feet with Penguin Random House at 1745 Broadway, bringing the remaining lease term to 16.8 years;</w:t>
      </w:r>
    </w:p>
    <w:p>
      <w:pPr>
        <w:spacing w:after="0" w:line="113" w:lineRule="exact"/>
        <w:rPr>
          <w:rFonts w:ascii="Arial" w:cs="Arial" w:eastAsia="Arial" w:hAnsi="Arial"/>
          <w:sz w:val="16"/>
          <w:szCs w:val="16"/>
          <w:color w:val="auto"/>
        </w:rPr>
      </w:pPr>
    </w:p>
    <w:p>
      <w:pPr>
        <w:ind w:left="520" w:right="60" w:hanging="255"/>
        <w:spacing w:after="0" w:line="271"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New lease on 308,115 square feet with Visiting Nurse Service of New York at 220 East 42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 for 30.5 years;</w:t>
      </w:r>
    </w:p>
    <w:p>
      <w:pPr>
        <w:spacing w:after="0" w:line="33" w:lineRule="exact"/>
        <w:rPr>
          <w:rFonts w:ascii="Arial" w:cs="Arial" w:eastAsia="Arial" w:hAnsi="Arial"/>
          <w:sz w:val="16"/>
          <w:szCs w:val="16"/>
          <w:color w:val="auto"/>
        </w:rPr>
      </w:pPr>
    </w:p>
    <w:p>
      <w:pPr>
        <w:ind w:left="520" w:hanging="255"/>
        <w:spacing w:after="0" w:line="220" w:lineRule="auto"/>
        <w:tabs>
          <w:tab w:leader="none" w:pos="5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Renewal on 64,111 square feet with Omnicom Group at 220 East 42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Street bringing the remaining lease terms to 15.6 years;</w:t>
      </w:r>
    </w:p>
    <w:p>
      <w:pPr>
        <w:spacing w:after="0" w:line="125" w:lineRule="exact"/>
        <w:rPr>
          <w:rFonts w:ascii="Arial" w:cs="Arial" w:eastAsia="Arial" w:hAnsi="Arial"/>
          <w:sz w:val="16"/>
          <w:szCs w:val="16"/>
          <w:color w:val="auto"/>
        </w:rPr>
      </w:pPr>
    </w:p>
    <w:p>
      <w:pPr>
        <w:jc w:val="both"/>
        <w:ind w:left="520" w:right="320" w:hanging="255"/>
        <w:spacing w:after="0" w:line="298" w:lineRule="auto"/>
        <w:tabs>
          <w:tab w:leader="none" w:pos="520" w:val="left"/>
        </w:tabs>
        <w:numPr>
          <w:ilvl w:val="0"/>
          <w:numId w:val="10"/>
        </w:numPr>
        <w:rPr>
          <w:rFonts w:ascii="Arial" w:cs="Arial" w:eastAsia="Arial" w:hAnsi="Arial"/>
          <w:sz w:val="15"/>
          <w:szCs w:val="15"/>
          <w:color w:val="auto"/>
        </w:rPr>
      </w:pPr>
      <w:r>
        <w:rPr>
          <w:rFonts w:ascii="Arial" w:cs="Arial" w:eastAsia="Arial" w:hAnsi="Arial"/>
          <w:sz w:val="15"/>
          <w:szCs w:val="15"/>
          <w:color w:val="auto"/>
        </w:rPr>
        <w:t>Renewal on 28,650 square feet with Newmark &amp; Company at 110 East 42</w:t>
      </w:r>
      <w:r>
        <w:rPr>
          <w:rFonts w:ascii="Arial" w:cs="Arial" w:eastAsia="Arial" w:hAnsi="Arial"/>
          <w:sz w:val="19"/>
          <w:szCs w:val="19"/>
          <w:color w:val="auto"/>
          <w:vertAlign w:val="superscript"/>
        </w:rPr>
        <w:t>nd</w:t>
      </w:r>
      <w:r>
        <w:rPr>
          <w:rFonts w:ascii="Arial" w:cs="Arial" w:eastAsia="Arial" w:hAnsi="Arial"/>
          <w:sz w:val="15"/>
          <w:szCs w:val="15"/>
          <w:color w:val="auto"/>
        </w:rPr>
        <w:t xml:space="preserve"> Street bringing the remaining lease terms to 15.1 years;</w:t>
      </w:r>
    </w:p>
    <w:p>
      <w:pPr>
        <w:sectPr>
          <w:pgSz w:w="11900" w:h="16838" w:orient="portrait"/>
          <w:cols w:equalWidth="0" w:num="3">
            <w:col w:w="5500" w:space="200"/>
            <w:col w:w="80" w:space="180"/>
            <w:col w:w="5500"/>
          </w:cols>
          <w:pgMar w:left="220" w:top="337" w:right="219" w:bottom="1440" w:gutter="0" w:footer="0" w:header="0"/>
          <w:type w:val="continuous"/>
        </w:sectPr>
      </w:pPr>
    </w:p>
    <w:bookmarkStart w:id="23" w:name="page24"/>
    <w:bookmarkEnd w:id="23"/>
    <w:p>
      <w:pPr>
        <w:ind w:left="680"/>
        <w:spacing w:after="0"/>
        <w:rPr>
          <w:sz w:val="20"/>
          <w:szCs w:val="20"/>
          <w:color w:val="auto"/>
        </w:rPr>
      </w:pPr>
      <w:r>
        <w:rPr>
          <w:rFonts w:ascii="Arial" w:cs="Arial" w:eastAsia="Arial" w:hAnsi="Arial"/>
          <w:sz w:val="19"/>
          <w:szCs w:val="19"/>
          <w:b w:val="1"/>
          <w:bCs w:val="1"/>
          <w:color w:val="auto"/>
        </w:rPr>
        <w:t>THIRD QUARTER 2016 HIGHLIGHTS</w:t>
      </w:r>
    </w:p>
    <w:p>
      <w:pPr>
        <w:spacing w:after="0" w:line="17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right="60" w:hanging="270"/>
        <w:spacing w:after="0" w:line="25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New lease on 34,393 square feet with Pace University at 100 Summit Lake Drive in Valhalla, New York, for 11.0 years; and</w:t>
      </w:r>
    </w:p>
    <w:p>
      <w:pPr>
        <w:spacing w:after="0" w:line="113" w:lineRule="exact"/>
        <w:rPr>
          <w:rFonts w:ascii="Arial" w:cs="Arial" w:eastAsia="Arial" w:hAnsi="Arial"/>
          <w:sz w:val="16"/>
          <w:szCs w:val="16"/>
          <w:color w:val="auto"/>
        </w:rPr>
      </w:pPr>
    </w:p>
    <w:p>
      <w:pPr>
        <w:ind w:left="540" w:right="480" w:hanging="270"/>
        <w:spacing w:after="0" w:line="254"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New lease on 16,210 square feet with Canon U.S.A, Inc. at 125 Chubb Way, Lyndhurst, New Jersey, for 7.8 years.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Marketing, general and administrative, or MG&amp;A, expenses for the quarter ended September 30, 2016 were $25.5 million, or 5.2% of total combined revenues and an annualized 53 basis points of total combined assets.</w:t>
      </w:r>
    </w:p>
    <w:p>
      <w:pPr>
        <w:spacing w:after="0" w:line="9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Real Estate Investment Activity</w:t>
      </w:r>
    </w:p>
    <w:p>
      <w:pPr>
        <w:spacing w:after="0" w:line="153" w:lineRule="exact"/>
        <w:rPr>
          <w:sz w:val="20"/>
          <w:szCs w:val="20"/>
          <w:color w:val="auto"/>
        </w:rPr>
      </w:pPr>
    </w:p>
    <w:p>
      <w:pPr>
        <w:jc w:val="both"/>
        <w:spacing w:after="0" w:line="244" w:lineRule="auto"/>
        <w:rPr>
          <w:sz w:val="20"/>
          <w:szCs w:val="20"/>
          <w:color w:val="auto"/>
        </w:rPr>
      </w:pPr>
      <w:r>
        <w:rPr>
          <w:rFonts w:ascii="Arial" w:cs="Arial" w:eastAsia="Arial" w:hAnsi="Arial"/>
          <w:sz w:val="16"/>
          <w:szCs w:val="16"/>
          <w:color w:val="auto"/>
        </w:rPr>
        <w:t>In October, the Company closed on the sale of a 49% interest in the entity that owns 400 East 57th Street at a gross asset valuation of $170.0 million and obtained a new 10-year $100 million mortgage loan, which bears interest at a fixed rate of 3.0%, replacing the previous $66.7 million mortgage loan, which bore interest at a fixed rate of 4.13%. The Company recognized net proceeds of $65.0 million from the recapitalization of the property.</w:t>
      </w:r>
    </w:p>
    <w:p>
      <w:pPr>
        <w:spacing w:after="0" w:line="124"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August, the Company closed on the sale of a 40% interest in Eleven Madison Avenue to PGIM Real Estate, the real estate investment business of PGIM, Inc., the global investment management businesses of Prudential Financial, Inc. (NYSE: PRU) for a total gross asset valuation of $2.6 billion, inclusive of the costs associated with lease stipulated improvements to the property. PGIM Real Estate has a one-year option to acquire an additional 9% stake in the venture at the same total gross property valuation of $2.6 billion. The Company received $484.2 million in cash proceeds from the sale. The partnership is seeking a modification to the mortgage on the property, which, if not obtained within six months after the closing, may result in the Company repurchasing the sold interest. The modification is expected to be granted during the fourth quarter of 2016.</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 July, the Company sold 500 West Putnam Avenue, a 121,500-square-foot office property located in Greenwich, Connecticut, for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gross sale price of $41.0 million, or $337 per square foot. The transaction closed in July and the Company recognized net proceeds of $39.5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-3348990</wp:posOffset>
            </wp:positionH>
            <wp:positionV relativeFrom="paragraph">
              <wp:posOffset>-1077595</wp:posOffset>
            </wp:positionV>
            <wp:extent cx="6412230"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2230" cy="27940"/>
                    </a:xfrm>
                    <a:prstGeom prst="rect">
                      <a:avLst/>
                    </a:prstGeom>
                    <a:noFill/>
                  </pic:spPr>
                </pic:pic>
              </a:graphicData>
            </a:graphic>
          </wp:anchor>
        </w:drawing>
        <w:drawing>
          <wp:anchor simplePos="0" relativeHeight="251657728" behindDoc="1" locked="0" layoutInCell="0" allowOverlap="1">
            <wp:simplePos x="0" y="0"/>
            <wp:positionH relativeFrom="column">
              <wp:posOffset>-3348990</wp:posOffset>
            </wp:positionH>
            <wp:positionV relativeFrom="paragraph">
              <wp:posOffset>-924560</wp:posOffset>
            </wp:positionV>
            <wp:extent cx="6412230" cy="4305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Debt and Preferred Equity Investment Activity</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The carrying value of the Company’s debt and preferred equity investment portfolio totaled $1.5 billion at September 30, 2016 at a weighted average current yield of 9.2%, excluding $0.3 billion of debt and preferred equity investments that are included in other balance sheet line items for accounting purposes. During the third quarter, the Company originated new debt and preferred equity investments totaling $472.0 million, of which $434.5 million was retained and $309.6 million was funded, at a weighted average current yield of 9.2%. During the third quarter, the Company recorded $239.3 million of principal reductions from investments that were repaid and sold/syndicated.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Financing Activity</w:t>
      </w:r>
    </w:p>
    <w:p>
      <w:pPr>
        <w:spacing w:after="0" w:line="153" w:lineRule="exact"/>
        <w:rPr>
          <w:sz w:val="20"/>
          <w:szCs w:val="20"/>
          <w:color w:val="auto"/>
        </w:rPr>
      </w:pPr>
    </w:p>
    <w:p>
      <w:pPr>
        <w:jc w:val="both"/>
        <w:spacing w:after="0" w:line="243" w:lineRule="auto"/>
        <w:rPr>
          <w:sz w:val="20"/>
          <w:szCs w:val="20"/>
          <w:color w:val="auto"/>
        </w:rPr>
      </w:pPr>
      <w:r>
        <w:rPr>
          <w:rFonts w:ascii="Arial" w:cs="Arial" w:eastAsia="Arial" w:hAnsi="Arial"/>
          <w:sz w:val="16"/>
          <w:szCs w:val="16"/>
          <w:color w:val="auto"/>
        </w:rPr>
        <w:t>In September, the Company closed on $1.5 billion of construction financing for One Vanderbilt Avenue. The facility, which paves the way for the development of the 1,401 foot tower adjacent to Grand Central Terminal, was led by Wells Fargo Bank, N.A. as Administrative Agent, The Bank of New York Mellon, JP Morgan Chase Bank, TD Bank, N.A., and Bank of China, as Syndication Agents, and Landesbank Baden-Württemberg as Documentation Agent, has a term of up to 7 years and bears interest at a floating interest rate of 3.50% over LIBOR, with the ability to reduce the spread to as low as 3.00% upon achieving certain pre-leasing and completion milestones.</w:t>
      </w:r>
    </w:p>
    <w:p>
      <w:pPr>
        <w:spacing w:after="0" w:line="127" w:lineRule="exact"/>
        <w:rPr>
          <w:sz w:val="20"/>
          <w:szCs w:val="20"/>
          <w:color w:val="auto"/>
        </w:rPr>
      </w:pPr>
    </w:p>
    <w:p>
      <w:pPr>
        <w:jc w:val="both"/>
        <w:spacing w:after="0" w:line="245" w:lineRule="auto"/>
        <w:rPr>
          <w:sz w:val="20"/>
          <w:szCs w:val="20"/>
          <w:color w:val="auto"/>
        </w:rPr>
      </w:pPr>
      <w:r>
        <w:rPr>
          <w:rFonts w:ascii="Arial" w:cs="Arial" w:eastAsia="Arial" w:hAnsi="Arial"/>
          <w:sz w:val="16"/>
          <w:szCs w:val="16"/>
          <w:color w:val="auto"/>
        </w:rPr>
        <w:t>In September, the Company closed on the expansion of its unsecured corporate credit facility by $250.0 million, to $ 2.783 billion. The term loan portion of the facility, which matures in June 2019, has been increased from $933.0 million to $1.183 billion while the revolving line of credit portion of the facility, which matures in March 2020, remains at $1.6 billion.</w:t>
      </w:r>
    </w:p>
    <w:p>
      <w:pPr>
        <w:spacing w:after="0" w:line="273" w:lineRule="exact"/>
        <w:rPr>
          <w:sz w:val="20"/>
          <w:szCs w:val="20"/>
          <w:color w:val="auto"/>
        </w:rPr>
      </w:pPr>
    </w:p>
    <w:p>
      <w:pPr>
        <w:sectPr>
          <w:pgSz w:w="11900" w:h="16838" w:orient="portrait"/>
          <w:cols w:equalWidth="0" w:num="2">
            <w:col w:w="5500" w:space="460"/>
            <w:col w:w="5500"/>
          </w:cols>
          <w:pgMar w:left="220" w:top="338" w:right="219" w:bottom="1440" w:gutter="0" w:footer="0" w:header="0"/>
        </w:sect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ectPr>
          <w:pgSz w:w="11900" w:h="16838" w:orient="portrait"/>
          <w:cols w:equalWidth="0" w:num="1">
            <w:col w:w="11460"/>
          </w:cols>
          <w:pgMar w:left="220" w:top="338" w:right="219" w:bottom="1440" w:gutter="0" w:footer="0" w:header="0"/>
          <w:type w:val="continuous"/>
        </w:sectPr>
      </w:pPr>
    </w:p>
    <w:bookmarkStart w:id="24" w:name="page25"/>
    <w:bookmarkEnd w:id="24"/>
    <w:p>
      <w:pPr>
        <w:ind w:left="68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THIRD QUARTER 2016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5584190</wp:posOffset>
            </wp:positionH>
            <wp:positionV relativeFrom="paragraph">
              <wp:posOffset>-27940</wp:posOffset>
            </wp:positionV>
            <wp:extent cx="1263015" cy="3606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138430</wp:posOffset>
            </wp:positionV>
            <wp:extent cx="64122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right="4739"/>
        <w:spacing w:after="0" w:line="245" w:lineRule="auto"/>
        <w:rPr>
          <w:sz w:val="20"/>
          <w:szCs w:val="20"/>
          <w:color w:val="auto"/>
        </w:rPr>
      </w:pPr>
      <w:r>
        <w:rPr>
          <w:rFonts w:ascii="Arial" w:cs="Arial" w:eastAsia="Arial" w:hAnsi="Arial"/>
          <w:sz w:val="16"/>
          <w:szCs w:val="16"/>
          <w:color w:val="auto"/>
        </w:rPr>
        <w:t>In July, the Company, along with its joint venture partner, closed on the refinancing of 650 Fifth Avenue. The $97.0 million facility has a 2-year term (subject to two 1-year extension options), carries a floating interest rate of LIBOR plus 3.75%, and replaces the previous $65.0 million of indebtedness on the property.</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Dividends</w:t>
      </w:r>
    </w:p>
    <w:p>
      <w:pPr>
        <w:spacing w:after="0" w:line="153" w:lineRule="exact"/>
        <w:rPr>
          <w:sz w:val="20"/>
          <w:szCs w:val="20"/>
          <w:color w:val="auto"/>
        </w:rPr>
      </w:pPr>
    </w:p>
    <w:p>
      <w:pPr>
        <w:jc w:val="both"/>
        <w:ind w:right="4739"/>
        <w:spacing w:after="0" w:line="254" w:lineRule="auto"/>
        <w:rPr>
          <w:sz w:val="20"/>
          <w:szCs w:val="20"/>
          <w:color w:val="auto"/>
        </w:rPr>
      </w:pPr>
      <w:r>
        <w:rPr>
          <w:rFonts w:ascii="Arial" w:cs="Arial" w:eastAsia="Arial" w:hAnsi="Arial"/>
          <w:sz w:val="16"/>
          <w:szCs w:val="16"/>
          <w:color w:val="auto"/>
        </w:rPr>
        <w:t>During the third quarter of 2016, the Company declared quarterly dividends on its outstanding common and preferred stock as follows:</w:t>
      </w:r>
    </w:p>
    <w:p>
      <w:pPr>
        <w:spacing w:after="0" w:line="113" w:lineRule="exact"/>
        <w:rPr>
          <w:sz w:val="20"/>
          <w:szCs w:val="20"/>
          <w:color w:val="auto"/>
        </w:rPr>
      </w:pPr>
    </w:p>
    <w:p>
      <w:pPr>
        <w:jc w:val="both"/>
        <w:ind w:left="540" w:right="4739" w:hanging="270"/>
        <w:spacing w:after="0" w:line="248"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$0.72 per share of common stock, which was paid on October 17, 2016 to shareholders of record on the close of business on September 30, 2016; and</w:t>
      </w:r>
    </w:p>
    <w:p>
      <w:pPr>
        <w:spacing w:after="0" w:line="118" w:lineRule="exact"/>
        <w:rPr>
          <w:rFonts w:ascii="Arial" w:cs="Arial" w:eastAsia="Arial" w:hAnsi="Arial"/>
          <w:sz w:val="16"/>
          <w:szCs w:val="16"/>
          <w:color w:val="auto"/>
        </w:rPr>
      </w:pPr>
    </w:p>
    <w:p>
      <w:pPr>
        <w:jc w:val="both"/>
        <w:ind w:left="540" w:right="4739" w:hanging="270"/>
        <w:spacing w:after="0" w:line="244" w:lineRule="auto"/>
        <w:tabs>
          <w:tab w:leader="none" w:pos="5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$0.40625 per share on the Company's 6.50% Series I Cumulative Redeemable Preferred Stock for the period July 15, 2016 through and including October 14, 2016, which was paid on October 17, 2016 to shareholders of record on the close of business on September 30, 2016, and reflects the regular quarterly dividend, which is the equivalent of an annualized dividend of $1.625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Annual Institutional Investor Conference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The Company will host its Annual Institutional Investor Conference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on Monday, December 5, 2016 in New York City beginning at 9:00am EST.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on the Conference, please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email SLG2016@slgreen.com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ind w:right="445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239"/>
          </w:cols>
          <w:pgMar w:left="220" w:top="338" w:right="1440" w:bottom="1440" w:gutter="0" w:footer="0" w:header="0"/>
        </w:sectPr>
      </w:pPr>
    </w:p>
    <w:bookmarkStart w:id="25" w:name="page26"/>
    <w:bookmarkEnd w:id="2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158115</wp:posOffset>
            </wp:positionH>
            <wp:positionV relativeFrom="page">
              <wp:posOffset>172085</wp:posOffset>
            </wp:positionV>
            <wp:extent cx="6412230"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5988050</wp:posOffset>
            </wp:positionH>
            <wp:positionV relativeFrom="paragraph">
              <wp:posOffset>-48895</wp:posOffset>
            </wp:positionV>
            <wp:extent cx="1263015" cy="3606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64122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620" w:type="dxa"/>
            <w:vAlign w:val="bottom"/>
            <w:tcBorders>
              <w:bottom w:val="single" w:sz="8" w:color="auto"/>
            </w:tcBorders>
            <w:gridSpan w:val="8"/>
          </w:tcPr>
          <w:p>
            <w:pPr>
              <w:ind w:left="660"/>
              <w:spacing w:after="0"/>
              <w:rPr>
                <w:sz w:val="20"/>
                <w:szCs w:val="20"/>
                <w:color w:val="auto"/>
              </w:rPr>
            </w:pPr>
            <w:r>
              <w:rPr>
                <w:rFonts w:ascii="Arial" w:cs="Arial" w:eastAsia="Arial" w:hAnsi="Arial"/>
                <w:sz w:val="12"/>
                <w:szCs w:val="12"/>
                <w:b w:val="1"/>
                <w:bCs w:val="1"/>
                <w:color w:val="auto"/>
              </w:rPr>
              <w:t>As of or for the three months ended</w:t>
            </w:r>
          </w:p>
        </w:tc>
        <w:tc>
          <w:tcPr>
            <w:tcW w:w="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9/30/2016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6/30/2016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b w:val="1"/>
                <w:bCs w:val="1"/>
                <w:color w:val="auto"/>
              </w:rPr>
              <w:t>3/31/2016</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12/31/2015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22"/>
              <w:spacing w:after="0"/>
              <w:rPr>
                <w:sz w:val="20"/>
                <w:szCs w:val="20"/>
                <w:color w:val="auto"/>
              </w:rPr>
            </w:pPr>
            <w:r>
              <w:rPr>
                <w:rFonts w:ascii="Arial" w:cs="Arial" w:eastAsia="Arial" w:hAnsi="Arial"/>
                <w:sz w:val="12"/>
                <w:szCs w:val="12"/>
                <w:b w:val="1"/>
                <w:bCs w:val="1"/>
                <w:color w:val="auto"/>
              </w:rPr>
              <w:t>9/30/2015</w:t>
            </w:r>
          </w:p>
        </w:tc>
        <w:tc>
          <w:tcPr>
            <w:tcW w:w="0" w:type="dxa"/>
            <w:vAlign w:val="bottom"/>
          </w:tcPr>
          <w:p>
            <w:pPr>
              <w:spacing w:after="0"/>
              <w:rPr>
                <w:sz w:val="1"/>
                <w:szCs w:val="1"/>
                <w:color w:val="auto"/>
              </w:rPr>
            </w:pPr>
          </w:p>
        </w:tc>
      </w:tr>
      <w:tr>
        <w:trPr>
          <w:trHeight w:val="186"/>
        </w:trPr>
        <w:tc>
          <w:tcPr>
            <w:tcW w:w="3980" w:type="dxa"/>
            <w:vAlign w:val="bottom"/>
            <w:gridSpan w:val="5"/>
          </w:tcPr>
          <w:p>
            <w:pPr>
              <w:spacing w:after="0"/>
              <w:rPr>
                <w:sz w:val="20"/>
                <w:szCs w:val="20"/>
                <w:color w:val="auto"/>
              </w:rPr>
            </w:pPr>
            <w:r>
              <w:rPr>
                <w:rFonts w:ascii="Arial" w:cs="Arial" w:eastAsia="Arial" w:hAnsi="Arial"/>
                <w:sz w:val="12"/>
                <w:szCs w:val="12"/>
                <w:b w:val="1"/>
                <w:bCs w:val="1"/>
                <w:color w:val="auto"/>
              </w:rPr>
              <w:t>Earnings Per Share</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Net income available to common stockholders - diluted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0.34</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1.33</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0.23</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0.96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1.64</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Funds from operations (FFO) available to common stockholders - diluted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1.63</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3.39</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1.84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1.61</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1.65</w:t>
            </w:r>
          </w:p>
        </w:tc>
        <w:tc>
          <w:tcPr>
            <w:tcW w:w="0" w:type="dxa"/>
            <w:vAlign w:val="bottom"/>
          </w:tcPr>
          <w:p>
            <w:pPr>
              <w:spacing w:after="0"/>
              <w:rPr>
                <w:sz w:val="1"/>
                <w:szCs w:val="1"/>
                <w:color w:val="auto"/>
              </w:rPr>
            </w:pPr>
          </w:p>
        </w:tc>
      </w:tr>
      <w:tr>
        <w:trPr>
          <w:trHeight w:val="392"/>
        </w:trPr>
        <w:tc>
          <w:tcPr>
            <w:tcW w:w="190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w w:val="96"/>
              </w:rPr>
              <w:t>Common Share Price &amp; Dividends</w:t>
            </w: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Closing price at the end of the period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108.10</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106.47</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96.88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112.98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108.16</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Closing high price during period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119.20</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106.72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110.92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121.80</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116.97</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Closing low price during period</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102.56</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95.51</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80.54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108.56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100.95</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Common dividend per share</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0.72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0.72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0.72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0.72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0.60</w:t>
            </w:r>
          </w:p>
        </w:tc>
        <w:tc>
          <w:tcPr>
            <w:tcW w:w="0" w:type="dxa"/>
            <w:vAlign w:val="bottom"/>
          </w:tcPr>
          <w:p>
            <w:pPr>
              <w:spacing w:after="0"/>
              <w:rPr>
                <w:sz w:val="1"/>
                <w:szCs w:val="1"/>
                <w:color w:val="auto"/>
              </w:rPr>
            </w:pPr>
          </w:p>
        </w:tc>
      </w:tr>
      <w:tr>
        <w:trPr>
          <w:trHeight w:val="317"/>
        </w:trPr>
        <w:tc>
          <w:tcPr>
            <w:tcW w:w="3980" w:type="dxa"/>
            <w:vAlign w:val="bottom"/>
            <w:gridSpan w:val="5"/>
          </w:tcPr>
          <w:p>
            <w:pPr>
              <w:spacing w:after="0"/>
              <w:rPr>
                <w:sz w:val="20"/>
                <w:szCs w:val="20"/>
                <w:color w:val="auto"/>
              </w:rPr>
            </w:pPr>
            <w:r>
              <w:rPr>
                <w:rFonts w:ascii="Arial" w:cs="Arial" w:eastAsia="Arial" w:hAnsi="Arial"/>
                <w:sz w:val="12"/>
                <w:szCs w:val="12"/>
                <w:color w:val="auto"/>
              </w:rPr>
              <w:t>FFO payout ratio (trailing 12 months)</w:t>
            </w:r>
          </w:p>
        </w:tc>
        <w:tc>
          <w:tcPr>
            <w:tcW w:w="18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34.0%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32.5%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39.3%</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39.6%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38.7%</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Funds available for distribution (FAD) payout ratio (trailing 12 months)</w:t>
            </w:r>
          </w:p>
        </w:tc>
        <w:tc>
          <w:tcPr>
            <w:tcW w:w="18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61.9%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58.5%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71.0%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77.5%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60.2%</w:t>
            </w:r>
          </w:p>
        </w:tc>
        <w:tc>
          <w:tcPr>
            <w:tcW w:w="0" w:type="dxa"/>
            <w:vAlign w:val="bottom"/>
          </w:tcPr>
          <w:p>
            <w:pPr>
              <w:spacing w:after="0"/>
              <w:rPr>
                <w:sz w:val="1"/>
                <w:szCs w:val="1"/>
                <w:color w:val="auto"/>
              </w:rPr>
            </w:pPr>
          </w:p>
        </w:tc>
      </w:tr>
      <w:tr>
        <w:trPr>
          <w:trHeight w:val="392"/>
        </w:trPr>
        <w:tc>
          <w:tcPr>
            <w:tcW w:w="138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w w:val="96"/>
              </w:rPr>
              <w:t>Common Shares &amp; Units</w:t>
            </w:r>
          </w:p>
        </w:tc>
        <w:tc>
          <w:tcPr>
            <w:tcW w:w="260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Common shares outstanding</w:t>
            </w:r>
          </w:p>
        </w:tc>
        <w:tc>
          <w:tcPr>
            <w:tcW w:w="18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100,264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100,164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100,081</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99,975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99,659</w:t>
            </w:r>
          </w:p>
        </w:tc>
        <w:tc>
          <w:tcPr>
            <w:tcW w:w="0" w:type="dxa"/>
            <w:vAlign w:val="bottom"/>
          </w:tcPr>
          <w:p>
            <w:pPr>
              <w:spacing w:after="0"/>
              <w:rPr>
                <w:sz w:val="1"/>
                <w:szCs w:val="1"/>
                <w:color w:val="auto"/>
              </w:rPr>
            </w:pPr>
          </w:p>
        </w:tc>
      </w:tr>
      <w:tr>
        <w:trPr>
          <w:trHeight w:val="223"/>
        </w:trPr>
        <w:tc>
          <w:tcPr>
            <w:tcW w:w="3980" w:type="dxa"/>
            <w:vAlign w:val="bottom"/>
            <w:gridSpan w:val="5"/>
          </w:tcPr>
          <w:p>
            <w:pPr>
              <w:spacing w:after="0"/>
              <w:rPr>
                <w:sz w:val="20"/>
                <w:szCs w:val="20"/>
                <w:color w:val="auto"/>
              </w:rPr>
            </w:pPr>
            <w:r>
              <w:rPr>
                <w:rFonts w:ascii="Arial" w:cs="Arial" w:eastAsia="Arial" w:hAnsi="Arial"/>
                <w:sz w:val="12"/>
                <w:szCs w:val="12"/>
                <w:color w:val="auto"/>
              </w:rPr>
              <w:t>Units outstanding</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4,495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4,504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4,001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3,746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3,875</w:t>
            </w:r>
          </w:p>
        </w:tc>
        <w:tc>
          <w:tcPr>
            <w:tcW w:w="0" w:type="dxa"/>
            <w:vAlign w:val="bottom"/>
          </w:tcPr>
          <w:p>
            <w:pPr>
              <w:spacing w:after="0"/>
              <w:rPr>
                <w:sz w:val="1"/>
                <w:szCs w:val="1"/>
                <w:color w:val="auto"/>
              </w:rPr>
            </w:pPr>
          </w:p>
        </w:tc>
      </w:tr>
      <w:tr>
        <w:trPr>
          <w:trHeight w:val="193"/>
        </w:trPr>
        <w:tc>
          <w:tcPr>
            <w:tcW w:w="3980" w:type="dxa"/>
            <w:vAlign w:val="bottom"/>
            <w:gridSpan w:val="5"/>
          </w:tcPr>
          <w:p>
            <w:pPr>
              <w:spacing w:after="0"/>
              <w:rPr>
                <w:sz w:val="20"/>
                <w:szCs w:val="20"/>
                <w:color w:val="auto"/>
              </w:rPr>
            </w:pPr>
            <w:r>
              <w:rPr>
                <w:rFonts w:ascii="Arial" w:cs="Arial" w:eastAsia="Arial" w:hAnsi="Arial"/>
                <w:sz w:val="12"/>
                <w:szCs w:val="12"/>
                <w:color w:val="auto"/>
              </w:rPr>
              <w:t>Total common shares and units outstanding</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104,759</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104,668</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104,082</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103,721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103,534</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3980" w:type="dxa"/>
            <w:vAlign w:val="bottom"/>
            <w:gridSpan w:val="5"/>
          </w:tcPr>
          <w:p>
            <w:pPr>
              <w:spacing w:after="0"/>
              <w:rPr>
                <w:sz w:val="20"/>
                <w:szCs w:val="20"/>
                <w:color w:val="auto"/>
              </w:rPr>
            </w:pPr>
            <w:r>
              <w:rPr>
                <w:rFonts w:ascii="Arial" w:cs="Arial" w:eastAsia="Arial" w:hAnsi="Arial"/>
                <w:sz w:val="12"/>
                <w:szCs w:val="12"/>
                <w:color w:val="auto"/>
              </w:rPr>
              <w:t>Weighted average common shares and units outstanding - basic</w:t>
            </w:r>
          </w:p>
        </w:tc>
        <w:tc>
          <w:tcPr>
            <w:tcW w:w="18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104,730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104,476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104,025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103,587</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103,522</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Weighted average common shares and units outstanding - diluted</w:t>
            </w:r>
          </w:p>
        </w:tc>
        <w:tc>
          <w:tcPr>
            <w:tcW w:w="18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105,143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104,792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104,259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104,055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103,929</w:t>
            </w:r>
          </w:p>
        </w:tc>
        <w:tc>
          <w:tcPr>
            <w:tcW w:w="0" w:type="dxa"/>
            <w:vAlign w:val="bottom"/>
          </w:tcPr>
          <w:p>
            <w:pPr>
              <w:spacing w:after="0"/>
              <w:rPr>
                <w:sz w:val="1"/>
                <w:szCs w:val="1"/>
                <w:color w:val="auto"/>
              </w:rPr>
            </w:pPr>
          </w:p>
        </w:tc>
      </w:tr>
      <w:tr>
        <w:trPr>
          <w:trHeight w:val="392"/>
        </w:trPr>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Market Capitalization</w:t>
            </w:r>
          </w:p>
        </w:tc>
        <w:tc>
          <w:tcPr>
            <w:tcW w:w="280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980" w:type="dxa"/>
            <w:vAlign w:val="bottom"/>
            <w:gridSpan w:val="5"/>
          </w:tcPr>
          <w:p>
            <w:pPr>
              <w:spacing w:after="0"/>
              <w:rPr>
                <w:sz w:val="20"/>
                <w:szCs w:val="20"/>
                <w:color w:val="auto"/>
              </w:rPr>
            </w:pPr>
            <w:r>
              <w:rPr>
                <w:rFonts w:ascii="Arial" w:cs="Arial" w:eastAsia="Arial" w:hAnsi="Arial"/>
                <w:sz w:val="12"/>
                <w:szCs w:val="12"/>
                <w:color w:val="auto"/>
              </w:rPr>
              <w:t>Market value of common equity</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11,324,448</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11,144,002</w:t>
            </w:r>
          </w:p>
        </w:tc>
        <w:tc>
          <w:tcPr>
            <w:tcW w:w="18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10,083,464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11,718,399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11,198,237</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Liquidation value of preferred equity/units</w:t>
            </w:r>
          </w:p>
        </w:tc>
        <w:tc>
          <w:tcPr>
            <w:tcW w:w="18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532,309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532,460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534,869</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512,516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512,516</w:t>
            </w:r>
          </w:p>
        </w:tc>
        <w:tc>
          <w:tcPr>
            <w:tcW w:w="0" w:type="dxa"/>
            <w:vAlign w:val="bottom"/>
          </w:tcPr>
          <w:p>
            <w:pPr>
              <w:spacing w:after="0"/>
              <w:rPr>
                <w:sz w:val="1"/>
                <w:szCs w:val="1"/>
                <w:color w:val="auto"/>
              </w:rPr>
            </w:pPr>
          </w:p>
        </w:tc>
      </w:tr>
      <w:tr>
        <w:trPr>
          <w:trHeight w:val="228"/>
        </w:trPr>
        <w:tc>
          <w:tcPr>
            <w:tcW w:w="3980" w:type="dxa"/>
            <w:vAlign w:val="bottom"/>
            <w:gridSpan w:val="5"/>
          </w:tcPr>
          <w:p>
            <w:pPr>
              <w:spacing w:after="0"/>
              <w:rPr>
                <w:sz w:val="20"/>
                <w:szCs w:val="20"/>
                <w:color w:val="auto"/>
              </w:rPr>
            </w:pPr>
            <w:r>
              <w:rPr>
                <w:rFonts w:ascii="Arial" w:cs="Arial" w:eastAsia="Arial" w:hAnsi="Arial"/>
                <w:sz w:val="12"/>
                <w:szCs w:val="12"/>
                <w:color w:val="auto"/>
              </w:rPr>
              <w:t xml:space="preserve">Consolidated debt </w:t>
            </w:r>
            <w:r>
              <w:rPr>
                <w:rFonts w:ascii="Arial" w:cs="Arial" w:eastAsia="Arial" w:hAnsi="Arial"/>
                <w:sz w:val="14"/>
                <w:szCs w:val="14"/>
                <w:color w:val="auto"/>
                <w:vertAlign w:val="superscript"/>
              </w:rPr>
              <w:t>(1)</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6,237,641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7,796,092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9,796,167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10,434,748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10,130,502</w:t>
            </w:r>
          </w:p>
        </w:tc>
        <w:tc>
          <w:tcPr>
            <w:tcW w:w="0" w:type="dxa"/>
            <w:vAlign w:val="bottom"/>
          </w:tcPr>
          <w:p>
            <w:pPr>
              <w:spacing w:after="0"/>
              <w:rPr>
                <w:sz w:val="1"/>
                <w:szCs w:val="1"/>
                <w:color w:val="auto"/>
              </w:rPr>
            </w:pPr>
          </w:p>
        </w:tc>
      </w:tr>
      <w:tr>
        <w:trPr>
          <w:trHeight w:val="191"/>
        </w:trPr>
        <w:tc>
          <w:tcPr>
            <w:tcW w:w="3980" w:type="dxa"/>
            <w:vAlign w:val="bottom"/>
            <w:gridSpan w:val="5"/>
          </w:tcPr>
          <w:p>
            <w:pPr>
              <w:spacing w:after="0"/>
              <w:rPr>
                <w:sz w:val="20"/>
                <w:szCs w:val="20"/>
                <w:color w:val="auto"/>
              </w:rPr>
            </w:pPr>
            <w:r>
              <w:rPr>
                <w:rFonts w:ascii="Arial" w:cs="Arial" w:eastAsia="Arial" w:hAnsi="Arial"/>
                <w:sz w:val="12"/>
                <w:szCs w:val="12"/>
                <w:color w:val="auto"/>
              </w:rPr>
              <w:t>Consolidated market capitalization</w:t>
            </w:r>
          </w:p>
        </w:tc>
        <w:tc>
          <w:tcPr>
            <w:tcW w:w="180" w:type="dxa"/>
            <w:vAlign w:val="bottom"/>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18,094,398</w:t>
            </w:r>
          </w:p>
        </w:tc>
        <w:tc>
          <w:tcPr>
            <w:tcW w:w="18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Pr>
          <w:p>
            <w:pPr>
              <w:jc w:val="right"/>
              <w:ind w:right="182"/>
              <w:spacing w:after="0"/>
              <w:rPr>
                <w:sz w:val="20"/>
                <w:szCs w:val="20"/>
                <w:color w:val="auto"/>
              </w:rPr>
            </w:pPr>
            <w:r>
              <w:rPr>
                <w:rFonts w:ascii="Arial" w:cs="Arial" w:eastAsia="Arial" w:hAnsi="Arial"/>
                <w:sz w:val="12"/>
                <w:szCs w:val="12"/>
                <w:color w:val="auto"/>
              </w:rPr>
              <w:t>19,472,554</w:t>
            </w:r>
          </w:p>
        </w:tc>
        <w:tc>
          <w:tcPr>
            <w:tcW w:w="18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20,414,500</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22,665,663</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21,841,255</w:t>
            </w:r>
          </w:p>
        </w:tc>
        <w:tc>
          <w:tcPr>
            <w:tcW w:w="0" w:type="dxa"/>
            <w:vAlign w:val="bottom"/>
          </w:tcPr>
          <w:p>
            <w:pPr>
              <w:spacing w:after="0"/>
              <w:rPr>
                <w:sz w:val="1"/>
                <w:szCs w:val="1"/>
                <w:color w:val="auto"/>
              </w:rPr>
            </w:pPr>
          </w:p>
        </w:tc>
      </w:tr>
      <w:tr>
        <w:trPr>
          <w:trHeight w:val="221"/>
        </w:trPr>
        <w:tc>
          <w:tcPr>
            <w:tcW w:w="3980" w:type="dxa"/>
            <w:vAlign w:val="bottom"/>
            <w:gridSpan w:val="5"/>
          </w:tcPr>
          <w:p>
            <w:pPr>
              <w:spacing w:after="0"/>
              <w:rPr>
                <w:sz w:val="20"/>
                <w:szCs w:val="20"/>
                <w:color w:val="auto"/>
              </w:rPr>
            </w:pPr>
            <w:r>
              <w:rPr>
                <w:rFonts w:ascii="Arial" w:cs="Arial" w:eastAsia="Arial" w:hAnsi="Arial"/>
                <w:sz w:val="12"/>
                <w:szCs w:val="12"/>
                <w:color w:val="auto"/>
              </w:rPr>
              <w:t>SLG portion of JV debt</w:t>
            </w:r>
          </w:p>
        </w:tc>
        <w:tc>
          <w:tcPr>
            <w:tcW w:w="1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2,694,274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1,854,131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1,690,200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1,718,031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1,683,320</w:t>
            </w:r>
          </w:p>
        </w:tc>
        <w:tc>
          <w:tcPr>
            <w:tcW w:w="0" w:type="dxa"/>
            <w:vAlign w:val="bottom"/>
          </w:tcPr>
          <w:p>
            <w:pPr>
              <w:spacing w:after="0"/>
              <w:rPr>
                <w:sz w:val="1"/>
                <w:szCs w:val="1"/>
                <w:color w:val="auto"/>
              </w:rPr>
            </w:pPr>
          </w:p>
        </w:tc>
      </w:tr>
      <w:tr>
        <w:trPr>
          <w:trHeight w:val="193"/>
        </w:trPr>
        <w:tc>
          <w:tcPr>
            <w:tcW w:w="3980" w:type="dxa"/>
            <w:vAlign w:val="bottom"/>
            <w:gridSpan w:val="5"/>
          </w:tcPr>
          <w:p>
            <w:pPr>
              <w:spacing w:after="0"/>
              <w:rPr>
                <w:sz w:val="20"/>
                <w:szCs w:val="20"/>
                <w:color w:val="auto"/>
              </w:rPr>
            </w:pPr>
            <w:r>
              <w:rPr>
                <w:rFonts w:ascii="Arial" w:cs="Arial" w:eastAsia="Arial" w:hAnsi="Arial"/>
                <w:sz w:val="12"/>
                <w:szCs w:val="12"/>
                <w:color w:val="auto"/>
              </w:rPr>
              <w:t>Combined market capitalization</w:t>
            </w:r>
          </w:p>
        </w:tc>
        <w:tc>
          <w:tcPr>
            <w:tcW w:w="1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20,788,672</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21,326,685</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22,104,700</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24,383,694</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9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color w:val="auto"/>
              </w:rPr>
              <w:t>23,524,575</w:t>
            </w:r>
          </w:p>
        </w:tc>
        <w:tc>
          <w:tcPr>
            <w:tcW w:w="0" w:type="dxa"/>
            <w:vAlign w:val="bottom"/>
          </w:tcPr>
          <w:p>
            <w:pPr>
              <w:spacing w:after="0"/>
              <w:rPr>
                <w:sz w:val="1"/>
                <w:szCs w:val="1"/>
                <w:color w:val="auto"/>
              </w:rPr>
            </w:pPr>
          </w:p>
        </w:tc>
      </w:tr>
      <w:tr>
        <w:trPr>
          <w:trHeight w:val="20"/>
        </w:trPr>
        <w:tc>
          <w:tcPr>
            <w:tcW w:w="3980" w:type="dxa"/>
            <w:vAlign w:val="bottom"/>
            <w:gridSpan w:val="5"/>
            <w:vMerge w:val="restart"/>
          </w:tcPr>
          <w:p>
            <w:pPr>
              <w:spacing w:after="0"/>
              <w:rPr>
                <w:sz w:val="20"/>
                <w:szCs w:val="20"/>
                <w:color w:val="auto"/>
              </w:rPr>
            </w:pPr>
            <w:r>
              <w:rPr>
                <w:rFonts w:ascii="Arial" w:cs="Arial" w:eastAsia="Arial" w:hAnsi="Arial"/>
                <w:sz w:val="12"/>
                <w:szCs w:val="12"/>
                <w:color w:val="auto"/>
              </w:rPr>
              <w:t xml:space="preserve">Consolidated debt to market capitalization </w:t>
            </w:r>
            <w:r>
              <w:rPr>
                <w:rFonts w:ascii="Arial" w:cs="Arial" w:eastAsia="Arial" w:hAnsi="Arial"/>
                <w:sz w:val="14"/>
                <w:szCs w:val="14"/>
                <w:color w:val="auto"/>
                <w:vertAlign w:val="superscript"/>
              </w:rPr>
              <w:t>(2)</w:t>
            </w: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398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34.5%</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40.0%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48.0%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46.0%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46.4%</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 xml:space="preserve">Combined debt to market capitalization </w:t>
            </w:r>
            <w:r>
              <w:rPr>
                <w:rFonts w:ascii="Arial" w:cs="Arial" w:eastAsia="Arial" w:hAnsi="Arial"/>
                <w:sz w:val="14"/>
                <w:szCs w:val="14"/>
                <w:color w:val="auto"/>
                <w:vertAlign w:val="superscript"/>
              </w:rPr>
              <w:t>(2)</w:t>
            </w:r>
          </w:p>
        </w:tc>
        <w:tc>
          <w:tcPr>
            <w:tcW w:w="18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43.0%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ind w:right="82"/>
              <w:spacing w:after="0"/>
              <w:rPr>
                <w:sz w:val="20"/>
                <w:szCs w:val="20"/>
                <w:color w:val="auto"/>
              </w:rPr>
            </w:pPr>
            <w:r>
              <w:rPr>
                <w:rFonts w:ascii="Arial" w:cs="Arial" w:eastAsia="Arial" w:hAnsi="Arial"/>
                <w:sz w:val="12"/>
                <w:szCs w:val="12"/>
                <w:color w:val="auto"/>
              </w:rPr>
              <w:t>45.2%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62"/>
              <w:spacing w:after="0"/>
              <w:rPr>
                <w:sz w:val="20"/>
                <w:szCs w:val="20"/>
                <w:color w:val="auto"/>
              </w:rPr>
            </w:pPr>
            <w:r>
              <w:rPr>
                <w:rFonts w:ascii="Arial" w:cs="Arial" w:eastAsia="Arial" w:hAnsi="Arial"/>
                <w:sz w:val="12"/>
                <w:szCs w:val="12"/>
                <w:color w:val="auto"/>
              </w:rPr>
              <w:t>52.0%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49.8%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ind w:right="82"/>
              <w:spacing w:after="0"/>
              <w:rPr>
                <w:sz w:val="20"/>
                <w:szCs w:val="20"/>
                <w:color w:val="auto"/>
              </w:rPr>
            </w:pPr>
            <w:r>
              <w:rPr>
                <w:rFonts w:ascii="Arial" w:cs="Arial" w:eastAsia="Arial" w:hAnsi="Arial"/>
                <w:sz w:val="12"/>
                <w:szCs w:val="12"/>
                <w:color w:val="auto"/>
              </w:rPr>
              <w:t>50.2%</w:t>
            </w:r>
          </w:p>
        </w:tc>
        <w:tc>
          <w:tcPr>
            <w:tcW w:w="0" w:type="dxa"/>
            <w:vAlign w:val="bottom"/>
          </w:tcPr>
          <w:p>
            <w:pPr>
              <w:spacing w:after="0"/>
              <w:rPr>
                <w:sz w:val="1"/>
                <w:szCs w:val="1"/>
                <w:color w:val="auto"/>
              </w:rPr>
            </w:pPr>
          </w:p>
        </w:tc>
      </w:tr>
      <w:tr>
        <w:trPr>
          <w:trHeight w:val="276"/>
        </w:trPr>
        <w:tc>
          <w:tcPr>
            <w:tcW w:w="3980" w:type="dxa"/>
            <w:vAlign w:val="bottom"/>
            <w:gridSpan w:val="5"/>
          </w:tcPr>
          <w:p>
            <w:pPr>
              <w:spacing w:after="0"/>
              <w:rPr>
                <w:sz w:val="20"/>
                <w:szCs w:val="20"/>
                <w:color w:val="auto"/>
              </w:rPr>
            </w:pPr>
            <w:r>
              <w:rPr>
                <w:rFonts w:ascii="Arial" w:cs="Arial" w:eastAsia="Arial" w:hAnsi="Arial"/>
                <w:sz w:val="12"/>
                <w:szCs w:val="12"/>
                <w:color w:val="auto"/>
              </w:rPr>
              <w:t>Consolidated debt service coverage (trailing 12 months)</w:t>
            </w:r>
          </w:p>
        </w:tc>
        <w:tc>
          <w:tcPr>
            <w:tcW w:w="180" w:type="dxa"/>
            <w:vAlign w:val="bottom"/>
          </w:tcPr>
          <w:p>
            <w:pPr>
              <w:spacing w:after="0"/>
              <w:rPr>
                <w:sz w:val="23"/>
                <w:szCs w:val="23"/>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3.33x</w:t>
            </w:r>
          </w:p>
        </w:tc>
        <w:tc>
          <w:tcPr>
            <w:tcW w:w="160" w:type="dxa"/>
            <w:vAlign w:val="bottom"/>
          </w:tcPr>
          <w:p>
            <w:pPr>
              <w:spacing w:after="0"/>
              <w:rPr>
                <w:sz w:val="23"/>
                <w:szCs w:val="23"/>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3.29x</w:t>
            </w:r>
          </w:p>
        </w:tc>
        <w:tc>
          <w:tcPr>
            <w:tcW w:w="160" w:type="dxa"/>
            <w:vAlign w:val="bottom"/>
          </w:tcPr>
          <w:p>
            <w:pPr>
              <w:spacing w:after="0"/>
              <w:rPr>
                <w:sz w:val="23"/>
                <w:szCs w:val="2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2.88x</w:t>
            </w:r>
          </w:p>
        </w:tc>
        <w:tc>
          <w:tcPr>
            <w:tcW w:w="160" w:type="dxa"/>
            <w:vAlign w:val="bottom"/>
          </w:tcPr>
          <w:p>
            <w:pPr>
              <w:spacing w:after="0"/>
              <w:rPr>
                <w:sz w:val="23"/>
                <w:szCs w:val="23"/>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2.85x</w:t>
            </w:r>
          </w:p>
        </w:tc>
        <w:tc>
          <w:tcPr>
            <w:tcW w:w="160" w:type="dxa"/>
            <w:vAlign w:val="bottom"/>
          </w:tcPr>
          <w:p>
            <w:pPr>
              <w:spacing w:after="0"/>
              <w:rPr>
                <w:sz w:val="23"/>
                <w:szCs w:val="23"/>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2.78x</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Consolidated fixed charge coverage (trailing 12 months)</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2.89x</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2.87x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2.52x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2.50x</w:t>
            </w: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2.45x</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Combined debt service coverage (trailing 12 months)</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2.93x</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2.90x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2.54x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2.52x</w:t>
            </w: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2.47x</w:t>
            </w:r>
          </w:p>
        </w:tc>
        <w:tc>
          <w:tcPr>
            <w:tcW w:w="0" w:type="dxa"/>
            <w:vAlign w:val="bottom"/>
          </w:tcPr>
          <w:p>
            <w:pPr>
              <w:spacing w:after="0"/>
              <w:rPr>
                <w:sz w:val="1"/>
                <w:szCs w:val="1"/>
                <w:color w:val="auto"/>
              </w:rPr>
            </w:pPr>
          </w:p>
        </w:tc>
      </w:tr>
      <w:tr>
        <w:trPr>
          <w:trHeight w:val="219"/>
        </w:trPr>
        <w:tc>
          <w:tcPr>
            <w:tcW w:w="3980" w:type="dxa"/>
            <w:vAlign w:val="bottom"/>
            <w:gridSpan w:val="5"/>
          </w:tcPr>
          <w:p>
            <w:pPr>
              <w:spacing w:after="0"/>
              <w:rPr>
                <w:sz w:val="20"/>
                <w:szCs w:val="20"/>
                <w:color w:val="auto"/>
              </w:rPr>
            </w:pPr>
            <w:r>
              <w:rPr>
                <w:rFonts w:ascii="Arial" w:cs="Arial" w:eastAsia="Arial" w:hAnsi="Arial"/>
                <w:sz w:val="12"/>
                <w:szCs w:val="12"/>
                <w:color w:val="auto"/>
              </w:rPr>
              <w:t>Combined fixed charge coverage (trailing 12 months)</w:t>
            </w:r>
          </w:p>
        </w:tc>
        <w:tc>
          <w:tcPr>
            <w:tcW w:w="180" w:type="dxa"/>
            <w:vAlign w:val="bottom"/>
          </w:tcPr>
          <w:p>
            <w:pPr>
              <w:spacing w:after="0"/>
              <w:rPr>
                <w:sz w:val="19"/>
                <w:szCs w:val="19"/>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2"/>
                <w:szCs w:val="12"/>
                <w:color w:val="auto"/>
              </w:rPr>
              <w:t>2.57x</w:t>
            </w:r>
          </w:p>
        </w:tc>
        <w:tc>
          <w:tcPr>
            <w:tcW w:w="16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2"/>
                <w:szCs w:val="12"/>
                <w:color w:val="auto"/>
              </w:rPr>
              <w:t>2.56x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2.25x</w:t>
            </w:r>
          </w:p>
        </w:tc>
        <w:tc>
          <w:tcPr>
            <w:tcW w:w="160" w:type="dxa"/>
            <w:vAlign w:val="bottom"/>
          </w:tcPr>
          <w:p>
            <w:pPr>
              <w:spacing w:after="0"/>
              <w:rPr>
                <w:sz w:val="19"/>
                <w:szCs w:val="19"/>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2"/>
                <w:szCs w:val="12"/>
                <w:color w:val="auto"/>
              </w:rPr>
              <w:t>2.23x</w:t>
            </w:r>
          </w:p>
        </w:tc>
        <w:tc>
          <w:tcPr>
            <w:tcW w:w="160" w:type="dxa"/>
            <w:vAlign w:val="bottom"/>
          </w:tcPr>
          <w:p>
            <w:pPr>
              <w:spacing w:after="0"/>
              <w:rPr>
                <w:sz w:val="19"/>
                <w:szCs w:val="19"/>
                <w:color w:val="auto"/>
              </w:rPr>
            </w:pPr>
          </w:p>
        </w:tc>
        <w:tc>
          <w:tcPr>
            <w:tcW w:w="900" w:type="dxa"/>
            <w:vAlign w:val="bottom"/>
          </w:tcPr>
          <w:p>
            <w:pPr>
              <w:jc w:val="right"/>
              <w:ind w:right="182"/>
              <w:spacing w:after="0"/>
              <w:rPr>
                <w:sz w:val="20"/>
                <w:szCs w:val="20"/>
                <w:color w:val="auto"/>
              </w:rPr>
            </w:pPr>
            <w:r>
              <w:rPr>
                <w:rFonts w:ascii="Arial" w:cs="Arial" w:eastAsia="Arial" w:hAnsi="Arial"/>
                <w:sz w:val="12"/>
                <w:szCs w:val="12"/>
                <w:color w:val="auto"/>
              </w:rPr>
              <w:t>2.20x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20" w:hanging="133"/>
        <w:spacing w:after="0"/>
        <w:tabs>
          <w:tab w:leader="none" w:pos="820" w:val="left"/>
        </w:tabs>
        <w:numPr>
          <w:ilvl w:val="0"/>
          <w:numId w:val="13"/>
        </w:numPr>
        <w:rPr>
          <w:rFonts w:ascii="Arial" w:cs="Arial" w:eastAsia="Arial" w:hAnsi="Arial"/>
          <w:sz w:val="9"/>
          <w:szCs w:val="9"/>
          <w:color w:val="auto"/>
        </w:rPr>
      </w:pPr>
      <w:r>
        <w:rPr>
          <w:rFonts w:ascii="Arial" w:cs="Arial" w:eastAsia="Arial" w:hAnsi="Arial"/>
          <w:sz w:val="9"/>
          <w:szCs w:val="9"/>
          <w:color w:val="auto"/>
        </w:rPr>
        <w:t>Includes debt associated with assets held for sale.</w:t>
      </w:r>
    </w:p>
    <w:p>
      <w:pPr>
        <w:spacing w:after="0" w:line="38" w:lineRule="exact"/>
        <w:rPr>
          <w:rFonts w:ascii="Arial" w:cs="Arial" w:eastAsia="Arial" w:hAnsi="Arial"/>
          <w:sz w:val="9"/>
          <w:szCs w:val="9"/>
          <w:color w:val="auto"/>
        </w:rPr>
      </w:pPr>
    </w:p>
    <w:p>
      <w:pPr>
        <w:ind w:left="820" w:hanging="133"/>
        <w:spacing w:after="0"/>
        <w:tabs>
          <w:tab w:leader="none" w:pos="820" w:val="left"/>
        </w:tabs>
        <w:numPr>
          <w:ilvl w:val="0"/>
          <w:numId w:val="13"/>
        </w:numPr>
        <w:rPr>
          <w:rFonts w:ascii="Arial" w:cs="Arial" w:eastAsia="Arial" w:hAnsi="Arial"/>
          <w:sz w:val="9"/>
          <w:szCs w:val="9"/>
          <w:color w:val="auto"/>
        </w:rPr>
      </w:pPr>
      <w:r>
        <w:rPr>
          <w:rFonts w:ascii="Arial" w:cs="Arial" w:eastAsia="Arial" w:hAnsi="Arial"/>
          <w:sz w:val="9"/>
          <w:szCs w:val="9"/>
          <w:color w:val="auto"/>
        </w:rPr>
        <w:t>Includes the liquidation value of preferred equity/units.</w:t>
      </w:r>
    </w:p>
    <w:p>
      <w:pPr>
        <w:spacing w:after="0" w:line="200" w:lineRule="exact"/>
        <w:rPr>
          <w:sz w:val="20"/>
          <w:szCs w:val="20"/>
          <w:color w:val="auto"/>
        </w:rPr>
      </w:pPr>
    </w:p>
    <w:p>
      <w:pPr>
        <w:spacing w:after="0" w:line="274" w:lineRule="exact"/>
        <w:rPr>
          <w:sz w:val="20"/>
          <w:szCs w:val="20"/>
          <w:color w:val="auto"/>
        </w:rPr>
      </w:pPr>
    </w:p>
    <w:p>
      <w:pPr>
        <w:ind w:left="700"/>
        <w:spacing w:after="0"/>
        <w:tabs>
          <w:tab w:leader="none" w:pos="5620" w:val="left"/>
          <w:tab w:leader="none" w:pos="986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10</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760"/>
          </w:cols>
          <w:pgMar w:left="240" w:top="338" w:right="899" w:bottom="1440" w:gutter="0" w:footer="0" w:header="0"/>
        </w:sectPr>
      </w:pPr>
    </w:p>
    <w:bookmarkStart w:id="26" w:name="page27"/>
    <w:bookmarkEnd w:id="2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158115</wp:posOffset>
            </wp:positionH>
            <wp:positionV relativeFrom="page">
              <wp:posOffset>172085</wp:posOffset>
            </wp:positionV>
            <wp:extent cx="6412230"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5988050</wp:posOffset>
            </wp:positionH>
            <wp:positionV relativeFrom="paragraph">
              <wp:posOffset>-48895</wp:posOffset>
            </wp:positionV>
            <wp:extent cx="1263015" cy="3606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64122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1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gridSpan w:val="8"/>
          </w:tcPr>
          <w:p>
            <w:pPr>
              <w:ind w:left="520"/>
              <w:spacing w:after="0"/>
              <w:rPr>
                <w:sz w:val="20"/>
                <w:szCs w:val="20"/>
                <w:color w:val="auto"/>
              </w:rPr>
            </w:pPr>
            <w:r>
              <w:rPr>
                <w:rFonts w:ascii="Arial" w:cs="Arial" w:eastAsia="Arial" w:hAnsi="Arial"/>
                <w:sz w:val="12"/>
                <w:szCs w:val="12"/>
                <w:b w:val="1"/>
                <w:bCs w:val="1"/>
                <w:color w:val="auto"/>
              </w:rPr>
              <w:t>As of or for the three months ended</w:t>
            </w: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9/30/2016</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6/30/2016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3/31/2016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12/31/2015</w:t>
            </w:r>
          </w:p>
        </w:tc>
        <w:tc>
          <w:tcPr>
            <w:tcW w:w="2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9/30/2015</w:t>
            </w:r>
          </w:p>
        </w:tc>
        <w:tc>
          <w:tcPr>
            <w:tcW w:w="0" w:type="dxa"/>
            <w:vAlign w:val="bottom"/>
          </w:tcPr>
          <w:p>
            <w:pPr>
              <w:spacing w:after="0"/>
              <w:rPr>
                <w:sz w:val="1"/>
                <w:szCs w:val="1"/>
                <w:color w:val="auto"/>
              </w:rPr>
            </w:pPr>
          </w:p>
        </w:tc>
      </w:tr>
      <w:tr>
        <w:trPr>
          <w:trHeight w:val="186"/>
        </w:trPr>
        <w:tc>
          <w:tcPr>
            <w:tcW w:w="1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Selected Balance Sheet Data</w:t>
            </w:r>
          </w:p>
        </w:tc>
        <w:tc>
          <w:tcPr>
            <w:tcW w:w="2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2"/>
                <w:szCs w:val="12"/>
                <w:color w:val="auto"/>
              </w:rPr>
              <w:t>Real estate assets before depreciation</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12,608,861</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15,015,226</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16,550,051</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16,718,324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16,381,149</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Investments in unconsolidated joint ventures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1,860,912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1,126,486</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1,146,085</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1,203,858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1,239,008</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Debt and preferred equity investments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1,453,234</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1,357,181</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1,378,616</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1,670,020</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1,501,619</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Cash and cash equivalents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405,896</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276,226</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316,205</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255,399</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244,360</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Investment in marketable securities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60,352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39,339</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43,915</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45,138</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46,432</w:t>
            </w:r>
          </w:p>
        </w:tc>
        <w:tc>
          <w:tcPr>
            <w:tcW w:w="0" w:type="dxa"/>
            <w:vAlign w:val="bottom"/>
          </w:tcPr>
          <w:p>
            <w:pPr>
              <w:spacing w:after="0"/>
              <w:rPr>
                <w:sz w:val="1"/>
                <w:szCs w:val="1"/>
                <w:color w:val="auto"/>
              </w:rPr>
            </w:pPr>
          </w:p>
        </w:tc>
      </w:tr>
      <w:tr>
        <w:trPr>
          <w:trHeight w:val="415"/>
        </w:trPr>
        <w:tc>
          <w:tcPr>
            <w:tcW w:w="4420" w:type="dxa"/>
            <w:vAlign w:val="bottom"/>
            <w:gridSpan w:val="3"/>
          </w:tcPr>
          <w:p>
            <w:pPr>
              <w:spacing w:after="0"/>
              <w:rPr>
                <w:sz w:val="20"/>
                <w:szCs w:val="20"/>
                <w:color w:val="auto"/>
              </w:rPr>
            </w:pPr>
            <w:r>
              <w:rPr>
                <w:rFonts w:ascii="Arial" w:cs="Arial" w:eastAsia="Arial" w:hAnsi="Arial"/>
                <w:sz w:val="12"/>
                <w:szCs w:val="12"/>
                <w:color w:val="auto"/>
              </w:rPr>
              <w:t>Total assets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15,790,942</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17,544,223</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19,585,715</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19,727,426</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19,382,712</w:t>
            </w:r>
          </w:p>
        </w:tc>
        <w:tc>
          <w:tcPr>
            <w:tcW w:w="0" w:type="dxa"/>
            <w:vAlign w:val="bottom"/>
          </w:tcPr>
          <w:p>
            <w:pPr>
              <w:spacing w:after="0"/>
              <w:rPr>
                <w:sz w:val="1"/>
                <w:szCs w:val="1"/>
                <w:color w:val="auto"/>
              </w:rPr>
            </w:pPr>
          </w:p>
        </w:tc>
      </w:tr>
      <w:tr>
        <w:trPr>
          <w:trHeight w:val="415"/>
        </w:trPr>
        <w:tc>
          <w:tcPr>
            <w:tcW w:w="4420" w:type="dxa"/>
            <w:vAlign w:val="bottom"/>
            <w:gridSpan w:val="3"/>
          </w:tcPr>
          <w:p>
            <w:pPr>
              <w:spacing w:after="0"/>
              <w:rPr>
                <w:sz w:val="20"/>
                <w:szCs w:val="20"/>
                <w:color w:val="auto"/>
              </w:rPr>
            </w:pPr>
            <w:r>
              <w:rPr>
                <w:rFonts w:ascii="Arial" w:cs="Arial" w:eastAsia="Arial" w:hAnsi="Arial"/>
                <w:sz w:val="12"/>
                <w:szCs w:val="12"/>
                <w:color w:val="auto"/>
              </w:rPr>
              <w:t>Fixed rate &amp; hedged debt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5,226,651</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6,344,936</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6,887,280</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7,232,254</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7,137,994</w:t>
            </w:r>
          </w:p>
        </w:tc>
        <w:tc>
          <w:tcPr>
            <w:tcW w:w="0" w:type="dxa"/>
            <w:vAlign w:val="bottom"/>
          </w:tcPr>
          <w:p>
            <w:pPr>
              <w:spacing w:after="0"/>
              <w:rPr>
                <w:sz w:val="1"/>
                <w:szCs w:val="1"/>
                <w:color w:val="auto"/>
              </w:rPr>
            </w:pPr>
          </w:p>
        </w:tc>
      </w:tr>
      <w:tr>
        <w:trPr>
          <w:trHeight w:val="228"/>
        </w:trPr>
        <w:tc>
          <w:tcPr>
            <w:tcW w:w="4420" w:type="dxa"/>
            <w:vAlign w:val="bottom"/>
            <w:gridSpan w:val="3"/>
          </w:tcPr>
          <w:p>
            <w:pPr>
              <w:spacing w:after="0"/>
              <w:rPr>
                <w:sz w:val="20"/>
                <w:szCs w:val="20"/>
                <w:color w:val="auto"/>
              </w:rPr>
            </w:pPr>
            <w:r>
              <w:rPr>
                <w:rFonts w:ascii="Arial" w:cs="Arial" w:eastAsia="Arial" w:hAnsi="Arial"/>
                <w:sz w:val="12"/>
                <w:szCs w:val="12"/>
                <w:color w:val="auto"/>
              </w:rPr>
              <w:t xml:space="preserve">Variable rate debt </w:t>
            </w:r>
            <w:r>
              <w:rPr>
                <w:rFonts w:ascii="Arial" w:cs="Arial" w:eastAsia="Arial" w:hAnsi="Arial"/>
                <w:sz w:val="14"/>
                <w:szCs w:val="14"/>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1,010,990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1,451,155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2,908,887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3,173,494</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2,992,508</w:t>
            </w:r>
          </w:p>
        </w:tc>
        <w:tc>
          <w:tcPr>
            <w:tcW w:w="0" w:type="dxa"/>
            <w:vAlign w:val="bottom"/>
          </w:tcPr>
          <w:p>
            <w:pPr>
              <w:spacing w:after="0"/>
              <w:rPr>
                <w:sz w:val="1"/>
                <w:szCs w:val="1"/>
                <w:color w:val="auto"/>
              </w:rPr>
            </w:pPr>
          </w:p>
        </w:tc>
      </w:tr>
      <w:tr>
        <w:trPr>
          <w:trHeight w:val="189"/>
        </w:trPr>
        <w:tc>
          <w:tcPr>
            <w:tcW w:w="4420" w:type="dxa"/>
            <w:vAlign w:val="bottom"/>
            <w:gridSpan w:val="3"/>
          </w:tcPr>
          <w:p>
            <w:pPr>
              <w:spacing w:after="0"/>
              <w:rPr>
                <w:sz w:val="20"/>
                <w:szCs w:val="20"/>
                <w:color w:val="auto"/>
              </w:rPr>
            </w:pPr>
            <w:r>
              <w:rPr>
                <w:rFonts w:ascii="Arial" w:cs="Arial" w:eastAsia="Arial" w:hAnsi="Arial"/>
                <w:sz w:val="12"/>
                <w:szCs w:val="12"/>
                <w:color w:val="auto"/>
              </w:rPr>
              <w:t>Total consolidated debt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6,237,641</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7,796,091</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9,796,167</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10,405,748</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10,130,502</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2"/>
                <w:szCs w:val="12"/>
                <w:color w:val="auto"/>
              </w:rPr>
              <w:t>Deferred financing costs, net of amortization</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(87,591)</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(101,521)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(105,543)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(130,515)</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(107,858)</w:t>
            </w:r>
          </w:p>
        </w:tc>
        <w:tc>
          <w:tcPr>
            <w:tcW w:w="0" w:type="dxa"/>
            <w:vAlign w:val="bottom"/>
          </w:tcPr>
          <w:p>
            <w:pPr>
              <w:spacing w:after="0"/>
              <w:rPr>
                <w:sz w:val="1"/>
                <w:szCs w:val="1"/>
                <w:color w:val="auto"/>
              </w:rPr>
            </w:pPr>
          </w:p>
        </w:tc>
      </w:tr>
      <w:tr>
        <w:trPr>
          <w:trHeight w:val="193"/>
        </w:trPr>
        <w:tc>
          <w:tcPr>
            <w:tcW w:w="4420" w:type="dxa"/>
            <w:vAlign w:val="bottom"/>
            <w:gridSpan w:val="3"/>
          </w:tcPr>
          <w:p>
            <w:pPr>
              <w:spacing w:after="0"/>
              <w:rPr>
                <w:sz w:val="20"/>
                <w:szCs w:val="20"/>
                <w:color w:val="auto"/>
              </w:rPr>
            </w:pPr>
            <w:r>
              <w:rPr>
                <w:rFonts w:ascii="Arial" w:cs="Arial" w:eastAsia="Arial" w:hAnsi="Arial"/>
                <w:sz w:val="12"/>
                <w:szCs w:val="12"/>
                <w:color w:val="auto"/>
              </w:rPr>
              <w:t>Total consolidated debt, net</w:t>
            </w: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6,150,050</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7,694,570</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9,690,624</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10,275,233</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10,022,644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420" w:type="dxa"/>
            <w:vAlign w:val="bottom"/>
            <w:gridSpan w:val="3"/>
          </w:tcPr>
          <w:p>
            <w:pPr>
              <w:spacing w:after="0"/>
              <w:rPr>
                <w:sz w:val="20"/>
                <w:szCs w:val="20"/>
                <w:color w:val="auto"/>
              </w:rPr>
            </w:pPr>
            <w:r>
              <w:rPr>
                <w:rFonts w:ascii="Arial" w:cs="Arial" w:eastAsia="Arial" w:hAnsi="Arial"/>
                <w:sz w:val="12"/>
                <w:szCs w:val="12"/>
                <w:color w:val="auto"/>
              </w:rPr>
              <w:t>Total liabilities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7,275,544</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9,008,192</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11,178,777</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11,301,387</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11,005,016</w:t>
            </w:r>
          </w:p>
        </w:tc>
        <w:tc>
          <w:tcPr>
            <w:tcW w:w="0" w:type="dxa"/>
            <w:vAlign w:val="bottom"/>
          </w:tcPr>
          <w:p>
            <w:pPr>
              <w:spacing w:after="0"/>
              <w:rPr>
                <w:sz w:val="1"/>
                <w:szCs w:val="1"/>
                <w:color w:val="auto"/>
              </w:rPr>
            </w:pPr>
          </w:p>
        </w:tc>
      </w:tr>
      <w:tr>
        <w:trPr>
          <w:trHeight w:val="415"/>
        </w:trPr>
        <w:tc>
          <w:tcPr>
            <w:tcW w:w="4420" w:type="dxa"/>
            <w:vAlign w:val="bottom"/>
            <w:gridSpan w:val="3"/>
          </w:tcPr>
          <w:p>
            <w:pPr>
              <w:spacing w:after="0"/>
              <w:rPr>
                <w:sz w:val="20"/>
                <w:szCs w:val="20"/>
                <w:color w:val="auto"/>
              </w:rPr>
            </w:pPr>
            <w:r>
              <w:rPr>
                <w:rFonts w:ascii="Arial" w:cs="Arial" w:eastAsia="Arial" w:hAnsi="Arial"/>
                <w:sz w:val="12"/>
                <w:szCs w:val="12"/>
                <w:color w:val="auto"/>
              </w:rPr>
              <w:t>Fixed rate &amp; hedged debt - including SLG portion of JV debt</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6,720,214</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6,998,500</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7,895,076</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8,275,130</w:t>
            </w:r>
          </w:p>
        </w:tc>
        <w:tc>
          <w:tcPr>
            <w:tcW w:w="20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8,085,553</w:t>
            </w:r>
          </w:p>
        </w:tc>
        <w:tc>
          <w:tcPr>
            <w:tcW w:w="0" w:type="dxa"/>
            <w:vAlign w:val="bottom"/>
          </w:tcPr>
          <w:p>
            <w:pPr>
              <w:spacing w:after="0"/>
              <w:rPr>
                <w:sz w:val="1"/>
                <w:szCs w:val="1"/>
                <w:color w:val="auto"/>
              </w:rPr>
            </w:pPr>
          </w:p>
        </w:tc>
      </w:tr>
      <w:tr>
        <w:trPr>
          <w:trHeight w:val="228"/>
        </w:trPr>
        <w:tc>
          <w:tcPr>
            <w:tcW w:w="4420" w:type="dxa"/>
            <w:vAlign w:val="bottom"/>
            <w:gridSpan w:val="3"/>
          </w:tcPr>
          <w:p>
            <w:pPr>
              <w:spacing w:after="0"/>
              <w:rPr>
                <w:sz w:val="20"/>
                <w:szCs w:val="20"/>
                <w:color w:val="auto"/>
              </w:rPr>
            </w:pPr>
            <w:r>
              <w:rPr>
                <w:rFonts w:ascii="Arial" w:cs="Arial" w:eastAsia="Arial" w:hAnsi="Arial"/>
                <w:sz w:val="12"/>
                <w:szCs w:val="12"/>
                <w:color w:val="auto"/>
              </w:rPr>
              <w:t xml:space="preserve">Variable rate debt - including SLG portion of JV debt </w:t>
            </w:r>
            <w:r>
              <w:rPr>
                <w:rFonts w:ascii="Arial" w:cs="Arial" w:eastAsia="Arial" w:hAnsi="Arial"/>
                <w:sz w:val="14"/>
                <w:szCs w:val="14"/>
                <w:color w:val="auto"/>
                <w:vertAlign w:val="superscript"/>
              </w:rPr>
              <w:t>(1)</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2,211,700</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2,651,723</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3,591,291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3,848,649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3,728,269</w:t>
            </w:r>
          </w:p>
        </w:tc>
        <w:tc>
          <w:tcPr>
            <w:tcW w:w="0" w:type="dxa"/>
            <w:vAlign w:val="bottom"/>
          </w:tcPr>
          <w:p>
            <w:pPr>
              <w:spacing w:after="0"/>
              <w:rPr>
                <w:sz w:val="1"/>
                <w:szCs w:val="1"/>
                <w:color w:val="auto"/>
              </w:rPr>
            </w:pPr>
          </w:p>
        </w:tc>
      </w:tr>
      <w:tr>
        <w:trPr>
          <w:trHeight w:val="188"/>
        </w:trPr>
        <w:tc>
          <w:tcPr>
            <w:tcW w:w="4420" w:type="dxa"/>
            <w:vAlign w:val="bottom"/>
            <w:gridSpan w:val="3"/>
          </w:tcPr>
          <w:p>
            <w:pPr>
              <w:spacing w:after="0"/>
              <w:rPr>
                <w:sz w:val="20"/>
                <w:szCs w:val="20"/>
                <w:color w:val="auto"/>
              </w:rPr>
            </w:pPr>
            <w:r>
              <w:rPr>
                <w:rFonts w:ascii="Arial" w:cs="Arial" w:eastAsia="Arial" w:hAnsi="Arial"/>
                <w:sz w:val="12"/>
                <w:szCs w:val="12"/>
                <w:color w:val="auto"/>
              </w:rPr>
              <w:t>Total combined debt</w:t>
            </w: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8,931,914</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9,650,223</w:t>
            </w:r>
          </w:p>
        </w:tc>
        <w:tc>
          <w:tcPr>
            <w:tcW w:w="180" w:type="dxa"/>
            <w:vAlign w:val="bottom"/>
          </w:tcPr>
          <w:p>
            <w:pPr>
              <w:spacing w:after="0"/>
              <w:rPr>
                <w:sz w:val="16"/>
                <w:szCs w:val="16"/>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11,486,367</w:t>
            </w:r>
          </w:p>
        </w:tc>
        <w:tc>
          <w:tcPr>
            <w:tcW w:w="200" w:type="dxa"/>
            <w:vAlign w:val="bottom"/>
          </w:tcPr>
          <w:p>
            <w:pPr>
              <w:spacing w:after="0"/>
              <w:rPr>
                <w:sz w:val="16"/>
                <w:szCs w:val="16"/>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12,123,779</w:t>
            </w:r>
          </w:p>
        </w:tc>
        <w:tc>
          <w:tcPr>
            <w:tcW w:w="200" w:type="dxa"/>
            <w:vAlign w:val="bottom"/>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11,813,822</w:t>
            </w:r>
          </w:p>
        </w:tc>
        <w:tc>
          <w:tcPr>
            <w:tcW w:w="0" w:type="dxa"/>
            <w:vAlign w:val="bottom"/>
          </w:tcPr>
          <w:p>
            <w:pPr>
              <w:spacing w:after="0"/>
              <w:rPr>
                <w:sz w:val="1"/>
                <w:szCs w:val="1"/>
                <w:color w:val="auto"/>
              </w:rPr>
            </w:pPr>
          </w:p>
        </w:tc>
      </w:tr>
      <w:tr>
        <w:trPr>
          <w:trHeight w:val="20"/>
        </w:trPr>
        <w:tc>
          <w:tcPr>
            <w:tcW w:w="1360" w:type="dxa"/>
            <w:vAlign w:val="bottom"/>
            <w:vMerge w:val="restart"/>
          </w:tcPr>
          <w:p>
            <w:pPr>
              <w:spacing w:after="0"/>
              <w:rPr>
                <w:sz w:val="20"/>
                <w:szCs w:val="20"/>
                <w:color w:val="auto"/>
              </w:rPr>
            </w:pPr>
            <w:r>
              <w:rPr>
                <w:rFonts w:ascii="Arial" w:cs="Arial" w:eastAsia="Arial" w:hAnsi="Arial"/>
                <w:sz w:val="12"/>
                <w:szCs w:val="12"/>
                <w:b w:val="1"/>
                <w:bCs w:val="1"/>
                <w:color w:val="auto"/>
                <w:w w:val="96"/>
              </w:rPr>
              <w:t>Selected Operating Data</w:t>
            </w:r>
          </w:p>
        </w:tc>
        <w:tc>
          <w:tcPr>
            <w:tcW w:w="3060" w:type="dxa"/>
            <w:vAlign w:val="bottom"/>
            <w:gridSpan w:val="2"/>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1360" w:type="dxa"/>
            <w:vAlign w:val="bottom"/>
            <w:tcBorders>
              <w:bottom w:val="single" w:sz="8" w:color="auto"/>
            </w:tcBorders>
            <w:vMerge w:val="continue"/>
          </w:tcPr>
          <w:p>
            <w:pPr>
              <w:spacing w:after="0"/>
              <w:rPr>
                <w:sz w:val="24"/>
                <w:szCs w:val="24"/>
                <w:color w:val="auto"/>
              </w:rPr>
            </w:pPr>
          </w:p>
        </w:tc>
        <w:tc>
          <w:tcPr>
            <w:tcW w:w="306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20" w:type="dxa"/>
            <w:vAlign w:val="bottom"/>
            <w:gridSpan w:val="3"/>
          </w:tcPr>
          <w:p>
            <w:pPr>
              <w:spacing w:after="0"/>
              <w:rPr>
                <w:sz w:val="20"/>
                <w:szCs w:val="20"/>
                <w:color w:val="auto"/>
              </w:rPr>
            </w:pPr>
            <w:r>
              <w:rPr>
                <w:rFonts w:ascii="Arial" w:cs="Arial" w:eastAsia="Arial" w:hAnsi="Arial"/>
                <w:sz w:val="12"/>
                <w:szCs w:val="12"/>
                <w:color w:val="auto"/>
              </w:rPr>
              <w:t>Property operating revenues</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334,612</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465,425</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391,218</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367,843</w:t>
            </w:r>
          </w:p>
        </w:tc>
        <w:tc>
          <w:tcPr>
            <w:tcW w:w="200" w:type="dxa"/>
            <w:vAlign w:val="bottom"/>
          </w:tcPr>
          <w:p>
            <w:pPr>
              <w:spacing w:after="0"/>
              <w:rPr>
                <w:sz w:val="19"/>
                <w:szCs w:val="19"/>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366,719</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2"/>
                <w:szCs w:val="12"/>
                <w:color w:val="auto"/>
              </w:rPr>
              <w:t>Property operating expenses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(151,896)</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(145,755)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(149,502)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(144,077)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(147,909)</w:t>
            </w:r>
          </w:p>
        </w:tc>
        <w:tc>
          <w:tcPr>
            <w:tcW w:w="0" w:type="dxa"/>
            <w:vAlign w:val="bottom"/>
          </w:tcPr>
          <w:p>
            <w:pPr>
              <w:spacing w:after="0"/>
              <w:rPr>
                <w:sz w:val="1"/>
                <w:szCs w:val="1"/>
                <w:color w:val="auto"/>
              </w:rPr>
            </w:pPr>
          </w:p>
        </w:tc>
      </w:tr>
      <w:tr>
        <w:trPr>
          <w:trHeight w:val="194"/>
        </w:trPr>
        <w:tc>
          <w:tcPr>
            <w:tcW w:w="4420" w:type="dxa"/>
            <w:vAlign w:val="bottom"/>
            <w:gridSpan w:val="3"/>
          </w:tcPr>
          <w:p>
            <w:pPr>
              <w:spacing w:after="0"/>
              <w:rPr>
                <w:sz w:val="20"/>
                <w:szCs w:val="20"/>
                <w:color w:val="auto"/>
              </w:rPr>
            </w:pPr>
            <w:r>
              <w:rPr>
                <w:rFonts w:ascii="Arial" w:cs="Arial" w:eastAsia="Arial" w:hAnsi="Arial"/>
                <w:sz w:val="12"/>
                <w:szCs w:val="12"/>
                <w:color w:val="auto"/>
              </w:rPr>
              <w:t>Property NOI</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182,716</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319,670</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241,716</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223,766</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218,810</w:t>
            </w:r>
          </w:p>
        </w:tc>
        <w:tc>
          <w:tcPr>
            <w:tcW w:w="0" w:type="dxa"/>
            <w:vAlign w:val="bottom"/>
          </w:tcPr>
          <w:p>
            <w:pPr>
              <w:spacing w:after="0"/>
              <w:rPr>
                <w:sz w:val="1"/>
                <w:szCs w:val="1"/>
                <w:color w:val="auto"/>
              </w:rPr>
            </w:pPr>
          </w:p>
        </w:tc>
      </w:tr>
      <w:tr>
        <w:trPr>
          <w:trHeight w:val="223"/>
        </w:trPr>
        <w:tc>
          <w:tcPr>
            <w:tcW w:w="4420" w:type="dxa"/>
            <w:vAlign w:val="bottom"/>
            <w:gridSpan w:val="3"/>
          </w:tcPr>
          <w:p>
            <w:pPr>
              <w:spacing w:after="0"/>
              <w:rPr>
                <w:sz w:val="20"/>
                <w:szCs w:val="20"/>
                <w:color w:val="auto"/>
              </w:rPr>
            </w:pPr>
            <w:r>
              <w:rPr>
                <w:rFonts w:ascii="Arial" w:cs="Arial" w:eastAsia="Arial" w:hAnsi="Arial"/>
                <w:sz w:val="12"/>
                <w:szCs w:val="12"/>
                <w:color w:val="auto"/>
              </w:rPr>
              <w:t>SLG share of property NOI from JVs</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44,369</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36,306</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36,124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33,488</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32,307</w:t>
            </w:r>
          </w:p>
        </w:tc>
        <w:tc>
          <w:tcPr>
            <w:tcW w:w="0" w:type="dxa"/>
            <w:vAlign w:val="bottom"/>
          </w:tcPr>
          <w:p>
            <w:pPr>
              <w:spacing w:after="0"/>
              <w:rPr>
                <w:sz w:val="1"/>
                <w:szCs w:val="1"/>
                <w:color w:val="auto"/>
              </w:rPr>
            </w:pPr>
          </w:p>
        </w:tc>
      </w:tr>
      <w:tr>
        <w:trPr>
          <w:trHeight w:val="194"/>
        </w:trPr>
        <w:tc>
          <w:tcPr>
            <w:tcW w:w="4420" w:type="dxa"/>
            <w:vAlign w:val="bottom"/>
            <w:gridSpan w:val="3"/>
          </w:tcPr>
          <w:p>
            <w:pPr>
              <w:spacing w:after="0"/>
              <w:rPr>
                <w:sz w:val="20"/>
                <w:szCs w:val="20"/>
                <w:color w:val="auto"/>
              </w:rPr>
            </w:pPr>
            <w:r>
              <w:rPr>
                <w:rFonts w:ascii="Arial" w:cs="Arial" w:eastAsia="Arial" w:hAnsi="Arial"/>
                <w:sz w:val="12"/>
                <w:szCs w:val="12"/>
                <w:color w:val="auto"/>
              </w:rPr>
              <w:t>Total property NOI - combined</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227,085</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355,976</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277,840</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257,254</w:t>
            </w:r>
          </w:p>
        </w:tc>
        <w:tc>
          <w:tcPr>
            <w:tcW w:w="200" w:type="dxa"/>
            <w:vAlign w:val="bottom"/>
          </w:tcPr>
          <w:p>
            <w:pPr>
              <w:spacing w:after="0"/>
              <w:rPr>
                <w:sz w:val="16"/>
                <w:szCs w:val="16"/>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251,117</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Investment income</w:t>
            </w:r>
          </w:p>
        </w:tc>
        <w:tc>
          <w:tcPr>
            <w:tcW w:w="1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75,396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44,214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54,737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44,540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49,328</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Other income</w:t>
            </w:r>
          </w:p>
        </w:tc>
        <w:tc>
          <w:tcPr>
            <w:tcW w:w="14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6,673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107,975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9,489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13,007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16,019</w:t>
            </w:r>
          </w:p>
        </w:tc>
        <w:tc>
          <w:tcPr>
            <w:tcW w:w="0" w:type="dxa"/>
            <w:vAlign w:val="bottom"/>
          </w:tcPr>
          <w:p>
            <w:pPr>
              <w:spacing w:after="0"/>
              <w:rPr>
                <w:sz w:val="1"/>
                <w:szCs w:val="1"/>
                <w:color w:val="auto"/>
              </w:rPr>
            </w:pPr>
          </w:p>
        </w:tc>
      </w:tr>
      <w:tr>
        <w:trPr>
          <w:trHeight w:val="219"/>
        </w:trPr>
        <w:tc>
          <w:tcPr>
            <w:tcW w:w="4420" w:type="dxa"/>
            <w:vAlign w:val="bottom"/>
            <w:gridSpan w:val="3"/>
          </w:tcPr>
          <w:p>
            <w:pPr>
              <w:spacing w:after="0"/>
              <w:rPr>
                <w:sz w:val="20"/>
                <w:szCs w:val="20"/>
                <w:color w:val="auto"/>
              </w:rPr>
            </w:pPr>
            <w:r>
              <w:rPr>
                <w:rFonts w:ascii="Arial" w:cs="Arial" w:eastAsia="Arial" w:hAnsi="Arial"/>
                <w:sz w:val="12"/>
                <w:szCs w:val="12"/>
                <w:color w:val="auto"/>
              </w:rPr>
              <w:t>Marketing general &amp; administrative expenses</w:t>
            </w: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(25,458)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(24,484)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(24,032)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(22,734)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(23,475)</w:t>
            </w:r>
          </w:p>
        </w:tc>
        <w:tc>
          <w:tcPr>
            <w:tcW w:w="0" w:type="dxa"/>
            <w:vAlign w:val="bottom"/>
          </w:tcPr>
          <w:p>
            <w:pPr>
              <w:spacing w:after="0"/>
              <w:rPr>
                <w:sz w:val="1"/>
                <w:szCs w:val="1"/>
                <w:color w:val="auto"/>
              </w:rPr>
            </w:pPr>
          </w:p>
        </w:tc>
      </w:tr>
      <w:tr>
        <w:trPr>
          <w:trHeight w:val="175"/>
        </w:trPr>
        <w:tc>
          <w:tcPr>
            <w:tcW w:w="4420" w:type="dxa"/>
            <w:vAlign w:val="bottom"/>
            <w:gridSpan w:val="3"/>
            <w:vMerge w:val="restart"/>
          </w:tcPr>
          <w:p>
            <w:pPr>
              <w:spacing w:after="0"/>
              <w:rPr>
                <w:sz w:val="20"/>
                <w:szCs w:val="20"/>
                <w:color w:val="auto"/>
              </w:rPr>
            </w:pPr>
            <w:r>
              <w:rPr>
                <w:rFonts w:ascii="Arial" w:cs="Arial" w:eastAsia="Arial" w:hAnsi="Arial"/>
                <w:sz w:val="12"/>
                <w:szCs w:val="12"/>
                <w:color w:val="auto"/>
              </w:rPr>
              <w:t>SLG share of investment income and other income from JVs</w:t>
            </w:r>
          </w:p>
        </w:tc>
        <w:tc>
          <w:tcPr>
            <w:tcW w:w="14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5,389</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2"/>
              <w:spacing w:after="0"/>
              <w:rPr>
                <w:sz w:val="20"/>
                <w:szCs w:val="20"/>
                <w:color w:val="auto"/>
              </w:rPr>
            </w:pPr>
            <w:r>
              <w:rPr>
                <w:rFonts w:ascii="Arial" w:cs="Arial" w:eastAsia="Arial" w:hAnsi="Arial"/>
                <w:sz w:val="12"/>
                <w:szCs w:val="12"/>
                <w:color w:val="auto"/>
              </w:rPr>
              <w:t>3,953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8,547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6,391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6,497</w:t>
            </w:r>
          </w:p>
        </w:tc>
        <w:tc>
          <w:tcPr>
            <w:tcW w:w="0" w:type="dxa"/>
            <w:vAlign w:val="bottom"/>
          </w:tcPr>
          <w:p>
            <w:pPr>
              <w:spacing w:after="0"/>
              <w:rPr>
                <w:sz w:val="1"/>
                <w:szCs w:val="1"/>
                <w:color w:val="auto"/>
              </w:rPr>
            </w:pPr>
          </w:p>
        </w:tc>
      </w:tr>
      <w:tr>
        <w:trPr>
          <w:trHeight w:val="49"/>
        </w:trPr>
        <w:tc>
          <w:tcPr>
            <w:tcW w:w="4420" w:type="dxa"/>
            <w:vAlign w:val="bottom"/>
            <w:gridSpan w:val="3"/>
            <w:vMerge w:val="continue"/>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4420" w:type="dxa"/>
            <w:vAlign w:val="bottom"/>
            <w:gridSpan w:val="3"/>
          </w:tcPr>
          <w:p>
            <w:pPr>
              <w:spacing w:after="0"/>
              <w:rPr>
                <w:sz w:val="20"/>
                <w:szCs w:val="20"/>
                <w:color w:val="auto"/>
              </w:rPr>
            </w:pPr>
            <w:r>
              <w:rPr>
                <w:rFonts w:ascii="Arial" w:cs="Arial" w:eastAsia="Arial" w:hAnsi="Arial"/>
                <w:sz w:val="12"/>
                <w:szCs w:val="12"/>
                <w:color w:val="auto"/>
              </w:rPr>
              <w:t>EBITDA - combined</w:t>
            </w: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289,085</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487,634</w:t>
            </w:r>
          </w:p>
        </w:tc>
        <w:tc>
          <w:tcPr>
            <w:tcW w:w="180" w:type="dxa"/>
            <w:vAlign w:val="bottom"/>
          </w:tcPr>
          <w:p>
            <w:pPr>
              <w:spacing w:after="0"/>
              <w:rPr>
                <w:sz w:val="17"/>
                <w:szCs w:val="17"/>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326,581</w:t>
            </w:r>
          </w:p>
        </w:tc>
        <w:tc>
          <w:tcPr>
            <w:tcW w:w="200" w:type="dxa"/>
            <w:vAlign w:val="bottom"/>
          </w:tcPr>
          <w:p>
            <w:pPr>
              <w:spacing w:after="0"/>
              <w:rPr>
                <w:sz w:val="17"/>
                <w:szCs w:val="17"/>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298,458</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299,486</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680"/>
        <w:spacing w:after="0"/>
        <w:rPr>
          <w:sz w:val="20"/>
          <w:szCs w:val="20"/>
          <w:color w:val="auto"/>
        </w:rPr>
      </w:pPr>
      <w:r>
        <w:rPr>
          <w:rFonts w:ascii="Arial" w:cs="Arial" w:eastAsia="Arial" w:hAnsi="Arial"/>
          <w:sz w:val="9"/>
          <w:szCs w:val="9"/>
          <w:color w:val="auto"/>
        </w:rPr>
        <w:t>(1) Does not reflect $1.3 billion of floating rate debt and preferred equity investments that provide a hedge against floating rate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00"/>
        <w:spacing w:after="0"/>
        <w:tabs>
          <w:tab w:leader="none" w:pos="5620" w:val="left"/>
          <w:tab w:leader="none" w:pos="986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11</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760"/>
          </w:cols>
          <w:pgMar w:left="240" w:top="338" w:right="899" w:bottom="1440" w:gutter="0" w:footer="0" w:header="0"/>
        </w:sectPr>
      </w:pPr>
    </w:p>
    <w:bookmarkStart w:id="27" w:name="page28"/>
    <w:bookmarkEnd w:id="2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158115</wp:posOffset>
            </wp:positionH>
            <wp:positionV relativeFrom="page">
              <wp:posOffset>172085</wp:posOffset>
            </wp:positionV>
            <wp:extent cx="6412230"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5988050</wp:posOffset>
            </wp:positionH>
            <wp:positionV relativeFrom="paragraph">
              <wp:posOffset>-48895</wp:posOffset>
            </wp:positionV>
            <wp:extent cx="1263015" cy="3606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 xml:space="preserve">Manhattan Properties </w:t>
      </w:r>
      <w:r>
        <w:rPr>
          <w:rFonts w:ascii="Arial" w:cs="Arial" w:eastAsia="Arial" w:hAnsi="Arial"/>
          <w:sz w:val="17"/>
          <w:szCs w:val="17"/>
          <w:b w:val="1"/>
          <w:bCs w:val="1"/>
          <w:color w:val="auto"/>
          <w:vertAlign w:val="superscript"/>
        </w:rPr>
        <w:t>(1)</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64122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68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8"/>
          </w:tcPr>
          <w:p>
            <w:pPr>
              <w:ind w:left="500"/>
              <w:spacing w:after="0"/>
              <w:rPr>
                <w:sz w:val="20"/>
                <w:szCs w:val="20"/>
                <w:color w:val="auto"/>
              </w:rPr>
            </w:pPr>
            <w:r>
              <w:rPr>
                <w:rFonts w:ascii="Arial" w:cs="Arial" w:eastAsia="Arial" w:hAnsi="Arial"/>
                <w:sz w:val="12"/>
                <w:szCs w:val="12"/>
                <w:b w:val="1"/>
                <w:bCs w:val="1"/>
                <w:color w:val="auto"/>
              </w:rPr>
              <w:t>As of or for the three months ended</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5"/>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9/30/2016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6/30/2016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7"/>
              </w:rPr>
              <w:t>3/31/2016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99"/>
              </w:rPr>
              <w:t>12/31/2015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9/30/2015</w:t>
            </w:r>
          </w:p>
        </w:tc>
      </w:tr>
      <w:tr>
        <w:trPr>
          <w:trHeight w:val="383"/>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Selected Operating Data</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revenues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301,165</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432,422</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361,584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338,254</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334,809</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expenses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133,725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127,057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131,267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124,302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127,382</w:t>
            </w:r>
          </w:p>
        </w:tc>
      </w:tr>
      <w:tr>
        <w:trPr>
          <w:trHeight w:val="194"/>
        </w:trPr>
        <w:tc>
          <w:tcPr>
            <w:tcW w:w="4540" w:type="dxa"/>
            <w:vAlign w:val="bottom"/>
            <w:gridSpan w:val="3"/>
          </w:tcPr>
          <w:p>
            <w:pPr>
              <w:spacing w:after="0"/>
              <w:rPr>
                <w:sz w:val="20"/>
                <w:szCs w:val="20"/>
                <w:color w:val="auto"/>
              </w:rPr>
            </w:pPr>
            <w:r>
              <w:rPr>
                <w:rFonts w:ascii="Arial" w:cs="Arial" w:eastAsia="Arial" w:hAnsi="Arial"/>
                <w:sz w:val="12"/>
                <w:szCs w:val="12"/>
                <w:color w:val="auto"/>
              </w:rPr>
              <w:t>Property NOI</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167,440</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305,365</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230,317</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213,952</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207,427</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Other income - consolidated</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1,951</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95,333</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1,648</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3,088</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7,337</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SLG share of property NOI from unconsolidated JV</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44,249</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36,083</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40,714</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36,171</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35,145</w:t>
            </w:r>
          </w:p>
        </w:tc>
      </w:tr>
      <w:tr>
        <w:trPr>
          <w:trHeight w:val="392"/>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Portfolio Statistics</w:t>
            </w:r>
          </w:p>
        </w:tc>
        <w:tc>
          <w:tcPr>
            <w:tcW w:w="35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w:t>
            </w: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 - square footage</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16,054,606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18,368,606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21,003,606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21,003,606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20,700,091</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 - square footage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6,558,139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4,244,139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4,244,139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3,024,981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3,328,496</w:t>
            </w: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22,612,745</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22,612,745</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25,247,745</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24,028,587</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24,028,587</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Same-store combined office occupancy (consolidated + JV)</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96.3%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96.5%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96.2%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3"/>
              </w:rPr>
              <w:t>96.2%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96.7%</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w w:val="98"/>
              </w:rPr>
              <w:t>Same-store combined office occupancy inclusive of leases signed not yet commenced</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97.5%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97.4%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3"/>
              </w:rPr>
              <w:t>97.2%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97.3%</w:t>
            </w:r>
          </w:p>
        </w:tc>
      </w:tr>
      <w:tr>
        <w:trPr>
          <w:trHeight w:val="392"/>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Office Leasing Statistics</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leases commenced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38</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Commenced office square footage filling vacancy</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109,247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37,556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643,979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91,396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56,387</w:t>
            </w:r>
          </w:p>
        </w:tc>
      </w:tr>
      <w:tr>
        <w:trPr>
          <w:trHeight w:val="228"/>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Commenced office square footage on previously occupied space (M-T-M leasing) </w:t>
            </w:r>
            <w:r>
              <w:rPr>
                <w:rFonts w:ascii="Arial" w:cs="Arial" w:eastAsia="Arial" w:hAnsi="Arial"/>
                <w:sz w:val="14"/>
                <w:szCs w:val="14"/>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1,085,757</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661,197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617,028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299,375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232,629</w:t>
            </w:r>
          </w:p>
        </w:tc>
      </w:tr>
      <w:tr>
        <w:trPr>
          <w:trHeight w:val="188"/>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square footage commenced</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1,195,004</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698,753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1,261,007</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390,771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289,016</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8"/>
        </w:trPr>
        <w:tc>
          <w:tcPr>
            <w:tcW w:w="4540" w:type="dxa"/>
            <w:vAlign w:val="bottom"/>
            <w:gridSpan w:val="3"/>
          </w:tcPr>
          <w:p>
            <w:pPr>
              <w:spacing w:after="0"/>
              <w:rPr>
                <w:sz w:val="20"/>
                <w:szCs w:val="20"/>
                <w:color w:val="auto"/>
              </w:rPr>
            </w:pPr>
            <w:r>
              <w:rPr>
                <w:rFonts w:ascii="Arial" w:cs="Arial" w:eastAsia="Arial" w:hAnsi="Arial"/>
                <w:sz w:val="12"/>
                <w:szCs w:val="12"/>
                <w:color w:val="auto"/>
              </w:rPr>
              <w:t>Average starting cash rent psf - office leases commenced</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$73.22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$67.55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$70.66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7"/>
              </w:rPr>
              <w:t>$65.48</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$70.45</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Previously escalated cash rent psf - office leases commenced</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$61.84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$60.41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$48.71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7"/>
              </w:rPr>
              <w:t>$56.80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$55.57</w:t>
            </w:r>
          </w:p>
        </w:tc>
      </w:tr>
      <w:tr>
        <w:trPr>
          <w:trHeight w:val="260"/>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Increase in new cash rent over previously escalated cash rent </w:t>
            </w:r>
            <w:r>
              <w:rPr>
                <w:rFonts w:ascii="Arial" w:cs="Arial" w:eastAsia="Arial" w:hAnsi="Arial"/>
                <w:sz w:val="14"/>
                <w:szCs w:val="14"/>
                <w:color w:val="auto"/>
                <w:vertAlign w:val="superscript"/>
              </w:rPr>
              <w:t>(2)</w:t>
            </w:r>
          </w:p>
        </w:tc>
        <w:tc>
          <w:tcPr>
            <w:tcW w:w="160" w:type="dxa"/>
            <w:vAlign w:val="bottom"/>
          </w:tcPr>
          <w:p>
            <w:pPr>
              <w:spacing w:after="0"/>
              <w:rPr>
                <w:sz w:val="22"/>
                <w:szCs w:val="2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18.4%</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11.8%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45.1%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3"/>
              </w:rPr>
              <w:t>15.3%</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26.8%</w:t>
            </w:r>
          </w:p>
        </w:tc>
      </w:tr>
      <w:tr>
        <w:trPr>
          <w:trHeight w:val="177"/>
        </w:trPr>
        <w:tc>
          <w:tcPr>
            <w:tcW w:w="4540" w:type="dxa"/>
            <w:vAlign w:val="bottom"/>
            <w:gridSpan w:val="3"/>
          </w:tcPr>
          <w:p>
            <w:pPr>
              <w:spacing w:after="0"/>
              <w:rPr>
                <w:sz w:val="20"/>
                <w:szCs w:val="20"/>
                <w:color w:val="auto"/>
              </w:rPr>
            </w:pPr>
            <w:r>
              <w:rPr>
                <w:rFonts w:ascii="Arial" w:cs="Arial" w:eastAsia="Arial" w:hAnsi="Arial"/>
                <w:sz w:val="12"/>
                <w:szCs w:val="12"/>
                <w:color w:val="auto"/>
              </w:rPr>
              <w:t>Average lease term</w:t>
            </w: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rPr>
              <w:t>10.5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6.8</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3"/>
              </w:rPr>
              <w:t>13.0</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5"/>
              </w:rPr>
              <w:t>9.1</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7.8</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Tenant concession packages psf</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$40.40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$20.64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$57.64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7"/>
              </w:rPr>
              <w:t>$23.70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$39.44</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Free rent months</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4.2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5"/>
              </w:rPr>
              <w:t>7.5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5"/>
              </w:rPr>
              <w:t>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3.7</w:t>
            </w:r>
          </w:p>
        </w:tc>
      </w:tr>
    </w:tbl>
    <w:p>
      <w:pPr>
        <w:spacing w:after="0" w:line="226" w:lineRule="exact"/>
        <w:rPr>
          <w:sz w:val="20"/>
          <w:szCs w:val="20"/>
          <w:color w:val="auto"/>
        </w:rPr>
      </w:pPr>
    </w:p>
    <w:p>
      <w:pPr>
        <w:ind w:left="820" w:hanging="133"/>
        <w:spacing w:after="0"/>
        <w:tabs>
          <w:tab w:leader="none" w:pos="820" w:val="left"/>
        </w:tabs>
        <w:numPr>
          <w:ilvl w:val="0"/>
          <w:numId w:val="14"/>
        </w:numPr>
        <w:rPr>
          <w:rFonts w:ascii="Arial" w:cs="Arial" w:eastAsia="Arial" w:hAnsi="Arial"/>
          <w:sz w:val="9"/>
          <w:szCs w:val="9"/>
          <w:color w:val="auto"/>
        </w:rPr>
      </w:pPr>
      <w:r>
        <w:rPr>
          <w:rFonts w:ascii="Arial" w:cs="Arial" w:eastAsia="Arial" w:hAnsi="Arial"/>
          <w:sz w:val="9"/>
          <w:szCs w:val="9"/>
          <w:color w:val="auto"/>
        </w:rPr>
        <w:t>Property data for in service buildings only.</w:t>
      </w:r>
    </w:p>
    <w:p>
      <w:pPr>
        <w:spacing w:after="0" w:line="38" w:lineRule="exact"/>
        <w:rPr>
          <w:rFonts w:ascii="Arial" w:cs="Arial" w:eastAsia="Arial" w:hAnsi="Arial"/>
          <w:sz w:val="9"/>
          <w:szCs w:val="9"/>
          <w:color w:val="auto"/>
        </w:rPr>
      </w:pPr>
    </w:p>
    <w:p>
      <w:pPr>
        <w:ind w:left="820" w:hanging="133"/>
        <w:spacing w:after="0"/>
        <w:tabs>
          <w:tab w:leader="none" w:pos="820" w:val="left"/>
        </w:tabs>
        <w:numPr>
          <w:ilvl w:val="0"/>
          <w:numId w:val="14"/>
        </w:numPr>
        <w:rPr>
          <w:rFonts w:ascii="Arial" w:cs="Arial" w:eastAsia="Arial" w:hAnsi="Arial"/>
          <w:sz w:val="9"/>
          <w:szCs w:val="9"/>
          <w:color w:val="auto"/>
        </w:rPr>
      </w:pPr>
      <w:r>
        <w:rPr>
          <w:rFonts w:ascii="Arial" w:cs="Arial" w:eastAsia="Arial" w:hAnsi="Arial"/>
          <w:sz w:val="9"/>
          <w:szCs w:val="9"/>
          <w:color w:val="auto"/>
        </w:rPr>
        <w:t>Calculated on space that was occupied within the previous 12 months.</w:t>
      </w:r>
    </w:p>
    <w:p>
      <w:pPr>
        <w:spacing w:after="0" w:line="200" w:lineRule="exact"/>
        <w:rPr>
          <w:sz w:val="20"/>
          <w:szCs w:val="20"/>
          <w:color w:val="auto"/>
        </w:rPr>
      </w:pPr>
    </w:p>
    <w:p>
      <w:pPr>
        <w:spacing w:after="0" w:line="263" w:lineRule="exact"/>
        <w:rPr>
          <w:sz w:val="20"/>
          <w:szCs w:val="20"/>
          <w:color w:val="auto"/>
        </w:rPr>
      </w:pPr>
    </w:p>
    <w:p>
      <w:pPr>
        <w:ind w:left="700"/>
        <w:spacing w:after="0"/>
        <w:tabs>
          <w:tab w:leader="none" w:pos="5620" w:val="left"/>
          <w:tab w:leader="none" w:pos="986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12</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760"/>
          </w:cols>
          <w:pgMar w:left="240" w:top="338" w:right="899" w:bottom="1440" w:gutter="0" w:footer="0" w:header="0"/>
        </w:sectPr>
      </w:pPr>
    </w:p>
    <w:bookmarkStart w:id="28" w:name="page29"/>
    <w:bookmarkEnd w:id="2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KEY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b w:val="1"/>
          <w:bCs w:val="1"/>
          <w:color w:val="auto"/>
        </w:rPr>
        <w:t xml:space="preserve">Suburban Properties </w:t>
      </w:r>
      <w:r>
        <w:rPr>
          <w:rFonts w:ascii="Arial" w:cs="Arial" w:eastAsia="Arial" w:hAnsi="Arial"/>
          <w:sz w:val="17"/>
          <w:szCs w:val="17"/>
          <w:b w:val="1"/>
          <w:bCs w:val="1"/>
          <w:color w:val="auto"/>
          <w:vertAlign w:val="superscript"/>
        </w:rPr>
        <w:t>(1)</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10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300" w:type="dxa"/>
            <w:vAlign w:val="bottom"/>
            <w:tcBorders>
              <w:bottom w:val="single" w:sz="8" w:color="auto"/>
            </w:tcBorders>
            <w:gridSpan w:val="8"/>
          </w:tcPr>
          <w:p>
            <w:pPr>
              <w:ind w:left="500"/>
              <w:spacing w:after="0"/>
              <w:rPr>
                <w:sz w:val="20"/>
                <w:szCs w:val="20"/>
                <w:color w:val="auto"/>
              </w:rPr>
            </w:pPr>
            <w:r>
              <w:rPr>
                <w:rFonts w:ascii="Arial" w:cs="Arial" w:eastAsia="Arial" w:hAnsi="Arial"/>
                <w:sz w:val="12"/>
                <w:szCs w:val="12"/>
                <w:b w:val="1"/>
                <w:bCs w:val="1"/>
                <w:color w:val="auto"/>
              </w:rPr>
              <w:t>As of or for the three months ended</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205"/>
        </w:trPr>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9/30/2016</w:t>
            </w:r>
          </w:p>
        </w:tc>
        <w:tc>
          <w:tcPr>
            <w:tcW w:w="1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6/30/2016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62"/>
              <w:spacing w:after="0"/>
              <w:rPr>
                <w:sz w:val="20"/>
                <w:szCs w:val="20"/>
                <w:color w:val="auto"/>
              </w:rPr>
            </w:pPr>
            <w:r>
              <w:rPr>
                <w:rFonts w:ascii="Arial" w:cs="Arial" w:eastAsia="Arial" w:hAnsi="Arial"/>
                <w:sz w:val="12"/>
                <w:szCs w:val="12"/>
                <w:b w:val="1"/>
                <w:bCs w:val="1"/>
                <w:color w:val="auto"/>
                <w:w w:val="97"/>
              </w:rPr>
              <w:t>3/31/2016</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82"/>
              <w:spacing w:after="0"/>
              <w:rPr>
                <w:sz w:val="20"/>
                <w:szCs w:val="20"/>
                <w:color w:val="auto"/>
              </w:rPr>
            </w:pPr>
            <w:r>
              <w:rPr>
                <w:rFonts w:ascii="Arial" w:cs="Arial" w:eastAsia="Arial" w:hAnsi="Arial"/>
                <w:sz w:val="12"/>
                <w:szCs w:val="12"/>
                <w:b w:val="1"/>
                <w:bCs w:val="1"/>
                <w:color w:val="auto"/>
                <w:w w:val="99"/>
              </w:rPr>
              <w:t>12/31/2015</w:t>
            </w:r>
          </w:p>
        </w:tc>
        <w:tc>
          <w:tcPr>
            <w:tcW w:w="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center"/>
              <w:ind w:right="102"/>
              <w:spacing w:after="0"/>
              <w:rPr>
                <w:sz w:val="20"/>
                <w:szCs w:val="20"/>
                <w:color w:val="auto"/>
              </w:rPr>
            </w:pPr>
            <w:r>
              <w:rPr>
                <w:rFonts w:ascii="Arial" w:cs="Arial" w:eastAsia="Arial" w:hAnsi="Arial"/>
                <w:sz w:val="12"/>
                <w:szCs w:val="12"/>
                <w:b w:val="1"/>
                <w:bCs w:val="1"/>
                <w:color w:val="auto"/>
                <w:w w:val="97"/>
              </w:rPr>
              <w:t>9/30/2015</w:t>
            </w:r>
          </w:p>
        </w:tc>
      </w:tr>
      <w:tr>
        <w:trPr>
          <w:trHeight w:val="383"/>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Selected Operating Data</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revenues</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28,942</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28,276</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27,934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29,897</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30,231</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Property operating expenses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15,211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14,838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14,891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16,247</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16,221</w:t>
            </w:r>
          </w:p>
        </w:tc>
      </w:tr>
      <w:tr>
        <w:trPr>
          <w:trHeight w:val="194"/>
        </w:trPr>
        <w:tc>
          <w:tcPr>
            <w:tcW w:w="4540" w:type="dxa"/>
            <w:vAlign w:val="bottom"/>
            <w:gridSpan w:val="3"/>
          </w:tcPr>
          <w:p>
            <w:pPr>
              <w:spacing w:after="0"/>
              <w:rPr>
                <w:sz w:val="20"/>
                <w:szCs w:val="20"/>
                <w:color w:val="auto"/>
              </w:rPr>
            </w:pPr>
            <w:r>
              <w:rPr>
                <w:rFonts w:ascii="Arial" w:cs="Arial" w:eastAsia="Arial" w:hAnsi="Arial"/>
                <w:sz w:val="12"/>
                <w:szCs w:val="12"/>
                <w:color w:val="auto"/>
              </w:rPr>
              <w:t>Property NOI</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13,731</w:t>
            </w:r>
          </w:p>
        </w:tc>
        <w:tc>
          <w:tcPr>
            <w:tcW w:w="180" w:type="dxa"/>
            <w:vAlign w:val="bottom"/>
          </w:tcPr>
          <w:p>
            <w:pPr>
              <w:spacing w:after="0"/>
              <w:rPr>
                <w:sz w:val="16"/>
                <w:szCs w:val="16"/>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13,438</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13,043</w:t>
            </w:r>
          </w:p>
        </w:tc>
        <w:tc>
          <w:tcPr>
            <w:tcW w:w="2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13,650</w:t>
            </w:r>
          </w:p>
        </w:tc>
        <w:tc>
          <w:tcPr>
            <w:tcW w:w="2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14,010</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Other income - consolidated</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118</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624</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759</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80</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240</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SLG share of property NOI from unconsolidated JV</w:t>
            </w:r>
          </w:p>
        </w:tc>
        <w:tc>
          <w:tcPr>
            <w:tcW w:w="160" w:type="dxa"/>
            <w:vAlign w:val="bottom"/>
          </w:tcPr>
          <w:p>
            <w:pPr>
              <w:jc w:val="right"/>
              <w:ind w:right="2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120</w:t>
            </w:r>
          </w:p>
        </w:tc>
        <w:tc>
          <w:tcPr>
            <w:tcW w:w="180" w:type="dxa"/>
            <w:vAlign w:val="bottom"/>
          </w:tcPr>
          <w:p>
            <w:pPr>
              <w:spacing w:after="0"/>
              <w:rPr>
                <w:sz w:val="24"/>
                <w:szCs w:val="24"/>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228</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647</w:t>
            </w:r>
          </w:p>
        </w:tc>
        <w:tc>
          <w:tcPr>
            <w:tcW w:w="2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409</w:t>
            </w:r>
          </w:p>
        </w:tc>
        <w:tc>
          <w:tcPr>
            <w:tcW w:w="200" w:type="dxa"/>
            <w:vAlign w:val="bottom"/>
          </w:tcPr>
          <w:p>
            <w:pPr>
              <w:spacing w:after="0"/>
              <w:rPr>
                <w:sz w:val="24"/>
                <w:szCs w:val="24"/>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271</w:t>
            </w:r>
          </w:p>
        </w:tc>
      </w:tr>
      <w:tr>
        <w:trPr>
          <w:trHeight w:val="392"/>
        </w:trPr>
        <w:tc>
          <w:tcPr>
            <w:tcW w:w="104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96"/>
              </w:rPr>
              <w:t>Portfolio Statistics</w:t>
            </w:r>
          </w:p>
        </w:tc>
        <w:tc>
          <w:tcPr>
            <w:tcW w:w="3500" w:type="dxa"/>
            <w:vAlign w:val="bottom"/>
            <w:gridSpan w:val="2"/>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28</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Consolidated office buildings in service - square footage</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4,113,800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4,235,300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4,235,300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4,235,300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4,450,400</w:t>
            </w:r>
          </w:p>
        </w:tc>
      </w:tr>
      <w:tr>
        <w:trPr>
          <w:trHeight w:val="223"/>
        </w:trPr>
        <w:tc>
          <w:tcPr>
            <w:tcW w:w="4540" w:type="dxa"/>
            <w:vAlign w:val="bottom"/>
            <w:gridSpan w:val="3"/>
          </w:tcPr>
          <w:p>
            <w:pPr>
              <w:spacing w:after="0"/>
              <w:rPr>
                <w:sz w:val="20"/>
                <w:szCs w:val="20"/>
                <w:color w:val="auto"/>
              </w:rPr>
            </w:pPr>
            <w:r>
              <w:rPr>
                <w:rFonts w:ascii="Arial" w:cs="Arial" w:eastAsia="Arial" w:hAnsi="Arial"/>
                <w:sz w:val="12"/>
                <w:szCs w:val="12"/>
                <w:color w:val="auto"/>
              </w:rPr>
              <w:t>Unconsolidated office buildings in service - square footage</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640,000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640,000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640,000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705,641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705,641</w:t>
            </w:r>
          </w:p>
        </w:tc>
      </w:tr>
      <w:tr>
        <w:trPr>
          <w:trHeight w:val="188"/>
        </w:trPr>
        <w:tc>
          <w:tcPr>
            <w:tcW w:w="1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4,753,800</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4,875,300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4,875,300</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4,940,941</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5,156,041</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83"/>
        </w:trPr>
        <w:tc>
          <w:tcPr>
            <w:tcW w:w="4540" w:type="dxa"/>
            <w:vAlign w:val="bottom"/>
            <w:gridSpan w:val="3"/>
          </w:tcPr>
          <w:p>
            <w:pPr>
              <w:spacing w:after="0"/>
              <w:rPr>
                <w:sz w:val="20"/>
                <w:szCs w:val="20"/>
                <w:color w:val="auto"/>
              </w:rPr>
            </w:pPr>
            <w:r>
              <w:rPr>
                <w:rFonts w:ascii="Arial" w:cs="Arial" w:eastAsia="Arial" w:hAnsi="Arial"/>
                <w:sz w:val="12"/>
                <w:szCs w:val="12"/>
                <w:color w:val="auto"/>
              </w:rPr>
              <w:t>Same-store combined office occupancy (consolidated + JV)</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83.7%</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82.9%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84.3%</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3"/>
              </w:rPr>
              <w:t>81.4%</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82.6%</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w w:val="98"/>
              </w:rPr>
              <w:t>Same-store combined office occupancy inclusive of leases signed not yet commenced</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3"/>
              </w:rPr>
              <w:t>85.4%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83.9%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3"/>
              </w:rPr>
              <w:t>83.3%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9"/>
              </w:rPr>
              <w:t>84.3%</w:t>
            </w:r>
          </w:p>
        </w:tc>
      </w:tr>
      <w:tr>
        <w:trPr>
          <w:trHeight w:val="392"/>
        </w:trPr>
        <w:tc>
          <w:tcPr>
            <w:tcW w:w="1360" w:type="dxa"/>
            <w:vAlign w:val="bottom"/>
            <w:tcBorders>
              <w:bottom w:val="single" w:sz="8" w:color="auto"/>
            </w:tcBorders>
            <w:gridSpan w:val="2"/>
          </w:tcPr>
          <w:p>
            <w:pPr>
              <w:spacing w:after="0"/>
              <w:rPr>
                <w:sz w:val="20"/>
                <w:szCs w:val="20"/>
                <w:color w:val="auto"/>
              </w:rPr>
            </w:pPr>
            <w:r>
              <w:rPr>
                <w:rFonts w:ascii="Arial" w:cs="Arial" w:eastAsia="Arial" w:hAnsi="Arial"/>
                <w:sz w:val="12"/>
                <w:szCs w:val="12"/>
                <w:b w:val="1"/>
                <w:bCs w:val="1"/>
                <w:color w:val="auto"/>
                <w:w w:val="96"/>
              </w:rPr>
              <w:t>Office Leasing Statistics</w:t>
            </w:r>
          </w:p>
        </w:tc>
        <w:tc>
          <w:tcPr>
            <w:tcW w:w="3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2"/>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leases commenced</w:t>
            </w: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30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415"/>
        </w:trPr>
        <w:tc>
          <w:tcPr>
            <w:tcW w:w="4540" w:type="dxa"/>
            <w:vAlign w:val="bottom"/>
            <w:gridSpan w:val="3"/>
          </w:tcPr>
          <w:p>
            <w:pPr>
              <w:spacing w:after="0"/>
              <w:rPr>
                <w:sz w:val="20"/>
                <w:szCs w:val="20"/>
                <w:color w:val="auto"/>
              </w:rPr>
            </w:pPr>
            <w:r>
              <w:rPr>
                <w:rFonts w:ascii="Arial" w:cs="Arial" w:eastAsia="Arial" w:hAnsi="Arial"/>
                <w:sz w:val="12"/>
                <w:szCs w:val="12"/>
                <w:color w:val="auto"/>
              </w:rPr>
              <w:t>Commenced office square footage filling vacancy</w:t>
            </w: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43,111</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63,105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112,469</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43,516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59,812</w:t>
            </w:r>
          </w:p>
        </w:tc>
      </w:tr>
      <w:tr>
        <w:trPr>
          <w:trHeight w:val="228"/>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Commenced office square footage on previously occupied space (M-T-M leasing) </w:t>
            </w:r>
            <w:r>
              <w:rPr>
                <w:rFonts w:ascii="Arial" w:cs="Arial" w:eastAsia="Arial" w:hAnsi="Arial"/>
                <w:sz w:val="14"/>
                <w:szCs w:val="14"/>
                <w:color w:val="auto"/>
                <w:vertAlign w:val="superscript"/>
              </w:rPr>
              <w:t>(2)</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77,869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104,704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203,690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167,798</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80,403</w:t>
            </w:r>
          </w:p>
        </w:tc>
      </w:tr>
      <w:tr>
        <w:trPr>
          <w:trHeight w:val="188"/>
        </w:trPr>
        <w:tc>
          <w:tcPr>
            <w:tcW w:w="4540" w:type="dxa"/>
            <w:vAlign w:val="bottom"/>
            <w:gridSpan w:val="3"/>
          </w:tcPr>
          <w:p>
            <w:pPr>
              <w:spacing w:after="0"/>
              <w:rPr>
                <w:sz w:val="20"/>
                <w:szCs w:val="20"/>
                <w:color w:val="auto"/>
              </w:rPr>
            </w:pPr>
            <w:r>
              <w:rPr>
                <w:rFonts w:ascii="Arial" w:cs="Arial" w:eastAsia="Arial" w:hAnsi="Arial"/>
                <w:sz w:val="12"/>
                <w:szCs w:val="12"/>
                <w:color w:val="auto"/>
              </w:rPr>
              <w:t>Total office square footage commenced</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120,980</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167,809</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316,159</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211,314</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140,215</w:t>
            </w:r>
          </w:p>
        </w:tc>
      </w:tr>
      <w:tr>
        <w:trPr>
          <w:trHeight w:val="20"/>
        </w:trPr>
        <w:tc>
          <w:tcPr>
            <w:tcW w:w="1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78"/>
        </w:trPr>
        <w:tc>
          <w:tcPr>
            <w:tcW w:w="4540" w:type="dxa"/>
            <w:vAlign w:val="bottom"/>
            <w:gridSpan w:val="3"/>
          </w:tcPr>
          <w:p>
            <w:pPr>
              <w:spacing w:after="0"/>
              <w:rPr>
                <w:sz w:val="20"/>
                <w:szCs w:val="20"/>
                <w:color w:val="auto"/>
              </w:rPr>
            </w:pPr>
            <w:r>
              <w:rPr>
                <w:rFonts w:ascii="Arial" w:cs="Arial" w:eastAsia="Arial" w:hAnsi="Arial"/>
                <w:sz w:val="12"/>
                <w:szCs w:val="12"/>
                <w:color w:val="auto"/>
              </w:rPr>
              <w:t>Average starting cash rent psf - office leases commenced</w:t>
            </w: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$35.40</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$38.42</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$37.66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7"/>
              </w:rPr>
              <w:t>$32.16</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$33.64</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Previously escalated cash rent psf - office leases commenced</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$34.61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$37.46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$35.84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7"/>
              </w:rPr>
              <w:t>$31.58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$35.48</w:t>
            </w:r>
          </w:p>
        </w:tc>
      </w:tr>
      <w:tr>
        <w:trPr>
          <w:trHeight w:val="260"/>
        </w:trPr>
        <w:tc>
          <w:tcPr>
            <w:tcW w:w="4540" w:type="dxa"/>
            <w:vAlign w:val="bottom"/>
            <w:gridSpan w:val="3"/>
          </w:tcPr>
          <w:p>
            <w:pPr>
              <w:spacing w:after="0"/>
              <w:rPr>
                <w:sz w:val="20"/>
                <w:szCs w:val="20"/>
                <w:color w:val="auto"/>
              </w:rPr>
            </w:pPr>
            <w:r>
              <w:rPr>
                <w:rFonts w:ascii="Arial" w:cs="Arial" w:eastAsia="Arial" w:hAnsi="Arial"/>
                <w:sz w:val="12"/>
                <w:szCs w:val="12"/>
                <w:color w:val="auto"/>
              </w:rPr>
              <w:t xml:space="preserve">Increase/(decrease) in new cash rent over previously escalated cash rent </w:t>
            </w:r>
            <w:r>
              <w:rPr>
                <w:rFonts w:ascii="Arial" w:cs="Arial" w:eastAsia="Arial" w:hAnsi="Arial"/>
                <w:sz w:val="14"/>
                <w:szCs w:val="14"/>
                <w:color w:val="auto"/>
                <w:vertAlign w:val="superscript"/>
              </w:rPr>
              <w:t>(2)</w:t>
            </w:r>
          </w:p>
        </w:tc>
        <w:tc>
          <w:tcPr>
            <w:tcW w:w="160" w:type="dxa"/>
            <w:vAlign w:val="bottom"/>
          </w:tcPr>
          <w:p>
            <w:pPr>
              <w:spacing w:after="0"/>
              <w:rPr>
                <w:sz w:val="22"/>
                <w:szCs w:val="22"/>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rPr>
              <w:t>2.3%</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4"/>
              </w:rPr>
              <w:t>2.8%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4"/>
              </w:rPr>
              <w:t>5.1%</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rPr>
              <w:t>1.8%</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center"/>
              <w:ind w:right="82"/>
              <w:spacing w:after="0"/>
              <w:rPr>
                <w:sz w:val="20"/>
                <w:szCs w:val="20"/>
                <w:color w:val="auto"/>
              </w:rPr>
            </w:pPr>
            <w:r>
              <w:rPr>
                <w:rFonts w:ascii="Arial" w:cs="Arial" w:eastAsia="Arial" w:hAnsi="Arial"/>
                <w:sz w:val="12"/>
                <w:szCs w:val="12"/>
                <w:color w:val="auto"/>
                <w:w w:val="96"/>
              </w:rPr>
              <w:t>(5.2)%</w:t>
            </w:r>
          </w:p>
        </w:tc>
      </w:tr>
      <w:tr>
        <w:trPr>
          <w:trHeight w:val="177"/>
        </w:trPr>
        <w:tc>
          <w:tcPr>
            <w:tcW w:w="4540" w:type="dxa"/>
            <w:vAlign w:val="bottom"/>
            <w:gridSpan w:val="3"/>
          </w:tcPr>
          <w:p>
            <w:pPr>
              <w:spacing w:after="0"/>
              <w:rPr>
                <w:sz w:val="20"/>
                <w:szCs w:val="20"/>
                <w:color w:val="auto"/>
              </w:rPr>
            </w:pPr>
            <w:r>
              <w:rPr>
                <w:rFonts w:ascii="Arial" w:cs="Arial" w:eastAsia="Arial" w:hAnsi="Arial"/>
                <w:sz w:val="12"/>
                <w:szCs w:val="12"/>
                <w:color w:val="auto"/>
              </w:rPr>
              <w:t>Average lease term</w:t>
            </w: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5.5</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9.4</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5"/>
              </w:rPr>
              <w:t>6.7</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5"/>
              </w:rPr>
              <w:t>5.9</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6.4</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Tenant concession packages psf</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$26.04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$36.77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7"/>
              </w:rPr>
              <w:t>$30.61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7"/>
              </w:rPr>
              <w:t>$25.56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7"/>
              </w:rPr>
              <w:t>$30.19</w:t>
            </w:r>
          </w:p>
        </w:tc>
      </w:tr>
      <w:tr>
        <w:trPr>
          <w:trHeight w:val="219"/>
        </w:trPr>
        <w:tc>
          <w:tcPr>
            <w:tcW w:w="4540" w:type="dxa"/>
            <w:vAlign w:val="bottom"/>
            <w:gridSpan w:val="3"/>
          </w:tcPr>
          <w:p>
            <w:pPr>
              <w:spacing w:after="0"/>
              <w:rPr>
                <w:sz w:val="20"/>
                <w:szCs w:val="20"/>
                <w:color w:val="auto"/>
              </w:rPr>
            </w:pPr>
            <w:r>
              <w:rPr>
                <w:rFonts w:ascii="Arial" w:cs="Arial" w:eastAsia="Arial" w:hAnsi="Arial"/>
                <w:sz w:val="12"/>
                <w:szCs w:val="12"/>
                <w:color w:val="auto"/>
              </w:rPr>
              <w:t>Free rent months</w:t>
            </w: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3.1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8.8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62"/>
              <w:spacing w:after="0"/>
              <w:rPr>
                <w:sz w:val="20"/>
                <w:szCs w:val="20"/>
                <w:color w:val="auto"/>
              </w:rPr>
            </w:pPr>
            <w:r>
              <w:rPr>
                <w:rFonts w:ascii="Arial" w:cs="Arial" w:eastAsia="Arial" w:hAnsi="Arial"/>
                <w:sz w:val="12"/>
                <w:szCs w:val="12"/>
                <w:color w:val="auto"/>
                <w:w w:val="95"/>
              </w:rPr>
              <w:t>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center"/>
              <w:ind w:right="82"/>
              <w:spacing w:after="0"/>
              <w:rPr>
                <w:sz w:val="20"/>
                <w:szCs w:val="20"/>
                <w:color w:val="auto"/>
              </w:rPr>
            </w:pPr>
            <w:r>
              <w:rPr>
                <w:rFonts w:ascii="Arial" w:cs="Arial" w:eastAsia="Arial" w:hAnsi="Arial"/>
                <w:sz w:val="12"/>
                <w:szCs w:val="12"/>
                <w:color w:val="auto"/>
                <w:w w:val="95"/>
              </w:rPr>
              <w:t>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center"/>
              <w:ind w:right="102"/>
              <w:spacing w:after="0"/>
              <w:rPr>
                <w:sz w:val="20"/>
                <w:szCs w:val="20"/>
                <w:color w:val="auto"/>
              </w:rPr>
            </w:pPr>
            <w:r>
              <w:rPr>
                <w:rFonts w:ascii="Arial" w:cs="Arial" w:eastAsia="Arial" w:hAnsi="Arial"/>
                <w:sz w:val="12"/>
                <w:szCs w:val="12"/>
                <w:color w:val="auto"/>
                <w:w w:val="95"/>
              </w:rPr>
              <w:t>5.1</w:t>
            </w:r>
          </w:p>
        </w:tc>
      </w:tr>
    </w:tbl>
    <w:p>
      <w:pPr>
        <w:spacing w:after="0" w:line="226" w:lineRule="exact"/>
        <w:rPr>
          <w:sz w:val="20"/>
          <w:szCs w:val="20"/>
          <w:color w:val="auto"/>
        </w:rPr>
      </w:pPr>
    </w:p>
    <w:p>
      <w:pPr>
        <w:ind w:left="160" w:hanging="133"/>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9"/>
          <w:szCs w:val="9"/>
          <w:color w:val="auto"/>
        </w:rPr>
        <w:t>Property data for in service buildings only.</w:t>
      </w:r>
    </w:p>
    <w:p>
      <w:pPr>
        <w:spacing w:after="0" w:line="38" w:lineRule="exact"/>
        <w:rPr>
          <w:rFonts w:ascii="Arial" w:cs="Arial" w:eastAsia="Arial" w:hAnsi="Arial"/>
          <w:sz w:val="9"/>
          <w:szCs w:val="9"/>
          <w:color w:val="auto"/>
        </w:rPr>
      </w:pPr>
    </w:p>
    <w:p>
      <w:pPr>
        <w:ind w:left="160" w:hanging="133"/>
        <w:spacing w:after="0"/>
        <w:tabs>
          <w:tab w:leader="none" w:pos="160" w:val="left"/>
        </w:tabs>
        <w:numPr>
          <w:ilvl w:val="0"/>
          <w:numId w:val="15"/>
        </w:numPr>
        <w:rPr>
          <w:rFonts w:ascii="Arial" w:cs="Arial" w:eastAsia="Arial" w:hAnsi="Arial"/>
          <w:sz w:val="9"/>
          <w:szCs w:val="9"/>
          <w:color w:val="auto"/>
        </w:rPr>
      </w:pPr>
      <w:r>
        <w:rPr>
          <w:rFonts w:ascii="Arial" w:cs="Arial" w:eastAsia="Arial" w:hAnsi="Arial"/>
          <w:sz w:val="9"/>
          <w:szCs w:val="9"/>
          <w:color w:val="auto"/>
        </w:rPr>
        <w:t>Calculated on space that was occupied within the previous 12 months.</w:t>
      </w:r>
    </w:p>
    <w:p>
      <w:pPr>
        <w:spacing w:after="0" w:line="342"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13</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sectPr>
      </w:pPr>
    </w:p>
    <w:bookmarkStart w:id="29" w:name="page30"/>
    <w:bookmarkEnd w:id="2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9/30/2016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3"/>
              </w:rPr>
              <w:t>6/30/2016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3/31/2016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12/31/2015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9/30/2015</w:t>
            </w:r>
          </w:p>
        </w:tc>
        <w:tc>
          <w:tcPr>
            <w:tcW w:w="220" w:type="dxa"/>
            <w:vAlign w:val="bottom"/>
          </w:tcPr>
          <w:p>
            <w:pPr>
              <w:spacing w:after="0"/>
              <w:rPr>
                <w:sz w:val="12"/>
                <w:szCs w:val="12"/>
                <w:color w:val="auto"/>
              </w:rPr>
            </w:pPr>
          </w:p>
        </w:tc>
      </w:tr>
      <w:tr>
        <w:trPr>
          <w:trHeight w:val="22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2"/>
                <w:szCs w:val="12"/>
                <w:color w:val="auto"/>
              </w:rPr>
              <w:t>Commercial real estate properties, at cost:</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Land and land interests</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3,347,482</w:t>
            </w:r>
          </w:p>
        </w:tc>
        <w:tc>
          <w:tcPr>
            <w:tcW w:w="200" w:type="dxa"/>
            <w:vAlign w:val="bottom"/>
          </w:tcPr>
          <w:p>
            <w:pPr>
              <w:spacing w:after="0"/>
              <w:rPr>
                <w:sz w:val="19"/>
                <w:szCs w:val="19"/>
                <w:color w:val="auto"/>
              </w:rPr>
            </w:pP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4,108,821</w:t>
            </w:r>
          </w:p>
        </w:tc>
        <w:tc>
          <w:tcPr>
            <w:tcW w:w="180" w:type="dxa"/>
            <w:vAlign w:val="bottom"/>
          </w:tcPr>
          <w:p>
            <w:pPr>
              <w:spacing w:after="0"/>
              <w:rPr>
                <w:sz w:val="19"/>
                <w:szCs w:val="19"/>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4,115,982</w:t>
            </w:r>
          </w:p>
        </w:tc>
        <w:tc>
          <w:tcPr>
            <w:tcW w:w="2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4,779,159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4,689,031</w:t>
            </w: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Building and improvements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7,777,647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9,362,614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9,334,385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10,423,739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10,079,151</w:t>
            </w: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Building leasehold and improvements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1,436,287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1,435,255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1,431,238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1,431,259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1,425,299</w:t>
            </w:r>
          </w:p>
        </w:tc>
      </w:tr>
      <w:tr>
        <w:trPr>
          <w:trHeight w:val="223"/>
        </w:trPr>
        <w:tc>
          <w:tcPr>
            <w:tcW w:w="4440" w:type="dxa"/>
            <w:vAlign w:val="bottom"/>
          </w:tcPr>
          <w:p>
            <w:pPr>
              <w:ind w:left="180"/>
              <w:spacing w:after="0"/>
              <w:rPr>
                <w:sz w:val="20"/>
                <w:szCs w:val="20"/>
                <w:color w:val="auto"/>
              </w:rPr>
            </w:pPr>
            <w:r>
              <w:rPr>
                <w:rFonts w:ascii="Arial" w:cs="Arial" w:eastAsia="Arial" w:hAnsi="Arial"/>
                <w:sz w:val="12"/>
                <w:szCs w:val="12"/>
                <w:color w:val="auto"/>
              </w:rPr>
              <w:t>Properties under capital lease</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47,445</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47,445</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47,445</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47,445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47,445</w:t>
            </w:r>
          </w:p>
        </w:tc>
      </w:tr>
      <w:tr>
        <w:trPr>
          <w:trHeight w:val="194"/>
        </w:trPr>
        <w:tc>
          <w:tcPr>
            <w:tcW w:w="4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12,608,861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14,954,135</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14,929,050</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16,681,602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16,240,926</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Less: accumulated depreciation</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(2,190,142)</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(2,166,059)</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(2,100,109)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(2,060,706)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(1,979,824)</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Net real estate</w:t>
            </w:r>
          </w:p>
        </w:tc>
        <w:tc>
          <w:tcPr>
            <w:tcW w:w="220" w:type="dxa"/>
            <w:vAlign w:val="bottom"/>
          </w:tcPr>
          <w:p>
            <w:pPr>
              <w:spacing w:after="0"/>
              <w:rPr>
                <w:sz w:val="16"/>
                <w:szCs w:val="16"/>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10,418,719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12,788,076</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12,828,941</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14,620,896</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14,261,102</w:t>
            </w:r>
          </w:p>
        </w:tc>
      </w:tr>
      <w:tr>
        <w:trPr>
          <w:trHeight w:val="415"/>
        </w:trPr>
        <w:tc>
          <w:tcPr>
            <w:tcW w:w="4440" w:type="dxa"/>
            <w:vAlign w:val="bottom"/>
          </w:tcPr>
          <w:p>
            <w:pPr>
              <w:ind w:left="20"/>
              <w:spacing w:after="0"/>
              <w:rPr>
                <w:sz w:val="20"/>
                <w:szCs w:val="20"/>
                <w:color w:val="auto"/>
              </w:rPr>
            </w:pPr>
            <w:r>
              <w:rPr>
                <w:rFonts w:ascii="Arial" w:cs="Arial" w:eastAsia="Arial" w:hAnsi="Arial"/>
                <w:sz w:val="12"/>
                <w:szCs w:val="12"/>
                <w:color w:val="auto"/>
              </w:rPr>
              <w:t>Other real estate investments:</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9"/>
        </w:trPr>
        <w:tc>
          <w:tcPr>
            <w:tcW w:w="4440" w:type="dxa"/>
            <w:vAlign w:val="bottom"/>
          </w:tcPr>
          <w:p>
            <w:pPr>
              <w:ind w:left="160"/>
              <w:spacing w:after="0"/>
              <w:rPr>
                <w:sz w:val="20"/>
                <w:szCs w:val="20"/>
                <w:color w:val="auto"/>
              </w:rPr>
            </w:pPr>
            <w:r>
              <w:rPr>
                <w:rFonts w:ascii="Arial" w:cs="Arial" w:eastAsia="Arial" w:hAnsi="Arial"/>
                <w:sz w:val="12"/>
                <w:szCs w:val="12"/>
                <w:color w:val="auto"/>
              </w:rPr>
              <w:t>Investment in unconsolidated joint ventures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1,860,912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1,126,486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1,146,085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1,203,858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1,239,008</w:t>
            </w:r>
          </w:p>
        </w:tc>
      </w:tr>
      <w:tr>
        <w:trPr>
          <w:trHeight w:val="260"/>
        </w:trPr>
        <w:tc>
          <w:tcPr>
            <w:tcW w:w="4440" w:type="dxa"/>
            <w:vAlign w:val="bottom"/>
          </w:tcPr>
          <w:p>
            <w:pPr>
              <w:ind w:left="160"/>
              <w:spacing w:after="0"/>
              <w:rPr>
                <w:sz w:val="20"/>
                <w:szCs w:val="20"/>
                <w:color w:val="auto"/>
              </w:rPr>
            </w:pPr>
            <w:r>
              <w:rPr>
                <w:rFonts w:ascii="Arial" w:cs="Arial" w:eastAsia="Arial" w:hAnsi="Arial"/>
                <w:sz w:val="12"/>
                <w:szCs w:val="12"/>
                <w:color w:val="auto"/>
              </w:rPr>
              <w:t xml:space="preserve">Debt and preferred equity investments, net </w:t>
            </w:r>
            <w:r>
              <w:rPr>
                <w:rFonts w:ascii="Arial" w:cs="Arial" w:eastAsia="Arial" w:hAnsi="Arial"/>
                <w:sz w:val="14"/>
                <w:szCs w:val="14"/>
                <w:color w:val="auto"/>
                <w:vertAlign w:val="superscript"/>
              </w:rPr>
              <w:t>(1)</w:t>
            </w:r>
          </w:p>
        </w:tc>
        <w:tc>
          <w:tcPr>
            <w:tcW w:w="220" w:type="dxa"/>
            <w:vAlign w:val="bottom"/>
          </w:tcPr>
          <w:p>
            <w:pPr>
              <w:spacing w:after="0"/>
              <w:rPr>
                <w:sz w:val="22"/>
                <w:szCs w:val="2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1,453,234</w:t>
            </w: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1,357,181</w:t>
            </w:r>
          </w:p>
        </w:tc>
        <w:tc>
          <w:tcPr>
            <w:tcW w:w="1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1,378,616</w:t>
            </w: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1,670,020</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1,501,619</w:t>
            </w:r>
          </w:p>
        </w:tc>
      </w:tr>
      <w:tr>
        <w:trPr>
          <w:trHeight w:val="374"/>
        </w:trPr>
        <w:tc>
          <w:tcPr>
            <w:tcW w:w="4440" w:type="dxa"/>
            <w:vAlign w:val="bottom"/>
          </w:tcPr>
          <w:p>
            <w:pPr>
              <w:ind w:left="20"/>
              <w:spacing w:after="0"/>
              <w:rPr>
                <w:sz w:val="20"/>
                <w:szCs w:val="20"/>
                <w:color w:val="auto"/>
              </w:rPr>
            </w:pPr>
            <w:r>
              <w:rPr>
                <w:rFonts w:ascii="Arial" w:cs="Arial" w:eastAsia="Arial" w:hAnsi="Arial"/>
                <w:sz w:val="12"/>
                <w:szCs w:val="12"/>
                <w:color w:val="auto"/>
              </w:rPr>
              <w:t>Assets held for sale, net</w:t>
            </w:r>
          </w:p>
        </w:tc>
        <w:tc>
          <w:tcPr>
            <w:tcW w:w="22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117,159</w:t>
            </w: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39,642</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1,891,575</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34,981</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117,885</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405,896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276,226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316,205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255,399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244,360</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100,195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166,905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179,938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233,578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279,592</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Investment in marketable securities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60,352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39,339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43,915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45,138</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46,432</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Tenant and other receivables, net of $18,278 reserve at 9/30/16</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55,976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57,551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55,441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63,491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66,896</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Related party receivables</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14,840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13,059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15,148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10,650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11,089</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rents receivable, net of reserve for</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tenant credit loss of $24,922 at 9/30/16</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430,642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443,981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428,334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498,776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467,627</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costs, net</w:t>
            </w:r>
          </w:p>
        </w:tc>
        <w:tc>
          <w:tcPr>
            <w:tcW w:w="22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252,179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256,303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246,503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239,920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235,079</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620,838</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979,474</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1,055,014</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850,719</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912,023</w:t>
            </w:r>
          </w:p>
        </w:tc>
      </w:tr>
      <w:tr>
        <w:trPr>
          <w:trHeight w:val="406"/>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Assets</w:t>
            </w: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15,790,942</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17,544,223</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19,585,715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19,727,426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19,382,712</w:t>
            </w:r>
          </w:p>
        </w:tc>
      </w:tr>
      <w:tr>
        <w:trPr>
          <w:trHeight w:val="20"/>
        </w:trPr>
        <w:tc>
          <w:tcPr>
            <w:tcW w:w="5180" w:type="dxa"/>
            <w:vAlign w:val="bottom"/>
            <w:tcBorders>
              <w:bottom w:val="single" w:sz="8" w:color="auto"/>
            </w:tcBorders>
            <w:gridSpan w:val="3"/>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299"/>
        </w:trPr>
        <w:tc>
          <w:tcPr>
            <w:tcW w:w="6760" w:type="dxa"/>
            <w:vAlign w:val="bottom"/>
            <w:gridSpan w:val="9"/>
          </w:tcPr>
          <w:p>
            <w:pPr>
              <w:ind w:left="20"/>
              <w:spacing w:after="0"/>
              <w:rPr>
                <w:sz w:val="20"/>
                <w:szCs w:val="20"/>
                <w:color w:val="auto"/>
              </w:rPr>
            </w:pPr>
            <w:r>
              <w:rPr>
                <w:rFonts w:ascii="Arial" w:cs="Arial" w:eastAsia="Arial" w:hAnsi="Arial"/>
                <w:sz w:val="9"/>
                <w:szCs w:val="9"/>
                <w:color w:val="auto"/>
                <w:w w:val="98"/>
              </w:rPr>
              <w:t>(1) Excludes debt and preferred equity investments totaling $338.0 million with a weighted average current yield of 7.84% that are included in other balance sheet line items.</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63"/>
        </w:trPr>
        <w:tc>
          <w:tcPr>
            <w:tcW w:w="4440" w:type="dxa"/>
            <w:vAlign w:val="bottom"/>
          </w:tcPr>
          <w:p>
            <w:pPr>
              <w:ind w:left="40"/>
              <w:spacing w:after="0"/>
              <w:rPr>
                <w:sz w:val="20"/>
                <w:szCs w:val="20"/>
                <w:color w:val="auto"/>
              </w:rPr>
            </w:pPr>
            <w:r>
              <w:rPr>
                <w:rFonts w:ascii="Arial" w:cs="Arial" w:eastAsia="Arial" w:hAnsi="Arial"/>
                <w:sz w:val="10"/>
                <w:szCs w:val="10"/>
                <w:color w:val="auto"/>
              </w:rPr>
              <w:t>Supplemental Information</w:t>
            </w:r>
          </w:p>
        </w:tc>
        <w:tc>
          <w:tcPr>
            <w:tcW w:w="22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0"/>
                <w:szCs w:val="10"/>
                <w:color w:val="auto"/>
              </w:rPr>
              <w:t>14</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0"/>
                <w:szCs w:val="10"/>
                <w:color w:val="auto"/>
                <w:w w:val="99"/>
              </w:rPr>
              <w:t>Third Quarter 2016</w:t>
            </w:r>
          </w:p>
        </w:tc>
      </w:tr>
    </w:tbl>
    <w:p>
      <w:pPr>
        <w:sectPr>
          <w:pgSz w:w="11900" w:h="16838" w:orient="portrait"/>
          <w:cols w:equalWidth="0" w:num="1">
            <w:col w:w="10100"/>
          </w:cols>
          <w:pgMar w:left="900" w:top="338" w:right="899" w:bottom="1440" w:gutter="0" w:footer="0" w:header="0"/>
        </w:sectPr>
      </w:pPr>
    </w:p>
    <w:bookmarkStart w:id="30" w:name="page31"/>
    <w:bookmarkEnd w:id="3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(In 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b w:val="1"/>
                <w:bCs w:val="1"/>
                <w:color w:val="auto"/>
                <w:w w:val="93"/>
              </w:rPr>
              <w:t>9/30/2016</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3"/>
              </w:rPr>
              <w:t>6/30/2016</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2"/>
                <w:szCs w:val="12"/>
                <w:b w:val="1"/>
                <w:bCs w:val="1"/>
                <w:color w:val="auto"/>
              </w:rPr>
              <w:t>3/31/2016</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rPr>
              <w:t>12/31/2015</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b w:val="1"/>
                <w:bCs w:val="1"/>
                <w:color w:val="auto"/>
              </w:rPr>
              <w:t>9/30/2015</w:t>
            </w:r>
          </w:p>
        </w:tc>
        <w:tc>
          <w:tcPr>
            <w:tcW w:w="220" w:type="dxa"/>
            <w:vAlign w:val="bottom"/>
          </w:tcPr>
          <w:p>
            <w:pPr>
              <w:spacing w:after="0"/>
              <w:rPr>
                <w:sz w:val="12"/>
                <w:szCs w:val="12"/>
                <w:color w:val="auto"/>
              </w:rPr>
            </w:pPr>
          </w:p>
        </w:tc>
      </w:tr>
      <w:tr>
        <w:trPr>
          <w:trHeight w:val="227"/>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Liabilities</w:t>
            </w: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2"/>
                <w:szCs w:val="12"/>
                <w:color w:val="auto"/>
              </w:rPr>
              <w:t>Mortgages and other loans payable</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4,024,896</w:t>
            </w:r>
          </w:p>
        </w:tc>
        <w:tc>
          <w:tcPr>
            <w:tcW w:w="200" w:type="dxa"/>
            <w:vAlign w:val="bottom"/>
          </w:tcPr>
          <w:p>
            <w:pPr>
              <w:spacing w:after="0"/>
              <w:rPr>
                <w:sz w:val="17"/>
                <w:szCs w:val="17"/>
                <w:color w:val="auto"/>
              </w:rPr>
            </w:pP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5,608,400</w:t>
            </w:r>
          </w:p>
        </w:tc>
        <w:tc>
          <w:tcPr>
            <w:tcW w:w="1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5,671,700</w:t>
            </w:r>
          </w:p>
        </w:tc>
        <w:tc>
          <w:tcPr>
            <w:tcW w:w="200" w:type="dxa"/>
            <w:vAlign w:val="bottom"/>
          </w:tcPr>
          <w:p>
            <w:pPr>
              <w:spacing w:after="0"/>
              <w:rPr>
                <w:sz w:val="17"/>
                <w:szCs w:val="17"/>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6,992,504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6,865,383</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Term loan and senior unsecured notes</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2,313,616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2,070,341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2,067,117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2,319,244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2,216,120</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Revolving credit facility</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285,000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775,000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994,000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949,000</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Deferred financing costs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(87,591)</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(101,521)</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(105,543)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(130,515)</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(107,858)</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Total debt, net of deferred financing costs</w:t>
            </w:r>
          </w:p>
        </w:tc>
        <w:tc>
          <w:tcPr>
            <w:tcW w:w="220" w:type="dxa"/>
            <w:vAlign w:val="bottom"/>
          </w:tcPr>
          <w:p>
            <w:pPr>
              <w:spacing w:after="0"/>
              <w:rPr>
                <w:sz w:val="16"/>
                <w:szCs w:val="16"/>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6,250,921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7,862,220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8,408,274</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10,175,233</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9,922,645</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Accrued interest</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30,734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36,378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36,941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42,406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43,632</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218,404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243,011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247,950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168,477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160,592</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Accounts payable and accrued expenses</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178,946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189,690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168,322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196,213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173,228</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revenue</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237,548</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384,145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414,686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399,102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428,334</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Capitalized lease obligations</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41,951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41,751</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41,554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41,360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41,171</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Deferred land lease payable</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2,419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2,236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2,010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1,783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1,557</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Dividends and distributions payable</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81,392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80,555</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80,038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79,790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67,109</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Security deposits</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67,709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68,199</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67,001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68,023</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66,654</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Liabilities related to assets held for sale</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65,520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1,612,001</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29,000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94</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Junior subordinated deferrable interest debentures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100,000</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100,000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100,000</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100,000</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100,000</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Total liabilities</w:t>
            </w:r>
          </w:p>
        </w:tc>
        <w:tc>
          <w:tcPr>
            <w:tcW w:w="220" w:type="dxa"/>
            <w:vAlign w:val="bottom"/>
          </w:tcPr>
          <w:p>
            <w:pPr>
              <w:spacing w:after="0"/>
              <w:rPr>
                <w:sz w:val="16"/>
                <w:szCs w:val="16"/>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7,275,544</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9,008,192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11,178,777</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11,301,387</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11,005,016</w:t>
            </w:r>
          </w:p>
        </w:tc>
      </w:tr>
      <w:tr>
        <w:trPr>
          <w:trHeight w:val="415"/>
        </w:trPr>
        <w:tc>
          <w:tcPr>
            <w:tcW w:w="4440" w:type="dxa"/>
            <w:vAlign w:val="bottom"/>
          </w:tcPr>
          <w:p>
            <w:pPr>
              <w:ind w:left="20"/>
              <w:spacing w:after="0"/>
              <w:rPr>
                <w:sz w:val="20"/>
                <w:szCs w:val="20"/>
                <w:color w:val="auto"/>
              </w:rPr>
            </w:pPr>
            <w:r>
              <w:rPr>
                <w:rFonts w:ascii="Arial" w:cs="Arial" w:eastAsia="Arial" w:hAnsi="Arial"/>
                <w:sz w:val="12"/>
                <w:szCs w:val="12"/>
                <w:color w:val="auto"/>
              </w:rPr>
              <w:t>Noncontrolling interest in operating partnership</w:t>
            </w: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9"/>
        </w:trPr>
        <w:tc>
          <w:tcPr>
            <w:tcW w:w="4440" w:type="dxa"/>
            <w:vAlign w:val="bottom"/>
          </w:tcPr>
          <w:p>
            <w:pPr>
              <w:ind w:left="180"/>
              <w:spacing w:after="0"/>
              <w:rPr>
                <w:sz w:val="20"/>
                <w:szCs w:val="20"/>
                <w:color w:val="auto"/>
              </w:rPr>
            </w:pPr>
            <w:r>
              <w:rPr>
                <w:rFonts w:ascii="Arial" w:cs="Arial" w:eastAsia="Arial" w:hAnsi="Arial"/>
                <w:sz w:val="12"/>
                <w:szCs w:val="12"/>
                <w:color w:val="auto"/>
              </w:rPr>
              <w:t>(4,495 units outstanding) at 9/30/16</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490,440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486,452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407,046</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424,206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423,421</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Preferred units</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302,310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302,460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304,869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282,516</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282,516</w:t>
            </w:r>
          </w:p>
        </w:tc>
      </w:tr>
      <w:tr>
        <w:trPr>
          <w:trHeight w:val="420"/>
        </w:trPr>
        <w:tc>
          <w:tcPr>
            <w:tcW w:w="44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Equity</w:t>
            </w: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05"/>
        </w:trPr>
        <w:tc>
          <w:tcPr>
            <w:tcW w:w="4440" w:type="dxa"/>
            <w:vAlign w:val="bottom"/>
          </w:tcPr>
          <w:p>
            <w:pPr>
              <w:ind w:left="20"/>
              <w:spacing w:after="0"/>
              <w:rPr>
                <w:sz w:val="20"/>
                <w:szCs w:val="20"/>
                <w:color w:val="auto"/>
              </w:rPr>
            </w:pPr>
            <w:r>
              <w:rPr>
                <w:rFonts w:ascii="Arial" w:cs="Arial" w:eastAsia="Arial" w:hAnsi="Arial"/>
                <w:sz w:val="12"/>
                <w:szCs w:val="12"/>
                <w:color w:val="auto"/>
              </w:rPr>
              <w:t>Stockholders' Equity:</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Series I Perpetual Preferred Shares</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221,932</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221,932</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221,932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221,932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221,932</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Common stock, $0.01 par value, 160,000 shares authorized, 100,319</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issued and outstanding at 9/30/16, including 1,055 shares held in treasury</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1,013</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1,003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1,002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1,001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998</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220" w:type="dxa"/>
            <w:vAlign w:val="bottom"/>
          </w:tcPr>
          <w:p>
            <w:pPr>
              <w:spacing w:after="0"/>
              <w:rPr>
                <w:sz w:val="19"/>
                <w:szCs w:val="19"/>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5,596,026</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5,466,593</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5,451,787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5,439,735</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5,268,379</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Treasury stock</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(124,049)</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(10,000)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(10,000)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(10,000)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(10,000)</w:t>
            </w:r>
          </w:p>
        </w:tc>
      </w:tr>
      <w:tr>
        <w:trPr>
          <w:trHeight w:val="219"/>
        </w:trPr>
        <w:tc>
          <w:tcPr>
            <w:tcW w:w="4440" w:type="dxa"/>
            <w:vAlign w:val="bottom"/>
          </w:tcPr>
          <w:p>
            <w:pPr>
              <w:ind w:left="20"/>
              <w:spacing w:after="0"/>
              <w:rPr>
                <w:sz w:val="20"/>
                <w:szCs w:val="20"/>
                <w:color w:val="auto"/>
              </w:rPr>
            </w:pPr>
            <w:r>
              <w:rPr>
                <w:rFonts w:ascii="Arial" w:cs="Arial" w:eastAsia="Arial" w:hAnsi="Arial"/>
                <w:sz w:val="12"/>
                <w:szCs w:val="12"/>
                <w:color w:val="auto"/>
              </w:rPr>
              <w:t>Accumulated other comprehensive loss</w:t>
            </w:r>
          </w:p>
        </w:tc>
        <w:tc>
          <w:tcPr>
            <w:tcW w:w="2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2"/>
                <w:szCs w:val="12"/>
                <w:color w:val="auto"/>
              </w:rPr>
              <w:t>(14,074)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2"/>
                <w:szCs w:val="12"/>
                <w:color w:val="auto"/>
              </w:rPr>
              <w:t>(16,558)</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2"/>
                <w:szCs w:val="12"/>
                <w:color w:val="auto"/>
              </w:rPr>
              <w:t>(17,222)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3"/>
          </w:tcPr>
          <w:p>
            <w:pPr>
              <w:jc w:val="right"/>
              <w:ind w:right="20"/>
              <w:spacing w:after="0"/>
              <w:rPr>
                <w:sz w:val="20"/>
                <w:szCs w:val="20"/>
                <w:color w:val="auto"/>
              </w:rPr>
            </w:pPr>
            <w:r>
              <w:rPr>
                <w:rFonts w:ascii="Arial" w:cs="Arial" w:eastAsia="Arial" w:hAnsi="Arial"/>
                <w:sz w:val="12"/>
                <w:szCs w:val="12"/>
                <w:color w:val="auto"/>
              </w:rPr>
              <w:t>(8,749)</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2"/>
                <w:szCs w:val="12"/>
                <w:color w:val="auto"/>
              </w:rPr>
              <w:t>(15,821)</w:t>
            </w:r>
          </w:p>
        </w:tc>
      </w:tr>
      <w:tr>
        <w:trPr>
          <w:trHeight w:val="223"/>
        </w:trPr>
        <w:tc>
          <w:tcPr>
            <w:tcW w:w="4440" w:type="dxa"/>
            <w:vAlign w:val="bottom"/>
          </w:tcPr>
          <w:p>
            <w:pPr>
              <w:ind w:left="20"/>
              <w:spacing w:after="0"/>
              <w:rPr>
                <w:sz w:val="20"/>
                <w:szCs w:val="20"/>
                <w:color w:val="auto"/>
              </w:rPr>
            </w:pPr>
            <w:r>
              <w:rPr>
                <w:rFonts w:ascii="Arial" w:cs="Arial" w:eastAsia="Arial" w:hAnsi="Arial"/>
                <w:sz w:val="12"/>
                <w:szCs w:val="12"/>
                <w:color w:val="auto"/>
              </w:rPr>
              <w:t>Retained earnings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1,612,707</w:t>
            </w: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1,655,320</w:t>
            </w: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1,620,669</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1,643,546</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1,772,833</w:t>
            </w:r>
          </w:p>
        </w:tc>
      </w:tr>
      <w:tr>
        <w:trPr>
          <w:trHeight w:val="194"/>
        </w:trPr>
        <w:tc>
          <w:tcPr>
            <w:tcW w:w="4440" w:type="dxa"/>
            <w:vAlign w:val="bottom"/>
          </w:tcPr>
          <w:p>
            <w:pPr>
              <w:ind w:left="20"/>
              <w:spacing w:after="0"/>
              <w:rPr>
                <w:sz w:val="20"/>
                <w:szCs w:val="20"/>
                <w:color w:val="auto"/>
              </w:rPr>
            </w:pPr>
            <w:r>
              <w:rPr>
                <w:rFonts w:ascii="Arial" w:cs="Arial" w:eastAsia="Arial" w:hAnsi="Arial"/>
                <w:sz w:val="12"/>
                <w:szCs w:val="12"/>
                <w:color w:val="auto"/>
              </w:rPr>
              <w:t>Total SL Green Realty Corp. stockholders' equity</w:t>
            </w:r>
          </w:p>
        </w:tc>
        <w:tc>
          <w:tcPr>
            <w:tcW w:w="220" w:type="dxa"/>
            <w:vAlign w:val="bottom"/>
          </w:tcPr>
          <w:p>
            <w:pPr>
              <w:spacing w:after="0"/>
              <w:rPr>
                <w:sz w:val="16"/>
                <w:szCs w:val="16"/>
                <w:color w:val="auto"/>
              </w:rPr>
            </w:pPr>
          </w:p>
        </w:tc>
        <w:tc>
          <w:tcPr>
            <w:tcW w:w="740" w:type="dxa"/>
            <w:vAlign w:val="bottom"/>
            <w:gridSpan w:val="2"/>
          </w:tcPr>
          <w:p>
            <w:pPr>
              <w:jc w:val="right"/>
              <w:ind w:right="2"/>
              <w:spacing w:after="0"/>
              <w:rPr>
                <w:sz w:val="20"/>
                <w:szCs w:val="20"/>
                <w:color w:val="auto"/>
              </w:rPr>
            </w:pPr>
            <w:r>
              <w:rPr>
                <w:rFonts w:ascii="Arial" w:cs="Arial" w:eastAsia="Arial" w:hAnsi="Arial"/>
                <w:sz w:val="12"/>
                <w:szCs w:val="12"/>
                <w:color w:val="auto"/>
              </w:rPr>
              <w:t>7,293,555</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2"/>
                <w:szCs w:val="12"/>
                <w:color w:val="auto"/>
              </w:rPr>
              <w:t>7,318,290</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ind w:right="60"/>
              <w:spacing w:after="0"/>
              <w:rPr>
                <w:sz w:val="20"/>
                <w:szCs w:val="20"/>
                <w:color w:val="auto"/>
              </w:rPr>
            </w:pPr>
            <w:r>
              <w:rPr>
                <w:rFonts w:ascii="Arial" w:cs="Arial" w:eastAsia="Arial" w:hAnsi="Arial"/>
                <w:sz w:val="12"/>
                <w:szCs w:val="12"/>
                <w:color w:val="auto"/>
              </w:rPr>
              <w:t>7,268,168</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2"/>
                <w:szCs w:val="12"/>
                <w:color w:val="auto"/>
              </w:rPr>
              <w:t>7,287,465</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3"/>
          </w:tcPr>
          <w:p>
            <w:pPr>
              <w:jc w:val="right"/>
              <w:ind w:right="60"/>
              <w:spacing w:after="0"/>
              <w:rPr>
                <w:sz w:val="20"/>
                <w:szCs w:val="20"/>
                <w:color w:val="auto"/>
              </w:rPr>
            </w:pPr>
            <w:r>
              <w:rPr>
                <w:rFonts w:ascii="Arial" w:cs="Arial" w:eastAsia="Arial" w:hAnsi="Arial"/>
                <w:sz w:val="12"/>
                <w:szCs w:val="12"/>
                <w:color w:val="auto"/>
              </w:rPr>
              <w:t>7,238,321</w:t>
            </w:r>
          </w:p>
        </w:tc>
      </w:tr>
      <w:tr>
        <w:trPr>
          <w:trHeight w:val="420"/>
        </w:trPr>
        <w:tc>
          <w:tcPr>
            <w:tcW w:w="4440" w:type="dxa"/>
            <w:vAlign w:val="bottom"/>
          </w:tcPr>
          <w:p>
            <w:pPr>
              <w:ind w:left="20"/>
              <w:spacing w:after="0"/>
              <w:rPr>
                <w:sz w:val="20"/>
                <w:szCs w:val="20"/>
                <w:color w:val="auto"/>
              </w:rPr>
            </w:pPr>
            <w:r>
              <w:rPr>
                <w:rFonts w:ascii="Arial" w:cs="Arial" w:eastAsia="Arial" w:hAnsi="Arial"/>
                <w:sz w:val="12"/>
                <w:szCs w:val="12"/>
                <w:color w:val="auto"/>
              </w:rPr>
              <w:t>Noncontrolling interest in other partnerships</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429,093</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428,829</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426,855</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431,852</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433,438</w:t>
            </w:r>
          </w:p>
        </w:tc>
      </w:tr>
      <w:tr>
        <w:trPr>
          <w:trHeight w:val="406"/>
        </w:trPr>
        <w:tc>
          <w:tcPr>
            <w:tcW w:w="4440" w:type="dxa"/>
            <w:vAlign w:val="bottom"/>
          </w:tcPr>
          <w:p>
            <w:pPr>
              <w:ind w:left="20"/>
              <w:spacing w:after="0"/>
              <w:rPr>
                <w:sz w:val="20"/>
                <w:szCs w:val="20"/>
                <w:color w:val="auto"/>
              </w:rPr>
            </w:pPr>
            <w:r>
              <w:rPr>
                <w:rFonts w:ascii="Arial" w:cs="Arial" w:eastAsia="Arial" w:hAnsi="Arial"/>
                <w:sz w:val="12"/>
                <w:szCs w:val="12"/>
                <w:color w:val="auto"/>
              </w:rPr>
              <w:t>Total equity</w:t>
            </w: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7,722,648</w:t>
            </w:r>
          </w:p>
        </w:tc>
        <w:tc>
          <w:tcPr>
            <w:tcW w:w="2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7,747,119</w:t>
            </w:r>
          </w:p>
        </w:tc>
        <w:tc>
          <w:tcPr>
            <w:tcW w:w="1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7,695,023</w:t>
            </w:r>
          </w:p>
        </w:tc>
        <w:tc>
          <w:tcPr>
            <w:tcW w:w="2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7,719,317</w:t>
            </w: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7,671,759</w:t>
            </w:r>
          </w:p>
        </w:tc>
      </w:tr>
      <w:tr>
        <w:trPr>
          <w:trHeight w:val="406"/>
        </w:trPr>
        <w:tc>
          <w:tcPr>
            <w:tcW w:w="4440" w:type="dxa"/>
            <w:vAlign w:val="bottom"/>
            <w:tcBorders>
              <w:bottom w:val="single" w:sz="8" w:color="auto"/>
            </w:tcBorders>
          </w:tcPr>
          <w:p>
            <w:pPr>
              <w:ind w:left="60"/>
              <w:spacing w:after="0"/>
              <w:rPr>
                <w:sz w:val="20"/>
                <w:szCs w:val="20"/>
                <w:color w:val="auto"/>
              </w:rPr>
            </w:pPr>
            <w:r>
              <w:rPr>
                <w:rFonts w:ascii="Arial" w:cs="Arial" w:eastAsia="Arial" w:hAnsi="Arial"/>
                <w:sz w:val="12"/>
                <w:szCs w:val="12"/>
                <w:b w:val="1"/>
                <w:bCs w:val="1"/>
                <w:color w:val="auto"/>
              </w:rPr>
              <w:t>Total Liabilities and Equity</w:t>
            </w: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4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15,790,942</w:t>
            </w: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w w:val="89"/>
              </w:rPr>
              <w:t>$</w:t>
            </w:r>
          </w:p>
        </w:tc>
        <w:tc>
          <w:tcPr>
            <w:tcW w:w="7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17,544,223</w:t>
            </w: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rPr>
              <w:t>$</w:t>
            </w:r>
          </w:p>
        </w:tc>
        <w:tc>
          <w:tcPr>
            <w:tcW w:w="8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19,585,715</w:t>
            </w: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8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19,727,426</w:t>
            </w: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19,382,712</w:t>
            </w: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r>
      <w:tr>
        <w:trPr>
          <w:trHeight w:val="423"/>
        </w:trPr>
        <w:tc>
          <w:tcPr>
            <w:tcW w:w="4440" w:type="dxa"/>
            <w:vAlign w:val="bottom"/>
          </w:tcPr>
          <w:p>
            <w:pPr>
              <w:ind w:left="40"/>
              <w:spacing w:after="0"/>
              <w:rPr>
                <w:sz w:val="20"/>
                <w:szCs w:val="20"/>
                <w:color w:val="auto"/>
              </w:rPr>
            </w:pPr>
            <w:r>
              <w:rPr>
                <w:rFonts w:ascii="Arial" w:cs="Arial" w:eastAsia="Arial" w:hAnsi="Arial"/>
                <w:sz w:val="10"/>
                <w:szCs w:val="10"/>
                <w:color w:val="auto"/>
              </w:rPr>
              <w:t>Supplemental Information</w:t>
            </w:r>
          </w:p>
        </w:tc>
        <w:tc>
          <w:tcPr>
            <w:tcW w:w="22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0"/>
                <w:szCs w:val="10"/>
                <w:color w:val="auto"/>
              </w:rPr>
              <w:t>15</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20"/>
              <w:spacing w:after="0"/>
              <w:rPr>
                <w:sz w:val="20"/>
                <w:szCs w:val="20"/>
                <w:color w:val="auto"/>
              </w:rPr>
            </w:pPr>
            <w:r>
              <w:rPr>
                <w:rFonts w:ascii="Arial" w:cs="Arial" w:eastAsia="Arial" w:hAnsi="Arial"/>
                <w:sz w:val="10"/>
                <w:szCs w:val="10"/>
                <w:color w:val="auto"/>
                <w:w w:val="99"/>
              </w:rPr>
              <w:t>Third Quarter 2016</w:t>
            </w:r>
          </w:p>
        </w:tc>
      </w:tr>
    </w:tbl>
    <w:p>
      <w:pPr>
        <w:sectPr>
          <w:pgSz w:w="11900" w:h="16838" w:orient="portrait"/>
          <w:cols w:equalWidth="0" w:num="1">
            <w:col w:w="10100"/>
          </w:cols>
          <w:pgMar w:left="900" w:top="338" w:right="899" w:bottom="1440" w:gutter="0" w:footer="0" w:header="0"/>
        </w:sectPr>
      </w:pPr>
    </w:p>
    <w:bookmarkStart w:id="31" w:name="page32"/>
    <w:bookmarkEnd w:id="3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STATEMENT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3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80" w:type="dxa"/>
            <w:vAlign w:val="bottom"/>
            <w:gridSpan w:val="7"/>
          </w:tcPr>
          <w:p>
            <w:pPr>
              <w:jc w:val="right"/>
              <w:ind w:right="422"/>
              <w:spacing w:after="0"/>
              <w:rPr>
                <w:sz w:val="20"/>
                <w:szCs w:val="20"/>
                <w:color w:val="auto"/>
              </w:rPr>
            </w:pPr>
            <w:r>
              <w:rPr>
                <w:rFonts w:ascii="Arial" w:cs="Arial" w:eastAsia="Arial" w:hAnsi="Arial"/>
                <w:sz w:val="12"/>
                <w:szCs w:val="12"/>
                <w:b w:val="1"/>
                <w:bCs w:val="1"/>
                <w:color w:val="auto"/>
              </w:rPr>
              <w:t>Three Months Ended</w:t>
            </w:r>
          </w:p>
        </w:tc>
        <w:tc>
          <w:tcPr>
            <w:tcW w:w="1440" w:type="dxa"/>
            <w:vAlign w:val="bottom"/>
            <w:gridSpan w:val="8"/>
          </w:tcPr>
          <w:p>
            <w:pPr>
              <w:ind w:left="40"/>
              <w:spacing w:after="0"/>
              <w:rPr>
                <w:sz w:val="20"/>
                <w:szCs w:val="20"/>
                <w:color w:val="auto"/>
              </w:rPr>
            </w:pPr>
            <w:r>
              <w:rPr>
                <w:rFonts w:ascii="Arial" w:cs="Arial" w:eastAsia="Arial" w:hAnsi="Arial"/>
                <w:sz w:val="12"/>
                <w:szCs w:val="12"/>
                <w:b w:val="1"/>
                <w:bCs w:val="1"/>
                <w:color w:val="auto"/>
              </w:rPr>
              <w:t>Three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20" w:type="dxa"/>
            <w:vAlign w:val="bottom"/>
            <w:gridSpan w:val="7"/>
          </w:tcPr>
          <w:p>
            <w:pPr>
              <w:jc w:val="right"/>
              <w:ind w:right="482"/>
              <w:spacing w:after="0"/>
              <w:rPr>
                <w:sz w:val="20"/>
                <w:szCs w:val="20"/>
                <w:color w:val="auto"/>
              </w:rPr>
            </w:pPr>
            <w:r>
              <w:rPr>
                <w:rFonts w:ascii="Arial" w:cs="Arial" w:eastAsia="Arial" w:hAnsi="Arial"/>
                <w:sz w:val="12"/>
                <w:szCs w:val="12"/>
                <w:b w:val="1"/>
                <w:bCs w:val="1"/>
                <w:color w:val="auto"/>
              </w:rPr>
              <w:t>Nine Months Ended</w:t>
            </w:r>
          </w:p>
        </w:tc>
      </w:tr>
      <w:tr>
        <w:trPr>
          <w:trHeight w:val="205"/>
        </w:trPr>
        <w:tc>
          <w:tcPr>
            <w:tcW w:w="43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4"/>
          </w:tcPr>
          <w:p>
            <w:pPr>
              <w:spacing w:after="0"/>
              <w:rPr>
                <w:sz w:val="20"/>
                <w:szCs w:val="20"/>
                <w:color w:val="auto"/>
              </w:rPr>
            </w:pPr>
            <w:r>
              <w:rPr>
                <w:rFonts w:ascii="Arial" w:cs="Arial" w:eastAsia="Arial" w:hAnsi="Arial"/>
                <w:sz w:val="12"/>
                <w:szCs w:val="12"/>
                <w:b w:val="1"/>
                <w:bCs w:val="1"/>
                <w:color w:val="auto"/>
              </w:rPr>
              <w:t>September 30,</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w w:val="95"/>
              </w:rPr>
              <w:t>September 30,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4"/>
          </w:tcPr>
          <w:p>
            <w:pPr>
              <w:ind w:left="80"/>
              <w:spacing w:after="0"/>
              <w:rPr>
                <w:sz w:val="20"/>
                <w:szCs w:val="20"/>
                <w:color w:val="auto"/>
              </w:rPr>
            </w:pPr>
            <w:r>
              <w:rPr>
                <w:rFonts w:ascii="Arial" w:cs="Arial" w:eastAsia="Arial" w:hAnsi="Arial"/>
                <w:sz w:val="12"/>
                <w:szCs w:val="12"/>
                <w:b w:val="1"/>
                <w:bCs w:val="1"/>
                <w:color w:val="auto"/>
              </w:rPr>
              <w:t>June 30,</w:t>
            </w: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gridSpan w:val="4"/>
          </w:tcPr>
          <w:p>
            <w:pPr>
              <w:jc w:val="center"/>
              <w:ind w:right="280"/>
              <w:spacing w:after="0"/>
              <w:rPr>
                <w:sz w:val="20"/>
                <w:szCs w:val="20"/>
                <w:color w:val="auto"/>
              </w:rPr>
            </w:pPr>
            <w:r>
              <w:rPr>
                <w:rFonts w:ascii="Arial" w:cs="Arial" w:eastAsia="Arial" w:hAnsi="Arial"/>
                <w:sz w:val="12"/>
                <w:szCs w:val="12"/>
                <w:b w:val="1"/>
                <w:bCs w:val="1"/>
                <w:color w:val="auto"/>
                <w:w w:val="97"/>
              </w:rPr>
              <w:t>September 30,</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3"/>
          </w:tcPr>
          <w:p>
            <w:pPr>
              <w:jc w:val="right"/>
              <w:ind w:right="62"/>
              <w:spacing w:after="0"/>
              <w:rPr>
                <w:sz w:val="20"/>
                <w:szCs w:val="20"/>
                <w:color w:val="auto"/>
              </w:rPr>
            </w:pPr>
            <w:r>
              <w:rPr>
                <w:rFonts w:ascii="Arial" w:cs="Arial" w:eastAsia="Arial" w:hAnsi="Arial"/>
                <w:sz w:val="12"/>
                <w:szCs w:val="12"/>
                <w:b w:val="1"/>
                <w:bCs w:val="1"/>
                <w:color w:val="auto"/>
                <w:w w:val="95"/>
              </w:rPr>
              <w:t>September 30,</w:t>
            </w:r>
          </w:p>
        </w:tc>
      </w:tr>
      <w:tr>
        <w:trPr>
          <w:trHeight w:val="195"/>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82"/>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322"/>
              <w:spacing w:after="0"/>
              <w:rPr>
                <w:sz w:val="20"/>
                <w:szCs w:val="20"/>
                <w:color w:val="auto"/>
              </w:rPr>
            </w:pPr>
            <w:r>
              <w:rPr>
                <w:rFonts w:ascii="Arial" w:cs="Arial" w:eastAsia="Arial" w:hAnsi="Arial"/>
                <w:sz w:val="12"/>
                <w:szCs w:val="12"/>
                <w:b w:val="1"/>
                <w:bCs w:val="1"/>
                <w:color w:val="auto"/>
              </w:rPr>
              <w:t>2015</w:t>
            </w:r>
          </w:p>
        </w:tc>
      </w:tr>
      <w:tr>
        <w:trPr>
          <w:trHeight w:val="227"/>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Revenues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2"/>
                <w:szCs w:val="12"/>
                <w:color w:val="auto"/>
              </w:rPr>
              <w:t>Rental revenue, net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281,482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318,465</w:t>
            </w: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416,809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1,043,898</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926,020</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Escalation and reimbursement revenues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53,130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48,254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48,616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147,357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130,630</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Investment income</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75,396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49,328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44,214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174,347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136,588</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6,673</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16,019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107,975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124,137</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color w:val="auto"/>
              </w:rPr>
              <w:t>44,201</w:t>
            </w:r>
          </w:p>
        </w:tc>
      </w:tr>
      <w:tr>
        <w:trPr>
          <w:trHeight w:val="19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Total Revenues, net</w:t>
            </w:r>
          </w:p>
        </w:tc>
        <w:tc>
          <w:tcPr>
            <w:tcW w:w="100" w:type="dxa"/>
            <w:vAlign w:val="bottom"/>
          </w:tcPr>
          <w:p>
            <w:pPr>
              <w:spacing w:after="0"/>
              <w:rPr>
                <w:sz w:val="16"/>
                <w:szCs w:val="16"/>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416,681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432,066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617,614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1,489,739</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1,237,439</w:t>
            </w:r>
          </w:p>
        </w:tc>
      </w:tr>
      <w:tr>
        <w:trPr>
          <w:trHeight w:val="317"/>
        </w:trPr>
        <w:tc>
          <w:tcPr>
            <w:tcW w:w="4360" w:type="dxa"/>
            <w:vAlign w:val="bottom"/>
          </w:tcPr>
          <w:p>
            <w:pPr>
              <w:ind w:left="20"/>
              <w:spacing w:after="0"/>
              <w:rPr>
                <w:sz w:val="20"/>
                <w:szCs w:val="20"/>
                <w:color w:val="auto"/>
              </w:rPr>
            </w:pPr>
            <w:r>
              <w:rPr>
                <w:rFonts w:ascii="Arial" w:cs="Arial" w:eastAsia="Arial" w:hAnsi="Arial"/>
                <w:sz w:val="12"/>
                <w:szCs w:val="12"/>
                <w:color w:val="auto"/>
              </w:rPr>
              <w:t>Equity in net (loss) income from unconsolidated joint ventures</w:t>
            </w:r>
          </w:p>
        </w:tc>
        <w:tc>
          <w:tcPr>
            <w:tcW w:w="1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(3,968)</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3,627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5,841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11,969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10,651</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Loss on early extinguishment of debt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20" w:type="dxa"/>
            <w:vAlign w:val="bottom"/>
            <w:gridSpan w:val="3"/>
          </w:tcPr>
          <w:p>
            <w:pPr>
              <w:jc w:val="right"/>
              <w:ind w:right="2"/>
              <w:spacing w:after="0"/>
              <w:rPr>
                <w:sz w:val="20"/>
                <w:szCs w:val="20"/>
                <w:color w:val="auto"/>
              </w:rPr>
            </w:pPr>
            <w:r>
              <w:rPr>
                <w:rFonts w:ascii="Arial" w:cs="Arial" w:eastAsia="Arial" w:hAnsi="Arial"/>
                <w:sz w:val="12"/>
                <w:szCs w:val="12"/>
                <w:color w:val="auto"/>
              </w:rPr>
              <w:t>(49)</w:t>
            </w:r>
          </w:p>
        </w:tc>
      </w:tr>
      <w:tr>
        <w:trPr>
          <w:trHeight w:val="322"/>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Expenses</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100" w:type="dxa"/>
            <w:vAlign w:val="bottom"/>
          </w:tcPr>
          <w:p>
            <w:pPr>
              <w:spacing w:after="0"/>
              <w:rPr>
                <w:sz w:val="17"/>
                <w:szCs w:val="17"/>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79,425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78,648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75,324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234,269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225,539</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Ground rent</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8,338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8,307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24,953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24,526</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Real estate taxes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64,133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61,009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62,124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187,931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173,018</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Transaction related costs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2,593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5,829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2,115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5,987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10,039</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Marketing, general and administrative</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25,458</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23,475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24,484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73,974</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42"/>
              <w:spacing w:after="0"/>
              <w:rPr>
                <w:sz w:val="20"/>
                <w:szCs w:val="20"/>
                <w:color w:val="auto"/>
              </w:rPr>
            </w:pPr>
            <w:r>
              <w:rPr>
                <w:rFonts w:ascii="Arial" w:cs="Arial" w:eastAsia="Arial" w:hAnsi="Arial"/>
                <w:sz w:val="12"/>
                <w:szCs w:val="12"/>
                <w:color w:val="auto"/>
              </w:rPr>
              <w:t>72,139</w:t>
            </w:r>
          </w:p>
        </w:tc>
      </w:tr>
      <w:tr>
        <w:trPr>
          <w:trHeight w:val="19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100" w:type="dxa"/>
            <w:vAlign w:val="bottom"/>
          </w:tcPr>
          <w:p>
            <w:pPr>
              <w:spacing w:after="0"/>
              <w:rPr>
                <w:sz w:val="16"/>
                <w:szCs w:val="16"/>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179,947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177,213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172,354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527,114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505,261</w:t>
            </w:r>
          </w:p>
        </w:tc>
      </w:tr>
      <w:tr>
        <w:trPr>
          <w:trHeight w:val="317"/>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10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232,766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258,480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451,101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974,594</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742,780</w:t>
            </w:r>
          </w:p>
        </w:tc>
      </w:tr>
      <w:tr>
        <w:trPr>
          <w:trHeight w:val="437"/>
        </w:trPr>
        <w:tc>
          <w:tcPr>
            <w:tcW w:w="4360" w:type="dxa"/>
            <w:vAlign w:val="bottom"/>
          </w:tcPr>
          <w:p>
            <w:pPr>
              <w:ind w:left="20"/>
              <w:spacing w:after="0"/>
              <w:rPr>
                <w:sz w:val="20"/>
                <w:szCs w:val="20"/>
                <w:color w:val="auto"/>
              </w:rPr>
            </w:pPr>
            <w:r>
              <w:rPr>
                <w:rFonts w:ascii="Arial" w:cs="Arial" w:eastAsia="Arial" w:hAnsi="Arial"/>
                <w:sz w:val="12"/>
                <w:szCs w:val="12"/>
                <w:color w:val="auto"/>
              </w:rPr>
              <w:t>Interest expense, net of interest income</w:t>
            </w:r>
          </w:p>
        </w:tc>
        <w:tc>
          <w:tcPr>
            <w:tcW w:w="10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72,565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84,141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89,089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256,326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235,694</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Amortization of deferred financing costs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4,815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7,433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20,180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19,727</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112,665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146,185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425,042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717,015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454,087</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Loss on equity investment in marketable securities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jc w:val="right"/>
              <w:ind w:right="42"/>
              <w:spacing w:after="0"/>
              <w:rPr>
                <w:sz w:val="20"/>
                <w:szCs w:val="20"/>
                <w:color w:val="auto"/>
              </w:rPr>
            </w:pPr>
            <w:r>
              <w:rPr>
                <w:rFonts w:ascii="Arial" w:cs="Arial" w:eastAsia="Arial" w:hAnsi="Arial"/>
                <w:sz w:val="12"/>
                <w:szCs w:val="12"/>
                <w:color w:val="auto"/>
              </w:rPr>
              <w:t>—</w:t>
            </w:r>
          </w:p>
        </w:tc>
      </w:tr>
      <w:tr>
        <w:trPr>
          <w:trHeight w:val="34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 xml:space="preserve">Income (Loss) from Continuing Operations </w:t>
            </w:r>
            <w:r>
              <w:rPr>
                <w:rFonts w:ascii="Arial" w:cs="Arial" w:eastAsia="Arial" w:hAnsi="Arial"/>
                <w:sz w:val="14"/>
                <w:szCs w:val="14"/>
                <w:b w:val="1"/>
                <w:bCs w:val="1"/>
                <w:color w:val="auto"/>
                <w:vertAlign w:val="superscript"/>
              </w:rPr>
              <w:t>(1)</w:t>
            </w:r>
          </w:p>
        </w:tc>
        <w:tc>
          <w:tcPr>
            <w:tcW w:w="1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42,721</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20,994</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(70,546)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(19,010)</w:t>
            </w:r>
          </w:p>
        </w:tc>
        <w:tc>
          <w:tcPr>
            <w:tcW w:w="2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33,272</w:t>
            </w:r>
          </w:p>
        </w:tc>
      </w:tr>
      <w:tr>
        <w:trPr>
          <w:trHeight w:val="276"/>
        </w:trPr>
        <w:tc>
          <w:tcPr>
            <w:tcW w:w="4360" w:type="dxa"/>
            <w:vAlign w:val="bottom"/>
          </w:tcPr>
          <w:p>
            <w:pPr>
              <w:ind w:left="20"/>
              <w:spacing w:after="0"/>
              <w:rPr>
                <w:sz w:val="20"/>
                <w:szCs w:val="20"/>
                <w:color w:val="auto"/>
              </w:rPr>
            </w:pPr>
            <w:r>
              <w:rPr>
                <w:rFonts w:ascii="Arial" w:cs="Arial" w:eastAsia="Arial" w:hAnsi="Arial"/>
                <w:sz w:val="12"/>
                <w:szCs w:val="12"/>
                <w:color w:val="auto"/>
              </w:rPr>
              <w:t>Income from discontinued operations</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3"/>
                <w:szCs w:val="23"/>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427</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Gain on sale of real estate and discontinued operations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397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159,704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196,580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210,750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172,687</w:t>
            </w:r>
          </w:p>
        </w:tc>
      </w:tr>
      <w:tr>
        <w:trPr>
          <w:trHeight w:val="219"/>
        </w:trPr>
        <w:tc>
          <w:tcPr>
            <w:tcW w:w="4360" w:type="dxa"/>
            <w:vAlign w:val="bottom"/>
          </w:tcPr>
          <w:p>
            <w:pPr>
              <w:ind w:left="20"/>
              <w:spacing w:after="0"/>
              <w:rPr>
                <w:sz w:val="20"/>
                <w:szCs w:val="20"/>
                <w:color w:val="auto"/>
              </w:rPr>
            </w:pPr>
            <w:r>
              <w:rPr>
                <w:rFonts w:ascii="Arial" w:cs="Arial" w:eastAsia="Arial" w:hAnsi="Arial"/>
                <w:sz w:val="12"/>
                <w:szCs w:val="12"/>
                <w:color w:val="auto"/>
              </w:rPr>
              <w:t>Equity in net gain on sale of joint venture interest / real estate</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15,281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33,448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43,588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color w:val="auto"/>
              </w:rPr>
              <w:t>16,050</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Depreciable real estate reserves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(19,226)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(10,387)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(10,387)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3"/>
          </w:tcPr>
          <w:p>
            <w:pPr>
              <w:jc w:val="right"/>
              <w:ind w:right="2"/>
              <w:spacing w:after="0"/>
              <w:rPr>
                <w:sz w:val="20"/>
                <w:szCs w:val="20"/>
                <w:color w:val="auto"/>
              </w:rPr>
            </w:pPr>
            <w:r>
              <w:rPr>
                <w:rFonts w:ascii="Arial" w:cs="Arial" w:eastAsia="Arial" w:hAnsi="Arial"/>
                <w:sz w:val="12"/>
                <w:szCs w:val="12"/>
                <w:color w:val="auto"/>
              </w:rPr>
              <w:t>(19,226)</w:t>
            </w:r>
          </w:p>
        </w:tc>
      </w:tr>
      <w:tr>
        <w:trPr>
          <w:trHeight w:val="194"/>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43,343</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176,753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149,095</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224,941</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jc w:val="right"/>
              <w:ind w:right="42"/>
              <w:spacing w:after="0"/>
              <w:rPr>
                <w:sz w:val="20"/>
                <w:szCs w:val="20"/>
                <w:color w:val="auto"/>
              </w:rPr>
            </w:pPr>
            <w:r>
              <w:rPr>
                <w:rFonts w:ascii="Arial" w:cs="Arial" w:eastAsia="Arial" w:hAnsi="Arial"/>
                <w:sz w:val="12"/>
                <w:szCs w:val="12"/>
                <w:b w:val="1"/>
                <w:bCs w:val="1"/>
                <w:color w:val="auto"/>
              </w:rPr>
              <w:t>203,210</w:t>
            </w:r>
          </w:p>
        </w:tc>
      </w:tr>
      <w:tr>
        <w:trPr>
          <w:trHeight w:val="317"/>
        </w:trPr>
        <w:tc>
          <w:tcPr>
            <w:tcW w:w="4360" w:type="dxa"/>
            <w:vAlign w:val="bottom"/>
          </w:tcPr>
          <w:p>
            <w:pPr>
              <w:ind w:left="20"/>
              <w:spacing w:after="0"/>
              <w:rPr>
                <w:sz w:val="20"/>
                <w:szCs w:val="20"/>
                <w:color w:val="auto"/>
              </w:rPr>
            </w:pPr>
            <w:r>
              <w:rPr>
                <w:rFonts w:ascii="Arial" w:cs="Arial" w:eastAsia="Arial" w:hAnsi="Arial"/>
                <w:sz w:val="12"/>
                <w:szCs w:val="12"/>
                <w:color w:val="auto"/>
              </w:rPr>
              <w:t>Net income attributable to noncontrolling interests</w:t>
            </w:r>
          </w:p>
        </w:tc>
        <w:tc>
          <w:tcPr>
            <w:tcW w:w="10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(2,499)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(7,132)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(9,021)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(14,416)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2"/>
              <w:spacing w:after="0"/>
              <w:rPr>
                <w:sz w:val="20"/>
                <w:szCs w:val="20"/>
                <w:color w:val="auto"/>
              </w:rPr>
            </w:pPr>
            <w:r>
              <w:rPr>
                <w:rFonts w:ascii="Arial" w:cs="Arial" w:eastAsia="Arial" w:hAnsi="Arial"/>
                <w:sz w:val="12"/>
                <w:szCs w:val="12"/>
                <w:color w:val="auto"/>
              </w:rPr>
              <w:t>(19,851)</w:t>
            </w:r>
          </w:p>
        </w:tc>
      </w:tr>
      <w:tr>
        <w:trPr>
          <w:trHeight w:val="223"/>
        </w:trPr>
        <w:tc>
          <w:tcPr>
            <w:tcW w:w="4360" w:type="dxa"/>
            <w:vAlign w:val="bottom"/>
          </w:tcPr>
          <w:p>
            <w:pPr>
              <w:ind w:left="20"/>
              <w:spacing w:after="0"/>
              <w:rPr>
                <w:sz w:val="20"/>
                <w:szCs w:val="20"/>
                <w:color w:val="auto"/>
              </w:rPr>
            </w:pPr>
            <w:r>
              <w:rPr>
                <w:rFonts w:ascii="Arial" w:cs="Arial" w:eastAsia="Arial" w:hAnsi="Arial"/>
                <w:sz w:val="12"/>
                <w:szCs w:val="12"/>
                <w:color w:val="auto"/>
              </w:rPr>
              <w:t>Dividends on preferred units</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(2,854)</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(2,880)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(8,382)</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(4,316)</w:t>
            </w:r>
          </w:p>
        </w:tc>
      </w:tr>
      <w:tr>
        <w:trPr>
          <w:trHeight w:val="303"/>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SL Green Realty Corp</w:t>
            </w:r>
          </w:p>
        </w:tc>
        <w:tc>
          <w:tcPr>
            <w:tcW w:w="10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37,990</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167,396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137,194</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202,143</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179,043</w:t>
            </w:r>
          </w:p>
        </w:tc>
      </w:tr>
      <w:tr>
        <w:trPr>
          <w:trHeight w:val="322"/>
        </w:trPr>
        <w:tc>
          <w:tcPr>
            <w:tcW w:w="4360" w:type="dxa"/>
            <w:vAlign w:val="bottom"/>
          </w:tcPr>
          <w:p>
            <w:pPr>
              <w:ind w:left="20"/>
              <w:spacing w:after="0"/>
              <w:rPr>
                <w:sz w:val="20"/>
                <w:szCs w:val="20"/>
                <w:color w:val="auto"/>
              </w:rPr>
            </w:pPr>
            <w:r>
              <w:rPr>
                <w:rFonts w:ascii="Arial" w:cs="Arial" w:eastAsia="Arial" w:hAnsi="Arial"/>
                <w:sz w:val="12"/>
                <w:szCs w:val="12"/>
                <w:color w:val="auto"/>
              </w:rPr>
              <w:t>Dividends on perpetual preferred shares</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(3,738)</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(3,738)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(3,737)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(11,213)</w:t>
            </w: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(11,214)</w:t>
            </w:r>
          </w:p>
        </w:tc>
      </w:tr>
      <w:tr>
        <w:trPr>
          <w:trHeight w:val="302"/>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Net Income Attributable to Common Stockholders</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34,252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163,658</w:t>
            </w:r>
          </w:p>
        </w:tc>
        <w:tc>
          <w:tcPr>
            <w:tcW w:w="4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133,457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190,930</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20" w:type="dxa"/>
            <w:vAlign w:val="bottom"/>
            <w:gridSpan w:val="3"/>
          </w:tcPr>
          <w:p>
            <w:pPr>
              <w:jc w:val="right"/>
              <w:ind w:right="42"/>
              <w:spacing w:after="0"/>
              <w:rPr>
                <w:sz w:val="20"/>
                <w:szCs w:val="20"/>
                <w:color w:val="auto"/>
              </w:rPr>
            </w:pPr>
            <w:r>
              <w:rPr>
                <w:rFonts w:ascii="Arial" w:cs="Arial" w:eastAsia="Arial" w:hAnsi="Arial"/>
                <w:sz w:val="12"/>
                <w:szCs w:val="12"/>
                <w:b w:val="1"/>
                <w:bCs w:val="1"/>
                <w:color w:val="auto"/>
              </w:rPr>
              <w:t>167,829</w:t>
            </w: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r>
      <w:tr>
        <w:trPr>
          <w:trHeight w:val="170"/>
        </w:trPr>
        <w:tc>
          <w:tcPr>
            <w:tcW w:w="4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r>
      <w:tr>
        <w:trPr>
          <w:trHeight w:val="200"/>
        </w:trPr>
        <w:tc>
          <w:tcPr>
            <w:tcW w:w="4360" w:type="dxa"/>
            <w:vAlign w:val="bottom"/>
            <w:tcBorders>
              <w:left w:val="single" w:sz="8" w:color="auto"/>
            </w:tcBorders>
          </w:tcPr>
          <w:p>
            <w:pPr>
              <w:ind w:left="220"/>
              <w:spacing w:after="0"/>
              <w:rPr>
                <w:sz w:val="20"/>
                <w:szCs w:val="20"/>
                <w:color w:val="auto"/>
              </w:rPr>
            </w:pPr>
            <w:r>
              <w:rPr>
                <w:rFonts w:ascii="Arial" w:cs="Arial" w:eastAsia="Arial" w:hAnsi="Arial"/>
                <w:sz w:val="12"/>
                <w:szCs w:val="12"/>
                <w:b w:val="1"/>
                <w:bCs w:val="1"/>
                <w:color w:val="auto"/>
              </w:rPr>
              <w:t xml:space="preserve">Earnings per Share </w:t>
            </w:r>
            <w:r>
              <w:rPr>
                <w:rFonts w:ascii="Arial" w:cs="Arial" w:eastAsia="Arial" w:hAnsi="Arial"/>
                <w:sz w:val="12"/>
                <w:szCs w:val="12"/>
                <w:color w:val="auto"/>
              </w:rPr>
              <w:t>- Net income per share (basic)</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0.34</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1.64</w:t>
            </w:r>
          </w:p>
        </w:tc>
        <w:tc>
          <w:tcPr>
            <w:tcW w:w="40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1.91</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gridSpan w:val="3"/>
          </w:tcPr>
          <w:p>
            <w:pPr>
              <w:jc w:val="right"/>
              <w:ind w:right="42"/>
              <w:spacing w:after="0"/>
              <w:rPr>
                <w:sz w:val="20"/>
                <w:szCs w:val="20"/>
                <w:color w:val="auto"/>
              </w:rPr>
            </w:pPr>
            <w:r>
              <w:rPr>
                <w:rFonts w:ascii="Arial" w:cs="Arial" w:eastAsia="Arial" w:hAnsi="Arial"/>
                <w:sz w:val="12"/>
                <w:szCs w:val="12"/>
                <w:color w:val="auto"/>
              </w:rPr>
              <w:t>1.69</w:t>
            </w:r>
          </w:p>
        </w:tc>
      </w:tr>
      <w:tr>
        <w:trPr>
          <w:trHeight w:val="223"/>
        </w:trPr>
        <w:tc>
          <w:tcPr>
            <w:tcW w:w="4360" w:type="dxa"/>
            <w:vAlign w:val="bottom"/>
            <w:tcBorders>
              <w:left w:val="single" w:sz="8" w:color="auto"/>
              <w:bottom w:val="single" w:sz="8" w:color="auto"/>
            </w:tcBorders>
          </w:tcPr>
          <w:p>
            <w:pPr>
              <w:ind w:left="220"/>
              <w:spacing w:after="0"/>
              <w:rPr>
                <w:sz w:val="20"/>
                <w:szCs w:val="20"/>
                <w:color w:val="auto"/>
              </w:rPr>
            </w:pPr>
            <w:r>
              <w:rPr>
                <w:rFonts w:ascii="Arial" w:cs="Arial" w:eastAsia="Arial" w:hAnsi="Arial"/>
                <w:sz w:val="12"/>
                <w:szCs w:val="12"/>
                <w:b w:val="1"/>
                <w:bCs w:val="1"/>
                <w:color w:val="auto"/>
              </w:rPr>
              <w:t xml:space="preserve">Earnings per share </w:t>
            </w:r>
            <w:r>
              <w:rPr>
                <w:rFonts w:ascii="Arial" w:cs="Arial" w:eastAsia="Arial" w:hAnsi="Arial"/>
                <w:sz w:val="12"/>
                <w:szCs w:val="12"/>
                <w:color w:val="auto"/>
              </w:rPr>
              <w:t>- Net income per share (diluted)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0.34</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1.64</w:t>
            </w: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1.33</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1.90</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right w:val="single" w:sz="8" w:color="auto"/>
            </w:tcBorders>
            <w:gridSpan w:val="3"/>
          </w:tcPr>
          <w:p>
            <w:pPr>
              <w:jc w:val="right"/>
              <w:ind w:right="42"/>
              <w:spacing w:after="0"/>
              <w:rPr>
                <w:sz w:val="20"/>
                <w:szCs w:val="20"/>
                <w:color w:val="auto"/>
              </w:rPr>
            </w:pPr>
            <w:r>
              <w:rPr>
                <w:rFonts w:ascii="Arial" w:cs="Arial" w:eastAsia="Arial" w:hAnsi="Arial"/>
                <w:sz w:val="12"/>
                <w:szCs w:val="12"/>
                <w:color w:val="auto"/>
              </w:rPr>
              <w:t>1.68</w:t>
            </w:r>
          </w:p>
        </w:tc>
      </w:tr>
      <w:tr>
        <w:trPr>
          <w:trHeight w:val="197"/>
        </w:trPr>
        <w:tc>
          <w:tcPr>
            <w:tcW w:w="4360" w:type="dxa"/>
            <w:vAlign w:val="bottom"/>
          </w:tcPr>
          <w:p>
            <w:pPr>
              <w:ind w:left="20"/>
              <w:spacing w:after="0"/>
              <w:rPr>
                <w:sz w:val="20"/>
                <w:szCs w:val="20"/>
                <w:color w:val="auto"/>
              </w:rPr>
            </w:pPr>
            <w:r>
              <w:rPr>
                <w:rFonts w:ascii="Arial" w:cs="Arial" w:eastAsia="Arial" w:hAnsi="Arial"/>
                <w:sz w:val="9"/>
                <w:szCs w:val="9"/>
                <w:color w:val="auto"/>
              </w:rPr>
              <w:t>(1) Before gains on sale and equity in net gains (losses) shown below.</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r>
      <w:tr>
        <w:trPr>
          <w:trHeight w:val="660"/>
        </w:trPr>
        <w:tc>
          <w:tcPr>
            <w:tcW w:w="4360" w:type="dxa"/>
            <w:vAlign w:val="bottom"/>
          </w:tcPr>
          <w:p>
            <w:pPr>
              <w:ind w:left="20"/>
              <w:spacing w:after="0"/>
              <w:rPr>
                <w:sz w:val="20"/>
                <w:szCs w:val="20"/>
                <w:color w:val="auto"/>
              </w:rPr>
            </w:pPr>
            <w:r>
              <w:rPr>
                <w:rFonts w:ascii="Arial" w:cs="Arial" w:eastAsia="Arial" w:hAnsi="Arial"/>
                <w:sz w:val="10"/>
                <w:szCs w:val="10"/>
                <w:color w:val="auto"/>
              </w:rPr>
              <w:t>Supplemental Information</w:t>
            </w:r>
          </w:p>
        </w:tc>
        <w:tc>
          <w:tcPr>
            <w:tcW w:w="100" w:type="dxa"/>
            <w:vAlign w:val="bottom"/>
          </w:tcPr>
          <w:p>
            <w:pPr>
              <w:spacing w:after="0"/>
              <w:rPr>
                <w:sz w:val="24"/>
                <w:szCs w:val="24"/>
                <w:color w:val="auto"/>
              </w:rPr>
            </w:pPr>
          </w:p>
        </w:tc>
        <w:tc>
          <w:tcPr>
            <w:tcW w:w="880" w:type="dxa"/>
            <w:vAlign w:val="bottom"/>
            <w:gridSpan w:val="3"/>
          </w:tcPr>
          <w:p>
            <w:pPr>
              <w:jc w:val="right"/>
              <w:ind w:right="202"/>
              <w:spacing w:after="0"/>
              <w:rPr>
                <w:sz w:val="20"/>
                <w:szCs w:val="20"/>
                <w:color w:val="auto"/>
              </w:rPr>
            </w:pPr>
            <w:r>
              <w:rPr>
                <w:rFonts w:ascii="Arial" w:cs="Arial" w:eastAsia="Arial" w:hAnsi="Arial"/>
                <w:sz w:val="10"/>
                <w:szCs w:val="10"/>
                <w:color w:val="auto"/>
              </w:rPr>
              <w:t>16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gridSpan w:val="3"/>
          </w:tcPr>
          <w:p>
            <w:pPr>
              <w:jc w:val="right"/>
              <w:spacing w:after="0"/>
              <w:rPr>
                <w:sz w:val="20"/>
                <w:szCs w:val="20"/>
                <w:color w:val="auto"/>
              </w:rPr>
            </w:pPr>
            <w:r>
              <w:rPr>
                <w:rFonts w:ascii="Arial" w:cs="Arial" w:eastAsia="Arial" w:hAnsi="Arial"/>
                <w:sz w:val="10"/>
                <w:szCs w:val="10"/>
                <w:color w:val="auto"/>
              </w:rPr>
              <w:t>Third Quarter 2016</w:t>
            </w:r>
          </w:p>
        </w:tc>
      </w:tr>
    </w:tbl>
    <w:p>
      <w:pPr>
        <w:sectPr>
          <w:pgSz w:w="11900" w:h="16838" w:orient="portrait"/>
          <w:cols w:equalWidth="0" w:num="1">
            <w:col w:w="10100"/>
          </w:cols>
          <w:pgMar w:left="900" w:top="338" w:right="899" w:bottom="1440" w:gutter="0" w:footer="0" w:header="0"/>
        </w:sectPr>
      </w:pPr>
    </w:p>
    <w:bookmarkStart w:id="32" w:name="page33"/>
    <w:bookmarkEnd w:id="3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COMPARATIVE COMPUTATION OF FFO AND FAD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3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7"/>
          </w:tcPr>
          <w:p>
            <w:pPr>
              <w:jc w:val="right"/>
              <w:ind w:right="422"/>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3"/>
                <w:szCs w:val="13"/>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2"/>
                <w:szCs w:val="12"/>
                <w:b w:val="1"/>
                <w:bCs w:val="1"/>
                <w:color w:val="auto"/>
              </w:rPr>
              <w:t>Nine Months Ended</w:t>
            </w:r>
          </w:p>
        </w:tc>
      </w:tr>
      <w:tr>
        <w:trPr>
          <w:trHeight w:val="205"/>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4"/>
          </w:tcPr>
          <w:p>
            <w:pPr>
              <w:spacing w:after="0"/>
              <w:rPr>
                <w:sz w:val="20"/>
                <w:szCs w:val="20"/>
                <w:color w:val="auto"/>
              </w:rPr>
            </w:pPr>
            <w:r>
              <w:rPr>
                <w:rFonts w:ascii="Arial" w:cs="Arial" w:eastAsia="Arial" w:hAnsi="Arial"/>
                <w:sz w:val="12"/>
                <w:szCs w:val="12"/>
                <w:b w:val="1"/>
                <w:bCs w:val="1"/>
                <w:color w:val="auto"/>
              </w:rPr>
              <w:t>September 30,</w:t>
            </w:r>
          </w:p>
        </w:tc>
        <w:tc>
          <w:tcPr>
            <w:tcW w:w="80" w:type="dxa"/>
            <w:vAlign w:val="bottom"/>
          </w:tcPr>
          <w:p>
            <w:pPr>
              <w:spacing w:after="0"/>
              <w:rPr>
                <w:sz w:val="17"/>
                <w:szCs w:val="17"/>
                <w:color w:val="auto"/>
              </w:rPr>
            </w:pPr>
          </w:p>
        </w:tc>
        <w:tc>
          <w:tcPr>
            <w:tcW w:w="88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w w:val="95"/>
              </w:rPr>
              <w:t>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5"/>
          </w:tcPr>
          <w:p>
            <w:pPr>
              <w:jc w:val="center"/>
              <w:ind w:right="400"/>
              <w:spacing w:after="0"/>
              <w:rPr>
                <w:sz w:val="20"/>
                <w:szCs w:val="20"/>
                <w:color w:val="auto"/>
              </w:rPr>
            </w:pPr>
            <w:r>
              <w:rPr>
                <w:rFonts w:ascii="Arial" w:cs="Arial" w:eastAsia="Arial" w:hAnsi="Arial"/>
                <w:sz w:val="12"/>
                <w:szCs w:val="12"/>
                <w:b w:val="1"/>
                <w:bCs w:val="1"/>
                <w:color w:val="auto"/>
                <w:w w:val="99"/>
              </w:rPr>
              <w:t>June 30,</w:t>
            </w:r>
          </w:p>
        </w:tc>
        <w:tc>
          <w:tcPr>
            <w:tcW w:w="80" w:type="dxa"/>
            <w:vAlign w:val="bottom"/>
          </w:tcPr>
          <w:p>
            <w:pPr>
              <w:spacing w:after="0"/>
              <w:rPr>
                <w:sz w:val="17"/>
                <w:szCs w:val="17"/>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w w:val="97"/>
              </w:rPr>
              <w:t>September 30,</w:t>
            </w:r>
          </w:p>
        </w:tc>
        <w:tc>
          <w:tcPr>
            <w:tcW w:w="8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5"/>
              </w:rPr>
              <w:t>September 30,</w:t>
            </w:r>
          </w:p>
        </w:tc>
      </w:tr>
      <w:tr>
        <w:trPr>
          <w:trHeight w:val="196"/>
        </w:trPr>
        <w:tc>
          <w:tcPr>
            <w:tcW w:w="4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3"/>
          </w:tcPr>
          <w:p>
            <w:pPr>
              <w:jc w:val="right"/>
              <w:ind w:right="282"/>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center"/>
              <w:ind w:right="102"/>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2015</w:t>
            </w:r>
          </w:p>
        </w:tc>
      </w:tr>
      <w:tr>
        <w:trPr>
          <w:trHeight w:val="226"/>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Funds from Operations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2"/>
                <w:szCs w:val="12"/>
                <w:color w:val="auto"/>
              </w:rPr>
              <w:t>Net Income Attributable to Common Stockholders</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34,252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163,658</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133,457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190,930</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167,829</w:t>
            </w:r>
          </w:p>
        </w:tc>
      </w:tr>
      <w:tr>
        <w:trPr>
          <w:trHeight w:val="437"/>
        </w:trPr>
        <w:tc>
          <w:tcPr>
            <w:tcW w:w="4360" w:type="dxa"/>
            <w:vAlign w:val="bottom"/>
          </w:tcPr>
          <w:p>
            <w:pPr>
              <w:ind w:left="380"/>
              <w:spacing w:after="0"/>
              <w:rPr>
                <w:sz w:val="20"/>
                <w:szCs w:val="20"/>
                <w:color w:val="auto"/>
              </w:rPr>
            </w:pPr>
            <w:r>
              <w:rPr>
                <w:rFonts w:ascii="Arial" w:cs="Arial" w:eastAsia="Arial" w:hAnsi="Arial"/>
                <w:sz w:val="12"/>
                <w:szCs w:val="12"/>
                <w:color w:val="auto"/>
              </w:rPr>
              <w:t>Depreciation and amortization</w:t>
            </w:r>
          </w:p>
        </w:tc>
        <w:tc>
          <w:tcPr>
            <w:tcW w:w="10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112,665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146,185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425,042</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717,015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454,087</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Joint ventures depreciation and noncontrolling interests adjustments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23,349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10,796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8,328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42,191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23,853</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Net income attributable to noncontrolling interests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2,499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7,132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9,021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14,416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19,851</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Gain on sale of real estate and discontinued operations</w:t>
            </w: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(159,704)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(196,580)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(210,750)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(172,687)</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Equity in net loss (gain) on sale of joint venture property / real estate</w:t>
            </w: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(225)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(15,281)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(33,448)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(43,588)</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(16,050)</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Depreciable real estate reserves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19,226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10,387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10,387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19,226</w:t>
            </w:r>
          </w:p>
        </w:tc>
      </w:tr>
      <w:tr>
        <w:trPr>
          <w:trHeight w:val="223"/>
        </w:trPr>
        <w:tc>
          <w:tcPr>
            <w:tcW w:w="4360" w:type="dxa"/>
            <w:vAlign w:val="bottom"/>
          </w:tcPr>
          <w:p>
            <w:pPr>
              <w:ind w:left="380"/>
              <w:spacing w:after="0"/>
              <w:rPr>
                <w:sz w:val="20"/>
                <w:szCs w:val="20"/>
                <w:color w:val="auto"/>
              </w:rPr>
            </w:pPr>
            <w:r>
              <w:rPr>
                <w:rFonts w:ascii="Arial" w:cs="Arial" w:eastAsia="Arial" w:hAnsi="Arial"/>
                <w:sz w:val="12"/>
                <w:szCs w:val="12"/>
                <w:color w:val="auto"/>
              </w:rPr>
              <w:t>Non-real estate depreciation and amortization</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(509)</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(1,505)</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(1,525)</w:t>
            </w:r>
          </w:p>
        </w:tc>
      </w:tr>
      <w:tr>
        <w:trPr>
          <w:trHeight w:val="193"/>
        </w:trPr>
        <w:tc>
          <w:tcPr>
            <w:tcW w:w="4360" w:type="dxa"/>
            <w:vAlign w:val="bottom"/>
          </w:tcPr>
          <w:p>
            <w:pPr>
              <w:ind w:left="380"/>
              <w:spacing w:after="0"/>
              <w:rPr>
                <w:sz w:val="20"/>
                <w:szCs w:val="20"/>
                <w:color w:val="auto"/>
              </w:rPr>
            </w:pPr>
            <w:r>
              <w:rPr>
                <w:rFonts w:ascii="Arial" w:cs="Arial" w:eastAsia="Arial" w:hAnsi="Arial"/>
                <w:sz w:val="12"/>
                <w:szCs w:val="12"/>
                <w:b w:val="1"/>
                <w:bCs w:val="1"/>
                <w:color w:val="auto"/>
              </w:rPr>
              <w:t>Funds From Operations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171,634</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171,512</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355,707</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719,096</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494,584</w:t>
            </w:r>
          </w:p>
        </w:tc>
      </w:tr>
      <w:tr>
        <w:trPr>
          <w:trHeight w:val="20"/>
        </w:trPr>
        <w:tc>
          <w:tcPr>
            <w:tcW w:w="4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80"/>
        </w:trPr>
        <w:tc>
          <w:tcPr>
            <w:tcW w:w="4360" w:type="dxa"/>
            <w:vAlign w:val="bottom"/>
          </w:tcPr>
          <w:p>
            <w:pPr>
              <w:ind w:left="380"/>
              <w:spacing w:after="0"/>
              <w:rPr>
                <w:sz w:val="20"/>
                <w:szCs w:val="20"/>
                <w:color w:val="auto"/>
              </w:rPr>
            </w:pPr>
            <w:r>
              <w:rPr>
                <w:rFonts w:ascii="Arial" w:cs="Arial" w:eastAsia="Arial" w:hAnsi="Arial"/>
                <w:sz w:val="12"/>
                <w:szCs w:val="12"/>
                <w:b w:val="1"/>
                <w:bCs w:val="1"/>
                <w:color w:val="auto"/>
              </w:rPr>
              <w:t>Funds From Operations - Basic per Share</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1.64</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1.66</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3.40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6.89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4.80</w:t>
            </w:r>
          </w:p>
        </w:tc>
      </w:tr>
      <w:tr>
        <w:trPr>
          <w:trHeight w:val="437"/>
        </w:trPr>
        <w:tc>
          <w:tcPr>
            <w:tcW w:w="4360" w:type="dxa"/>
            <w:vAlign w:val="bottom"/>
          </w:tcPr>
          <w:p>
            <w:pPr>
              <w:ind w:left="380"/>
              <w:spacing w:after="0"/>
              <w:rPr>
                <w:sz w:val="20"/>
                <w:szCs w:val="20"/>
                <w:color w:val="auto"/>
              </w:rPr>
            </w:pPr>
            <w:r>
              <w:rPr>
                <w:rFonts w:ascii="Arial" w:cs="Arial" w:eastAsia="Arial" w:hAnsi="Arial"/>
                <w:sz w:val="12"/>
                <w:szCs w:val="12"/>
                <w:b w:val="1"/>
                <w:bCs w:val="1"/>
                <w:color w:val="auto"/>
              </w:rPr>
              <w:t>Funds From Operations - Diluted per Share</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1.63</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1.65</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3.39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6.86</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4.77</w:t>
            </w:r>
          </w:p>
        </w:tc>
      </w:tr>
      <w:tr>
        <w:trPr>
          <w:trHeight w:val="322"/>
        </w:trPr>
        <w:tc>
          <w:tcPr>
            <w:tcW w:w="436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Funds Available for Distribution</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r>
      <w:tr>
        <w:trPr>
          <w:trHeight w:val="205"/>
        </w:trPr>
        <w:tc>
          <w:tcPr>
            <w:tcW w:w="4360" w:type="dxa"/>
            <w:vAlign w:val="bottom"/>
          </w:tcPr>
          <w:p>
            <w:pPr>
              <w:ind w:left="20"/>
              <w:spacing w:after="0"/>
              <w:rPr>
                <w:sz w:val="20"/>
                <w:szCs w:val="20"/>
                <w:color w:val="auto"/>
              </w:rPr>
            </w:pPr>
            <w:r>
              <w:rPr>
                <w:rFonts w:ascii="Arial" w:cs="Arial" w:eastAsia="Arial" w:hAnsi="Arial"/>
                <w:sz w:val="12"/>
                <w:szCs w:val="12"/>
                <w:color w:val="auto"/>
              </w:rPr>
              <w:t>FFO</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171,634</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171,512</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355,707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719,096</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494,584</w:t>
            </w:r>
          </w:p>
        </w:tc>
      </w:tr>
      <w:tr>
        <w:trPr>
          <w:trHeight w:val="317"/>
        </w:trPr>
        <w:tc>
          <w:tcPr>
            <w:tcW w:w="4360" w:type="dxa"/>
            <w:vAlign w:val="bottom"/>
          </w:tcPr>
          <w:p>
            <w:pPr>
              <w:ind w:left="380"/>
              <w:spacing w:after="0"/>
              <w:rPr>
                <w:sz w:val="20"/>
                <w:szCs w:val="20"/>
                <w:color w:val="auto"/>
              </w:rPr>
            </w:pPr>
            <w:r>
              <w:rPr>
                <w:rFonts w:ascii="Arial" w:cs="Arial" w:eastAsia="Arial" w:hAnsi="Arial"/>
                <w:sz w:val="12"/>
                <w:szCs w:val="12"/>
                <w:color w:val="auto"/>
              </w:rPr>
              <w:t>Non real estate depreciation and amortization</w:t>
            </w:r>
          </w:p>
        </w:tc>
        <w:tc>
          <w:tcPr>
            <w:tcW w:w="10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509</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500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500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1,505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1,525</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Amortization of deferred financing costs</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4,815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7,433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20,180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19,727</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Non-cash deferred compensation</w:t>
            </w:r>
          </w:p>
        </w:tc>
        <w:tc>
          <w:tcPr>
            <w:tcW w:w="10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9,234</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8,894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10,293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33,803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38,472</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FAD adjustment for joint ventures</w:t>
            </w: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(23,315)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(6,421)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(5,874)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(35,016)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(17,468)</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FAD adjustment for discontinued operations</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5</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Straight-line rental income and other non cash adjustments</w:t>
            </w: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(7,393)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(42,128)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(105,387)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(142,485)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(122,146)</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Second cycle tenant improvements</w:t>
            </w: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(32,536)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(11,340)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(34,672)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(77,336)</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(47,015)</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Second cycle leasing commissions</w:t>
            </w: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(7,697)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(5,636)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(8,072)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(24,640)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(22,145)</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Revenue enhancing recurring CAPEX</w:t>
            </w:r>
          </w:p>
        </w:tc>
        <w:tc>
          <w:tcPr>
            <w:tcW w:w="10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(630)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(1,362)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(1,098)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(1,961)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(2,999)</w:t>
            </w:r>
          </w:p>
        </w:tc>
      </w:tr>
      <w:tr>
        <w:trPr>
          <w:trHeight w:val="223"/>
        </w:trPr>
        <w:tc>
          <w:tcPr>
            <w:tcW w:w="4360" w:type="dxa"/>
            <w:vAlign w:val="bottom"/>
          </w:tcPr>
          <w:p>
            <w:pPr>
              <w:ind w:left="380"/>
              <w:spacing w:after="0"/>
              <w:rPr>
                <w:sz w:val="20"/>
                <w:szCs w:val="20"/>
                <w:color w:val="auto"/>
              </w:rPr>
            </w:pPr>
            <w:r>
              <w:rPr>
                <w:rFonts w:ascii="Arial" w:cs="Arial" w:eastAsia="Arial" w:hAnsi="Arial"/>
                <w:sz w:val="12"/>
                <w:szCs w:val="12"/>
                <w:color w:val="auto"/>
              </w:rPr>
              <w:t>Non-revenue enhancing recurring CAPEX</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(12,272)</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(12,904)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(13,683)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(29,644)</w:t>
            </w: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(26,882)</w:t>
            </w:r>
          </w:p>
        </w:tc>
      </w:tr>
      <w:tr>
        <w:trPr>
          <w:trHeight w:val="203"/>
        </w:trPr>
        <w:tc>
          <w:tcPr>
            <w:tcW w:w="4360" w:type="dxa"/>
            <w:vAlign w:val="bottom"/>
          </w:tcPr>
          <w:p>
            <w:pPr>
              <w:ind w:left="20"/>
              <w:spacing w:after="0"/>
              <w:rPr>
                <w:sz w:val="20"/>
                <w:szCs w:val="20"/>
                <w:color w:val="auto"/>
              </w:rPr>
            </w:pPr>
            <w:r>
              <w:rPr>
                <w:rFonts w:ascii="Arial" w:cs="Arial" w:eastAsia="Arial" w:hAnsi="Arial"/>
                <w:sz w:val="12"/>
                <w:szCs w:val="12"/>
                <w:b w:val="1"/>
                <w:bCs w:val="1"/>
                <w:color w:val="auto"/>
              </w:rPr>
              <w:t>Reported Funds Available for Distribution</w:t>
            </w: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102,349</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108,275</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205,147</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463,502</w:t>
            </w: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315,658</w:t>
            </w:r>
          </w:p>
        </w:tc>
      </w:tr>
      <w:tr>
        <w:trPr>
          <w:trHeight w:val="20"/>
        </w:trPr>
        <w:tc>
          <w:tcPr>
            <w:tcW w:w="4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r>
      <w:tr>
        <w:trPr>
          <w:trHeight w:val="575"/>
        </w:trPr>
        <w:tc>
          <w:tcPr>
            <w:tcW w:w="4360" w:type="dxa"/>
            <w:vAlign w:val="bottom"/>
          </w:tcPr>
          <w:p>
            <w:pPr>
              <w:ind w:left="380"/>
              <w:spacing w:after="0"/>
              <w:rPr>
                <w:sz w:val="20"/>
                <w:szCs w:val="20"/>
                <w:color w:val="auto"/>
              </w:rPr>
            </w:pPr>
            <w:r>
              <w:rPr>
                <w:rFonts w:ascii="Arial" w:cs="Arial" w:eastAsia="Arial" w:hAnsi="Arial"/>
                <w:sz w:val="12"/>
                <w:szCs w:val="12"/>
                <w:color w:val="auto"/>
              </w:rPr>
              <w:t>1515 Broadway - Viacom capital contribution</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11,321</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5,048</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8,996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20,798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19,578</w:t>
            </w:r>
          </w:p>
        </w:tc>
      </w:tr>
      <w:tr>
        <w:trPr>
          <w:trHeight w:val="415"/>
        </w:trPr>
        <w:tc>
          <w:tcPr>
            <w:tcW w:w="4360" w:type="dxa"/>
            <w:vAlign w:val="bottom"/>
          </w:tcPr>
          <w:p>
            <w:pPr>
              <w:ind w:left="380"/>
              <w:spacing w:after="0"/>
              <w:rPr>
                <w:sz w:val="20"/>
                <w:szCs w:val="20"/>
                <w:color w:val="auto"/>
              </w:rPr>
            </w:pPr>
            <w:r>
              <w:rPr>
                <w:rFonts w:ascii="Arial" w:cs="Arial" w:eastAsia="Arial" w:hAnsi="Arial"/>
                <w:sz w:val="12"/>
                <w:szCs w:val="12"/>
                <w:color w:val="auto"/>
              </w:rPr>
              <w:t>First cycle tenant improvements</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4,542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33,288</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8,090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16,955</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43,624</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First cycle leasing commissions</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752</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2,487</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7,078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11,013</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6,637</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Development costs</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6,310</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8,302</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11,047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20,521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16,457</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Redevelopment costs</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37,165</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12,195</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50,547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101,301</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29,013</w:t>
            </w:r>
          </w:p>
        </w:tc>
      </w:tr>
      <w:tr>
        <w:trPr>
          <w:trHeight w:val="219"/>
        </w:trPr>
        <w:tc>
          <w:tcPr>
            <w:tcW w:w="4360" w:type="dxa"/>
            <w:vAlign w:val="bottom"/>
          </w:tcPr>
          <w:p>
            <w:pPr>
              <w:ind w:left="380"/>
              <w:spacing w:after="0"/>
              <w:rPr>
                <w:sz w:val="20"/>
                <w:szCs w:val="20"/>
                <w:color w:val="auto"/>
              </w:rPr>
            </w:pPr>
            <w:r>
              <w:rPr>
                <w:rFonts w:ascii="Arial" w:cs="Arial" w:eastAsia="Arial" w:hAnsi="Arial"/>
                <w:sz w:val="12"/>
                <w:szCs w:val="12"/>
                <w:color w:val="auto"/>
              </w:rPr>
              <w:t>Capitalized interest</w:t>
            </w: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6,084</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7,529</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5,433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18,135</w:t>
            </w:r>
          </w:p>
        </w:tc>
        <w:tc>
          <w:tcPr>
            <w:tcW w:w="2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23,496</w:t>
            </w:r>
          </w:p>
        </w:tc>
      </w:tr>
      <w:tr>
        <w:trPr>
          <w:trHeight w:val="455"/>
        </w:trPr>
        <w:tc>
          <w:tcPr>
            <w:tcW w:w="4360" w:type="dxa"/>
            <w:vAlign w:val="bottom"/>
          </w:tcPr>
          <w:p>
            <w:pPr>
              <w:ind w:left="20"/>
              <w:spacing w:after="0"/>
              <w:rPr>
                <w:sz w:val="20"/>
                <w:szCs w:val="20"/>
                <w:color w:val="auto"/>
              </w:rPr>
            </w:pPr>
            <w:r>
              <w:rPr>
                <w:rFonts w:ascii="Arial" w:cs="Arial" w:eastAsia="Arial" w:hAnsi="Arial"/>
                <w:sz w:val="10"/>
                <w:szCs w:val="10"/>
                <w:color w:val="auto"/>
              </w:rPr>
              <w:t>Supplemental Information</w:t>
            </w:r>
          </w:p>
        </w:tc>
        <w:tc>
          <w:tcPr>
            <w:tcW w:w="100" w:type="dxa"/>
            <w:vAlign w:val="bottom"/>
          </w:tcPr>
          <w:p>
            <w:pPr>
              <w:spacing w:after="0"/>
              <w:rPr>
                <w:sz w:val="24"/>
                <w:szCs w:val="24"/>
                <w:color w:val="auto"/>
              </w:rPr>
            </w:pPr>
          </w:p>
        </w:tc>
        <w:tc>
          <w:tcPr>
            <w:tcW w:w="880" w:type="dxa"/>
            <w:vAlign w:val="bottom"/>
            <w:gridSpan w:val="3"/>
          </w:tcPr>
          <w:p>
            <w:pPr>
              <w:jc w:val="right"/>
              <w:ind w:right="202"/>
              <w:spacing w:after="0"/>
              <w:rPr>
                <w:sz w:val="20"/>
                <w:szCs w:val="20"/>
                <w:color w:val="auto"/>
              </w:rPr>
            </w:pPr>
            <w:r>
              <w:rPr>
                <w:rFonts w:ascii="Arial" w:cs="Arial" w:eastAsia="Arial" w:hAnsi="Arial"/>
                <w:sz w:val="10"/>
                <w:szCs w:val="10"/>
                <w:color w:val="auto"/>
              </w:rPr>
              <w:t>17</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0"/>
                <w:szCs w:val="10"/>
                <w:color w:val="auto"/>
              </w:rPr>
              <w:t>Third Quarter 2016</w:t>
            </w:r>
          </w:p>
        </w:tc>
      </w:tr>
    </w:tbl>
    <w:p>
      <w:pPr>
        <w:sectPr>
          <w:pgSz w:w="11900" w:h="16838" w:orient="portrait"/>
          <w:cols w:equalWidth="0" w:num="1">
            <w:col w:w="10100"/>
          </w:cols>
          <w:pgMar w:left="900" w:top="338" w:right="899" w:bottom="1440" w:gutter="0" w:footer="0" w:header="0"/>
        </w:sectPr>
      </w:pPr>
    </w:p>
    <w:bookmarkStart w:id="33" w:name="page34"/>
    <w:bookmarkEnd w:id="3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CONSOLIDATED STATEMENT OF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134"/>
        </w:trPr>
        <w:tc>
          <w:tcPr>
            <w:tcW w:w="2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Accumulated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Series I</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Other</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Preferred</w:t>
            </w:r>
          </w:p>
        </w:tc>
        <w:tc>
          <w:tcPr>
            <w:tcW w:w="12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Common</w:t>
            </w:r>
          </w:p>
        </w:tc>
        <w:tc>
          <w:tcPr>
            <w:tcW w:w="14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Additional</w:t>
            </w:r>
          </w:p>
        </w:tc>
        <w:tc>
          <w:tcPr>
            <w:tcW w:w="12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9"/>
              </w:rPr>
              <w:t>Treasury</w:t>
            </w:r>
          </w:p>
        </w:tc>
        <w:tc>
          <w:tcPr>
            <w:tcW w:w="12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Retained</w:t>
            </w:r>
          </w:p>
        </w:tc>
        <w:tc>
          <w:tcPr>
            <w:tcW w:w="940" w:type="dxa"/>
            <w:vAlign w:val="bottom"/>
            <w:gridSpan w:val="3"/>
          </w:tcPr>
          <w:p>
            <w:pPr>
              <w:jc w:val="center"/>
              <w:ind w:right="100"/>
              <w:spacing w:after="0"/>
              <w:rPr>
                <w:sz w:val="20"/>
                <w:szCs w:val="20"/>
                <w:color w:val="auto"/>
              </w:rPr>
            </w:pPr>
            <w:r>
              <w:rPr>
                <w:rFonts w:ascii="Arial" w:cs="Arial" w:eastAsia="Arial" w:hAnsi="Arial"/>
                <w:sz w:val="10"/>
                <w:szCs w:val="10"/>
                <w:b w:val="1"/>
                <w:bCs w:val="1"/>
                <w:color w:val="auto"/>
              </w:rPr>
              <w:t>Noncontrolling</w:t>
            </w:r>
          </w:p>
        </w:tc>
        <w:tc>
          <w:tcPr>
            <w:tcW w:w="8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Comprehensive</w:t>
            </w: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Stock</w:t>
            </w:r>
          </w:p>
        </w:tc>
        <w:tc>
          <w:tcPr>
            <w:tcW w:w="120" w:type="dxa"/>
            <w:vAlign w:val="bottom"/>
          </w:tcPr>
          <w:p>
            <w:pPr>
              <w:spacing w:after="0"/>
              <w:rPr>
                <w:sz w:val="19"/>
                <w:szCs w:val="19"/>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Stock</w:t>
            </w:r>
          </w:p>
        </w:tc>
        <w:tc>
          <w:tcPr>
            <w:tcW w:w="940" w:type="dxa"/>
            <w:vAlign w:val="bottom"/>
            <w:gridSpan w:val="3"/>
          </w:tcPr>
          <w:p>
            <w:pPr>
              <w:jc w:val="center"/>
              <w:ind w:right="80"/>
              <w:spacing w:after="0"/>
              <w:rPr>
                <w:sz w:val="20"/>
                <w:szCs w:val="20"/>
                <w:color w:val="auto"/>
              </w:rPr>
            </w:pPr>
            <w:r>
              <w:rPr>
                <w:rFonts w:ascii="Arial" w:cs="Arial" w:eastAsia="Arial" w:hAnsi="Arial"/>
                <w:sz w:val="10"/>
                <w:szCs w:val="10"/>
                <w:b w:val="1"/>
                <w:bCs w:val="1"/>
                <w:color w:val="auto"/>
              </w:rPr>
              <w:t>Paid-In Capital</w:t>
            </w:r>
          </w:p>
        </w:tc>
        <w:tc>
          <w:tcPr>
            <w:tcW w:w="120" w:type="dxa"/>
            <w:vAlign w:val="bottom"/>
          </w:tcPr>
          <w:p>
            <w:pPr>
              <w:spacing w:after="0"/>
              <w:rPr>
                <w:sz w:val="19"/>
                <w:szCs w:val="19"/>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Stock</w:t>
            </w:r>
          </w:p>
        </w:tc>
        <w:tc>
          <w:tcPr>
            <w:tcW w:w="120" w:type="dxa"/>
            <w:vAlign w:val="bottom"/>
          </w:tcPr>
          <w:p>
            <w:pPr>
              <w:spacing w:after="0"/>
              <w:rPr>
                <w:sz w:val="19"/>
                <w:szCs w:val="19"/>
                <w:color w:val="auto"/>
              </w:rPr>
            </w:pPr>
          </w:p>
        </w:tc>
        <w:tc>
          <w:tcPr>
            <w:tcW w:w="720" w:type="dxa"/>
            <w:vAlign w:val="bottom"/>
            <w:gridSpan w:val="2"/>
          </w:tcPr>
          <w:p>
            <w:pPr>
              <w:ind w:left="40"/>
              <w:spacing w:after="0"/>
              <w:rPr>
                <w:sz w:val="20"/>
                <w:szCs w:val="20"/>
                <w:color w:val="auto"/>
              </w:rPr>
            </w:pPr>
            <w:r>
              <w:rPr>
                <w:rFonts w:ascii="Arial" w:cs="Arial" w:eastAsia="Arial" w:hAnsi="Arial"/>
                <w:sz w:val="10"/>
                <w:szCs w:val="10"/>
                <w:b w:val="1"/>
                <w:bCs w:val="1"/>
                <w:color w:val="auto"/>
              </w:rPr>
              <w:t>Earnings</w:t>
            </w:r>
          </w:p>
        </w:tc>
        <w:tc>
          <w:tcPr>
            <w:tcW w:w="140" w:type="dxa"/>
            <w:vAlign w:val="bottom"/>
          </w:tcPr>
          <w:p>
            <w:pPr>
              <w:spacing w:after="0"/>
              <w:rPr>
                <w:sz w:val="19"/>
                <w:szCs w:val="19"/>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rPr>
              <w:t>Interests</w:t>
            </w:r>
          </w:p>
        </w:tc>
        <w:tc>
          <w:tcPr>
            <w:tcW w:w="8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rPr>
              <w:t>Loss</w:t>
            </w:r>
          </w:p>
        </w:tc>
        <w:tc>
          <w:tcPr>
            <w:tcW w:w="140" w:type="dxa"/>
            <w:vAlign w:val="bottom"/>
          </w:tcPr>
          <w:p>
            <w:pPr>
              <w:spacing w:after="0"/>
              <w:rPr>
                <w:sz w:val="19"/>
                <w:szCs w:val="19"/>
                <w:color w:val="auto"/>
              </w:rPr>
            </w:pPr>
          </w:p>
        </w:tc>
        <w:tc>
          <w:tcPr>
            <w:tcW w:w="660" w:type="dxa"/>
            <w:vAlign w:val="bottom"/>
          </w:tcPr>
          <w:p>
            <w:pPr>
              <w:jc w:val="right"/>
              <w:ind w:right="189"/>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388"/>
        </w:trPr>
        <w:tc>
          <w:tcPr>
            <w:tcW w:w="2880" w:type="dxa"/>
            <w:vAlign w:val="bottom"/>
          </w:tcPr>
          <w:p>
            <w:pPr>
              <w:spacing w:after="0"/>
              <w:rPr>
                <w:sz w:val="20"/>
                <w:szCs w:val="20"/>
                <w:color w:val="auto"/>
              </w:rPr>
            </w:pPr>
            <w:r>
              <w:rPr>
                <w:rFonts w:ascii="Arial" w:cs="Arial" w:eastAsia="Arial" w:hAnsi="Arial"/>
                <w:sz w:val="10"/>
                <w:szCs w:val="10"/>
                <w:b w:val="1"/>
                <w:bCs w:val="1"/>
                <w:color w:val="auto"/>
              </w:rPr>
              <w:t>Balance at December 31, 2015</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221,932</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1,001</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72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5,439,735</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(10,000)</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1,643,546</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70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431,852</w:t>
            </w:r>
          </w:p>
        </w:tc>
        <w:tc>
          <w:tcPr>
            <w:tcW w:w="10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(8,749)</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7,719,317</w:t>
            </w:r>
          </w:p>
        </w:tc>
        <w:tc>
          <w:tcPr>
            <w:tcW w:w="0" w:type="dxa"/>
            <w:vAlign w:val="bottom"/>
          </w:tcPr>
          <w:p>
            <w:pPr>
              <w:spacing w:after="0"/>
              <w:rPr>
                <w:sz w:val="1"/>
                <w:szCs w:val="1"/>
                <w:color w:val="auto"/>
              </w:rPr>
            </w:pPr>
          </w:p>
        </w:tc>
      </w:tr>
      <w:tr>
        <w:trPr>
          <w:trHeight w:val="404"/>
        </w:trPr>
        <w:tc>
          <w:tcPr>
            <w:tcW w:w="2880" w:type="dxa"/>
            <w:vAlign w:val="bottom"/>
          </w:tcPr>
          <w:p>
            <w:pPr>
              <w:spacing w:after="0"/>
              <w:rPr>
                <w:sz w:val="20"/>
                <w:szCs w:val="20"/>
                <w:color w:val="auto"/>
              </w:rPr>
            </w:pPr>
            <w:r>
              <w:rPr>
                <w:rFonts w:ascii="Arial" w:cs="Arial" w:eastAsia="Arial" w:hAnsi="Arial"/>
                <w:sz w:val="10"/>
                <w:szCs w:val="10"/>
                <w:color w:val="auto"/>
              </w:rPr>
              <w:t>Net Income attributable to SL Green</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jc w:val="right"/>
              <w:ind w:right="9"/>
              <w:spacing w:after="0"/>
              <w:rPr>
                <w:sz w:val="20"/>
                <w:szCs w:val="20"/>
                <w:color w:val="auto"/>
              </w:rPr>
            </w:pPr>
            <w:r>
              <w:rPr>
                <w:rFonts w:ascii="Arial" w:cs="Arial" w:eastAsia="Arial" w:hAnsi="Arial"/>
                <w:sz w:val="10"/>
                <w:szCs w:val="10"/>
                <w:color w:val="auto"/>
              </w:rPr>
              <w:t>202,143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6,245</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208,388</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Acquisition of subsidiary interest from noncontrolling interest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Preferred dividends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(11,213)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(11,213)</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Cash distributions declared ($2.16 per common share)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(216,810)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(216,810)</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Cash distributions to noncontrolling interests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(11,023)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(11,023)</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20"/>
                <w:szCs w:val="20"/>
                <w:color w:val="auto"/>
              </w:rPr>
            </w:pPr>
            <w:r>
              <w:rPr>
                <w:rFonts w:ascii="Arial" w:cs="Arial" w:eastAsia="Arial" w:hAnsi="Arial"/>
                <w:sz w:val="10"/>
                <w:szCs w:val="10"/>
                <w:color w:val="auto"/>
              </w:rPr>
              <w:t>Other comprehensive income - unrealized loss on derivative</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20"/>
                <w:szCs w:val="20"/>
                <w:color w:val="auto"/>
              </w:rPr>
            </w:pPr>
            <w:r>
              <w:rPr>
                <w:rFonts w:ascii="Arial" w:cs="Arial" w:eastAsia="Arial" w:hAnsi="Arial"/>
                <w:sz w:val="10"/>
                <w:szCs w:val="10"/>
                <w:color w:val="auto"/>
              </w:rPr>
              <w:t>instruments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880" w:type="dxa"/>
            <w:vAlign w:val="bottom"/>
            <w:vMerge w:val="restart"/>
          </w:tcPr>
          <w:p>
            <w:pPr>
              <w:spacing w:after="0"/>
              <w:rPr>
                <w:sz w:val="20"/>
                <w:szCs w:val="20"/>
                <w:color w:val="auto"/>
              </w:rPr>
            </w:pPr>
            <w:r>
              <w:rPr>
                <w:rFonts w:ascii="Arial" w:cs="Arial" w:eastAsia="Arial" w:hAnsi="Arial"/>
                <w:sz w:val="10"/>
                <w:szCs w:val="10"/>
                <w:color w:val="auto"/>
              </w:rPr>
              <w:t>Other comprehensive income - SLG's share of joint venture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(4,508)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(4,508)</w:t>
            </w:r>
          </w:p>
        </w:tc>
        <w:tc>
          <w:tcPr>
            <w:tcW w:w="0" w:type="dxa"/>
            <w:vAlign w:val="bottom"/>
          </w:tcPr>
          <w:p>
            <w:pPr>
              <w:spacing w:after="0"/>
              <w:rPr>
                <w:sz w:val="1"/>
                <w:szCs w:val="1"/>
                <w:color w:val="auto"/>
              </w:rPr>
            </w:pPr>
          </w:p>
        </w:tc>
      </w:tr>
      <w:tr>
        <w:trPr>
          <w:trHeight w:val="64"/>
        </w:trPr>
        <w:tc>
          <w:tcPr>
            <w:tcW w:w="28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2"/>
        </w:trPr>
        <w:tc>
          <w:tcPr>
            <w:tcW w:w="2880" w:type="dxa"/>
            <w:vAlign w:val="bottom"/>
          </w:tcPr>
          <w:p>
            <w:pPr>
              <w:spacing w:after="0"/>
              <w:rPr>
                <w:sz w:val="20"/>
                <w:szCs w:val="20"/>
                <w:color w:val="auto"/>
              </w:rPr>
            </w:pPr>
            <w:r>
              <w:rPr>
                <w:rFonts w:ascii="Arial" w:cs="Arial" w:eastAsia="Arial" w:hAnsi="Arial"/>
                <w:sz w:val="10"/>
                <w:szCs w:val="10"/>
                <w:color w:val="auto"/>
              </w:rPr>
              <w:t>net unrealized loss on derivative instruments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880" w:type="dxa"/>
            <w:vAlign w:val="bottom"/>
          </w:tcPr>
          <w:p>
            <w:pPr>
              <w:spacing w:after="0"/>
              <w:rPr>
                <w:sz w:val="20"/>
                <w:szCs w:val="20"/>
                <w:color w:val="auto"/>
              </w:rPr>
            </w:pPr>
            <w:r>
              <w:rPr>
                <w:rFonts w:ascii="Arial" w:cs="Arial" w:eastAsia="Arial" w:hAnsi="Arial"/>
                <w:sz w:val="10"/>
                <w:szCs w:val="10"/>
                <w:color w:val="auto"/>
              </w:rPr>
              <w:t>Other comprehensive income - unrealized loss 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(811)</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20"/>
                <w:szCs w:val="20"/>
                <w:color w:val="auto"/>
              </w:rPr>
            </w:pPr>
            <w:r>
              <w:rPr>
                <w:rFonts w:ascii="Arial" w:cs="Arial" w:eastAsia="Arial" w:hAnsi="Arial"/>
                <w:sz w:val="10"/>
                <w:szCs w:val="10"/>
                <w:color w:val="auto"/>
              </w:rPr>
              <w:t>marketable securities</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(811)</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Proceeds from stock options exercised</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9"/>
              <w:spacing w:after="0"/>
              <w:rPr>
                <w:sz w:val="20"/>
                <w:szCs w:val="20"/>
                <w:color w:val="auto"/>
              </w:rPr>
            </w:pPr>
            <w:r>
              <w:rPr>
                <w:rFonts w:ascii="Arial" w:cs="Arial" w:eastAsia="Arial" w:hAnsi="Arial"/>
                <w:sz w:val="10"/>
                <w:szCs w:val="10"/>
                <w:color w:val="auto"/>
              </w:rPr>
              <w:t>12,257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12,258</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DRSPP proceeds</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9"/>
              <w:spacing w:after="0"/>
              <w:rPr>
                <w:sz w:val="20"/>
                <w:szCs w:val="20"/>
                <w:color w:val="auto"/>
              </w:rPr>
            </w:pPr>
            <w:r>
              <w:rPr>
                <w:rFonts w:ascii="Arial" w:cs="Arial" w:eastAsia="Arial" w:hAnsi="Arial"/>
                <w:sz w:val="10"/>
                <w:szCs w:val="10"/>
                <w:color w:val="auto"/>
              </w:rPr>
              <w:t>146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146</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20"/>
                <w:szCs w:val="20"/>
                <w:color w:val="auto"/>
              </w:rPr>
            </w:pPr>
            <w:r>
              <w:rPr>
                <w:rFonts w:ascii="Arial" w:cs="Arial" w:eastAsia="Arial" w:hAnsi="Arial"/>
                <w:sz w:val="10"/>
                <w:szCs w:val="10"/>
                <w:color w:val="auto"/>
              </w:rPr>
              <w:t>Conversion of units of the Operating Partnership to common</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12,746</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20"/>
                <w:szCs w:val="20"/>
                <w:color w:val="auto"/>
              </w:rPr>
            </w:pPr>
            <w:r>
              <w:rPr>
                <w:rFonts w:ascii="Arial" w:cs="Arial" w:eastAsia="Arial" w:hAnsi="Arial"/>
                <w:sz w:val="10"/>
                <w:szCs w:val="10"/>
                <w:color w:val="auto"/>
              </w:rPr>
              <w:t>stock</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1</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jc w:val="right"/>
              <w:ind w:right="29"/>
              <w:spacing w:after="0"/>
              <w:rPr>
                <w:sz w:val="20"/>
                <w:szCs w:val="20"/>
                <w:color w:val="auto"/>
              </w:rPr>
            </w:pPr>
            <w:r>
              <w:rPr>
                <w:rFonts w:ascii="Arial" w:cs="Arial" w:eastAsia="Arial" w:hAnsi="Arial"/>
                <w:sz w:val="10"/>
                <w:szCs w:val="10"/>
                <w:color w:val="auto"/>
              </w:rPr>
              <w:t>12,745</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Contributions to consolidated joint venture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2,019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2,019</w:t>
            </w:r>
          </w:p>
        </w:tc>
        <w:tc>
          <w:tcPr>
            <w:tcW w:w="0" w:type="dxa"/>
            <w:vAlign w:val="bottom"/>
          </w:tcPr>
          <w:p>
            <w:pPr>
              <w:spacing w:after="0"/>
              <w:rPr>
                <w:sz w:val="1"/>
                <w:szCs w:val="1"/>
                <w:color w:val="auto"/>
              </w:rPr>
            </w:pPr>
          </w:p>
        </w:tc>
      </w:tr>
      <w:tr>
        <w:trPr>
          <w:trHeight w:val="140"/>
        </w:trPr>
        <w:tc>
          <w:tcPr>
            <w:tcW w:w="2880" w:type="dxa"/>
            <w:vAlign w:val="bottom"/>
          </w:tcPr>
          <w:p>
            <w:pPr>
              <w:spacing w:after="0"/>
              <w:rPr>
                <w:sz w:val="20"/>
                <w:szCs w:val="20"/>
                <w:color w:val="auto"/>
              </w:rPr>
            </w:pPr>
            <w:r>
              <w:rPr>
                <w:rFonts w:ascii="Arial" w:cs="Arial" w:eastAsia="Arial" w:hAnsi="Arial"/>
                <w:sz w:val="10"/>
                <w:szCs w:val="10"/>
                <w:color w:val="auto"/>
              </w:rPr>
              <w:t>Reallocation of noncontrolling interests in the Operating</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Arial" w:cs="Arial" w:eastAsia="Arial" w:hAnsi="Arial"/>
                <w:sz w:val="10"/>
                <w:szCs w:val="10"/>
                <w:b w:val="1"/>
                <w:bCs w:val="1"/>
                <w:color w:val="auto"/>
              </w:rPr>
              <w:t>(4,959)</w:t>
            </w:r>
          </w:p>
        </w:tc>
        <w:tc>
          <w:tcPr>
            <w:tcW w:w="0" w:type="dxa"/>
            <w:vAlign w:val="bottom"/>
          </w:tcPr>
          <w:p>
            <w:pPr>
              <w:spacing w:after="0"/>
              <w:rPr>
                <w:sz w:val="1"/>
                <w:szCs w:val="1"/>
                <w:color w:val="auto"/>
              </w:rPr>
            </w:pPr>
          </w:p>
        </w:tc>
      </w:tr>
      <w:tr>
        <w:trPr>
          <w:trHeight w:val="122"/>
        </w:trPr>
        <w:tc>
          <w:tcPr>
            <w:tcW w:w="2880" w:type="dxa"/>
            <w:vAlign w:val="bottom"/>
          </w:tcPr>
          <w:p>
            <w:pPr>
              <w:spacing w:after="0"/>
              <w:rPr>
                <w:sz w:val="20"/>
                <w:szCs w:val="20"/>
                <w:color w:val="auto"/>
              </w:rPr>
            </w:pPr>
            <w:r>
              <w:rPr>
                <w:rFonts w:ascii="Arial" w:cs="Arial" w:eastAsia="Arial" w:hAnsi="Arial"/>
                <w:sz w:val="10"/>
                <w:szCs w:val="10"/>
                <w:color w:val="auto"/>
              </w:rPr>
              <w:t>Partnership</w:t>
            </w: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right"/>
              <w:spacing w:after="0"/>
              <w:rPr>
                <w:sz w:val="20"/>
                <w:szCs w:val="20"/>
                <w:color w:val="auto"/>
              </w:rPr>
            </w:pPr>
            <w:r>
              <w:rPr>
                <w:rFonts w:ascii="Arial" w:cs="Arial" w:eastAsia="Arial" w:hAnsi="Arial"/>
                <w:sz w:val="10"/>
                <w:szCs w:val="10"/>
                <w:color w:val="auto"/>
              </w:rPr>
              <w:t>(4,959)</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Reallocation of capital account relating to sale</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Intercompany issuance of common stock</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ind w:right="29"/>
              <w:spacing w:after="0"/>
              <w:rPr>
                <w:sz w:val="20"/>
                <w:szCs w:val="20"/>
                <w:color w:val="auto"/>
              </w:rPr>
            </w:pPr>
            <w:r>
              <w:rPr>
                <w:rFonts w:ascii="Arial" w:cs="Arial" w:eastAsia="Arial" w:hAnsi="Arial"/>
                <w:sz w:val="10"/>
                <w:szCs w:val="10"/>
                <w:color w:val="auto"/>
              </w:rPr>
              <w:t>10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ind w:right="29"/>
              <w:spacing w:after="0"/>
              <w:rPr>
                <w:sz w:val="20"/>
                <w:szCs w:val="20"/>
                <w:color w:val="auto"/>
              </w:rPr>
            </w:pPr>
            <w:r>
              <w:rPr>
                <w:rFonts w:ascii="Arial" w:cs="Arial" w:eastAsia="Arial" w:hAnsi="Arial"/>
                <w:sz w:val="10"/>
                <w:szCs w:val="10"/>
                <w:color w:val="auto"/>
              </w:rPr>
              <w:t>113,999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(114,049)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(40)</w:t>
            </w:r>
          </w:p>
        </w:tc>
        <w:tc>
          <w:tcPr>
            <w:tcW w:w="0" w:type="dxa"/>
            <w:vAlign w:val="bottom"/>
          </w:tcPr>
          <w:p>
            <w:pPr>
              <w:spacing w:after="0"/>
              <w:rPr>
                <w:sz w:val="1"/>
                <w:szCs w:val="1"/>
                <w:color w:val="auto"/>
              </w:rPr>
            </w:pPr>
          </w:p>
        </w:tc>
      </w:tr>
      <w:tr>
        <w:trPr>
          <w:trHeight w:val="219"/>
        </w:trPr>
        <w:tc>
          <w:tcPr>
            <w:tcW w:w="2880" w:type="dxa"/>
            <w:vAlign w:val="bottom"/>
          </w:tcPr>
          <w:p>
            <w:pPr>
              <w:spacing w:after="0"/>
              <w:rPr>
                <w:sz w:val="20"/>
                <w:szCs w:val="20"/>
                <w:color w:val="auto"/>
              </w:rPr>
            </w:pPr>
            <w:r>
              <w:rPr>
                <w:rFonts w:ascii="Arial" w:cs="Arial" w:eastAsia="Arial" w:hAnsi="Arial"/>
                <w:sz w:val="10"/>
                <w:szCs w:val="10"/>
                <w:color w:val="auto"/>
              </w:rPr>
              <w:t>Deferred compensation plan and stock awards, net</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(2,086)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(2,086)</w:t>
            </w:r>
          </w:p>
        </w:tc>
        <w:tc>
          <w:tcPr>
            <w:tcW w:w="0" w:type="dxa"/>
            <w:vAlign w:val="bottom"/>
          </w:tcPr>
          <w:p>
            <w:pPr>
              <w:spacing w:after="0"/>
              <w:rPr>
                <w:sz w:val="1"/>
                <w:szCs w:val="1"/>
                <w:color w:val="auto"/>
              </w:rPr>
            </w:pPr>
          </w:p>
        </w:tc>
      </w:tr>
      <w:tr>
        <w:trPr>
          <w:trHeight w:val="225"/>
        </w:trPr>
        <w:tc>
          <w:tcPr>
            <w:tcW w:w="2880" w:type="dxa"/>
            <w:vAlign w:val="bottom"/>
          </w:tcPr>
          <w:p>
            <w:pPr>
              <w:spacing w:after="0"/>
              <w:rPr>
                <w:sz w:val="20"/>
                <w:szCs w:val="20"/>
                <w:color w:val="auto"/>
              </w:rPr>
            </w:pPr>
            <w:r>
              <w:rPr>
                <w:rFonts w:ascii="Arial" w:cs="Arial" w:eastAsia="Arial" w:hAnsi="Arial"/>
                <w:sz w:val="10"/>
                <w:szCs w:val="10"/>
                <w:color w:val="auto"/>
              </w:rPr>
              <w:t>Amortization of deferred compensation plan</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19,230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19,230</w:t>
            </w:r>
          </w:p>
        </w:tc>
        <w:tc>
          <w:tcPr>
            <w:tcW w:w="0" w:type="dxa"/>
            <w:vAlign w:val="bottom"/>
          </w:tcPr>
          <w:p>
            <w:pPr>
              <w:spacing w:after="0"/>
              <w:rPr>
                <w:sz w:val="1"/>
                <w:szCs w:val="1"/>
                <w:color w:val="auto"/>
              </w:rPr>
            </w:pPr>
          </w:p>
        </w:tc>
      </w:tr>
      <w:tr>
        <w:trPr>
          <w:trHeight w:val="193"/>
        </w:trPr>
        <w:tc>
          <w:tcPr>
            <w:tcW w:w="2880" w:type="dxa"/>
            <w:vAlign w:val="bottom"/>
          </w:tcPr>
          <w:p>
            <w:pPr>
              <w:spacing w:after="0"/>
              <w:rPr>
                <w:sz w:val="20"/>
                <w:szCs w:val="20"/>
                <w:color w:val="auto"/>
              </w:rPr>
            </w:pPr>
            <w:r>
              <w:rPr>
                <w:rFonts w:ascii="Arial" w:cs="Arial" w:eastAsia="Arial" w:hAnsi="Arial"/>
                <w:sz w:val="10"/>
                <w:szCs w:val="10"/>
                <w:b w:val="1"/>
                <w:bCs w:val="1"/>
                <w:color w:val="auto"/>
              </w:rPr>
              <w:t>Balance at September 30, 2016</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8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221,932</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1,013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72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5,596,026</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(124,049)</w:t>
            </w:r>
          </w:p>
        </w:tc>
        <w:tc>
          <w:tcPr>
            <w:tcW w:w="8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6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1,612,707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429,093</w:t>
            </w: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(14,074)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b w:val="1"/>
                <w:bCs w:val="1"/>
                <w:color w:val="auto"/>
              </w:rPr>
              <w:t>$</w:t>
            </w:r>
          </w:p>
        </w:tc>
        <w:tc>
          <w:tcPr>
            <w:tcW w:w="6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7,722,648</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457835</wp:posOffset>
            </wp:positionV>
            <wp:extent cx="637032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37032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60"/>
        <w:spacing w:after="0"/>
        <w:rPr>
          <w:sz w:val="20"/>
          <w:szCs w:val="20"/>
          <w:color w:val="auto"/>
        </w:rPr>
      </w:pPr>
      <w:r>
        <w:rPr>
          <w:rFonts w:ascii="Arial" w:cs="Arial" w:eastAsia="Arial" w:hAnsi="Arial"/>
          <w:sz w:val="10"/>
          <w:szCs w:val="10"/>
          <w:b w:val="1"/>
          <w:bCs w:val="1"/>
          <w:color w:val="auto"/>
        </w:rPr>
        <w:t>RECONCILIATION OF SHARES AND UNITS OUTSTANDING, AND DILUTION COMPUTATION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104140</wp:posOffset>
            </wp:positionV>
            <wp:extent cx="637032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370320" cy="6985"/>
                    </a:xfrm>
                    <a:prstGeom prst="rect">
                      <a:avLst/>
                    </a:prstGeom>
                    <a:noFill/>
                  </pic:spPr>
                </pic:pic>
              </a:graphicData>
            </a:graphic>
          </wp:anchor>
        </w:drawing>
        <w:drawing>
          <wp:anchor simplePos="0" relativeHeight="251657728" behindDoc="1" locked="0" layoutInCell="0" allowOverlap="1">
            <wp:simplePos x="0" y="0"/>
            <wp:positionH relativeFrom="column">
              <wp:posOffset>24130</wp:posOffset>
            </wp:positionH>
            <wp:positionV relativeFrom="paragraph">
              <wp:posOffset>118110</wp:posOffset>
            </wp:positionV>
            <wp:extent cx="637032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370320" cy="6985"/>
                    </a:xfrm>
                    <a:prstGeom prst="rect">
                      <a:avLst/>
                    </a:prstGeom>
                    <a:noFill/>
                  </pic:spPr>
                </pic:pic>
              </a:graphicData>
            </a:graphic>
          </wp:anchor>
        </w:drawing>
      </w: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115"/>
        </w:trPr>
        <w:tc>
          <w:tcPr>
            <w:tcW w:w="29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gridSpan w:val="2"/>
          </w:tcPr>
          <w:p>
            <w:pPr>
              <w:ind w:left="120"/>
              <w:spacing w:after="0"/>
              <w:rPr>
                <w:sz w:val="20"/>
                <w:szCs w:val="20"/>
                <w:color w:val="auto"/>
              </w:rPr>
            </w:pPr>
            <w:r>
              <w:rPr>
                <w:rFonts w:ascii="Arial" w:cs="Arial" w:eastAsia="Arial" w:hAnsi="Arial"/>
                <w:sz w:val="10"/>
                <w:szCs w:val="10"/>
                <w:b w:val="1"/>
                <w:bCs w:val="1"/>
                <w:color w:val="auto"/>
              </w:rPr>
              <w:t>Stock-Based</w:t>
            </w:r>
          </w:p>
        </w:tc>
        <w:tc>
          <w:tcPr>
            <w:tcW w:w="7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1"/>
        </w:trPr>
        <w:tc>
          <w:tcPr>
            <w:tcW w:w="2900" w:type="dxa"/>
            <w:vAlign w:val="bottom"/>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Common Stock</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b w:val="1"/>
                <w:bCs w:val="1"/>
                <w:color w:val="auto"/>
              </w:rPr>
              <w:t>OP Units</w:t>
            </w:r>
          </w:p>
        </w:tc>
        <w:tc>
          <w:tcPr>
            <w:tcW w:w="80" w:type="dxa"/>
            <w:vAlign w:val="bottom"/>
          </w:tcPr>
          <w:p>
            <w:pPr>
              <w:spacing w:after="0"/>
              <w:rPr>
                <w:sz w:val="12"/>
                <w:szCs w:val="12"/>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b w:val="1"/>
                <w:bCs w:val="1"/>
                <w:color w:val="auto"/>
              </w:rPr>
              <w:t>Compensation</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Diluted Shares</w:t>
            </w:r>
          </w:p>
        </w:tc>
        <w:tc>
          <w:tcPr>
            <w:tcW w:w="3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6"/>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Share Count at December 31, 2015</w:t>
            </w:r>
          </w:p>
        </w:tc>
        <w:tc>
          <w:tcPr>
            <w:tcW w:w="800" w:type="dxa"/>
            <w:vAlign w:val="bottom"/>
          </w:tcPr>
          <w:p>
            <w:pPr>
              <w:jc w:val="right"/>
              <w:ind w:right="29"/>
              <w:spacing w:after="0"/>
              <w:rPr>
                <w:sz w:val="20"/>
                <w:szCs w:val="20"/>
                <w:color w:val="auto"/>
              </w:rPr>
            </w:pPr>
            <w:r>
              <w:rPr>
                <w:rFonts w:ascii="Arial" w:cs="Arial" w:eastAsia="Arial" w:hAnsi="Arial"/>
                <w:sz w:val="10"/>
                <w:szCs w:val="10"/>
                <w:b w:val="1"/>
                <w:bCs w:val="1"/>
                <w:color w:val="auto"/>
              </w:rPr>
              <w:t>99,975,238</w:t>
            </w:r>
          </w:p>
        </w:tc>
        <w:tc>
          <w:tcPr>
            <w:tcW w:w="80" w:type="dxa"/>
            <w:vAlign w:val="bottom"/>
          </w:tcPr>
          <w:p>
            <w:pPr>
              <w:spacing w:after="0"/>
              <w:rPr>
                <w:sz w:val="24"/>
                <w:szCs w:val="24"/>
                <w:color w:val="auto"/>
              </w:rPr>
            </w:pPr>
          </w:p>
        </w:tc>
        <w:tc>
          <w:tcPr>
            <w:tcW w:w="780" w:type="dxa"/>
            <w:vAlign w:val="bottom"/>
          </w:tcPr>
          <w:p>
            <w:pPr>
              <w:jc w:val="right"/>
              <w:ind w:right="29"/>
              <w:spacing w:after="0"/>
              <w:rPr>
                <w:sz w:val="20"/>
                <w:szCs w:val="20"/>
                <w:color w:val="auto"/>
              </w:rPr>
            </w:pPr>
            <w:r>
              <w:rPr>
                <w:rFonts w:ascii="Arial" w:cs="Arial" w:eastAsia="Arial" w:hAnsi="Arial"/>
                <w:sz w:val="10"/>
                <w:szCs w:val="10"/>
                <w:b w:val="1"/>
                <w:bCs w:val="1"/>
                <w:color w:val="auto"/>
              </w:rPr>
              <w:t>3,745,766</w:t>
            </w:r>
          </w:p>
        </w:tc>
        <w:tc>
          <w:tcPr>
            <w:tcW w:w="8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9"/>
              <w:spacing w:after="0"/>
              <w:rPr>
                <w:sz w:val="20"/>
                <w:szCs w:val="20"/>
                <w:color w:val="auto"/>
              </w:rPr>
            </w:pPr>
            <w:r>
              <w:rPr>
                <w:rFonts w:ascii="Arial" w:cs="Arial" w:eastAsia="Arial" w:hAnsi="Arial"/>
                <w:sz w:val="10"/>
                <w:szCs w:val="10"/>
                <w:b w:val="1"/>
                <w:bCs w:val="1"/>
                <w:color w:val="auto"/>
              </w:rPr>
              <w:t>103,721,004</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7"/>
        </w:trPr>
        <w:tc>
          <w:tcPr>
            <w:tcW w:w="2900" w:type="dxa"/>
            <w:vAlign w:val="bottom"/>
          </w:tcPr>
          <w:p>
            <w:pPr>
              <w:ind w:left="20"/>
              <w:spacing w:after="0"/>
              <w:rPr>
                <w:sz w:val="20"/>
                <w:szCs w:val="20"/>
                <w:color w:val="auto"/>
              </w:rPr>
            </w:pPr>
            <w:r>
              <w:rPr>
                <w:rFonts w:ascii="Arial" w:cs="Arial" w:eastAsia="Arial" w:hAnsi="Arial"/>
                <w:sz w:val="10"/>
                <w:szCs w:val="10"/>
                <w:color w:val="auto"/>
              </w:rPr>
              <w:t>YTD share activity</w:t>
            </w:r>
          </w:p>
        </w:tc>
        <w:tc>
          <w:tcPr>
            <w:tcW w:w="80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289,015</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749,644</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1,038,659</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Share Count at September 30, 2016 - Basic</w:t>
            </w:r>
          </w:p>
        </w:tc>
        <w:tc>
          <w:tcPr>
            <w:tcW w:w="800" w:type="dxa"/>
            <w:vAlign w:val="bottom"/>
          </w:tcPr>
          <w:p>
            <w:pPr>
              <w:jc w:val="right"/>
              <w:ind w:right="29"/>
              <w:spacing w:after="0"/>
              <w:rPr>
                <w:sz w:val="20"/>
                <w:szCs w:val="20"/>
                <w:color w:val="auto"/>
              </w:rPr>
            </w:pPr>
            <w:r>
              <w:rPr>
                <w:rFonts w:ascii="Arial" w:cs="Arial" w:eastAsia="Arial" w:hAnsi="Arial"/>
                <w:sz w:val="10"/>
                <w:szCs w:val="10"/>
                <w:b w:val="1"/>
                <w:bCs w:val="1"/>
                <w:color w:val="auto"/>
              </w:rPr>
              <w:t>100,264,253</w:t>
            </w:r>
          </w:p>
        </w:tc>
        <w:tc>
          <w:tcPr>
            <w:tcW w:w="80" w:type="dxa"/>
            <w:vAlign w:val="bottom"/>
          </w:tcPr>
          <w:p>
            <w:pPr>
              <w:spacing w:after="0"/>
              <w:rPr>
                <w:sz w:val="16"/>
                <w:szCs w:val="16"/>
                <w:color w:val="auto"/>
              </w:rPr>
            </w:pPr>
          </w:p>
        </w:tc>
        <w:tc>
          <w:tcPr>
            <w:tcW w:w="780" w:type="dxa"/>
            <w:vAlign w:val="bottom"/>
          </w:tcPr>
          <w:p>
            <w:pPr>
              <w:jc w:val="right"/>
              <w:ind w:right="29"/>
              <w:spacing w:after="0"/>
              <w:rPr>
                <w:sz w:val="20"/>
                <w:szCs w:val="20"/>
                <w:color w:val="auto"/>
              </w:rPr>
            </w:pPr>
            <w:r>
              <w:rPr>
                <w:rFonts w:ascii="Arial" w:cs="Arial" w:eastAsia="Arial" w:hAnsi="Arial"/>
                <w:sz w:val="10"/>
                <w:szCs w:val="10"/>
                <w:b w:val="1"/>
                <w:bCs w:val="1"/>
                <w:color w:val="auto"/>
              </w:rPr>
              <w:t>4,495,410</w:t>
            </w:r>
          </w:p>
        </w:tc>
        <w:tc>
          <w:tcPr>
            <w:tcW w:w="8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0"/>
                <w:szCs w:val="10"/>
                <w:b w:val="1"/>
                <w:bCs w:val="1"/>
                <w:color w:val="auto"/>
              </w:rPr>
              <w:t>—</w:t>
            </w:r>
          </w:p>
        </w:tc>
        <w:tc>
          <w:tcPr>
            <w:tcW w:w="780" w:type="dxa"/>
            <w:vAlign w:val="bottom"/>
          </w:tcPr>
          <w:p>
            <w:pPr>
              <w:jc w:val="right"/>
              <w:ind w:right="9"/>
              <w:spacing w:after="0"/>
              <w:rPr>
                <w:sz w:val="20"/>
                <w:szCs w:val="20"/>
                <w:color w:val="auto"/>
              </w:rPr>
            </w:pPr>
            <w:r>
              <w:rPr>
                <w:rFonts w:ascii="Arial" w:cs="Arial" w:eastAsia="Arial" w:hAnsi="Arial"/>
                <w:sz w:val="10"/>
                <w:szCs w:val="10"/>
                <w:b w:val="1"/>
                <w:bCs w:val="1"/>
                <w:color w:val="auto"/>
              </w:rPr>
              <w:t>104,759,663</w:t>
            </w:r>
          </w:p>
        </w:tc>
        <w:tc>
          <w:tcPr>
            <w:tcW w:w="3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900" w:type="dxa"/>
            <w:vAlign w:val="bottom"/>
          </w:tcPr>
          <w:p>
            <w:pPr>
              <w:ind w:left="20"/>
              <w:spacing w:after="0"/>
              <w:rPr>
                <w:sz w:val="20"/>
                <w:szCs w:val="20"/>
                <w:color w:val="auto"/>
              </w:rPr>
            </w:pPr>
            <w:r>
              <w:rPr>
                <w:rFonts w:ascii="Arial" w:cs="Arial" w:eastAsia="Arial" w:hAnsi="Arial"/>
                <w:sz w:val="10"/>
                <w:szCs w:val="10"/>
                <w:color w:val="auto"/>
              </w:rPr>
              <w:t>Weighting factor</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(124,534)</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(223,583)</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rPr>
              <w:t>349,132</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1,015</w:t>
            </w: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2900" w:type="dxa"/>
            <w:vAlign w:val="bottom"/>
          </w:tcPr>
          <w:p>
            <w:pPr>
              <w:ind w:left="20"/>
              <w:spacing w:after="0" w:line="104" w:lineRule="exact"/>
              <w:rPr>
                <w:sz w:val="20"/>
                <w:szCs w:val="20"/>
                <w:color w:val="auto"/>
              </w:rPr>
            </w:pPr>
            <w:r>
              <w:rPr>
                <w:rFonts w:ascii="Arial" w:cs="Arial" w:eastAsia="Arial" w:hAnsi="Arial"/>
                <w:sz w:val="10"/>
                <w:szCs w:val="10"/>
                <w:b w:val="1"/>
                <w:bCs w:val="1"/>
                <w:color w:val="auto"/>
              </w:rPr>
              <w:t>Weighted Average Share Count at September 30, 2016 -</w:t>
            </w:r>
          </w:p>
        </w:tc>
        <w:tc>
          <w:tcPr>
            <w:tcW w:w="80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100,139,719</w:t>
            </w:r>
          </w:p>
        </w:tc>
        <w:tc>
          <w:tcPr>
            <w:tcW w:w="80" w:type="dxa"/>
            <w:vAlign w:val="bottom"/>
          </w:tcPr>
          <w:p>
            <w:pPr>
              <w:spacing w:after="0"/>
              <w:rPr>
                <w:sz w:val="8"/>
                <w:szCs w:val="8"/>
                <w:color w:val="auto"/>
              </w:rPr>
            </w:pPr>
          </w:p>
        </w:tc>
        <w:tc>
          <w:tcPr>
            <w:tcW w:w="78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4,271,827</w:t>
            </w:r>
          </w:p>
        </w:tc>
        <w:tc>
          <w:tcPr>
            <w:tcW w:w="80" w:type="dxa"/>
            <w:vAlign w:val="bottom"/>
          </w:tcPr>
          <w:p>
            <w:pPr>
              <w:spacing w:after="0"/>
              <w:rPr>
                <w:sz w:val="8"/>
                <w:szCs w:val="8"/>
                <w:color w:val="auto"/>
              </w:rPr>
            </w:pPr>
          </w:p>
        </w:tc>
        <w:tc>
          <w:tcPr>
            <w:tcW w:w="86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349,132</w:t>
            </w:r>
          </w:p>
        </w:tc>
        <w:tc>
          <w:tcPr>
            <w:tcW w:w="80" w:type="dxa"/>
            <w:vAlign w:val="bottom"/>
          </w:tcPr>
          <w:p>
            <w:pPr>
              <w:spacing w:after="0"/>
              <w:rPr>
                <w:sz w:val="8"/>
                <w:szCs w:val="8"/>
                <w:color w:val="auto"/>
              </w:rPr>
            </w:pPr>
          </w:p>
        </w:tc>
        <w:tc>
          <w:tcPr>
            <w:tcW w:w="78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rPr>
              <w:t>104,760,678</w:t>
            </w:r>
          </w:p>
        </w:tc>
        <w:tc>
          <w:tcPr>
            <w:tcW w:w="3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900" w:type="dxa"/>
            <w:vAlign w:val="bottom"/>
          </w:tcPr>
          <w:p>
            <w:pPr>
              <w:ind w:left="20"/>
              <w:spacing w:after="0"/>
              <w:rPr>
                <w:sz w:val="20"/>
                <w:szCs w:val="20"/>
                <w:color w:val="auto"/>
              </w:rPr>
            </w:pPr>
            <w:r>
              <w:rPr>
                <w:rFonts w:ascii="Arial" w:cs="Arial" w:eastAsia="Arial" w:hAnsi="Arial"/>
                <w:sz w:val="10"/>
                <w:szCs w:val="10"/>
                <w:b w:val="1"/>
                <w:bCs w:val="1"/>
                <w:color w:val="auto"/>
              </w:rPr>
              <w:t>Diluted</w:t>
            </w:r>
          </w:p>
        </w:tc>
        <w:tc>
          <w:tcPr>
            <w:tcW w:w="8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Borders>
              <w:bottom w:val="single" w:sz="8" w:color="auto"/>
            </w:tcBorders>
            <w:vMerge w:val="continue"/>
          </w:tcPr>
          <w:p>
            <w:pPr>
              <w:spacing w:after="0"/>
              <w:rPr>
                <w:sz w:val="11"/>
                <w:szCs w:val="11"/>
                <w:color w:val="auto"/>
              </w:rPr>
            </w:pPr>
          </w:p>
        </w:tc>
        <w:tc>
          <w:tcPr>
            <w:tcW w:w="3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4"/>
        </w:trPr>
        <w:tc>
          <w:tcPr>
            <w:tcW w:w="2900" w:type="dxa"/>
            <w:vAlign w:val="bottom"/>
          </w:tcPr>
          <w:p>
            <w:pPr>
              <w:spacing w:after="0"/>
              <w:rPr>
                <w:sz w:val="20"/>
                <w:szCs w:val="20"/>
                <w:color w:val="auto"/>
              </w:rPr>
            </w:pPr>
            <w:r>
              <w:rPr>
                <w:rFonts w:ascii="Arial" w:cs="Arial" w:eastAsia="Arial" w:hAnsi="Arial"/>
                <w:sz w:val="10"/>
                <w:szCs w:val="10"/>
                <w:color w:val="auto"/>
              </w:rPr>
              <w:t>Supplemental Information</w:t>
            </w: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jc w:val="right"/>
              <w:ind w:right="389"/>
              <w:spacing w:after="0"/>
              <w:rPr>
                <w:sz w:val="20"/>
                <w:szCs w:val="20"/>
                <w:color w:val="auto"/>
              </w:rPr>
            </w:pPr>
            <w:r>
              <w:rPr>
                <w:rFonts w:ascii="Arial" w:cs="Arial" w:eastAsia="Arial" w:hAnsi="Arial"/>
                <w:sz w:val="10"/>
                <w:szCs w:val="10"/>
                <w:color w:val="auto"/>
              </w:rPr>
              <w:t>18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80" w:type="dxa"/>
            <w:vAlign w:val="bottom"/>
          </w:tcPr>
          <w:p>
            <w:pPr>
              <w:ind w:left="2820"/>
              <w:spacing w:after="0"/>
              <w:rPr>
                <w:sz w:val="20"/>
                <w:szCs w:val="20"/>
                <w:color w:val="auto"/>
              </w:rPr>
            </w:pPr>
            <w:r>
              <w:rPr>
                <w:rFonts w:ascii="Arial" w:cs="Arial" w:eastAsia="Arial" w:hAnsi="Arial"/>
                <w:sz w:val="10"/>
                <w:szCs w:val="10"/>
                <w:color w:val="auto"/>
                <w:w w:val="99"/>
              </w:rPr>
              <w:t>Third Quarter 2016</w:t>
            </w:r>
          </w:p>
        </w:tc>
        <w:tc>
          <w:tcPr>
            <w:tcW w:w="0" w:type="dxa"/>
            <w:vAlign w:val="bottom"/>
          </w:tcPr>
          <w:p>
            <w:pPr>
              <w:spacing w:after="0"/>
              <w:rPr>
                <w:sz w:val="1"/>
                <w:szCs w:val="1"/>
                <w:color w:val="auto"/>
              </w:rPr>
            </w:pPr>
          </w:p>
        </w:tc>
      </w:tr>
    </w:tbl>
    <w:p>
      <w:pPr>
        <w:sectPr>
          <w:pgSz w:w="11900" w:h="16838" w:orient="portrait"/>
          <w:cols w:equalWidth="0" w:num="1">
            <w:col w:w="10080"/>
          </w:cols>
          <w:pgMar w:left="900" w:top="338" w:right="919" w:bottom="1440" w:gutter="0" w:footer="0" w:header="0"/>
        </w:sectPr>
      </w:pPr>
    </w:p>
    <w:bookmarkStart w:id="34" w:name="page35"/>
    <w:bookmarkEnd w:id="3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Balance Sheet for Unconsolidated Joint Ventures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8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7"/>
          </w:tcPr>
          <w:p>
            <w:pPr>
              <w:jc w:val="right"/>
              <w:ind w:right="280"/>
              <w:spacing w:after="0"/>
              <w:rPr>
                <w:sz w:val="20"/>
                <w:szCs w:val="20"/>
                <w:color w:val="auto"/>
              </w:rPr>
            </w:pPr>
            <w:r>
              <w:rPr>
                <w:rFonts w:ascii="Arial" w:cs="Arial" w:eastAsia="Arial" w:hAnsi="Arial"/>
                <w:sz w:val="12"/>
                <w:szCs w:val="12"/>
                <w:b w:val="1"/>
                <w:bCs w:val="1"/>
                <w:color w:val="auto"/>
              </w:rPr>
              <w:t>September 30, 2016</w:t>
            </w: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2"/>
                <w:szCs w:val="12"/>
                <w:b w:val="1"/>
                <w:bCs w:val="1"/>
                <w:color w:val="auto"/>
              </w:rPr>
              <w:t>June 30, 2016</w:t>
            </w: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2"/>
                <w:szCs w:val="12"/>
                <w:b w:val="1"/>
                <w:bCs w:val="1"/>
                <w:color w:val="auto"/>
              </w:rPr>
              <w:t>December 31, 2015</w:t>
            </w:r>
          </w:p>
        </w:tc>
        <w:tc>
          <w:tcPr>
            <w:tcW w:w="0" w:type="dxa"/>
            <w:vAlign w:val="bottom"/>
          </w:tcPr>
          <w:p>
            <w:pPr>
              <w:spacing w:after="0"/>
              <w:rPr>
                <w:sz w:val="1"/>
                <w:szCs w:val="1"/>
                <w:color w:val="auto"/>
              </w:rPr>
            </w:pPr>
          </w:p>
        </w:tc>
      </w:tr>
      <w:tr>
        <w:trPr>
          <w:trHeight w:val="378"/>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2"/>
                <w:szCs w:val="12"/>
                <w:b w:val="1"/>
                <w:bCs w:val="1"/>
                <w:color w:val="auto"/>
              </w:rPr>
              <w:t>SLG Interest</w:t>
            </w:r>
          </w:p>
        </w:tc>
        <w:tc>
          <w:tcPr>
            <w:tcW w:w="140" w:type="dxa"/>
            <w:vAlign w:val="bottom"/>
          </w:tcPr>
          <w:p>
            <w:pPr>
              <w:spacing w:after="0"/>
              <w:rPr>
                <w:sz w:val="24"/>
                <w:szCs w:val="24"/>
                <w:color w:val="auto"/>
              </w:rPr>
            </w:pPr>
          </w:p>
        </w:tc>
        <w:tc>
          <w:tcPr>
            <w:tcW w:w="720" w:type="dxa"/>
            <w:vAlign w:val="bottom"/>
            <w:gridSpan w:val="4"/>
          </w:tcPr>
          <w:p>
            <w:pPr>
              <w:ind w:left="1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840" w:type="dxa"/>
            <w:vAlign w:val="bottom"/>
            <w:gridSpan w:val="4"/>
          </w:tcPr>
          <w:p>
            <w:pPr>
              <w:spacing w:after="0"/>
              <w:rPr>
                <w:sz w:val="20"/>
                <w:szCs w:val="20"/>
                <w:color w:val="auto"/>
              </w:rPr>
            </w:pPr>
            <w:r>
              <w:rPr>
                <w:rFonts w:ascii="Arial" w:cs="Arial" w:eastAsia="Arial" w:hAnsi="Arial"/>
                <w:sz w:val="12"/>
                <w:szCs w:val="12"/>
                <w:b w:val="1"/>
                <w:bCs w:val="1"/>
                <w:color w:val="auto"/>
              </w:rPr>
              <w:t>SLG Interest</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w w:val="90"/>
              </w:rPr>
              <w:t>Total</w:t>
            </w:r>
          </w:p>
        </w:tc>
        <w:tc>
          <w:tcPr>
            <w:tcW w:w="100" w:type="dxa"/>
            <w:vAlign w:val="bottom"/>
          </w:tcPr>
          <w:p>
            <w:pPr>
              <w:spacing w:after="0"/>
              <w:rPr>
                <w:sz w:val="24"/>
                <w:szCs w:val="24"/>
                <w:color w:val="auto"/>
              </w:rPr>
            </w:pPr>
          </w:p>
        </w:tc>
        <w:tc>
          <w:tcPr>
            <w:tcW w:w="840" w:type="dxa"/>
            <w:vAlign w:val="bottom"/>
            <w:gridSpan w:val="4"/>
          </w:tcPr>
          <w:p>
            <w:pPr>
              <w:jc w:val="right"/>
              <w:ind w:right="80"/>
              <w:spacing w:after="0"/>
              <w:rPr>
                <w:sz w:val="20"/>
                <w:szCs w:val="20"/>
                <w:color w:val="auto"/>
              </w:rPr>
            </w:pPr>
            <w:r>
              <w:rPr>
                <w:rFonts w:ascii="Arial" w:cs="Arial" w:eastAsia="Arial" w:hAnsi="Arial"/>
                <w:sz w:val="12"/>
                <w:szCs w:val="12"/>
                <w:b w:val="1"/>
                <w:bCs w:val="1"/>
                <w:color w:val="auto"/>
              </w:rPr>
              <w:t>SLG Interest</w:t>
            </w:r>
          </w:p>
        </w:tc>
        <w:tc>
          <w:tcPr>
            <w:tcW w:w="0" w:type="dxa"/>
            <w:vAlign w:val="bottom"/>
          </w:tcPr>
          <w:p>
            <w:pPr>
              <w:spacing w:after="0"/>
              <w:rPr>
                <w:sz w:val="1"/>
                <w:szCs w:val="1"/>
                <w:color w:val="auto"/>
              </w:rPr>
            </w:pPr>
          </w:p>
        </w:tc>
      </w:tr>
      <w:tr>
        <w:trPr>
          <w:trHeight w:val="227"/>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Assets</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820" w:type="dxa"/>
            <w:vAlign w:val="bottom"/>
          </w:tcPr>
          <w:p>
            <w:pPr>
              <w:ind w:left="20"/>
              <w:spacing w:after="0"/>
              <w:rPr>
                <w:sz w:val="20"/>
                <w:szCs w:val="20"/>
                <w:color w:val="auto"/>
              </w:rPr>
            </w:pPr>
            <w:r>
              <w:rPr>
                <w:rFonts w:ascii="Arial" w:cs="Arial" w:eastAsia="Arial" w:hAnsi="Arial"/>
                <w:sz w:val="12"/>
                <w:szCs w:val="12"/>
                <w:color w:val="auto"/>
              </w:rPr>
              <w:t>Commercial real estate properties, at cost: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820" w:type="dxa"/>
            <w:vAlign w:val="bottom"/>
          </w:tcPr>
          <w:p>
            <w:pPr>
              <w:ind w:left="180"/>
              <w:spacing w:after="0"/>
              <w:rPr>
                <w:sz w:val="20"/>
                <w:szCs w:val="20"/>
                <w:color w:val="auto"/>
              </w:rPr>
            </w:pPr>
            <w:r>
              <w:rPr>
                <w:rFonts w:ascii="Arial" w:cs="Arial" w:eastAsia="Arial" w:hAnsi="Arial"/>
                <w:sz w:val="12"/>
                <w:szCs w:val="12"/>
                <w:color w:val="auto"/>
              </w:rPr>
              <w:t>Land and land interests</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2,370,650</w:t>
            </w:r>
          </w:p>
        </w:tc>
        <w:tc>
          <w:tcPr>
            <w:tcW w:w="80" w:type="dxa"/>
            <w:vAlign w:val="bottom"/>
          </w:tcPr>
          <w:p>
            <w:pPr>
              <w:spacing w:after="0"/>
              <w:rPr>
                <w:sz w:val="19"/>
                <w:szCs w:val="19"/>
                <w:color w:val="auto"/>
              </w:rPr>
            </w:pPr>
          </w:p>
        </w:tc>
        <w:tc>
          <w:tcPr>
            <w:tcW w:w="18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1,103,304</w:t>
            </w:r>
          </w:p>
        </w:tc>
        <w:tc>
          <w:tcPr>
            <w:tcW w:w="100" w:type="dxa"/>
            <w:vAlign w:val="bottom"/>
          </w:tcPr>
          <w:p>
            <w:pPr>
              <w:spacing w:after="0"/>
              <w:rPr>
                <w:sz w:val="19"/>
                <w:szCs w:val="19"/>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1,672,348</w:t>
            </w:r>
          </w:p>
        </w:tc>
        <w:tc>
          <w:tcPr>
            <w:tcW w:w="80" w:type="dxa"/>
            <w:vAlign w:val="bottom"/>
          </w:tcPr>
          <w:p>
            <w:pPr>
              <w:spacing w:after="0"/>
              <w:rPr>
                <w:sz w:val="19"/>
                <w:szCs w:val="19"/>
                <w:color w:val="auto"/>
              </w:rPr>
            </w:pPr>
          </w:p>
        </w:tc>
        <w:tc>
          <w:tcPr>
            <w:tcW w:w="180" w:type="dxa"/>
            <w:vAlign w:val="bottom"/>
            <w:gridSpan w:val="2"/>
          </w:tcPr>
          <w:p>
            <w:pPr>
              <w:jc w:val="right"/>
              <w:ind w:right="42"/>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695,932</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1,609,720</w:t>
            </w:r>
          </w:p>
        </w:tc>
        <w:tc>
          <w:tcPr>
            <w:tcW w:w="2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716,021</w:t>
            </w:r>
          </w:p>
        </w:tc>
        <w:tc>
          <w:tcPr>
            <w:tcW w:w="0" w:type="dxa"/>
            <w:vAlign w:val="bottom"/>
          </w:tcPr>
          <w:p>
            <w:pPr>
              <w:spacing w:after="0"/>
              <w:rPr>
                <w:sz w:val="1"/>
                <w:szCs w:val="1"/>
                <w:color w:val="auto"/>
              </w:rPr>
            </w:pPr>
          </w:p>
        </w:tc>
      </w:tr>
      <w:tr>
        <w:trPr>
          <w:trHeight w:val="219"/>
        </w:trPr>
        <w:tc>
          <w:tcPr>
            <w:tcW w:w="4820" w:type="dxa"/>
            <w:vAlign w:val="bottom"/>
          </w:tcPr>
          <w:p>
            <w:pPr>
              <w:ind w:left="180"/>
              <w:spacing w:after="0"/>
              <w:rPr>
                <w:sz w:val="20"/>
                <w:szCs w:val="20"/>
                <w:color w:val="auto"/>
              </w:rPr>
            </w:pPr>
            <w:r>
              <w:rPr>
                <w:rFonts w:ascii="Arial" w:cs="Arial" w:eastAsia="Arial" w:hAnsi="Arial"/>
                <w:sz w:val="12"/>
                <w:szCs w:val="12"/>
                <w:color w:val="auto"/>
              </w:rPr>
              <w:t>Building and improvements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7,118,788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3,026,466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5,381,439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1,999,579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5,044,397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2,042,794</w:t>
            </w:r>
          </w:p>
        </w:tc>
        <w:tc>
          <w:tcPr>
            <w:tcW w:w="0" w:type="dxa"/>
            <w:vAlign w:val="bottom"/>
          </w:tcPr>
          <w:p>
            <w:pPr>
              <w:spacing w:after="0"/>
              <w:rPr>
                <w:sz w:val="1"/>
                <w:szCs w:val="1"/>
                <w:color w:val="auto"/>
              </w:rPr>
            </w:pPr>
          </w:p>
        </w:tc>
      </w:tr>
      <w:tr>
        <w:trPr>
          <w:trHeight w:val="219"/>
        </w:trPr>
        <w:tc>
          <w:tcPr>
            <w:tcW w:w="4820" w:type="dxa"/>
            <w:vAlign w:val="bottom"/>
          </w:tcPr>
          <w:p>
            <w:pPr>
              <w:ind w:left="180"/>
              <w:spacing w:after="0"/>
              <w:rPr>
                <w:sz w:val="20"/>
                <w:szCs w:val="20"/>
                <w:color w:val="auto"/>
              </w:rPr>
            </w:pPr>
            <w:r>
              <w:rPr>
                <w:rFonts w:ascii="Arial" w:cs="Arial" w:eastAsia="Arial" w:hAnsi="Arial"/>
                <w:sz w:val="12"/>
                <w:szCs w:val="12"/>
                <w:color w:val="auto"/>
              </w:rPr>
              <w:t>Building leasehold and improvements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48,406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24,203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44,029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22,014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32,726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16,363</w:t>
            </w:r>
          </w:p>
        </w:tc>
        <w:tc>
          <w:tcPr>
            <w:tcW w:w="0" w:type="dxa"/>
            <w:vAlign w:val="bottom"/>
          </w:tcPr>
          <w:p>
            <w:pPr>
              <w:spacing w:after="0"/>
              <w:rPr>
                <w:sz w:val="1"/>
                <w:szCs w:val="1"/>
                <w:color w:val="auto"/>
              </w:rPr>
            </w:pPr>
          </w:p>
        </w:tc>
      </w:tr>
      <w:tr>
        <w:trPr>
          <w:trHeight w:val="223"/>
        </w:trPr>
        <w:tc>
          <w:tcPr>
            <w:tcW w:w="4820" w:type="dxa"/>
            <w:vAlign w:val="bottom"/>
          </w:tcPr>
          <w:p>
            <w:pPr>
              <w:ind w:left="180"/>
              <w:spacing w:after="0"/>
              <w:rPr>
                <w:sz w:val="20"/>
                <w:szCs w:val="20"/>
                <w:color w:val="auto"/>
              </w:rPr>
            </w:pPr>
            <w:r>
              <w:rPr>
                <w:rFonts w:ascii="Arial" w:cs="Arial" w:eastAsia="Arial" w:hAnsi="Arial"/>
                <w:sz w:val="12"/>
                <w:szCs w:val="12"/>
                <w:color w:val="auto"/>
              </w:rPr>
              <w:t>Properties under capital lease</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189,558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94,779</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189,558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94,779</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189,558</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94,779</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9,727,402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4,248,752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7,287,374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2,812,304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6,876,401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2,869,957</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2"/>
                <w:szCs w:val="12"/>
                <w:color w:val="auto"/>
              </w:rPr>
              <w:t>Less: accumulated depreciation</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(800,017)</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(313,182)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(776,599)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(297,563)</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2"/>
                <w:szCs w:val="12"/>
                <w:color w:val="auto"/>
              </w:rPr>
              <w:t>(753,933)</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(307,639)</w:t>
            </w:r>
          </w:p>
        </w:tc>
        <w:tc>
          <w:tcPr>
            <w:tcW w:w="0" w:type="dxa"/>
            <w:vAlign w:val="bottom"/>
          </w:tcPr>
          <w:p>
            <w:pPr>
              <w:spacing w:after="0"/>
              <w:rPr>
                <w:sz w:val="1"/>
                <w:szCs w:val="1"/>
                <w:color w:val="auto"/>
              </w:rPr>
            </w:pPr>
          </w:p>
        </w:tc>
      </w:tr>
      <w:tr>
        <w:trPr>
          <w:trHeight w:val="194"/>
        </w:trPr>
        <w:tc>
          <w:tcPr>
            <w:tcW w:w="4820" w:type="dxa"/>
            <w:vAlign w:val="bottom"/>
          </w:tcPr>
          <w:p>
            <w:pPr>
              <w:ind w:left="40"/>
              <w:spacing w:after="0"/>
              <w:rPr>
                <w:sz w:val="20"/>
                <w:szCs w:val="20"/>
                <w:color w:val="auto"/>
              </w:rPr>
            </w:pPr>
            <w:r>
              <w:rPr>
                <w:rFonts w:ascii="Arial" w:cs="Arial" w:eastAsia="Arial" w:hAnsi="Arial"/>
                <w:sz w:val="12"/>
                <w:szCs w:val="12"/>
                <w:color w:val="auto"/>
              </w:rPr>
              <w:t>Net real estate</w:t>
            </w:r>
          </w:p>
        </w:tc>
        <w:tc>
          <w:tcPr>
            <w:tcW w:w="120" w:type="dxa"/>
            <w:vAlign w:val="bottom"/>
          </w:tcPr>
          <w:p>
            <w:pPr>
              <w:spacing w:after="0"/>
              <w:rPr>
                <w:sz w:val="16"/>
                <w:szCs w:val="16"/>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8,927,385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3,935,570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6,510,775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2,514,741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6,122,468</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2,562,318</w:t>
            </w:r>
          </w:p>
        </w:tc>
        <w:tc>
          <w:tcPr>
            <w:tcW w:w="0" w:type="dxa"/>
            <w:vAlign w:val="bottom"/>
          </w:tcPr>
          <w:p>
            <w:pPr>
              <w:spacing w:after="0"/>
              <w:rPr>
                <w:sz w:val="1"/>
                <w:szCs w:val="1"/>
                <w:color w:val="auto"/>
              </w:rPr>
            </w:pPr>
          </w:p>
        </w:tc>
      </w:tr>
      <w:tr>
        <w:trPr>
          <w:trHeight w:val="612"/>
        </w:trPr>
        <w:tc>
          <w:tcPr>
            <w:tcW w:w="4820" w:type="dxa"/>
            <w:vAlign w:val="bottom"/>
          </w:tcPr>
          <w:p>
            <w:pPr>
              <w:ind w:left="20"/>
              <w:spacing w:after="0"/>
              <w:rPr>
                <w:sz w:val="20"/>
                <w:szCs w:val="20"/>
                <w:color w:val="auto"/>
              </w:rPr>
            </w:pPr>
            <w:r>
              <w:rPr>
                <w:rFonts w:ascii="Arial" w:cs="Arial" w:eastAsia="Arial" w:hAnsi="Arial"/>
                <w:sz w:val="12"/>
                <w:szCs w:val="12"/>
                <w:color w:val="auto"/>
              </w:rPr>
              <w:t>Cash and cash equivalents</w:t>
            </w:r>
          </w:p>
        </w:tc>
        <w:tc>
          <w:tcPr>
            <w:tcW w:w="12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140,768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56,496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180,336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62,835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164,973</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59,701</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Restricted cash</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179,550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73,289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101,794</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28,897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93,591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28,748</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Debt and preferred equity investments, net</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332,506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227,793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304,901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202,544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145,878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145,878</w:t>
            </w:r>
          </w:p>
        </w:tc>
        <w:tc>
          <w:tcPr>
            <w:tcW w:w="0" w:type="dxa"/>
            <w:vAlign w:val="bottom"/>
          </w:tcPr>
          <w:p>
            <w:pPr>
              <w:spacing w:after="0"/>
              <w:rPr>
                <w:sz w:val="1"/>
                <w:szCs w:val="1"/>
                <w:color w:val="auto"/>
              </w:rPr>
            </w:pPr>
          </w:p>
        </w:tc>
      </w:tr>
      <w:tr>
        <w:trPr>
          <w:trHeight w:val="167"/>
        </w:trPr>
        <w:tc>
          <w:tcPr>
            <w:tcW w:w="4820" w:type="dxa"/>
            <w:vAlign w:val="bottom"/>
          </w:tcPr>
          <w:p>
            <w:pPr>
              <w:ind w:left="20"/>
              <w:spacing w:after="0"/>
              <w:rPr>
                <w:sz w:val="20"/>
                <w:szCs w:val="20"/>
                <w:color w:val="auto"/>
              </w:rPr>
            </w:pPr>
            <w:r>
              <w:rPr>
                <w:rFonts w:ascii="Arial" w:cs="Arial" w:eastAsia="Arial" w:hAnsi="Arial"/>
                <w:sz w:val="12"/>
                <w:szCs w:val="12"/>
                <w:color w:val="auto"/>
                <w:w w:val="98"/>
              </w:rPr>
              <w:t>Tenant and other receivables, net of $6,245 reserve at 9/30/2016, of which $2,856 is SLG's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4820" w:type="dxa"/>
            <w:vAlign w:val="bottom"/>
          </w:tcPr>
          <w:p>
            <w:pPr>
              <w:ind w:left="20"/>
              <w:spacing w:after="0"/>
              <w:rPr>
                <w:sz w:val="20"/>
                <w:szCs w:val="20"/>
                <w:color w:val="auto"/>
              </w:rPr>
            </w:pPr>
            <w:r>
              <w:rPr>
                <w:rFonts w:ascii="Arial" w:cs="Arial" w:eastAsia="Arial" w:hAnsi="Arial"/>
                <w:sz w:val="12"/>
                <w:szCs w:val="12"/>
                <w:color w:val="auto"/>
              </w:rPr>
              <w:t>share</w:t>
            </w:r>
          </w:p>
        </w:tc>
        <w:tc>
          <w:tcPr>
            <w:tcW w:w="120" w:type="dxa"/>
            <w:vAlign w:val="bottom"/>
          </w:tcPr>
          <w:p>
            <w:pPr>
              <w:spacing w:after="0"/>
              <w:rPr>
                <w:sz w:val="12"/>
                <w:szCs w:val="12"/>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22,910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6,579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32,786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13,514</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30,059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13,033</w:t>
            </w:r>
          </w:p>
        </w:tc>
        <w:tc>
          <w:tcPr>
            <w:tcW w:w="0" w:type="dxa"/>
            <w:vAlign w:val="bottom"/>
          </w:tcPr>
          <w:p>
            <w:pPr>
              <w:spacing w:after="0"/>
              <w:rPr>
                <w:sz w:val="1"/>
                <w:szCs w:val="1"/>
                <w:color w:val="auto"/>
              </w:rPr>
            </w:pPr>
          </w:p>
        </w:tc>
      </w:tr>
      <w:tr>
        <w:trPr>
          <w:trHeight w:val="167"/>
        </w:trPr>
        <w:tc>
          <w:tcPr>
            <w:tcW w:w="4820" w:type="dxa"/>
            <w:vAlign w:val="bottom"/>
          </w:tcPr>
          <w:p>
            <w:pPr>
              <w:ind w:left="20"/>
              <w:spacing w:after="0"/>
              <w:rPr>
                <w:sz w:val="20"/>
                <w:szCs w:val="20"/>
                <w:color w:val="auto"/>
              </w:rPr>
            </w:pPr>
            <w:r>
              <w:rPr>
                <w:rFonts w:ascii="Arial" w:cs="Arial" w:eastAsia="Arial" w:hAnsi="Arial"/>
                <w:sz w:val="12"/>
                <w:szCs w:val="12"/>
                <w:color w:val="auto"/>
                <w:w w:val="96"/>
              </w:rPr>
              <w:t>Deferred rents receivables, net of $5,999 reserve at 9/30/2016 for tenant credit loss, of which</w:t>
            </w:r>
          </w:p>
        </w:tc>
        <w:tc>
          <w:tcPr>
            <w:tcW w:w="120" w:type="dxa"/>
            <w:vAlign w:val="bottom"/>
          </w:tcPr>
          <w:p>
            <w:pPr>
              <w:spacing w:after="0"/>
              <w:rPr>
                <w:sz w:val="14"/>
                <w:szCs w:val="14"/>
                <w:color w:val="auto"/>
              </w:rPr>
            </w:pPr>
          </w:p>
        </w:tc>
        <w:tc>
          <w:tcPr>
            <w:tcW w:w="66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205,027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89,605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restart"/>
          </w:tcPr>
          <w:p>
            <w:pPr>
              <w:jc w:val="right"/>
              <w:ind w:right="80"/>
              <w:spacing w:after="0"/>
              <w:rPr>
                <w:sz w:val="20"/>
                <w:szCs w:val="20"/>
                <w:color w:val="auto"/>
              </w:rPr>
            </w:pPr>
            <w:r>
              <w:rPr>
                <w:rFonts w:ascii="Arial" w:cs="Arial" w:eastAsia="Arial" w:hAnsi="Arial"/>
                <w:sz w:val="12"/>
                <w:szCs w:val="12"/>
                <w:color w:val="auto"/>
              </w:rPr>
              <w:t>189,557</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vMerge w:val="restart"/>
          </w:tcPr>
          <w:p>
            <w:pPr>
              <w:jc w:val="right"/>
              <w:ind w:right="60"/>
              <w:spacing w:after="0"/>
              <w:rPr>
                <w:sz w:val="20"/>
                <w:szCs w:val="20"/>
                <w:color w:val="auto"/>
              </w:rPr>
            </w:pPr>
            <w:r>
              <w:rPr>
                <w:rFonts w:ascii="Arial" w:cs="Arial" w:eastAsia="Arial" w:hAnsi="Arial"/>
                <w:sz w:val="12"/>
                <w:szCs w:val="12"/>
                <w:color w:val="auto"/>
              </w:rPr>
              <w:t>81,996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3"/>
            <w:vMerge w:val="restart"/>
          </w:tcPr>
          <w:p>
            <w:pPr>
              <w:jc w:val="right"/>
              <w:ind w:right="60"/>
              <w:spacing w:after="0"/>
              <w:rPr>
                <w:sz w:val="20"/>
                <w:szCs w:val="20"/>
                <w:color w:val="auto"/>
              </w:rPr>
            </w:pPr>
            <w:r>
              <w:rPr>
                <w:rFonts w:ascii="Arial" w:cs="Arial" w:eastAsia="Arial" w:hAnsi="Arial"/>
                <w:sz w:val="12"/>
                <w:szCs w:val="12"/>
                <w:color w:val="auto"/>
              </w:rPr>
              <w:t>178,743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79,985</w:t>
            </w:r>
          </w:p>
        </w:tc>
        <w:tc>
          <w:tcPr>
            <w:tcW w:w="0" w:type="dxa"/>
            <w:vAlign w:val="bottom"/>
          </w:tcPr>
          <w:p>
            <w:pPr>
              <w:spacing w:after="0"/>
              <w:rPr>
                <w:sz w:val="1"/>
                <w:szCs w:val="1"/>
                <w:color w:val="auto"/>
              </w:rPr>
            </w:pPr>
          </w:p>
        </w:tc>
      </w:tr>
      <w:tr>
        <w:trPr>
          <w:trHeight w:val="52"/>
        </w:trPr>
        <w:tc>
          <w:tcPr>
            <w:tcW w:w="4820" w:type="dxa"/>
            <w:vAlign w:val="bottom"/>
            <w:vMerge w:val="restart"/>
          </w:tcPr>
          <w:p>
            <w:pPr>
              <w:ind w:left="20"/>
              <w:spacing w:after="0"/>
              <w:rPr>
                <w:sz w:val="20"/>
                <w:szCs w:val="20"/>
                <w:color w:val="auto"/>
              </w:rPr>
            </w:pPr>
            <w:r>
              <w:rPr>
                <w:rFonts w:ascii="Arial" w:cs="Arial" w:eastAsia="Arial" w:hAnsi="Arial"/>
                <w:sz w:val="12"/>
                <w:szCs w:val="12"/>
                <w:color w:val="auto"/>
              </w:rPr>
              <w:t>$2,707 is SLG's share</w:t>
            </w:r>
          </w:p>
        </w:tc>
        <w:tc>
          <w:tcPr>
            <w:tcW w:w="1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7"/>
        </w:trPr>
        <w:tc>
          <w:tcPr>
            <w:tcW w:w="4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28"/>
        </w:trPr>
        <w:tc>
          <w:tcPr>
            <w:tcW w:w="4820" w:type="dxa"/>
            <w:vAlign w:val="bottom"/>
          </w:tcPr>
          <w:p>
            <w:pPr>
              <w:ind w:left="20"/>
              <w:spacing w:after="0"/>
              <w:rPr>
                <w:sz w:val="20"/>
                <w:szCs w:val="20"/>
                <w:color w:val="auto"/>
              </w:rPr>
            </w:pPr>
            <w:r>
              <w:rPr>
                <w:rFonts w:ascii="Arial" w:cs="Arial" w:eastAsia="Arial" w:hAnsi="Arial"/>
                <w:sz w:val="12"/>
                <w:szCs w:val="12"/>
                <w:color w:val="auto"/>
              </w:rPr>
              <w:t>Deferred costs, net</w:t>
            </w:r>
          </w:p>
        </w:tc>
        <w:tc>
          <w:tcPr>
            <w:tcW w:w="120" w:type="dxa"/>
            <w:vAlign w:val="bottom"/>
          </w:tcPr>
          <w:p>
            <w:pPr>
              <w:spacing w:after="0"/>
              <w:rPr>
                <w:sz w:val="24"/>
                <w:szCs w:val="24"/>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137,056</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61,500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111,928</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45,926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108,727</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47,041</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2"/>
                <w:szCs w:val="12"/>
                <w:color w:val="auto"/>
              </w:rPr>
              <w:t>Other assets</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533,609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269,421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125,438</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52,610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139,747</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63,242</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Total Assets</w:t>
            </w:r>
          </w:p>
        </w:tc>
        <w:tc>
          <w:tcPr>
            <w:tcW w:w="1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w w:val="96"/>
              </w:rPr>
              <w:t>10,478,811</w:t>
            </w:r>
          </w:p>
        </w:tc>
        <w:tc>
          <w:tcPr>
            <w:tcW w:w="80" w:type="dxa"/>
            <w:vAlign w:val="bottom"/>
          </w:tcPr>
          <w:p>
            <w:pPr>
              <w:spacing w:after="0"/>
              <w:rPr>
                <w:sz w:val="16"/>
                <w:szCs w:val="16"/>
                <w:color w:val="auto"/>
              </w:rPr>
            </w:pPr>
          </w:p>
        </w:tc>
        <w:tc>
          <w:tcPr>
            <w:tcW w:w="180" w:type="dxa"/>
            <w:vAlign w:val="bottom"/>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4,720,253</w:t>
            </w:r>
          </w:p>
        </w:tc>
        <w:tc>
          <w:tcPr>
            <w:tcW w:w="100" w:type="dxa"/>
            <w:vAlign w:val="bottom"/>
          </w:tcPr>
          <w:p>
            <w:pPr>
              <w:spacing w:after="0"/>
              <w:rPr>
                <w:sz w:val="16"/>
                <w:szCs w:val="16"/>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6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7,557,515</w:t>
            </w:r>
          </w:p>
        </w:tc>
        <w:tc>
          <w:tcPr>
            <w:tcW w:w="80" w:type="dxa"/>
            <w:vAlign w:val="bottom"/>
          </w:tcPr>
          <w:p>
            <w:pPr>
              <w:spacing w:after="0"/>
              <w:rPr>
                <w:sz w:val="16"/>
                <w:szCs w:val="16"/>
                <w:color w:val="auto"/>
              </w:rPr>
            </w:pPr>
          </w:p>
        </w:tc>
        <w:tc>
          <w:tcPr>
            <w:tcW w:w="180" w:type="dxa"/>
            <w:vAlign w:val="bottom"/>
            <w:gridSpan w:val="2"/>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3,003,063</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6,984,186</w:t>
            </w:r>
          </w:p>
        </w:tc>
        <w:tc>
          <w:tcPr>
            <w:tcW w:w="26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2,999,946</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Liabilities and Equity</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820" w:type="dxa"/>
            <w:vAlign w:val="bottom"/>
          </w:tcPr>
          <w:p>
            <w:pPr>
              <w:ind w:left="20"/>
              <w:spacing w:after="0"/>
              <w:rPr>
                <w:sz w:val="20"/>
                <w:szCs w:val="20"/>
                <w:color w:val="auto"/>
              </w:rPr>
            </w:pPr>
            <w:r>
              <w:rPr>
                <w:rFonts w:ascii="Arial" w:cs="Arial" w:eastAsia="Arial" w:hAnsi="Arial"/>
                <w:sz w:val="12"/>
                <w:szCs w:val="12"/>
                <w:color w:val="auto"/>
              </w:rPr>
              <w:t>Mortgage loans payable, net of deferred financing costs of $100,426 at 9/30/2016</w:t>
            </w:r>
          </w:p>
        </w:tc>
        <w:tc>
          <w:tcPr>
            <w:tcW w:w="120" w:type="dxa"/>
            <w:vAlign w:val="bottom"/>
          </w:tcPr>
          <w:p>
            <w:pPr>
              <w:jc w:val="right"/>
              <w:spacing w:after="0"/>
              <w:rPr>
                <w:sz w:val="20"/>
                <w:szCs w:val="20"/>
                <w:color w:val="auto"/>
              </w:rPr>
            </w:pPr>
            <w:r>
              <w:rPr>
                <w:rFonts w:ascii="Arial" w:cs="Arial" w:eastAsia="Arial" w:hAnsi="Arial"/>
                <w:sz w:val="12"/>
                <w:szCs w:val="12"/>
                <w:color w:val="auto"/>
              </w:rPr>
              <w:t>$</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6,332,506</w:t>
            </w:r>
          </w:p>
        </w:tc>
        <w:tc>
          <w:tcPr>
            <w:tcW w:w="80" w:type="dxa"/>
            <w:vAlign w:val="bottom"/>
          </w:tcPr>
          <w:p>
            <w:pPr>
              <w:spacing w:after="0"/>
              <w:rPr>
                <w:sz w:val="17"/>
                <w:szCs w:val="17"/>
                <w:color w:val="auto"/>
              </w:rPr>
            </w:pPr>
          </w:p>
        </w:tc>
        <w:tc>
          <w:tcPr>
            <w:tcW w:w="18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2,662,319</w:t>
            </w:r>
          </w:p>
        </w:tc>
        <w:tc>
          <w:tcPr>
            <w:tcW w:w="100" w:type="dxa"/>
            <w:vAlign w:val="bottom"/>
          </w:tcPr>
          <w:p>
            <w:pPr>
              <w:spacing w:after="0"/>
              <w:rPr>
                <w:sz w:val="17"/>
                <w:szCs w:val="17"/>
                <w:color w:val="auto"/>
              </w:rPr>
            </w:pP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w:t>
            </w: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4,922,493</w:t>
            </w:r>
          </w:p>
        </w:tc>
        <w:tc>
          <w:tcPr>
            <w:tcW w:w="80" w:type="dxa"/>
            <w:vAlign w:val="bottom"/>
          </w:tcPr>
          <w:p>
            <w:pPr>
              <w:spacing w:after="0"/>
              <w:rPr>
                <w:sz w:val="17"/>
                <w:szCs w:val="17"/>
                <w:color w:val="auto"/>
              </w:rPr>
            </w:pPr>
          </w:p>
        </w:tc>
        <w:tc>
          <w:tcPr>
            <w:tcW w:w="180" w:type="dxa"/>
            <w:vAlign w:val="bottom"/>
            <w:gridSpan w:val="2"/>
          </w:tcPr>
          <w:p>
            <w:pPr>
              <w:jc w:val="right"/>
              <w:ind w:right="42"/>
              <w:spacing w:after="0"/>
              <w:rPr>
                <w:sz w:val="20"/>
                <w:szCs w:val="20"/>
                <w:color w:val="auto"/>
              </w:rPr>
            </w:pPr>
            <w:r>
              <w:rPr>
                <w:rFonts w:ascii="Arial" w:cs="Arial" w:eastAsia="Arial" w:hAnsi="Arial"/>
                <w:sz w:val="12"/>
                <w:szCs w:val="12"/>
                <w:color w:val="auto"/>
                <w:w w:val="89"/>
              </w:rPr>
              <w:t>$</w:t>
            </w: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1,819,430</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4,266,548</w:t>
            </w:r>
          </w:p>
        </w:tc>
        <w:tc>
          <w:tcPr>
            <w:tcW w:w="260" w:type="dxa"/>
            <w:vAlign w:val="bottom"/>
            <w:gridSpan w:val="3"/>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1,702,057</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Accrued interest</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20,466</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6,797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11,459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4,287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9,804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4,201</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Other liabilities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29,931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12,075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12,202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7,289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5,438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4,404</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Accounts payable and accrued expenses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105,908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41,905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95,239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36,339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87,736</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38,911</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Deferred revenue</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367,873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192,069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200,672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91,132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209,095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94,110</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Capitalized lease obligations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185,312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92,656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184,590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92,295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183,189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91,594</w:t>
            </w:r>
          </w:p>
        </w:tc>
        <w:tc>
          <w:tcPr>
            <w:tcW w:w="0" w:type="dxa"/>
            <w:vAlign w:val="bottom"/>
          </w:tcPr>
          <w:p>
            <w:pPr>
              <w:spacing w:after="0"/>
              <w:rPr>
                <w:sz w:val="1"/>
                <w:szCs w:val="1"/>
                <w:color w:val="auto"/>
              </w:rPr>
            </w:pPr>
          </w:p>
        </w:tc>
      </w:tr>
      <w:tr>
        <w:trPr>
          <w:trHeight w:val="219"/>
        </w:trPr>
        <w:tc>
          <w:tcPr>
            <w:tcW w:w="4820" w:type="dxa"/>
            <w:vAlign w:val="bottom"/>
          </w:tcPr>
          <w:p>
            <w:pPr>
              <w:ind w:left="20"/>
              <w:spacing w:after="0"/>
              <w:rPr>
                <w:sz w:val="20"/>
                <w:szCs w:val="20"/>
                <w:color w:val="auto"/>
              </w:rPr>
            </w:pPr>
            <w:r>
              <w:rPr>
                <w:rFonts w:ascii="Arial" w:cs="Arial" w:eastAsia="Arial" w:hAnsi="Arial"/>
                <w:sz w:val="12"/>
                <w:szCs w:val="12"/>
                <w:color w:val="auto"/>
              </w:rPr>
              <w:t>Security deposits</w:t>
            </w:r>
          </w:p>
        </w:tc>
        <w:tc>
          <w:tcPr>
            <w:tcW w:w="120" w:type="dxa"/>
            <w:vAlign w:val="bottom"/>
          </w:tcPr>
          <w:p>
            <w:pPr>
              <w:spacing w:after="0"/>
              <w:rPr>
                <w:sz w:val="19"/>
                <w:szCs w:val="19"/>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32,581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10,541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2"/>
                <w:szCs w:val="12"/>
                <w:color w:val="auto"/>
              </w:rPr>
              <w:t>30,449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9,527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3"/>
          </w:tcPr>
          <w:p>
            <w:pPr>
              <w:jc w:val="right"/>
              <w:ind w:right="60"/>
              <w:spacing w:after="0"/>
              <w:rPr>
                <w:sz w:val="20"/>
                <w:szCs w:val="20"/>
                <w:color w:val="auto"/>
              </w:rPr>
            </w:pPr>
            <w:r>
              <w:rPr>
                <w:rFonts w:ascii="Arial" w:cs="Arial" w:eastAsia="Arial" w:hAnsi="Arial"/>
                <w:sz w:val="12"/>
                <w:szCs w:val="12"/>
                <w:color w:val="auto"/>
              </w:rPr>
              <w:t>27,898</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2"/>
                <w:szCs w:val="12"/>
                <w:color w:val="auto"/>
              </w:rPr>
              <w:t>8,957</w:t>
            </w:r>
          </w:p>
        </w:tc>
        <w:tc>
          <w:tcPr>
            <w:tcW w:w="0" w:type="dxa"/>
            <w:vAlign w:val="bottom"/>
          </w:tcPr>
          <w:p>
            <w:pPr>
              <w:spacing w:after="0"/>
              <w:rPr>
                <w:sz w:val="1"/>
                <w:szCs w:val="1"/>
                <w:color w:val="auto"/>
              </w:rPr>
            </w:pPr>
          </w:p>
        </w:tc>
      </w:tr>
      <w:tr>
        <w:trPr>
          <w:trHeight w:val="223"/>
        </w:trPr>
        <w:tc>
          <w:tcPr>
            <w:tcW w:w="4820" w:type="dxa"/>
            <w:vAlign w:val="bottom"/>
          </w:tcPr>
          <w:p>
            <w:pPr>
              <w:ind w:left="20"/>
              <w:spacing w:after="0"/>
              <w:rPr>
                <w:sz w:val="20"/>
                <w:szCs w:val="20"/>
                <w:color w:val="auto"/>
              </w:rPr>
            </w:pPr>
            <w:r>
              <w:rPr>
                <w:rFonts w:ascii="Arial" w:cs="Arial" w:eastAsia="Arial" w:hAnsi="Arial"/>
                <w:sz w:val="12"/>
                <w:szCs w:val="12"/>
                <w:color w:val="auto"/>
              </w:rPr>
              <w:t>Equity</w:t>
            </w: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3,404,234</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1,701,891</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2,100,411</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942,764</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2,194,478</w:t>
            </w:r>
          </w:p>
        </w:tc>
        <w:tc>
          <w:tcPr>
            <w:tcW w:w="10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1,055,712</w:t>
            </w:r>
          </w:p>
        </w:tc>
        <w:tc>
          <w:tcPr>
            <w:tcW w:w="0" w:type="dxa"/>
            <w:vAlign w:val="bottom"/>
          </w:tcPr>
          <w:p>
            <w:pPr>
              <w:spacing w:after="0"/>
              <w:rPr>
                <w:sz w:val="1"/>
                <w:szCs w:val="1"/>
                <w:color w:val="auto"/>
              </w:rPr>
            </w:pPr>
          </w:p>
        </w:tc>
      </w:tr>
      <w:tr>
        <w:trPr>
          <w:trHeight w:val="193"/>
        </w:trPr>
        <w:tc>
          <w:tcPr>
            <w:tcW w:w="4820" w:type="dxa"/>
            <w:vAlign w:val="bottom"/>
          </w:tcPr>
          <w:p>
            <w:pPr>
              <w:ind w:left="20"/>
              <w:spacing w:after="0"/>
              <w:rPr>
                <w:sz w:val="20"/>
                <w:szCs w:val="20"/>
                <w:color w:val="auto"/>
              </w:rPr>
            </w:pPr>
            <w:r>
              <w:rPr>
                <w:rFonts w:ascii="Arial" w:cs="Arial" w:eastAsia="Arial" w:hAnsi="Arial"/>
                <w:sz w:val="12"/>
                <w:szCs w:val="12"/>
                <w:b w:val="1"/>
                <w:bCs w:val="1"/>
                <w:color w:val="auto"/>
              </w:rPr>
              <w:t>Total Liabilities and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w w:val="96"/>
              </w:rPr>
              <w:t>10,478,811</w:t>
            </w: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2"/>
                <w:szCs w:val="12"/>
                <w:b w:val="1"/>
                <w:bCs w:val="1"/>
                <w:color w:val="auto"/>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4,720,253</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b w:val="1"/>
                <w:bCs w:val="1"/>
                <w:color w:val="auto"/>
                <w:w w:val="89"/>
              </w:rPr>
              <w:t>$</w:t>
            </w:r>
          </w:p>
        </w:tc>
        <w:tc>
          <w:tcPr>
            <w:tcW w:w="6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7,557,515</w:t>
            </w:r>
          </w:p>
        </w:tc>
        <w:tc>
          <w:tcPr>
            <w:tcW w:w="80" w:type="dxa"/>
            <w:vAlign w:val="bottom"/>
          </w:tcPr>
          <w:p>
            <w:pPr>
              <w:spacing w:after="0"/>
              <w:rPr>
                <w:sz w:val="16"/>
                <w:szCs w:val="16"/>
                <w:color w:val="auto"/>
              </w:rPr>
            </w:pPr>
          </w:p>
        </w:tc>
        <w:tc>
          <w:tcPr>
            <w:tcW w:w="180" w:type="dxa"/>
            <w:vAlign w:val="bottom"/>
            <w:tcBorders>
              <w:bottom w:val="single" w:sz="8" w:color="auto"/>
            </w:tcBorders>
            <w:gridSpan w:val="2"/>
          </w:tcPr>
          <w:p>
            <w:pPr>
              <w:jc w:val="right"/>
              <w:ind w:right="42"/>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3,003,063</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6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6,984,186</w:t>
            </w:r>
          </w:p>
        </w:tc>
        <w:tc>
          <w:tcPr>
            <w:tcW w:w="100" w:type="dxa"/>
            <w:vAlign w:val="bottom"/>
          </w:tcPr>
          <w:p>
            <w:pPr>
              <w:spacing w:after="0"/>
              <w:rPr>
                <w:sz w:val="16"/>
                <w:szCs w:val="16"/>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w w:val="89"/>
              </w:rPr>
              <w:t>$</w:t>
            </w: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2,999,946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3"/>
        </w:trPr>
        <w:tc>
          <w:tcPr>
            <w:tcW w:w="4820" w:type="dxa"/>
            <w:vAlign w:val="bottom"/>
          </w:tcPr>
          <w:p>
            <w:pPr>
              <w:ind w:left="40"/>
              <w:spacing w:after="0"/>
              <w:rPr>
                <w:sz w:val="20"/>
                <w:szCs w:val="20"/>
                <w:color w:val="auto"/>
              </w:rPr>
            </w:pPr>
            <w:r>
              <w:rPr>
                <w:rFonts w:ascii="Arial" w:cs="Arial" w:eastAsia="Arial" w:hAnsi="Arial"/>
                <w:sz w:val="10"/>
                <w:szCs w:val="10"/>
                <w:color w:val="auto"/>
              </w:rPr>
              <w:t>Supplemental Information</w:t>
            </w:r>
          </w:p>
        </w:tc>
        <w:tc>
          <w:tcPr>
            <w:tcW w:w="120" w:type="dxa"/>
            <w:vAlign w:val="bottom"/>
          </w:tcPr>
          <w:p>
            <w:pPr>
              <w:spacing w:after="0"/>
              <w:rPr>
                <w:sz w:val="24"/>
                <w:szCs w:val="24"/>
                <w:color w:val="auto"/>
              </w:rPr>
            </w:pPr>
          </w:p>
        </w:tc>
        <w:tc>
          <w:tcPr>
            <w:tcW w:w="400" w:type="dxa"/>
            <w:vAlign w:val="bottom"/>
            <w:gridSpan w:val="2"/>
          </w:tcPr>
          <w:p>
            <w:pPr>
              <w:jc w:val="right"/>
              <w:ind w:right="182"/>
              <w:spacing w:after="0"/>
              <w:rPr>
                <w:sz w:val="20"/>
                <w:szCs w:val="20"/>
                <w:color w:val="auto"/>
              </w:rPr>
            </w:pPr>
            <w:r>
              <w:rPr>
                <w:rFonts w:ascii="Arial" w:cs="Arial" w:eastAsia="Arial" w:hAnsi="Arial"/>
                <w:sz w:val="10"/>
                <w:szCs w:val="10"/>
                <w:color w:val="auto"/>
              </w:rPr>
              <w:t>19</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5"/>
          </w:tcPr>
          <w:p>
            <w:pPr>
              <w:jc w:val="right"/>
              <w:ind w:right="40"/>
              <w:spacing w:after="0"/>
              <w:rPr>
                <w:sz w:val="20"/>
                <w:szCs w:val="20"/>
                <w:color w:val="auto"/>
              </w:rPr>
            </w:pPr>
            <w:r>
              <w:rPr>
                <w:rFonts w:ascii="Arial" w:cs="Arial" w:eastAsia="Arial" w:hAnsi="Arial"/>
                <w:sz w:val="10"/>
                <w:szCs w:val="10"/>
                <w:color w:val="auto"/>
              </w:rPr>
              <w:t>Third Quarter 2016</w:t>
            </w:r>
          </w:p>
        </w:tc>
        <w:tc>
          <w:tcPr>
            <w:tcW w:w="0" w:type="dxa"/>
            <w:vAlign w:val="bottom"/>
          </w:tcPr>
          <w:p>
            <w:pPr>
              <w:spacing w:after="0"/>
              <w:rPr>
                <w:sz w:val="1"/>
                <w:szCs w:val="1"/>
                <w:color w:val="auto"/>
              </w:rPr>
            </w:pPr>
          </w:p>
        </w:tc>
      </w:tr>
    </w:tbl>
    <w:p>
      <w:pPr>
        <w:sectPr>
          <w:pgSz w:w="11900" w:h="16838" w:orient="portrait"/>
          <w:cols w:equalWidth="0" w:num="1">
            <w:col w:w="10120"/>
          </w:cols>
          <w:pgMar w:left="900" w:top="337" w:right="879" w:bottom="1440" w:gutter="0" w:footer="0" w:header="0"/>
        </w:sectPr>
      </w:pPr>
    </w:p>
    <w:bookmarkStart w:id="35" w:name="page36"/>
    <w:bookmarkEnd w:id="3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5980"/>
        <w:spacing w:after="0" w:line="231" w:lineRule="auto"/>
        <w:rPr>
          <w:sz w:val="20"/>
          <w:szCs w:val="20"/>
          <w:color w:val="auto"/>
        </w:rPr>
      </w:pPr>
      <w:r>
        <w:rPr>
          <w:rFonts w:ascii="Arial" w:cs="Arial" w:eastAsia="Arial" w:hAnsi="Arial"/>
          <w:sz w:val="15"/>
          <w:szCs w:val="15"/>
          <w:b w:val="1"/>
          <w:bCs w:val="1"/>
          <w:color w:val="auto"/>
        </w:rPr>
        <w:t>Statement of Operations for Unconsolidated Joint Ventures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39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8"/>
          </w:tcPr>
          <w:p>
            <w:pPr>
              <w:ind w:left="8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840" w:type="dxa"/>
            <w:vAlign w:val="bottom"/>
            <w:gridSpan w:val="7"/>
          </w:tcPr>
          <w:p>
            <w:pPr>
              <w:ind w:left="120"/>
              <w:spacing w:after="0"/>
              <w:rPr>
                <w:sz w:val="20"/>
                <w:szCs w:val="20"/>
                <w:color w:val="auto"/>
              </w:rPr>
            </w:pPr>
            <w:r>
              <w:rPr>
                <w:rFonts w:ascii="Arial" w:cs="Arial" w:eastAsia="Arial" w:hAnsi="Arial"/>
                <w:sz w:val="12"/>
                <w:szCs w:val="12"/>
                <w:b w:val="1"/>
                <w:bCs w:val="1"/>
                <w:color w:val="auto"/>
              </w:rPr>
              <w:t>Three Months Ended</w:t>
            </w:r>
          </w:p>
        </w:tc>
        <w:tc>
          <w:tcPr>
            <w:tcW w:w="300" w:type="dxa"/>
            <w:vAlign w:val="bottom"/>
          </w:tcPr>
          <w:p>
            <w:pPr>
              <w:spacing w:after="0"/>
              <w:rPr>
                <w:sz w:val="13"/>
                <w:szCs w:val="13"/>
                <w:color w:val="auto"/>
              </w:rPr>
            </w:pPr>
          </w:p>
        </w:tc>
        <w:tc>
          <w:tcPr>
            <w:tcW w:w="1600" w:type="dxa"/>
            <w:vAlign w:val="bottom"/>
            <w:gridSpan w:val="7"/>
          </w:tcPr>
          <w:p>
            <w:pPr>
              <w:jc w:val="right"/>
              <w:ind w:right="360"/>
              <w:spacing w:after="0"/>
              <w:rPr>
                <w:sz w:val="20"/>
                <w:szCs w:val="20"/>
                <w:color w:val="auto"/>
              </w:rPr>
            </w:pPr>
            <w:r>
              <w:rPr>
                <w:rFonts w:ascii="Arial" w:cs="Arial" w:eastAsia="Arial" w:hAnsi="Arial"/>
                <w:sz w:val="12"/>
                <w:szCs w:val="12"/>
                <w:b w:val="1"/>
                <w:bCs w:val="1"/>
                <w:color w:val="auto"/>
              </w:rPr>
              <w:t>Three Months Ended</w:t>
            </w:r>
          </w:p>
        </w:tc>
        <w:tc>
          <w:tcPr>
            <w:tcW w:w="0" w:type="dxa"/>
            <w:vAlign w:val="bottom"/>
          </w:tcPr>
          <w:p>
            <w:pPr>
              <w:spacing w:after="0"/>
              <w:rPr>
                <w:sz w:val="1"/>
                <w:szCs w:val="1"/>
                <w:color w:val="auto"/>
              </w:rPr>
            </w:pPr>
          </w:p>
        </w:tc>
      </w:tr>
      <w:tr>
        <w:trPr>
          <w:trHeight w:val="223"/>
        </w:trPr>
        <w:tc>
          <w:tcPr>
            <w:tcW w:w="39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2"/>
                <w:szCs w:val="12"/>
                <w:b w:val="1"/>
                <w:bCs w:val="1"/>
                <w:color w:val="auto"/>
              </w:rPr>
              <w:t>September 30, 2016</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2"/>
                <w:szCs w:val="12"/>
                <w:b w:val="1"/>
                <w:bCs w:val="1"/>
                <w:color w:val="auto"/>
                <w:w w:val="94"/>
              </w:rPr>
              <w:t>June 30, 2016</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2"/>
                <w:szCs w:val="12"/>
                <w:b w:val="1"/>
                <w:bCs w:val="1"/>
                <w:color w:val="auto"/>
              </w:rPr>
              <w:t>September 30, 2015</w:t>
            </w:r>
          </w:p>
        </w:tc>
        <w:tc>
          <w:tcPr>
            <w:tcW w:w="0" w:type="dxa"/>
            <w:vAlign w:val="bottom"/>
          </w:tcPr>
          <w:p>
            <w:pPr>
              <w:spacing w:after="0"/>
              <w:rPr>
                <w:sz w:val="1"/>
                <w:szCs w:val="1"/>
                <w:color w:val="auto"/>
              </w:rPr>
            </w:pPr>
          </w:p>
        </w:tc>
      </w:tr>
      <w:tr>
        <w:trPr>
          <w:trHeight w:val="378"/>
        </w:trPr>
        <w:tc>
          <w:tcPr>
            <w:tcW w:w="3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gridSpan w:val="3"/>
          </w:tcPr>
          <w:p>
            <w:pPr>
              <w:ind w:left="4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2"/>
                <w:szCs w:val="12"/>
                <w:b w:val="1"/>
                <w:bCs w:val="1"/>
                <w:color w:val="auto"/>
              </w:rPr>
              <w:t>SLG Interest</w:t>
            </w:r>
          </w:p>
        </w:tc>
        <w:tc>
          <w:tcPr>
            <w:tcW w:w="30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24"/>
                <w:szCs w:val="24"/>
                <w:color w:val="auto"/>
              </w:rPr>
            </w:pP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SLG Interest</w:t>
            </w:r>
          </w:p>
        </w:tc>
        <w:tc>
          <w:tcPr>
            <w:tcW w:w="30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5"/>
              </w:rPr>
              <w:t>SLG Interest</w:t>
            </w:r>
          </w:p>
        </w:tc>
        <w:tc>
          <w:tcPr>
            <w:tcW w:w="0" w:type="dxa"/>
            <w:vAlign w:val="bottom"/>
          </w:tcPr>
          <w:p>
            <w:pPr>
              <w:spacing w:after="0"/>
              <w:rPr>
                <w:sz w:val="1"/>
                <w:szCs w:val="1"/>
                <w:color w:val="auto"/>
              </w:rPr>
            </w:pPr>
          </w:p>
        </w:tc>
      </w:tr>
      <w:tr>
        <w:trPr>
          <w:trHeight w:val="227"/>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Revenues</w:t>
            </w: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rPr>
                <w:sz w:val="20"/>
                <w:szCs w:val="20"/>
                <w:color w:val="auto"/>
              </w:rPr>
            </w:pPr>
            <w:r>
              <w:rPr>
                <w:rFonts w:ascii="Arial" w:cs="Arial" w:eastAsia="Arial" w:hAnsi="Arial"/>
                <w:sz w:val="12"/>
                <w:szCs w:val="12"/>
                <w:color w:val="auto"/>
              </w:rPr>
              <w:t>Rental revenue, net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162,193</w:t>
            </w:r>
          </w:p>
        </w:tc>
        <w:tc>
          <w:tcPr>
            <w:tcW w:w="10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62,604</w:t>
            </w:r>
          </w:p>
        </w:tc>
        <w:tc>
          <w:tcPr>
            <w:tcW w:w="18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135,799</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51,377</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130,067</w:t>
            </w:r>
          </w:p>
        </w:tc>
        <w:tc>
          <w:tcPr>
            <w:tcW w:w="10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48,506</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Escalation and reimbursement revenues</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12,954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5,582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9,180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3,752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10,260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4,542</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Investment income</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7,009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4,601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6,710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4,108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2,990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2,856</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2,066</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788</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(155)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7,321</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3,641</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Total Revenues, net</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184,222</w:t>
            </w:r>
          </w:p>
        </w:tc>
        <w:tc>
          <w:tcPr>
            <w:tcW w:w="10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73,575</w:t>
            </w:r>
          </w:p>
        </w:tc>
        <w:tc>
          <w:tcPr>
            <w:tcW w:w="180" w:type="dxa"/>
            <w:vAlign w:val="bottom"/>
          </w:tcPr>
          <w:p>
            <w:pPr>
              <w:spacing w:after="0"/>
              <w:rPr>
                <w:sz w:val="16"/>
                <w:szCs w:val="16"/>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151,575</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59,082</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150,638</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59,545</w:t>
            </w:r>
          </w:p>
        </w:tc>
        <w:tc>
          <w:tcPr>
            <w:tcW w:w="0" w:type="dxa"/>
            <w:vAlign w:val="bottom"/>
          </w:tcPr>
          <w:p>
            <w:pPr>
              <w:spacing w:after="0"/>
              <w:rPr>
                <w:sz w:val="1"/>
                <w:szCs w:val="1"/>
                <w:color w:val="auto"/>
              </w:rPr>
            </w:pPr>
          </w:p>
        </w:tc>
      </w:tr>
      <w:tr>
        <w:trPr>
          <w:trHeight w:val="415"/>
        </w:trPr>
        <w:tc>
          <w:tcPr>
            <w:tcW w:w="3920" w:type="dxa"/>
            <w:vAlign w:val="bottom"/>
          </w:tcPr>
          <w:p>
            <w:pPr>
              <w:ind w:left="20"/>
              <w:spacing w:after="0"/>
              <w:rPr>
                <w:sz w:val="20"/>
                <w:szCs w:val="20"/>
                <w:color w:val="auto"/>
              </w:rPr>
            </w:pPr>
            <w:r>
              <w:rPr>
                <w:rFonts w:ascii="Arial" w:cs="Arial" w:eastAsia="Arial" w:hAnsi="Arial"/>
                <w:sz w:val="12"/>
                <w:szCs w:val="12"/>
                <w:color w:val="auto"/>
              </w:rPr>
              <w:t>Loss on early extinguishment of debt</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(248)</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(88)</w:t>
            </w:r>
          </w:p>
        </w:tc>
        <w:tc>
          <w:tcPr>
            <w:tcW w:w="0" w:type="dxa"/>
            <w:vAlign w:val="bottom"/>
          </w:tcPr>
          <w:p>
            <w:pPr>
              <w:spacing w:after="0"/>
              <w:rPr>
                <w:sz w:val="1"/>
                <w:szCs w:val="1"/>
                <w:color w:val="auto"/>
              </w:rPr>
            </w:pPr>
          </w:p>
        </w:tc>
      </w:tr>
      <w:tr>
        <w:trPr>
          <w:trHeight w:val="420"/>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Expenses</w:t>
            </w: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34,726</w:t>
            </w:r>
          </w:p>
        </w:tc>
        <w:tc>
          <w:tcPr>
            <w:tcW w:w="10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11,517</w:t>
            </w:r>
          </w:p>
        </w:tc>
        <w:tc>
          <w:tcPr>
            <w:tcW w:w="18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27,166</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8,618</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27,647</w:t>
            </w:r>
          </w:p>
        </w:tc>
        <w:tc>
          <w:tcPr>
            <w:tcW w:w="10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9,998</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Ground rent</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3,744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1,872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3,715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1,857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4,677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2,339</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Real estate taxes</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30,814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10,428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24,332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8,348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23,494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8,404</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Transaction related costs, net of recoveries</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5,359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3,019</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604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27</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300" w:type="dxa"/>
            <w:vAlign w:val="bottom"/>
            <w:tcBorders>
              <w:top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74,643</w:t>
            </w:r>
          </w:p>
        </w:tc>
        <w:tc>
          <w:tcPr>
            <w:tcW w:w="100" w:type="dxa"/>
            <w:vAlign w:val="bottom"/>
          </w:tcPr>
          <w:p>
            <w:pPr>
              <w:spacing w:after="0"/>
              <w:rPr>
                <w:sz w:val="16"/>
                <w:szCs w:val="16"/>
                <w:color w:val="auto"/>
              </w:rPr>
            </w:pPr>
          </w:p>
        </w:tc>
        <w:tc>
          <w:tcPr>
            <w:tcW w:w="100" w:type="dxa"/>
            <w:vAlign w:val="bottom"/>
            <w:tcBorders>
              <w:top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26,836</w:t>
            </w:r>
          </w:p>
        </w:tc>
        <w:tc>
          <w:tcPr>
            <w:tcW w:w="180" w:type="dxa"/>
            <w:vAlign w:val="bottom"/>
          </w:tcPr>
          <w:p>
            <w:pPr>
              <w:spacing w:after="0"/>
              <w:rPr>
                <w:sz w:val="16"/>
                <w:szCs w:val="16"/>
                <w:color w:val="auto"/>
              </w:rPr>
            </w:pPr>
          </w:p>
        </w:tc>
        <w:tc>
          <w:tcPr>
            <w:tcW w:w="300" w:type="dxa"/>
            <w:vAlign w:val="bottom"/>
            <w:tcBorders>
              <w:top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w:t>
            </w:r>
          </w:p>
        </w:tc>
        <w:tc>
          <w:tcPr>
            <w:tcW w:w="600" w:type="dxa"/>
            <w:vAlign w:val="bottom"/>
            <w:tcBorders>
              <w:top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55,213</w:t>
            </w:r>
          </w:p>
        </w:tc>
        <w:tc>
          <w:tcPr>
            <w:tcW w:w="14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18,823</w:t>
            </w:r>
          </w:p>
        </w:tc>
        <w:tc>
          <w:tcPr>
            <w:tcW w:w="200" w:type="dxa"/>
            <w:vAlign w:val="bottom"/>
          </w:tcPr>
          <w:p>
            <w:pPr>
              <w:spacing w:after="0"/>
              <w:rPr>
                <w:sz w:val="16"/>
                <w:szCs w:val="16"/>
                <w:color w:val="auto"/>
              </w:rPr>
            </w:pPr>
          </w:p>
        </w:tc>
        <w:tc>
          <w:tcPr>
            <w:tcW w:w="300" w:type="dxa"/>
            <w:vAlign w:val="bottom"/>
            <w:tcBorders>
              <w:top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56,422</w:t>
            </w:r>
          </w:p>
        </w:tc>
        <w:tc>
          <w:tcPr>
            <w:tcW w:w="100" w:type="dxa"/>
            <w:vAlign w:val="bottom"/>
          </w:tcPr>
          <w:p>
            <w:pPr>
              <w:spacing w:after="0"/>
              <w:rPr>
                <w:sz w:val="16"/>
                <w:szCs w:val="16"/>
                <w:color w:val="auto"/>
              </w:rPr>
            </w:pPr>
          </w:p>
        </w:tc>
        <w:tc>
          <w:tcPr>
            <w:tcW w:w="1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20,768</w:t>
            </w:r>
          </w:p>
        </w:tc>
        <w:tc>
          <w:tcPr>
            <w:tcW w:w="0" w:type="dxa"/>
            <w:vAlign w:val="bottom"/>
          </w:tcPr>
          <w:p>
            <w:pPr>
              <w:spacing w:after="0"/>
              <w:rPr>
                <w:sz w:val="1"/>
                <w:szCs w:val="1"/>
                <w:color w:val="auto"/>
              </w:rPr>
            </w:pPr>
          </w:p>
        </w:tc>
      </w:tr>
      <w:tr>
        <w:trPr>
          <w:trHeight w:val="415"/>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109,579</w:t>
            </w:r>
          </w:p>
        </w:tc>
        <w:tc>
          <w:tcPr>
            <w:tcW w:w="10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46,739</w:t>
            </w:r>
          </w:p>
        </w:tc>
        <w:tc>
          <w:tcPr>
            <w:tcW w:w="18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96,362</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40,259</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93,968</w:t>
            </w: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38,689</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Cash NOI</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87,683</w:t>
            </w:r>
          </w:p>
        </w:tc>
        <w:tc>
          <w:tcPr>
            <w:tcW w:w="10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36,332</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90,239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35,840</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81,675</w:t>
            </w:r>
          </w:p>
        </w:tc>
        <w:tc>
          <w:tcPr>
            <w:tcW w:w="1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32,393</w:t>
            </w:r>
          </w:p>
        </w:tc>
        <w:tc>
          <w:tcPr>
            <w:tcW w:w="0" w:type="dxa"/>
            <w:vAlign w:val="bottom"/>
          </w:tcPr>
          <w:p>
            <w:pPr>
              <w:spacing w:after="0"/>
              <w:rPr>
                <w:sz w:val="1"/>
                <w:szCs w:val="1"/>
                <w:color w:val="auto"/>
              </w:rPr>
            </w:pPr>
          </w:p>
        </w:tc>
      </w:tr>
      <w:tr>
        <w:trPr>
          <w:trHeight w:val="415"/>
        </w:trPr>
        <w:tc>
          <w:tcPr>
            <w:tcW w:w="3920" w:type="dxa"/>
            <w:vAlign w:val="bottom"/>
          </w:tcPr>
          <w:p>
            <w:pPr>
              <w:ind w:left="20"/>
              <w:spacing w:after="0"/>
              <w:rPr>
                <w:sz w:val="20"/>
                <w:szCs w:val="20"/>
                <w:color w:val="auto"/>
              </w:rPr>
            </w:pPr>
            <w:r>
              <w:rPr>
                <w:rFonts w:ascii="Arial" w:cs="Arial" w:eastAsia="Arial" w:hAnsi="Arial"/>
                <w:sz w:val="12"/>
                <w:szCs w:val="12"/>
                <w:color w:val="auto"/>
              </w:rPr>
              <w:t>Interest expense, net of interest income</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51,789</w:t>
            </w:r>
          </w:p>
        </w:tc>
        <w:tc>
          <w:tcPr>
            <w:tcW w:w="10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19,036</w:t>
            </w:r>
          </w:p>
        </w:tc>
        <w:tc>
          <w:tcPr>
            <w:tcW w:w="18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46,351</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17,391</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51,430</w:t>
            </w: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17,794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Amortization of deferred financing costs</w:t>
            </w: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7,155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2,651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7,276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2,136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3,473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1,416</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56,890</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24,102</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37,294</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14,910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38,144</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15,480</w:t>
            </w:r>
          </w:p>
        </w:tc>
        <w:tc>
          <w:tcPr>
            <w:tcW w:w="0" w:type="dxa"/>
            <w:vAlign w:val="bottom"/>
          </w:tcPr>
          <w:p>
            <w:pPr>
              <w:spacing w:after="0"/>
              <w:rPr>
                <w:sz w:val="1"/>
                <w:szCs w:val="1"/>
                <w:color w:val="auto"/>
              </w:rPr>
            </w:pPr>
          </w:p>
        </w:tc>
      </w:tr>
      <w:tr>
        <w:trPr>
          <w:trHeight w:val="194"/>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spacing w:after="0"/>
              <w:rPr>
                <w:sz w:val="20"/>
                <w:szCs w:val="20"/>
                <w:color w:val="auto"/>
              </w:rPr>
            </w:pPr>
            <w:r>
              <w:rPr>
                <w:rFonts w:ascii="Arial" w:cs="Arial" w:eastAsia="Arial" w:hAnsi="Arial"/>
                <w:sz w:val="12"/>
                <w:szCs w:val="12"/>
                <w:b w:val="1"/>
                <w:bCs w:val="1"/>
                <w:color w:val="auto"/>
              </w:rPr>
              <w:t>(6,255)</w:t>
            </w:r>
          </w:p>
        </w:tc>
        <w:tc>
          <w:tcPr>
            <w:tcW w:w="100" w:type="dxa"/>
            <w:vAlign w:val="bottom"/>
          </w:tcPr>
          <w:p>
            <w:pPr>
              <w:spacing w:after="0"/>
              <w:rPr>
                <w:sz w:val="16"/>
                <w:szCs w:val="16"/>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950</w:t>
            </w:r>
          </w:p>
        </w:tc>
        <w:tc>
          <w:tcPr>
            <w:tcW w:w="180" w:type="dxa"/>
            <w:vAlign w:val="bottom"/>
          </w:tcPr>
          <w:p>
            <w:pPr>
              <w:spacing w:after="0"/>
              <w:rPr>
                <w:sz w:val="16"/>
                <w:szCs w:val="16"/>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b w:val="1"/>
                <w:bCs w:val="1"/>
                <w:color w:val="auto"/>
              </w:rPr>
              <w:t>5,441</w:t>
            </w:r>
          </w:p>
        </w:tc>
        <w:tc>
          <w:tcPr>
            <w:tcW w:w="14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5,822</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921</w:t>
            </w:r>
          </w:p>
        </w:tc>
        <w:tc>
          <w:tcPr>
            <w:tcW w:w="100" w:type="dxa"/>
            <w:vAlign w:val="bottom"/>
          </w:tcPr>
          <w:p>
            <w:pPr>
              <w:spacing w:after="0"/>
              <w:rPr>
                <w:sz w:val="16"/>
                <w:szCs w:val="16"/>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3,999</w:t>
            </w:r>
          </w:p>
        </w:tc>
        <w:tc>
          <w:tcPr>
            <w:tcW w:w="0" w:type="dxa"/>
            <w:vAlign w:val="bottom"/>
          </w:tcPr>
          <w:p>
            <w:pPr>
              <w:spacing w:after="0"/>
              <w:rPr>
                <w:sz w:val="1"/>
                <w:szCs w:val="1"/>
                <w:color w:val="auto"/>
              </w:rPr>
            </w:pPr>
          </w:p>
        </w:tc>
      </w:tr>
      <w:tr>
        <w:trPr>
          <w:trHeight w:val="420"/>
        </w:trPr>
        <w:tc>
          <w:tcPr>
            <w:tcW w:w="3920" w:type="dxa"/>
            <w:vAlign w:val="bottom"/>
          </w:tcPr>
          <w:p>
            <w:pPr>
              <w:ind w:left="20"/>
              <w:spacing w:after="0"/>
              <w:rPr>
                <w:sz w:val="20"/>
                <w:szCs w:val="20"/>
                <w:color w:val="auto"/>
              </w:rPr>
            </w:pPr>
            <w:r>
              <w:rPr>
                <w:rFonts w:ascii="Arial" w:cs="Arial" w:eastAsia="Arial" w:hAnsi="Arial"/>
                <w:sz w:val="12"/>
                <w:szCs w:val="12"/>
                <w:color w:val="auto"/>
              </w:rPr>
              <w:t>Real estate depreciation</w:t>
            </w: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56,830</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24,101</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color w:val="auto"/>
              </w:rPr>
              <w:t>37,234</w:t>
            </w: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14,909</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38,073</w:t>
            </w:r>
          </w:p>
        </w:tc>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15,474</w:t>
            </w:r>
          </w:p>
        </w:tc>
        <w:tc>
          <w:tcPr>
            <w:tcW w:w="0" w:type="dxa"/>
            <w:vAlign w:val="bottom"/>
          </w:tcPr>
          <w:p>
            <w:pPr>
              <w:spacing w:after="0"/>
              <w:rPr>
                <w:sz w:val="1"/>
                <w:szCs w:val="1"/>
                <w:color w:val="auto"/>
              </w:rPr>
            </w:pPr>
          </w:p>
        </w:tc>
      </w:tr>
      <w:tr>
        <w:trPr>
          <w:trHeight w:val="193"/>
        </w:trPr>
        <w:tc>
          <w:tcPr>
            <w:tcW w:w="3920" w:type="dxa"/>
            <w:vAlign w:val="bottom"/>
          </w:tcPr>
          <w:p>
            <w:pPr>
              <w:ind w:left="20"/>
              <w:spacing w:after="0"/>
              <w:rPr>
                <w:sz w:val="20"/>
                <w:szCs w:val="20"/>
                <w:color w:val="auto"/>
              </w:rPr>
            </w:pPr>
            <w:r>
              <w:rPr>
                <w:rFonts w:ascii="Arial" w:cs="Arial" w:eastAsia="Arial" w:hAnsi="Arial"/>
                <w:sz w:val="12"/>
                <w:szCs w:val="12"/>
                <w:b w:val="1"/>
                <w:bCs w:val="1"/>
                <w:color w:val="auto"/>
              </w:rPr>
              <w:t>FFO Contribution</w:t>
            </w: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50,575</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25,051</w:t>
            </w:r>
          </w:p>
        </w:tc>
        <w:tc>
          <w:tcPr>
            <w:tcW w:w="180" w:type="dxa"/>
            <w:vAlign w:val="bottom"/>
          </w:tcPr>
          <w:p>
            <w:pPr>
              <w:spacing w:after="0"/>
              <w:rPr>
                <w:sz w:val="16"/>
                <w:szCs w:val="16"/>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auto"/>
            </w:tcBorders>
            <w:gridSpan w:val="2"/>
          </w:tcPr>
          <w:p>
            <w:pPr>
              <w:jc w:val="right"/>
              <w:ind w:right="2"/>
              <w:spacing w:after="0"/>
              <w:rPr>
                <w:sz w:val="20"/>
                <w:szCs w:val="20"/>
                <w:color w:val="auto"/>
              </w:rPr>
            </w:pPr>
            <w:r>
              <w:rPr>
                <w:rFonts w:ascii="Arial" w:cs="Arial" w:eastAsia="Arial" w:hAnsi="Arial"/>
                <w:sz w:val="12"/>
                <w:szCs w:val="12"/>
                <w:b w:val="1"/>
                <w:bCs w:val="1"/>
                <w:color w:val="auto"/>
              </w:rPr>
              <w:t>42,675</w:t>
            </w:r>
          </w:p>
        </w:tc>
        <w:tc>
          <w:tcPr>
            <w:tcW w:w="14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20,731</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38,994</w:t>
            </w:r>
          </w:p>
        </w:tc>
        <w:tc>
          <w:tcPr>
            <w:tcW w:w="100" w:type="dxa"/>
            <w:vAlign w:val="bottom"/>
          </w:tcPr>
          <w:p>
            <w:pPr>
              <w:spacing w:after="0"/>
              <w:rPr>
                <w:sz w:val="16"/>
                <w:szCs w:val="16"/>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19,473</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FAD Adjustments:</w:t>
            </w: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3920" w:type="dxa"/>
            <w:vAlign w:val="bottom"/>
            <w:tcBorders>
              <w:bottom w:val="single" w:sz="8" w:color="auto"/>
            </w:tcBorders>
            <w:vMerge w:val="continue"/>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3920" w:type="dxa"/>
            <w:vAlign w:val="bottom"/>
          </w:tcPr>
          <w:p>
            <w:pPr>
              <w:ind w:left="20"/>
              <w:spacing w:after="0"/>
              <w:rPr>
                <w:sz w:val="20"/>
                <w:szCs w:val="20"/>
                <w:color w:val="auto"/>
              </w:rPr>
            </w:pPr>
            <w:r>
              <w:rPr>
                <w:rFonts w:ascii="Arial" w:cs="Arial" w:eastAsia="Arial" w:hAnsi="Arial"/>
                <w:sz w:val="12"/>
                <w:szCs w:val="12"/>
                <w:color w:val="auto"/>
              </w:rPr>
              <w:t>Non real estate depreciation and amortization</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7,215</w:t>
            </w:r>
          </w:p>
        </w:tc>
        <w:tc>
          <w:tcPr>
            <w:tcW w:w="100" w:type="dxa"/>
            <w:vAlign w:val="bottom"/>
          </w:tcPr>
          <w:p>
            <w:pPr>
              <w:spacing w:after="0"/>
              <w:rPr>
                <w:sz w:val="17"/>
                <w:szCs w:val="17"/>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2,652</w:t>
            </w:r>
          </w:p>
        </w:tc>
        <w:tc>
          <w:tcPr>
            <w:tcW w:w="18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7,337</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2,137</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3,544</w:t>
            </w:r>
          </w:p>
        </w:tc>
        <w:tc>
          <w:tcPr>
            <w:tcW w:w="10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1,423</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Straight-line rental income and other non-cash adjustments</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(18,671)</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(9,214)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(12,391)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(6,059)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(11,113)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(5,454)</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Second cycle tenant improvement</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(766)</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(396)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(2,263)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(1,175)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(4,035)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(1,393)</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Second cycle leasing commissions</w:t>
            </w: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(28,253)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(15,801)</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2"/>
                <w:szCs w:val="12"/>
                <w:color w:val="auto"/>
              </w:rPr>
              <w:t>(142)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(730)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2"/>
                <w:szCs w:val="12"/>
                <w:color w:val="auto"/>
              </w:rPr>
              <w:t>(260)</w:t>
            </w: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Arial" w:cs="Arial" w:eastAsia="Arial" w:hAnsi="Arial"/>
                <w:sz w:val="12"/>
                <w:szCs w:val="12"/>
                <w:color w:val="auto"/>
              </w:rPr>
              <w:t>Recurring CAPEX</w:t>
            </w: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(1,146)</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(556)</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(1,142)</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(635)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(1,391)</w:t>
            </w: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(738)</w:t>
            </w:r>
          </w:p>
        </w:tc>
        <w:tc>
          <w:tcPr>
            <w:tcW w:w="0" w:type="dxa"/>
            <w:vAlign w:val="bottom"/>
          </w:tcPr>
          <w:p>
            <w:pPr>
              <w:spacing w:after="0"/>
              <w:rPr>
                <w:sz w:val="1"/>
                <w:szCs w:val="1"/>
                <w:color w:val="auto"/>
              </w:rPr>
            </w:pPr>
          </w:p>
        </w:tc>
      </w:tr>
      <w:tr>
        <w:trPr>
          <w:trHeight w:val="199"/>
        </w:trPr>
        <w:tc>
          <w:tcPr>
            <w:tcW w:w="3920" w:type="dxa"/>
            <w:vAlign w:val="bottom"/>
          </w:tcPr>
          <w:p>
            <w:pPr>
              <w:ind w:left="20"/>
              <w:spacing w:after="0"/>
              <w:rPr>
                <w:sz w:val="20"/>
                <w:szCs w:val="20"/>
                <w:color w:val="auto"/>
              </w:rPr>
            </w:pPr>
            <w:r>
              <w:rPr>
                <w:rFonts w:ascii="Arial" w:cs="Arial" w:eastAsia="Arial" w:hAnsi="Arial"/>
                <w:sz w:val="12"/>
                <w:szCs w:val="12"/>
                <w:color w:val="auto"/>
              </w:rPr>
              <w:t>Total FAD Adjustments</w:t>
            </w: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(41,621)</w:t>
            </w:r>
          </w:p>
        </w:tc>
        <w:tc>
          <w:tcPr>
            <w:tcW w:w="100" w:type="dxa"/>
            <w:vAlign w:val="bottom"/>
          </w:tcPr>
          <w:p>
            <w:pPr>
              <w:spacing w:after="0"/>
              <w:rPr>
                <w:sz w:val="17"/>
                <w:szCs w:val="17"/>
                <w:color w:val="auto"/>
              </w:rPr>
            </w:pPr>
          </w:p>
        </w:tc>
        <w:tc>
          <w:tcPr>
            <w:tcW w:w="10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(23,315)</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w:t>
            </w: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(9,041)</w:t>
            </w:r>
          </w:p>
        </w:tc>
        <w:tc>
          <w:tcPr>
            <w:tcW w:w="14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w:t>
            </w: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(5,874)</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(13,725)</w:t>
            </w:r>
          </w:p>
        </w:tc>
        <w:tc>
          <w:tcPr>
            <w:tcW w:w="100" w:type="dxa"/>
            <w:vAlign w:val="bottom"/>
          </w:tcPr>
          <w:p>
            <w:pPr>
              <w:spacing w:after="0"/>
              <w:rPr>
                <w:sz w:val="17"/>
                <w:szCs w:val="17"/>
                <w:color w:val="auto"/>
              </w:rPr>
            </w:pPr>
          </w:p>
        </w:tc>
        <w:tc>
          <w:tcPr>
            <w:tcW w:w="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(6,422)</w:t>
            </w:r>
          </w:p>
        </w:tc>
        <w:tc>
          <w:tcPr>
            <w:tcW w:w="0" w:type="dxa"/>
            <w:vAlign w:val="bottom"/>
          </w:tcPr>
          <w:p>
            <w:pPr>
              <w:spacing w:after="0"/>
              <w:rPr>
                <w:sz w:val="1"/>
                <w:szCs w:val="1"/>
                <w:color w:val="auto"/>
              </w:rPr>
            </w:pPr>
          </w:p>
        </w:tc>
      </w:tr>
      <w:tr>
        <w:trPr>
          <w:trHeight w:val="401"/>
        </w:trPr>
        <w:tc>
          <w:tcPr>
            <w:tcW w:w="3920" w:type="dxa"/>
            <w:vAlign w:val="bottom"/>
          </w:tcPr>
          <w:p>
            <w:pPr>
              <w:ind w:left="20"/>
              <w:spacing w:after="0"/>
              <w:rPr>
                <w:sz w:val="20"/>
                <w:szCs w:val="20"/>
                <w:color w:val="auto"/>
              </w:rPr>
            </w:pPr>
            <w:r>
              <w:rPr>
                <w:rFonts w:ascii="Arial" w:cs="Arial" w:eastAsia="Arial" w:hAnsi="Arial"/>
                <w:sz w:val="12"/>
                <w:szCs w:val="12"/>
                <w:color w:val="auto"/>
              </w:rPr>
              <w:t>First cycle tenant improvement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11,422</w:t>
            </w:r>
          </w:p>
        </w:tc>
        <w:tc>
          <w:tcPr>
            <w:tcW w:w="100" w:type="dxa"/>
            <w:vAlign w:val="bottom"/>
          </w:tcPr>
          <w:p>
            <w:pPr>
              <w:spacing w:after="0"/>
              <w:rPr>
                <w:sz w:val="24"/>
                <w:szCs w:val="24"/>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5,255</w:t>
            </w:r>
          </w:p>
        </w:tc>
        <w:tc>
          <w:tcPr>
            <w:tcW w:w="18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19,660</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9,009</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14,282</w:t>
            </w:r>
          </w:p>
        </w:tc>
        <w:tc>
          <w:tcPr>
            <w:tcW w:w="100" w:type="dxa"/>
            <w:vAlign w:val="bottom"/>
          </w:tcPr>
          <w:p>
            <w:pPr>
              <w:spacing w:after="0"/>
              <w:rPr>
                <w:sz w:val="24"/>
                <w:szCs w:val="2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4,750</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First cycle leasing commissions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4,539</w:t>
            </w:r>
          </w:p>
        </w:tc>
        <w:tc>
          <w:tcPr>
            <w:tcW w:w="10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2,213</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2,487</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1,071</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4,880</w:t>
            </w:r>
          </w:p>
        </w:tc>
        <w:tc>
          <w:tcPr>
            <w:tcW w:w="1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2,250</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Development/Redevelopment costs</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13,665</w:t>
            </w:r>
          </w:p>
        </w:tc>
        <w:tc>
          <w:tcPr>
            <w:tcW w:w="10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7,292</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7,182</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4,794</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25,955</w:t>
            </w:r>
          </w:p>
        </w:tc>
        <w:tc>
          <w:tcPr>
            <w:tcW w:w="1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10,981</w:t>
            </w:r>
          </w:p>
        </w:tc>
        <w:tc>
          <w:tcPr>
            <w:tcW w:w="0" w:type="dxa"/>
            <w:vAlign w:val="bottom"/>
          </w:tcPr>
          <w:p>
            <w:pPr>
              <w:spacing w:after="0"/>
              <w:rPr>
                <w:sz w:val="1"/>
                <w:szCs w:val="1"/>
                <w:color w:val="auto"/>
              </w:rPr>
            </w:pPr>
          </w:p>
        </w:tc>
      </w:tr>
      <w:tr>
        <w:trPr>
          <w:trHeight w:val="219"/>
        </w:trPr>
        <w:tc>
          <w:tcPr>
            <w:tcW w:w="3920" w:type="dxa"/>
            <w:vAlign w:val="bottom"/>
          </w:tcPr>
          <w:p>
            <w:pPr>
              <w:ind w:left="20"/>
              <w:spacing w:after="0"/>
              <w:rPr>
                <w:sz w:val="20"/>
                <w:szCs w:val="20"/>
                <w:color w:val="auto"/>
              </w:rPr>
            </w:pPr>
            <w:r>
              <w:rPr>
                <w:rFonts w:ascii="Arial" w:cs="Arial" w:eastAsia="Arial" w:hAnsi="Arial"/>
                <w:sz w:val="12"/>
                <w:szCs w:val="12"/>
                <w:color w:val="auto"/>
              </w:rPr>
              <w:t>Capitalized interest</w:t>
            </w: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4,998</w:t>
            </w:r>
          </w:p>
        </w:tc>
        <w:tc>
          <w:tcPr>
            <w:tcW w:w="100" w:type="dxa"/>
            <w:vAlign w:val="bottom"/>
          </w:tcPr>
          <w:p>
            <w:pPr>
              <w:spacing w:after="0"/>
              <w:rPr>
                <w:sz w:val="19"/>
                <w:szCs w:val="19"/>
                <w:color w:val="auto"/>
              </w:rPr>
            </w:pPr>
          </w:p>
        </w:tc>
        <w:tc>
          <w:tcPr>
            <w:tcW w:w="100" w:type="dxa"/>
            <w:vAlign w:val="bottom"/>
            <w:gridSpan w:val="2"/>
          </w:tcPr>
          <w:p>
            <w:pPr>
              <w:ind w:lef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2,732</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2"/>
              <w:spacing w:after="0"/>
              <w:rPr>
                <w:sz w:val="20"/>
                <w:szCs w:val="20"/>
                <w:color w:val="auto"/>
              </w:rPr>
            </w:pPr>
            <w:r>
              <w:rPr>
                <w:rFonts w:ascii="Arial" w:cs="Arial" w:eastAsia="Arial" w:hAnsi="Arial"/>
                <w:sz w:val="12"/>
                <w:szCs w:val="12"/>
                <w:color w:val="auto"/>
              </w:rPr>
              <w:t>6,519</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60"/>
              <w:spacing w:after="0"/>
              <w:rPr>
                <w:sz w:val="20"/>
                <w:szCs w:val="20"/>
                <w:color w:val="auto"/>
              </w:rPr>
            </w:pPr>
            <w:r>
              <w:rPr>
                <w:rFonts w:ascii="Arial" w:cs="Arial" w:eastAsia="Arial" w:hAnsi="Arial"/>
                <w:sz w:val="12"/>
                <w:szCs w:val="12"/>
                <w:color w:val="auto"/>
              </w:rPr>
              <w:t>3,491</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9,724</w:t>
            </w:r>
          </w:p>
        </w:tc>
        <w:tc>
          <w:tcPr>
            <w:tcW w:w="100" w:type="dxa"/>
            <w:vAlign w:val="bottom"/>
          </w:tcPr>
          <w:p>
            <w:pPr>
              <w:spacing w:after="0"/>
              <w:rPr>
                <w:sz w:val="19"/>
                <w:szCs w:val="19"/>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auto"/>
                <w:w w:val="89"/>
              </w:rPr>
              <w:t>$</w:t>
            </w:r>
          </w:p>
        </w:tc>
        <w:tc>
          <w:tcPr>
            <w:tcW w:w="800" w:type="dxa"/>
            <w:vAlign w:val="bottom"/>
            <w:gridSpan w:val="2"/>
          </w:tcPr>
          <w:p>
            <w:pPr>
              <w:jc w:val="right"/>
              <w:ind w:right="80"/>
              <w:spacing w:after="0"/>
              <w:rPr>
                <w:sz w:val="20"/>
                <w:szCs w:val="20"/>
                <w:color w:val="auto"/>
              </w:rPr>
            </w:pPr>
            <w:r>
              <w:rPr>
                <w:rFonts w:ascii="Arial" w:cs="Arial" w:eastAsia="Arial" w:hAnsi="Arial"/>
                <w:sz w:val="12"/>
                <w:szCs w:val="12"/>
                <w:color w:val="auto"/>
              </w:rPr>
              <w:t>4,901</w:t>
            </w:r>
          </w:p>
        </w:tc>
        <w:tc>
          <w:tcPr>
            <w:tcW w:w="0" w:type="dxa"/>
            <w:vAlign w:val="bottom"/>
          </w:tcPr>
          <w:p>
            <w:pPr>
              <w:spacing w:after="0"/>
              <w:rPr>
                <w:sz w:val="1"/>
                <w:szCs w:val="1"/>
                <w:color w:val="auto"/>
              </w:rPr>
            </w:pPr>
          </w:p>
        </w:tc>
      </w:tr>
      <w:tr>
        <w:trPr>
          <w:trHeight w:val="455"/>
        </w:trPr>
        <w:tc>
          <w:tcPr>
            <w:tcW w:w="3920" w:type="dxa"/>
            <w:vAlign w:val="bottom"/>
          </w:tcPr>
          <w:p>
            <w:pPr>
              <w:spacing w:after="0"/>
              <w:rPr>
                <w:sz w:val="20"/>
                <w:szCs w:val="20"/>
                <w:color w:val="auto"/>
              </w:rPr>
            </w:pPr>
            <w:r>
              <w:rPr>
                <w:rFonts w:ascii="Arial" w:cs="Arial" w:eastAsia="Arial" w:hAnsi="Arial"/>
                <w:sz w:val="10"/>
                <w:szCs w:val="10"/>
                <w:color w:val="auto"/>
              </w:rPr>
              <w:t>Supplemental Information</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3"/>
          </w:tcPr>
          <w:p>
            <w:pPr>
              <w:ind w:left="20"/>
              <w:spacing w:after="0"/>
              <w:rPr>
                <w:sz w:val="20"/>
                <w:szCs w:val="20"/>
                <w:color w:val="auto"/>
              </w:rPr>
            </w:pPr>
            <w:r>
              <w:rPr>
                <w:rFonts w:ascii="Arial" w:cs="Arial" w:eastAsia="Arial" w:hAnsi="Arial"/>
                <w:sz w:val="10"/>
                <w:szCs w:val="10"/>
                <w:color w:val="auto"/>
              </w:rPr>
              <w:t>20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4"/>
          </w:tcPr>
          <w:p>
            <w:pPr>
              <w:jc w:val="right"/>
              <w:spacing w:after="0"/>
              <w:rPr>
                <w:sz w:val="20"/>
                <w:szCs w:val="20"/>
                <w:color w:val="auto"/>
              </w:rPr>
            </w:pPr>
            <w:r>
              <w:rPr>
                <w:rFonts w:ascii="Arial" w:cs="Arial" w:eastAsia="Arial" w:hAnsi="Arial"/>
                <w:sz w:val="10"/>
                <w:szCs w:val="10"/>
                <w:color w:val="auto"/>
              </w:rPr>
              <w:t>Third Quarter 2016</w:t>
            </w:r>
          </w:p>
        </w:tc>
        <w:tc>
          <w:tcPr>
            <w:tcW w:w="0" w:type="dxa"/>
            <w:vAlign w:val="bottom"/>
          </w:tcPr>
          <w:p>
            <w:pPr>
              <w:spacing w:after="0"/>
              <w:rPr>
                <w:sz w:val="1"/>
                <w:szCs w:val="1"/>
                <w:color w:val="auto"/>
              </w:rPr>
            </w:pPr>
          </w:p>
        </w:tc>
      </w:tr>
    </w:tbl>
    <w:p>
      <w:pPr>
        <w:sectPr>
          <w:pgSz w:w="11900" w:h="16838" w:orient="portrait"/>
          <w:cols w:equalWidth="0" w:num="1">
            <w:col w:w="10080"/>
          </w:cols>
          <w:pgMar w:left="900" w:top="338" w:right="919" w:bottom="1440" w:gutter="0" w:footer="0" w:header="0"/>
        </w:sectPr>
      </w:pPr>
    </w:p>
    <w:bookmarkStart w:id="36" w:name="page37"/>
    <w:bookmarkEnd w:id="3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JOINT VENTURE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6000"/>
        <w:spacing w:after="0" w:line="231" w:lineRule="auto"/>
        <w:rPr>
          <w:sz w:val="20"/>
          <w:szCs w:val="20"/>
          <w:color w:val="auto"/>
        </w:rPr>
      </w:pPr>
      <w:r>
        <w:rPr>
          <w:rFonts w:ascii="Arial" w:cs="Arial" w:eastAsia="Arial" w:hAnsi="Arial"/>
          <w:sz w:val="15"/>
          <w:szCs w:val="15"/>
          <w:b w:val="1"/>
          <w:bCs w:val="1"/>
          <w:color w:val="auto"/>
        </w:rPr>
        <w:t>Statement of Operations for Unconsolidated Joint Ventures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4040" w:type="dxa"/>
            <w:vAlign w:val="bottom"/>
          </w:tcPr>
          <w:p>
            <w:pPr>
              <w:spacing w:after="0"/>
              <w:rPr>
                <w:sz w:val="13"/>
                <w:szCs w:val="13"/>
                <w:color w:val="auto"/>
              </w:rPr>
            </w:pPr>
          </w:p>
        </w:tc>
        <w:tc>
          <w:tcPr>
            <w:tcW w:w="2860" w:type="dxa"/>
            <w:vAlign w:val="bottom"/>
            <w:tcBorders>
              <w:bottom w:val="single" w:sz="8" w:color="auto"/>
            </w:tcBorders>
            <w:gridSpan w:val="7"/>
          </w:tcPr>
          <w:p>
            <w:pPr>
              <w:jc w:val="right"/>
              <w:ind w:right="320"/>
              <w:spacing w:after="0"/>
              <w:rPr>
                <w:sz w:val="20"/>
                <w:szCs w:val="20"/>
                <w:color w:val="auto"/>
              </w:rPr>
            </w:pPr>
            <w:r>
              <w:rPr>
                <w:rFonts w:ascii="Arial" w:cs="Arial" w:eastAsia="Arial" w:hAnsi="Arial"/>
                <w:sz w:val="12"/>
                <w:szCs w:val="12"/>
                <w:b w:val="1"/>
                <w:bCs w:val="1"/>
                <w:color w:val="auto"/>
              </w:rPr>
              <w:t>Nine Months Ended September 30, 2016</w:t>
            </w:r>
          </w:p>
        </w:tc>
        <w:tc>
          <w:tcPr>
            <w:tcW w:w="3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2"/>
                <w:szCs w:val="12"/>
                <w:b w:val="1"/>
                <w:bCs w:val="1"/>
                <w:color w:val="auto"/>
              </w:rPr>
              <w:t>Nine Months Ended September 30, 2015</w:t>
            </w:r>
          </w:p>
        </w:tc>
        <w:tc>
          <w:tcPr>
            <w:tcW w:w="0" w:type="dxa"/>
            <w:vAlign w:val="bottom"/>
          </w:tcPr>
          <w:p>
            <w:pPr>
              <w:spacing w:after="0"/>
              <w:rPr>
                <w:sz w:val="1"/>
                <w:szCs w:val="1"/>
                <w:color w:val="auto"/>
              </w:rPr>
            </w:pPr>
          </w:p>
        </w:tc>
      </w:tr>
      <w:tr>
        <w:trPr>
          <w:trHeight w:val="378"/>
        </w:trPr>
        <w:tc>
          <w:tcPr>
            <w:tcW w:w="4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w w:val="90"/>
              </w:rPr>
              <w:t>Total</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40" w:type="dxa"/>
            <w:vAlign w:val="bottom"/>
            <w:gridSpan w:val="3"/>
          </w:tcPr>
          <w:p>
            <w:pPr>
              <w:jc w:val="right"/>
              <w:ind w:right="600"/>
              <w:spacing w:after="0"/>
              <w:rPr>
                <w:sz w:val="20"/>
                <w:szCs w:val="20"/>
                <w:color w:val="auto"/>
              </w:rPr>
            </w:pPr>
            <w:r>
              <w:rPr>
                <w:rFonts w:ascii="Arial" w:cs="Arial" w:eastAsia="Arial" w:hAnsi="Arial"/>
                <w:sz w:val="12"/>
                <w:szCs w:val="12"/>
                <w:b w:val="1"/>
                <w:bCs w:val="1"/>
                <w:color w:val="auto"/>
              </w:rPr>
              <w:t>SLG Interest</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gridSpan w:val="3"/>
          </w:tcPr>
          <w:p>
            <w:pPr>
              <w:ind w:left="40"/>
              <w:spacing w:after="0"/>
              <w:rPr>
                <w:sz w:val="20"/>
                <w:szCs w:val="20"/>
                <w:color w:val="auto"/>
              </w:rPr>
            </w:pPr>
            <w:r>
              <w:rPr>
                <w:rFonts w:ascii="Arial" w:cs="Arial" w:eastAsia="Arial" w:hAnsi="Arial"/>
                <w:sz w:val="12"/>
                <w:szCs w:val="12"/>
                <w:b w:val="1"/>
                <w:bCs w:val="1"/>
                <w:color w:val="auto"/>
              </w:rPr>
              <w:t>Total</w:t>
            </w:r>
          </w:p>
        </w:tc>
        <w:tc>
          <w:tcPr>
            <w:tcW w:w="300" w:type="dxa"/>
            <w:vAlign w:val="bottom"/>
          </w:tcPr>
          <w:p>
            <w:pPr>
              <w:spacing w:after="0"/>
              <w:rPr>
                <w:sz w:val="24"/>
                <w:szCs w:val="24"/>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8"/>
              </w:rPr>
              <w:t>SLG Interest</w:t>
            </w:r>
          </w:p>
        </w:tc>
        <w:tc>
          <w:tcPr>
            <w:tcW w:w="0" w:type="dxa"/>
            <w:vAlign w:val="bottom"/>
          </w:tcPr>
          <w:p>
            <w:pPr>
              <w:spacing w:after="0"/>
              <w:rPr>
                <w:sz w:val="1"/>
                <w:szCs w:val="1"/>
                <w:color w:val="auto"/>
              </w:rPr>
            </w:pPr>
          </w:p>
        </w:tc>
      </w:tr>
      <w:tr>
        <w:trPr>
          <w:trHeight w:val="227"/>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Revenues</w:t>
            </w:r>
          </w:p>
        </w:tc>
        <w:tc>
          <w:tcPr>
            <w:tcW w:w="50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40" w:type="dxa"/>
            <w:vAlign w:val="bottom"/>
          </w:tcPr>
          <w:p>
            <w:pPr>
              <w:ind w:left="20"/>
              <w:spacing w:after="0"/>
              <w:rPr>
                <w:sz w:val="20"/>
                <w:szCs w:val="20"/>
                <w:color w:val="auto"/>
              </w:rPr>
            </w:pPr>
            <w:r>
              <w:rPr>
                <w:rFonts w:ascii="Arial" w:cs="Arial" w:eastAsia="Arial" w:hAnsi="Arial"/>
                <w:sz w:val="12"/>
                <w:szCs w:val="12"/>
                <w:color w:val="auto"/>
              </w:rPr>
              <w:t>Rental revenue, net</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7"/>
                <w:szCs w:val="17"/>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w w:val="96"/>
              </w:rPr>
              <w:t>437,766</w:t>
            </w:r>
          </w:p>
        </w:tc>
        <w:tc>
          <w:tcPr>
            <w:tcW w:w="18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166,521</w:t>
            </w:r>
          </w:p>
        </w:tc>
        <w:tc>
          <w:tcPr>
            <w:tcW w:w="3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364,516</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138,603</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Escalation and reimbursement revenues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30,363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12,512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27,847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12,079</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Investment income</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17,204</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11,700</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8,853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8,461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2"/>
                <w:szCs w:val="12"/>
                <w:color w:val="auto"/>
              </w:rPr>
              <w:t>Other income</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12,975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6,189</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21,873</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10,846</w:t>
            </w: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2"/>
                <w:szCs w:val="12"/>
                <w:b w:val="1"/>
                <w:bCs w:val="1"/>
                <w:color w:val="auto"/>
              </w:rPr>
              <w:t>Total Revenues, net</w:t>
            </w:r>
          </w:p>
        </w:tc>
        <w:tc>
          <w:tcPr>
            <w:tcW w:w="500" w:type="dxa"/>
            <w:vAlign w:val="bottom"/>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320" w:type="dxa"/>
            <w:vAlign w:val="bottom"/>
          </w:tcPr>
          <w:p>
            <w:pPr>
              <w:spacing w:after="0"/>
              <w:rPr>
                <w:sz w:val="16"/>
                <w:szCs w:val="16"/>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b w:val="1"/>
                <w:bCs w:val="1"/>
                <w:color w:val="auto"/>
                <w:w w:val="96"/>
              </w:rPr>
              <w:t>498,308</w:t>
            </w:r>
          </w:p>
        </w:tc>
        <w:tc>
          <w:tcPr>
            <w:tcW w:w="180" w:type="dxa"/>
            <w:vAlign w:val="bottom"/>
          </w:tcPr>
          <w:p>
            <w:pPr>
              <w:spacing w:after="0"/>
              <w:rPr>
                <w:sz w:val="16"/>
                <w:szCs w:val="16"/>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196,922</w:t>
            </w:r>
          </w:p>
        </w:tc>
        <w:tc>
          <w:tcPr>
            <w:tcW w:w="30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423,089</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169,989</w:t>
            </w:r>
          </w:p>
        </w:tc>
        <w:tc>
          <w:tcPr>
            <w:tcW w:w="0" w:type="dxa"/>
            <w:vAlign w:val="bottom"/>
          </w:tcPr>
          <w:p>
            <w:pPr>
              <w:spacing w:after="0"/>
              <w:rPr>
                <w:sz w:val="1"/>
                <w:szCs w:val="1"/>
                <w:color w:val="auto"/>
              </w:rPr>
            </w:pPr>
          </w:p>
        </w:tc>
      </w:tr>
      <w:tr>
        <w:trPr>
          <w:trHeight w:val="415"/>
        </w:trPr>
        <w:tc>
          <w:tcPr>
            <w:tcW w:w="4040" w:type="dxa"/>
            <w:vAlign w:val="bottom"/>
          </w:tcPr>
          <w:p>
            <w:pPr>
              <w:ind w:left="20"/>
              <w:spacing w:after="0"/>
              <w:rPr>
                <w:sz w:val="20"/>
                <w:szCs w:val="20"/>
                <w:color w:val="auto"/>
              </w:rPr>
            </w:pPr>
            <w:r>
              <w:rPr>
                <w:rFonts w:ascii="Arial" w:cs="Arial" w:eastAsia="Arial" w:hAnsi="Arial"/>
                <w:sz w:val="12"/>
                <w:szCs w:val="12"/>
                <w:color w:val="auto"/>
              </w:rPr>
              <w:t>Loss on early extinguishment of debt</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(1,606)</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(972)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(1,081)</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(495)</w:t>
            </w:r>
          </w:p>
        </w:tc>
        <w:tc>
          <w:tcPr>
            <w:tcW w:w="0" w:type="dxa"/>
            <w:vAlign w:val="bottom"/>
          </w:tcPr>
          <w:p>
            <w:pPr>
              <w:spacing w:after="0"/>
              <w:rPr>
                <w:sz w:val="1"/>
                <w:szCs w:val="1"/>
                <w:color w:val="auto"/>
              </w:rPr>
            </w:pPr>
          </w:p>
        </w:tc>
      </w:tr>
      <w:tr>
        <w:trPr>
          <w:trHeight w:val="420"/>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Expenses</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40" w:type="dxa"/>
            <w:vAlign w:val="bottom"/>
          </w:tcPr>
          <w:p>
            <w:pPr>
              <w:ind w:left="20"/>
              <w:spacing w:after="0"/>
              <w:rPr>
                <w:sz w:val="20"/>
                <w:szCs w:val="20"/>
                <w:color w:val="auto"/>
              </w:rPr>
            </w:pPr>
            <w:r>
              <w:rPr>
                <w:rFonts w:ascii="Arial" w:cs="Arial" w:eastAsia="Arial" w:hAnsi="Arial"/>
                <w:sz w:val="12"/>
                <w:szCs w:val="12"/>
                <w:color w:val="auto"/>
              </w:rPr>
              <w:t>Operating expenses</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7"/>
                <w:szCs w:val="17"/>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89,147</w:t>
            </w:r>
          </w:p>
        </w:tc>
        <w:tc>
          <w:tcPr>
            <w:tcW w:w="18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29,464</w:t>
            </w:r>
          </w:p>
        </w:tc>
        <w:tc>
          <w:tcPr>
            <w:tcW w:w="3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79,478</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28,907</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Ground rent</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10,670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5,335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9,841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4,921</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Real estate taxes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79,356</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27,435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65,205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23,663</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2"/>
                <w:szCs w:val="12"/>
                <w:color w:val="auto"/>
              </w:rPr>
              <w:t>Transaction related costs, net of recoveries</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rPr>
              <w:t>5,359</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3,019</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615</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37</w:t>
            </w: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2"/>
                <w:szCs w:val="12"/>
                <w:b w:val="1"/>
                <w:bCs w:val="1"/>
                <w:color w:val="auto"/>
              </w:rPr>
              <w:t>Total Operating Expenses</w:t>
            </w:r>
          </w:p>
        </w:tc>
        <w:tc>
          <w:tcPr>
            <w:tcW w:w="500" w:type="dxa"/>
            <w:vAlign w:val="bottom"/>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320" w:type="dxa"/>
            <w:vAlign w:val="bottom"/>
          </w:tcPr>
          <w:p>
            <w:pPr>
              <w:spacing w:after="0"/>
              <w:rPr>
                <w:sz w:val="16"/>
                <w:szCs w:val="16"/>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b w:val="1"/>
                <w:bCs w:val="1"/>
                <w:color w:val="auto"/>
                <w:w w:val="96"/>
              </w:rPr>
              <w:t>184,532</w:t>
            </w:r>
          </w:p>
        </w:tc>
        <w:tc>
          <w:tcPr>
            <w:tcW w:w="180" w:type="dxa"/>
            <w:vAlign w:val="bottom"/>
          </w:tcPr>
          <w:p>
            <w:pPr>
              <w:spacing w:after="0"/>
              <w:rPr>
                <w:sz w:val="16"/>
                <w:szCs w:val="16"/>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65,253</w:t>
            </w:r>
          </w:p>
        </w:tc>
        <w:tc>
          <w:tcPr>
            <w:tcW w:w="30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155,139</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57,528</w:t>
            </w:r>
          </w:p>
        </w:tc>
        <w:tc>
          <w:tcPr>
            <w:tcW w:w="0" w:type="dxa"/>
            <w:vAlign w:val="bottom"/>
          </w:tcPr>
          <w:p>
            <w:pPr>
              <w:spacing w:after="0"/>
              <w:rPr>
                <w:sz w:val="1"/>
                <w:szCs w:val="1"/>
                <w:color w:val="auto"/>
              </w:rPr>
            </w:pPr>
          </w:p>
        </w:tc>
      </w:tr>
      <w:tr>
        <w:trPr>
          <w:trHeight w:val="415"/>
        </w:trPr>
        <w:tc>
          <w:tcPr>
            <w:tcW w:w="4040" w:type="dxa"/>
            <w:vAlign w:val="bottom"/>
          </w:tcPr>
          <w:p>
            <w:pPr>
              <w:ind w:left="20"/>
              <w:spacing w:after="0"/>
              <w:rPr>
                <w:sz w:val="20"/>
                <w:szCs w:val="20"/>
                <w:color w:val="auto"/>
              </w:rPr>
            </w:pPr>
            <w:r>
              <w:rPr>
                <w:rFonts w:ascii="Arial" w:cs="Arial" w:eastAsia="Arial" w:hAnsi="Arial"/>
                <w:sz w:val="12"/>
                <w:szCs w:val="12"/>
                <w:b w:val="1"/>
                <w:bCs w:val="1"/>
                <w:color w:val="auto"/>
              </w:rPr>
              <w:t>Operating Income</w:t>
            </w:r>
          </w:p>
        </w:tc>
        <w:tc>
          <w:tcPr>
            <w:tcW w:w="500" w:type="dxa"/>
            <w:vAlign w:val="bottom"/>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32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b w:val="1"/>
                <w:bCs w:val="1"/>
                <w:color w:val="auto"/>
                <w:w w:val="96"/>
              </w:rPr>
              <w:t>312,170</w:t>
            </w:r>
          </w:p>
        </w:tc>
        <w:tc>
          <w:tcPr>
            <w:tcW w:w="18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130,697</w:t>
            </w:r>
          </w:p>
        </w:tc>
        <w:tc>
          <w:tcPr>
            <w:tcW w:w="30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266,869</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111,966</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b w:val="1"/>
                <w:bCs w:val="1"/>
                <w:color w:val="auto"/>
              </w:rPr>
              <w:t>Cash NOI</w:t>
            </w:r>
          </w:p>
        </w:tc>
        <w:tc>
          <w:tcPr>
            <w:tcW w:w="500" w:type="dxa"/>
            <w:vAlign w:val="bottom"/>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b w:val="1"/>
                <w:bCs w:val="1"/>
                <w:color w:val="auto"/>
                <w:w w:val="96"/>
              </w:rPr>
              <w:t>252,390</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100,933</w:t>
            </w:r>
          </w:p>
        </w:tc>
        <w:tc>
          <w:tcPr>
            <w:tcW w:w="30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237,309</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95,976</w:t>
            </w:r>
          </w:p>
        </w:tc>
        <w:tc>
          <w:tcPr>
            <w:tcW w:w="0" w:type="dxa"/>
            <w:vAlign w:val="bottom"/>
          </w:tcPr>
          <w:p>
            <w:pPr>
              <w:spacing w:after="0"/>
              <w:rPr>
                <w:sz w:val="1"/>
                <w:szCs w:val="1"/>
                <w:color w:val="auto"/>
              </w:rPr>
            </w:pPr>
          </w:p>
        </w:tc>
      </w:tr>
      <w:tr>
        <w:trPr>
          <w:trHeight w:val="415"/>
        </w:trPr>
        <w:tc>
          <w:tcPr>
            <w:tcW w:w="4040" w:type="dxa"/>
            <w:vAlign w:val="bottom"/>
          </w:tcPr>
          <w:p>
            <w:pPr>
              <w:ind w:left="20"/>
              <w:spacing w:after="0"/>
              <w:rPr>
                <w:sz w:val="20"/>
                <w:szCs w:val="20"/>
                <w:color w:val="auto"/>
              </w:rPr>
            </w:pPr>
            <w:r>
              <w:rPr>
                <w:rFonts w:ascii="Arial" w:cs="Arial" w:eastAsia="Arial" w:hAnsi="Arial"/>
                <w:sz w:val="12"/>
                <w:szCs w:val="12"/>
                <w:color w:val="auto"/>
              </w:rPr>
              <w:t>Interest expense, net of interest income</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w w:val="96"/>
              </w:rPr>
              <w:t>147,876</w:t>
            </w:r>
          </w:p>
        </w:tc>
        <w:tc>
          <w:tcPr>
            <w:tcW w:w="18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53,686</w:t>
            </w:r>
          </w:p>
        </w:tc>
        <w:tc>
          <w:tcPr>
            <w:tcW w:w="30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147,152</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51,308</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Amortization of deferred financing costs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17,667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6,083</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9,628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4,081</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2"/>
                <w:szCs w:val="12"/>
                <w:color w:val="auto"/>
              </w:rPr>
              <w:t>Depreciation and amortization</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96"/>
              </w:rPr>
              <w:t>132,035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53,915</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109,022</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44,834</w:t>
            </w:r>
          </w:p>
        </w:tc>
        <w:tc>
          <w:tcPr>
            <w:tcW w:w="0" w:type="dxa"/>
            <w:vAlign w:val="bottom"/>
          </w:tcPr>
          <w:p>
            <w:pPr>
              <w:spacing w:after="0"/>
              <w:rPr>
                <w:sz w:val="1"/>
                <w:szCs w:val="1"/>
                <w:color w:val="auto"/>
              </w:rPr>
            </w:pPr>
          </w:p>
        </w:tc>
      </w:tr>
      <w:tr>
        <w:trPr>
          <w:trHeight w:val="194"/>
        </w:trPr>
        <w:tc>
          <w:tcPr>
            <w:tcW w:w="4040" w:type="dxa"/>
            <w:vAlign w:val="bottom"/>
          </w:tcPr>
          <w:p>
            <w:pPr>
              <w:ind w:left="20"/>
              <w:spacing w:after="0"/>
              <w:rPr>
                <w:sz w:val="20"/>
                <w:szCs w:val="20"/>
                <w:color w:val="auto"/>
              </w:rPr>
            </w:pPr>
            <w:r>
              <w:rPr>
                <w:rFonts w:ascii="Arial" w:cs="Arial" w:eastAsia="Arial" w:hAnsi="Arial"/>
                <w:sz w:val="12"/>
                <w:szCs w:val="12"/>
                <w:b w:val="1"/>
                <w:bCs w:val="1"/>
                <w:color w:val="auto"/>
              </w:rPr>
              <w:t>Net Income</w:t>
            </w:r>
          </w:p>
        </w:tc>
        <w:tc>
          <w:tcPr>
            <w:tcW w:w="500" w:type="dxa"/>
            <w:vAlign w:val="bottom"/>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320" w:type="dxa"/>
            <w:vAlign w:val="bottom"/>
          </w:tcPr>
          <w:p>
            <w:pPr>
              <w:spacing w:after="0"/>
              <w:rPr>
                <w:sz w:val="16"/>
                <w:szCs w:val="16"/>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b w:val="1"/>
                <w:bCs w:val="1"/>
                <w:color w:val="auto"/>
              </w:rPr>
              <w:t>14,592</w:t>
            </w:r>
          </w:p>
        </w:tc>
        <w:tc>
          <w:tcPr>
            <w:tcW w:w="180" w:type="dxa"/>
            <w:vAlign w:val="bottom"/>
          </w:tcPr>
          <w:p>
            <w:pPr>
              <w:spacing w:after="0"/>
              <w:rPr>
                <w:sz w:val="16"/>
                <w:szCs w:val="16"/>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b w:val="1"/>
                <w:bCs w:val="1"/>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17,013</w:t>
            </w:r>
          </w:p>
        </w:tc>
        <w:tc>
          <w:tcPr>
            <w:tcW w:w="30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b w:val="1"/>
                <w:bCs w:val="1"/>
                <w:color w:val="auto"/>
              </w:rPr>
              <w:t>1,067</w:t>
            </w:r>
          </w:p>
        </w:tc>
        <w:tc>
          <w:tcPr>
            <w:tcW w:w="200" w:type="dxa"/>
            <w:vAlign w:val="bottom"/>
          </w:tcPr>
          <w:p>
            <w:pPr>
              <w:spacing w:after="0"/>
              <w:rPr>
                <w:sz w:val="16"/>
                <w:szCs w:val="16"/>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11,743</w:t>
            </w:r>
          </w:p>
        </w:tc>
        <w:tc>
          <w:tcPr>
            <w:tcW w:w="0" w:type="dxa"/>
            <w:vAlign w:val="bottom"/>
          </w:tcPr>
          <w:p>
            <w:pPr>
              <w:spacing w:after="0"/>
              <w:rPr>
                <w:sz w:val="1"/>
                <w:szCs w:val="1"/>
                <w:color w:val="auto"/>
              </w:rPr>
            </w:pPr>
          </w:p>
        </w:tc>
      </w:tr>
      <w:tr>
        <w:trPr>
          <w:trHeight w:val="420"/>
        </w:trPr>
        <w:tc>
          <w:tcPr>
            <w:tcW w:w="4040" w:type="dxa"/>
            <w:vAlign w:val="bottom"/>
          </w:tcPr>
          <w:p>
            <w:pPr>
              <w:ind w:left="20"/>
              <w:spacing w:after="0"/>
              <w:rPr>
                <w:sz w:val="20"/>
                <w:szCs w:val="20"/>
                <w:color w:val="auto"/>
              </w:rPr>
            </w:pPr>
            <w:r>
              <w:rPr>
                <w:rFonts w:ascii="Arial" w:cs="Arial" w:eastAsia="Arial" w:hAnsi="Arial"/>
                <w:sz w:val="12"/>
                <w:szCs w:val="12"/>
                <w:color w:val="auto"/>
              </w:rPr>
              <w:t>Real estate depreciation</w:t>
            </w: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96"/>
              </w:rPr>
              <w:t>131,854</w:t>
            </w:r>
          </w:p>
        </w:tc>
        <w:tc>
          <w:tcPr>
            <w:tcW w:w="1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53,911</w:t>
            </w:r>
          </w:p>
        </w:tc>
        <w:tc>
          <w:tcPr>
            <w:tcW w:w="3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color w:val="auto"/>
              </w:rPr>
              <w:t>108,823</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44,809</w:t>
            </w:r>
          </w:p>
        </w:tc>
        <w:tc>
          <w:tcPr>
            <w:tcW w:w="0" w:type="dxa"/>
            <w:vAlign w:val="bottom"/>
          </w:tcPr>
          <w:p>
            <w:pPr>
              <w:spacing w:after="0"/>
              <w:rPr>
                <w:sz w:val="1"/>
                <w:szCs w:val="1"/>
                <w:color w:val="auto"/>
              </w:rPr>
            </w:pPr>
          </w:p>
        </w:tc>
      </w:tr>
      <w:tr>
        <w:trPr>
          <w:trHeight w:val="193"/>
        </w:trPr>
        <w:tc>
          <w:tcPr>
            <w:tcW w:w="4040" w:type="dxa"/>
            <w:vAlign w:val="bottom"/>
          </w:tcPr>
          <w:p>
            <w:pPr>
              <w:ind w:left="20"/>
              <w:spacing w:after="0"/>
              <w:rPr>
                <w:sz w:val="20"/>
                <w:szCs w:val="20"/>
                <w:color w:val="auto"/>
              </w:rPr>
            </w:pPr>
            <w:r>
              <w:rPr>
                <w:rFonts w:ascii="Arial" w:cs="Arial" w:eastAsia="Arial" w:hAnsi="Arial"/>
                <w:sz w:val="12"/>
                <w:szCs w:val="12"/>
                <w:b w:val="1"/>
                <w:bCs w:val="1"/>
                <w:color w:val="auto"/>
              </w:rPr>
              <w:t>FFO Contribution</w:t>
            </w:r>
          </w:p>
        </w:tc>
        <w:tc>
          <w:tcPr>
            <w:tcW w:w="50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3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96"/>
              </w:rPr>
              <w:t>146,446</w:t>
            </w:r>
          </w:p>
        </w:tc>
        <w:tc>
          <w:tcPr>
            <w:tcW w:w="180" w:type="dxa"/>
            <w:vAlign w:val="bottom"/>
          </w:tcPr>
          <w:p>
            <w:pPr>
              <w:spacing w:after="0"/>
              <w:rPr>
                <w:sz w:val="16"/>
                <w:szCs w:val="16"/>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70,924</w:t>
            </w:r>
          </w:p>
        </w:tc>
        <w:tc>
          <w:tcPr>
            <w:tcW w:w="300" w:type="dxa"/>
            <w:vAlign w:val="bottom"/>
          </w:tcPr>
          <w:p>
            <w:pPr>
              <w:spacing w:after="0"/>
              <w:rPr>
                <w:sz w:val="16"/>
                <w:szCs w:val="16"/>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2"/>
                <w:szCs w:val="12"/>
                <w:b w:val="1"/>
                <w:bCs w:val="1"/>
                <w:color w:val="auto"/>
              </w:rPr>
              <w:t>109,890</w:t>
            </w:r>
          </w:p>
        </w:tc>
        <w:tc>
          <w:tcPr>
            <w:tcW w:w="200" w:type="dxa"/>
            <w:vAlign w:val="bottom"/>
          </w:tcPr>
          <w:p>
            <w:pPr>
              <w:spacing w:after="0"/>
              <w:rPr>
                <w:sz w:val="16"/>
                <w:szCs w:val="16"/>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56,552</w:t>
            </w:r>
          </w:p>
        </w:tc>
        <w:tc>
          <w:tcPr>
            <w:tcW w:w="0" w:type="dxa"/>
            <w:vAlign w:val="bottom"/>
          </w:tcPr>
          <w:p>
            <w:pPr>
              <w:spacing w:after="0"/>
              <w:rPr>
                <w:sz w:val="1"/>
                <w:szCs w:val="1"/>
                <w:color w:val="auto"/>
              </w:rPr>
            </w:pPr>
          </w:p>
        </w:tc>
      </w:tr>
      <w:tr>
        <w:trPr>
          <w:trHeight w:val="20"/>
        </w:trPr>
        <w:tc>
          <w:tcPr>
            <w:tcW w:w="40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FAD Adjustments:</w:t>
            </w: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040" w:type="dxa"/>
            <w:vAlign w:val="bottom"/>
            <w:tcBorders>
              <w:bottom w:val="single" w:sz="8" w:color="auto"/>
            </w:tcBorders>
            <w:vMerge w:val="continue"/>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040" w:type="dxa"/>
            <w:vAlign w:val="bottom"/>
          </w:tcPr>
          <w:p>
            <w:pPr>
              <w:ind w:left="20"/>
              <w:spacing w:after="0"/>
              <w:rPr>
                <w:sz w:val="20"/>
                <w:szCs w:val="20"/>
                <w:color w:val="auto"/>
              </w:rPr>
            </w:pPr>
            <w:r>
              <w:rPr>
                <w:rFonts w:ascii="Arial" w:cs="Arial" w:eastAsia="Arial" w:hAnsi="Arial"/>
                <w:sz w:val="12"/>
                <w:szCs w:val="12"/>
                <w:color w:val="auto"/>
              </w:rPr>
              <w:t>Non real estate depreciation and amortization</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7"/>
                <w:szCs w:val="17"/>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17,848</w:t>
            </w:r>
          </w:p>
        </w:tc>
        <w:tc>
          <w:tcPr>
            <w:tcW w:w="180" w:type="dxa"/>
            <w:vAlign w:val="bottom"/>
          </w:tcPr>
          <w:p>
            <w:pPr>
              <w:spacing w:after="0"/>
              <w:rPr>
                <w:sz w:val="17"/>
                <w:szCs w:val="17"/>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6,087</w:t>
            </w:r>
          </w:p>
        </w:tc>
        <w:tc>
          <w:tcPr>
            <w:tcW w:w="300" w:type="dxa"/>
            <w:vAlign w:val="bottom"/>
          </w:tcPr>
          <w:p>
            <w:pPr>
              <w:spacing w:after="0"/>
              <w:rPr>
                <w:sz w:val="17"/>
                <w:szCs w:val="17"/>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9,827</w:t>
            </w:r>
          </w:p>
        </w:tc>
        <w:tc>
          <w:tcPr>
            <w:tcW w:w="200" w:type="dxa"/>
            <w:vAlign w:val="bottom"/>
          </w:tcPr>
          <w:p>
            <w:pPr>
              <w:spacing w:after="0"/>
              <w:rPr>
                <w:sz w:val="17"/>
                <w:szCs w:val="17"/>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4,108</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Straight-line rental income and other non-cash adjustments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(44,652)</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(20,886)</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(28,404)</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(13,955)</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Second cycle tenant improvement</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(4,407)</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(2,295)</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(9,889)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(3,981)</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Second cycle leasing commissions</w:t>
            </w:r>
          </w:p>
        </w:tc>
        <w:tc>
          <w:tcPr>
            <w:tcW w:w="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(29,838)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2"/>
                <w:szCs w:val="12"/>
                <w:color w:val="auto"/>
              </w:rPr>
              <w:t>(16,487)</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2"/>
                <w:szCs w:val="12"/>
                <w:color w:val="auto"/>
              </w:rPr>
              <w:t>(4,211)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2"/>
                <w:szCs w:val="12"/>
                <w:color w:val="auto"/>
              </w:rPr>
              <w:t>(1,940)</w:t>
            </w: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2"/>
                <w:szCs w:val="12"/>
                <w:color w:val="auto"/>
              </w:rPr>
              <w:t>Recurring CAPEX</w:t>
            </w:r>
          </w:p>
        </w:tc>
        <w:tc>
          <w:tcPr>
            <w:tcW w:w="5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(2,735)</w:t>
            </w:r>
          </w:p>
        </w:tc>
        <w:tc>
          <w:tcPr>
            <w:tcW w:w="1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(1,435)</w:t>
            </w:r>
          </w:p>
        </w:tc>
        <w:tc>
          <w:tcPr>
            <w:tcW w:w="3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(3,208)</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(1,701)</w:t>
            </w:r>
          </w:p>
        </w:tc>
        <w:tc>
          <w:tcPr>
            <w:tcW w:w="0" w:type="dxa"/>
            <w:vAlign w:val="bottom"/>
          </w:tcPr>
          <w:p>
            <w:pPr>
              <w:spacing w:after="0"/>
              <w:rPr>
                <w:sz w:val="1"/>
                <w:szCs w:val="1"/>
                <w:color w:val="auto"/>
              </w:rPr>
            </w:pPr>
          </w:p>
        </w:tc>
      </w:tr>
      <w:tr>
        <w:trPr>
          <w:trHeight w:val="199"/>
        </w:trPr>
        <w:tc>
          <w:tcPr>
            <w:tcW w:w="4040" w:type="dxa"/>
            <w:vAlign w:val="bottom"/>
          </w:tcPr>
          <w:p>
            <w:pPr>
              <w:ind w:left="20"/>
              <w:spacing w:after="0"/>
              <w:rPr>
                <w:sz w:val="20"/>
                <w:szCs w:val="20"/>
                <w:color w:val="auto"/>
              </w:rPr>
            </w:pPr>
            <w:r>
              <w:rPr>
                <w:rFonts w:ascii="Arial" w:cs="Arial" w:eastAsia="Arial" w:hAnsi="Arial"/>
                <w:sz w:val="12"/>
                <w:szCs w:val="12"/>
                <w:color w:val="auto"/>
              </w:rPr>
              <w:t>Total FAD Adjustments</w:t>
            </w:r>
          </w:p>
        </w:tc>
        <w:tc>
          <w:tcPr>
            <w:tcW w:w="500" w:type="dxa"/>
            <w:vAlign w:val="bottom"/>
            <w:tcBorders>
              <w:bottom w:val="single" w:sz="8" w:color="auto"/>
            </w:tcBorders>
          </w:tcPr>
          <w:p>
            <w:pPr>
              <w:jc w:val="right"/>
              <w:ind w:right="362"/>
              <w:spacing w:after="0"/>
              <w:rPr>
                <w:sz w:val="20"/>
                <w:szCs w:val="20"/>
                <w:color w:val="auto"/>
              </w:rPr>
            </w:pPr>
            <w:r>
              <w:rPr>
                <w:rFonts w:ascii="Arial" w:cs="Arial" w:eastAsia="Arial" w:hAnsi="Arial"/>
                <w:sz w:val="12"/>
                <w:szCs w:val="12"/>
                <w:b w:val="1"/>
                <w:bCs w:val="1"/>
                <w:color w:val="auto"/>
                <w:w w:val="89"/>
              </w:rPr>
              <w:t>$</w:t>
            </w: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(63,784)</w:t>
            </w:r>
          </w:p>
        </w:tc>
        <w:tc>
          <w:tcPr>
            <w:tcW w:w="180" w:type="dxa"/>
            <w:vAlign w:val="bottom"/>
          </w:tcPr>
          <w:p>
            <w:pPr>
              <w:spacing w:after="0"/>
              <w:rPr>
                <w:sz w:val="17"/>
                <w:szCs w:val="17"/>
                <w:color w:val="auto"/>
              </w:rPr>
            </w:pPr>
          </w:p>
        </w:tc>
        <w:tc>
          <w:tcPr>
            <w:tcW w:w="3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b w:val="1"/>
                <w:bCs w:val="1"/>
                <w:color w:val="auto"/>
              </w:rPr>
              <w:t>(35,016)</w:t>
            </w:r>
          </w:p>
        </w:tc>
        <w:tc>
          <w:tcPr>
            <w:tcW w:w="300" w:type="dxa"/>
            <w:vAlign w:val="bottom"/>
          </w:tcPr>
          <w:p>
            <w:pPr>
              <w:spacing w:after="0"/>
              <w:rPr>
                <w:sz w:val="17"/>
                <w:szCs w:val="17"/>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w:t>
            </w: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(35,885)</w:t>
            </w:r>
          </w:p>
        </w:tc>
        <w:tc>
          <w:tcPr>
            <w:tcW w:w="200" w:type="dxa"/>
            <w:vAlign w:val="bottom"/>
          </w:tcPr>
          <w:p>
            <w:pPr>
              <w:spacing w:after="0"/>
              <w:rPr>
                <w:sz w:val="17"/>
                <w:szCs w:val="17"/>
                <w:color w:val="auto"/>
              </w:rPr>
            </w:pPr>
          </w:p>
        </w:tc>
        <w:tc>
          <w:tcPr>
            <w:tcW w:w="3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w w:val="89"/>
              </w:rPr>
              <w:t>$</w:t>
            </w:r>
          </w:p>
        </w:tc>
        <w:tc>
          <w:tcPr>
            <w:tcW w:w="10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b w:val="1"/>
                <w:bCs w:val="1"/>
                <w:color w:val="auto"/>
              </w:rPr>
              <w:t>(17,469)</w:t>
            </w:r>
          </w:p>
        </w:tc>
        <w:tc>
          <w:tcPr>
            <w:tcW w:w="0" w:type="dxa"/>
            <w:vAlign w:val="bottom"/>
          </w:tcPr>
          <w:p>
            <w:pPr>
              <w:spacing w:after="0"/>
              <w:rPr>
                <w:sz w:val="1"/>
                <w:szCs w:val="1"/>
                <w:color w:val="auto"/>
              </w:rPr>
            </w:pPr>
          </w:p>
        </w:tc>
      </w:tr>
      <w:tr>
        <w:trPr>
          <w:trHeight w:val="401"/>
        </w:trPr>
        <w:tc>
          <w:tcPr>
            <w:tcW w:w="4040" w:type="dxa"/>
            <w:vAlign w:val="bottom"/>
          </w:tcPr>
          <w:p>
            <w:pPr>
              <w:ind w:left="20"/>
              <w:spacing w:after="0"/>
              <w:rPr>
                <w:sz w:val="20"/>
                <w:szCs w:val="20"/>
                <w:color w:val="auto"/>
              </w:rPr>
            </w:pPr>
            <w:r>
              <w:rPr>
                <w:rFonts w:ascii="Arial" w:cs="Arial" w:eastAsia="Arial" w:hAnsi="Arial"/>
                <w:sz w:val="12"/>
                <w:szCs w:val="12"/>
                <w:color w:val="auto"/>
              </w:rPr>
              <w:t>First cycle tenant improvement</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24"/>
                <w:szCs w:val="24"/>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41,617</w:t>
            </w:r>
          </w:p>
        </w:tc>
        <w:tc>
          <w:tcPr>
            <w:tcW w:w="180" w:type="dxa"/>
            <w:vAlign w:val="bottom"/>
          </w:tcPr>
          <w:p>
            <w:pPr>
              <w:spacing w:after="0"/>
              <w:rPr>
                <w:sz w:val="24"/>
                <w:szCs w:val="24"/>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17,167</w:t>
            </w:r>
          </w:p>
        </w:tc>
        <w:tc>
          <w:tcPr>
            <w:tcW w:w="30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26,403</w:t>
            </w:r>
          </w:p>
        </w:tc>
        <w:tc>
          <w:tcPr>
            <w:tcW w:w="200" w:type="dxa"/>
            <w:vAlign w:val="bottom"/>
          </w:tcPr>
          <w:p>
            <w:pPr>
              <w:spacing w:after="0"/>
              <w:rPr>
                <w:sz w:val="24"/>
                <w:szCs w:val="24"/>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10,583</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First cycle leasing commissions</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17,531</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8,566</w:t>
            </w:r>
          </w:p>
        </w:tc>
        <w:tc>
          <w:tcPr>
            <w:tcW w:w="30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25,745</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12,329</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Development/Redevelopment costs</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36,208</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17,361</w:t>
            </w:r>
          </w:p>
        </w:tc>
        <w:tc>
          <w:tcPr>
            <w:tcW w:w="30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83,778</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38,062</w:t>
            </w:r>
          </w:p>
        </w:tc>
        <w:tc>
          <w:tcPr>
            <w:tcW w:w="0" w:type="dxa"/>
            <w:vAlign w:val="bottom"/>
          </w:tcPr>
          <w:p>
            <w:pPr>
              <w:spacing w:after="0"/>
              <w:rPr>
                <w:sz w:val="1"/>
                <w:szCs w:val="1"/>
                <w:color w:val="auto"/>
              </w:rPr>
            </w:pPr>
          </w:p>
        </w:tc>
      </w:tr>
      <w:tr>
        <w:trPr>
          <w:trHeight w:val="219"/>
        </w:trPr>
        <w:tc>
          <w:tcPr>
            <w:tcW w:w="4040" w:type="dxa"/>
            <w:vAlign w:val="bottom"/>
          </w:tcPr>
          <w:p>
            <w:pPr>
              <w:ind w:left="20"/>
              <w:spacing w:after="0"/>
              <w:rPr>
                <w:sz w:val="20"/>
                <w:szCs w:val="20"/>
                <w:color w:val="auto"/>
              </w:rPr>
            </w:pPr>
            <w:r>
              <w:rPr>
                <w:rFonts w:ascii="Arial" w:cs="Arial" w:eastAsia="Arial" w:hAnsi="Arial"/>
                <w:sz w:val="12"/>
                <w:szCs w:val="12"/>
                <w:color w:val="auto"/>
              </w:rPr>
              <w:t>Capitalized interest</w:t>
            </w:r>
          </w:p>
        </w:tc>
        <w:tc>
          <w:tcPr>
            <w:tcW w:w="500" w:type="dxa"/>
            <w:vAlign w:val="bottom"/>
          </w:tcPr>
          <w:p>
            <w:pPr>
              <w:jc w:val="right"/>
              <w:ind w:right="362"/>
              <w:spacing w:after="0"/>
              <w:rPr>
                <w:sz w:val="20"/>
                <w:szCs w:val="20"/>
                <w:color w:val="auto"/>
              </w:rPr>
            </w:pPr>
            <w:r>
              <w:rPr>
                <w:rFonts w:ascii="Arial" w:cs="Arial" w:eastAsia="Arial" w:hAnsi="Arial"/>
                <w:sz w:val="12"/>
                <w:szCs w:val="12"/>
                <w:color w:val="auto"/>
                <w:w w:val="89"/>
              </w:rPr>
              <w:t>$</w:t>
            </w:r>
          </w:p>
        </w:tc>
        <w:tc>
          <w:tcPr>
            <w:tcW w:w="320" w:type="dxa"/>
            <w:vAlign w:val="bottom"/>
          </w:tcPr>
          <w:p>
            <w:pPr>
              <w:spacing w:after="0"/>
              <w:rPr>
                <w:sz w:val="19"/>
                <w:szCs w:val="19"/>
                <w:color w:val="auto"/>
              </w:rPr>
            </w:pPr>
          </w:p>
        </w:tc>
        <w:tc>
          <w:tcPr>
            <w:tcW w:w="520" w:type="dxa"/>
            <w:vAlign w:val="bottom"/>
          </w:tcPr>
          <w:p>
            <w:pPr>
              <w:jc w:val="right"/>
              <w:ind w:right="22"/>
              <w:spacing w:after="0"/>
              <w:rPr>
                <w:sz w:val="20"/>
                <w:szCs w:val="20"/>
                <w:color w:val="auto"/>
              </w:rPr>
            </w:pPr>
            <w:r>
              <w:rPr>
                <w:rFonts w:ascii="Arial" w:cs="Arial" w:eastAsia="Arial" w:hAnsi="Arial"/>
                <w:sz w:val="12"/>
                <w:szCs w:val="12"/>
                <w:color w:val="auto"/>
              </w:rPr>
              <w:t>17,621</w:t>
            </w:r>
          </w:p>
        </w:tc>
        <w:tc>
          <w:tcPr>
            <w:tcW w:w="180" w:type="dxa"/>
            <w:vAlign w:val="bottom"/>
          </w:tcPr>
          <w:p>
            <w:pPr>
              <w:spacing w:after="0"/>
              <w:rPr>
                <w:sz w:val="19"/>
                <w:szCs w:val="19"/>
                <w:color w:val="auto"/>
              </w:rPr>
            </w:pPr>
          </w:p>
        </w:tc>
        <w:tc>
          <w:tcPr>
            <w:tcW w:w="300" w:type="dxa"/>
            <w:vAlign w:val="bottom"/>
          </w:tcPr>
          <w:p>
            <w:pPr>
              <w:jc w:val="right"/>
              <w:ind w:right="142"/>
              <w:spacing w:after="0"/>
              <w:rPr>
                <w:sz w:val="20"/>
                <w:szCs w:val="20"/>
                <w:color w:val="auto"/>
              </w:rPr>
            </w:pPr>
            <w:r>
              <w:rPr>
                <w:rFonts w:ascii="Arial" w:cs="Arial" w:eastAsia="Arial" w:hAnsi="Arial"/>
                <w:sz w:val="12"/>
                <w:szCs w:val="12"/>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2"/>
                <w:szCs w:val="12"/>
                <w:color w:val="auto"/>
              </w:rPr>
              <w:t>9,508</w:t>
            </w:r>
          </w:p>
        </w:tc>
        <w:tc>
          <w:tcPr>
            <w:tcW w:w="300" w:type="dxa"/>
            <w:vAlign w:val="bottom"/>
          </w:tcPr>
          <w:p>
            <w:pPr>
              <w:spacing w:after="0"/>
              <w:rPr>
                <w:sz w:val="19"/>
                <w:szCs w:val="19"/>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2"/>
                <w:szCs w:val="12"/>
                <w:color w:val="auto"/>
              </w:rPr>
              <w:t>30,459</w:t>
            </w:r>
          </w:p>
        </w:tc>
        <w:tc>
          <w:tcPr>
            <w:tcW w:w="200" w:type="dxa"/>
            <w:vAlign w:val="bottom"/>
          </w:tcPr>
          <w:p>
            <w:pPr>
              <w:spacing w:after="0"/>
              <w:rPr>
                <w:sz w:val="19"/>
                <w:szCs w:val="19"/>
                <w:color w:val="auto"/>
              </w:rPr>
            </w:pPr>
          </w:p>
        </w:tc>
        <w:tc>
          <w:tcPr>
            <w:tcW w:w="300" w:type="dxa"/>
            <w:vAlign w:val="bottom"/>
          </w:tcPr>
          <w:p>
            <w:pPr>
              <w:jc w:val="right"/>
              <w:ind w:right="162"/>
              <w:spacing w:after="0"/>
              <w:rPr>
                <w:sz w:val="20"/>
                <w:szCs w:val="20"/>
                <w:color w:val="auto"/>
              </w:rPr>
            </w:pPr>
            <w:r>
              <w:rPr>
                <w:rFonts w:ascii="Arial" w:cs="Arial" w:eastAsia="Arial" w:hAnsi="Arial"/>
                <w:sz w:val="12"/>
                <w:szCs w:val="12"/>
                <w:color w:val="auto"/>
                <w:w w:val="89"/>
              </w:rPr>
              <w:t>$</w:t>
            </w:r>
          </w:p>
        </w:tc>
        <w:tc>
          <w:tcPr>
            <w:tcW w:w="1040" w:type="dxa"/>
            <w:vAlign w:val="bottom"/>
            <w:gridSpan w:val="2"/>
          </w:tcPr>
          <w:p>
            <w:pPr>
              <w:jc w:val="right"/>
              <w:ind w:right="80"/>
              <w:spacing w:after="0"/>
              <w:rPr>
                <w:sz w:val="20"/>
                <w:szCs w:val="20"/>
                <w:color w:val="auto"/>
              </w:rPr>
            </w:pPr>
            <w:r>
              <w:rPr>
                <w:rFonts w:ascii="Arial" w:cs="Arial" w:eastAsia="Arial" w:hAnsi="Arial"/>
                <w:sz w:val="12"/>
                <w:szCs w:val="12"/>
                <w:color w:val="auto"/>
              </w:rPr>
              <w:t>15,154</w:t>
            </w:r>
          </w:p>
        </w:tc>
        <w:tc>
          <w:tcPr>
            <w:tcW w:w="0" w:type="dxa"/>
            <w:vAlign w:val="bottom"/>
          </w:tcPr>
          <w:p>
            <w:pPr>
              <w:spacing w:after="0"/>
              <w:rPr>
                <w:sz w:val="1"/>
                <w:szCs w:val="1"/>
                <w:color w:val="auto"/>
              </w:rPr>
            </w:pPr>
          </w:p>
        </w:tc>
      </w:tr>
      <w:tr>
        <w:trPr>
          <w:trHeight w:val="455"/>
        </w:trPr>
        <w:tc>
          <w:tcPr>
            <w:tcW w:w="4040" w:type="dxa"/>
            <w:vAlign w:val="bottom"/>
          </w:tcPr>
          <w:p>
            <w:pPr>
              <w:ind w:left="20"/>
              <w:spacing w:after="0"/>
              <w:rPr>
                <w:sz w:val="20"/>
                <w:szCs w:val="20"/>
                <w:color w:val="auto"/>
              </w:rPr>
            </w:pPr>
            <w:r>
              <w:rPr>
                <w:rFonts w:ascii="Arial" w:cs="Arial" w:eastAsia="Arial" w:hAnsi="Arial"/>
                <w:sz w:val="10"/>
                <w:szCs w:val="10"/>
                <w:color w:val="auto"/>
              </w:rPr>
              <w:t>Supplemental Information</w:t>
            </w: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jc w:val="right"/>
              <w:ind w:right="242"/>
              <w:spacing w:after="0"/>
              <w:rPr>
                <w:sz w:val="20"/>
                <w:szCs w:val="20"/>
                <w:color w:val="auto"/>
              </w:rPr>
            </w:pPr>
            <w:r>
              <w:rPr>
                <w:rFonts w:ascii="Arial" w:cs="Arial" w:eastAsia="Arial" w:hAnsi="Arial"/>
                <w:sz w:val="10"/>
                <w:szCs w:val="10"/>
                <w:color w:val="auto"/>
              </w:rPr>
              <w:t>21</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0"/>
                <w:szCs w:val="10"/>
                <w:color w:val="auto"/>
              </w:rPr>
              <w:t>Third Quarter 2016</w:t>
            </w:r>
          </w:p>
        </w:tc>
        <w:tc>
          <w:tcPr>
            <w:tcW w:w="0" w:type="dxa"/>
            <w:vAlign w:val="bottom"/>
          </w:tcPr>
          <w:p>
            <w:pPr>
              <w:spacing w:after="0"/>
              <w:rPr>
                <w:sz w:val="1"/>
                <w:szCs w:val="1"/>
                <w:color w:val="auto"/>
              </w:rPr>
            </w:pPr>
          </w:p>
        </w:tc>
      </w:tr>
    </w:tbl>
    <w:p>
      <w:pPr>
        <w:sectPr>
          <w:pgSz w:w="11900" w:h="16838" w:orient="portrait"/>
          <w:cols w:equalWidth="0" w:num="1">
            <w:col w:w="10100"/>
          </w:cols>
          <w:pgMar w:left="900" w:top="338" w:right="899" w:bottom="1440" w:gutter="0" w:footer="0" w:header="0"/>
        </w:sectPr>
      </w:pPr>
    </w:p>
    <w:bookmarkStart w:id="37" w:name="page38"/>
    <w:bookmarkEnd w:id="3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4020"/>
        <w:spacing w:after="0" w:line="231" w:lineRule="auto"/>
        <w:rPr>
          <w:sz w:val="20"/>
          <w:szCs w:val="20"/>
          <w:color w:val="auto"/>
        </w:rPr>
      </w:pPr>
      <w:r>
        <w:rPr>
          <w:rFonts w:ascii="Arial" w:cs="Arial" w:eastAsia="Arial" w:hAnsi="Arial"/>
          <w:sz w:val="15"/>
          <w:szCs w:val="15"/>
          <w:b w:val="1"/>
          <w:bCs w:val="1"/>
          <w:color w:val="auto"/>
        </w:rPr>
        <w:t>Net Operating Income and Components of Consolidated Debt Service and Fixed Charge Coverage -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60" w:type="dxa"/>
        <w:tblCellMar>
          <w:top w:w="0" w:type="dxa"/>
          <w:left w:w="0" w:type="dxa"/>
          <w:bottom w:w="0" w:type="dxa"/>
          <w:right w:w="0" w:type="dxa"/>
        </w:tblCellMar>
      </w:tblPr>
      <w:tr>
        <w:trPr>
          <w:trHeight w:val="158"/>
        </w:trPr>
        <w:tc>
          <w:tcPr>
            <w:tcW w:w="434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7"/>
          </w:tcPr>
          <w:p>
            <w:pPr>
              <w:jc w:val="right"/>
              <w:ind w:right="402"/>
              <w:spacing w:after="0"/>
              <w:rPr>
                <w:sz w:val="20"/>
                <w:szCs w:val="20"/>
                <w:color w:val="auto"/>
              </w:rPr>
            </w:pPr>
            <w:r>
              <w:rPr>
                <w:rFonts w:ascii="Arial" w:cs="Arial" w:eastAsia="Arial" w:hAnsi="Arial"/>
                <w:sz w:val="12"/>
                <w:szCs w:val="12"/>
                <w:b w:val="1"/>
                <w:bCs w:val="1"/>
                <w:color w:val="auto"/>
              </w:rPr>
              <w:t>Three Months Ended</w:t>
            </w:r>
          </w:p>
        </w:tc>
        <w:tc>
          <w:tcPr>
            <w:tcW w:w="100" w:type="dxa"/>
            <w:vAlign w:val="bottom"/>
          </w:tcPr>
          <w:p>
            <w:pPr>
              <w:spacing w:after="0"/>
              <w:rPr>
                <w:sz w:val="13"/>
                <w:szCs w:val="13"/>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205"/>
        </w:trPr>
        <w:tc>
          <w:tcPr>
            <w:tcW w:w="4340" w:type="dxa"/>
            <w:vAlign w:val="bottom"/>
          </w:tcPr>
          <w:p>
            <w:pPr>
              <w:spacing w:after="0"/>
              <w:rPr>
                <w:sz w:val="17"/>
                <w:szCs w:val="17"/>
                <w:color w:val="auto"/>
              </w:rPr>
            </w:pPr>
          </w:p>
        </w:tc>
        <w:tc>
          <w:tcPr>
            <w:tcW w:w="1160" w:type="dxa"/>
            <w:vAlign w:val="bottom"/>
            <w:gridSpan w:val="5"/>
          </w:tcPr>
          <w:p>
            <w:pPr>
              <w:ind w:left="100"/>
              <w:spacing w:after="0"/>
              <w:rPr>
                <w:sz w:val="20"/>
                <w:szCs w:val="20"/>
                <w:color w:val="auto"/>
              </w:rPr>
            </w:pPr>
            <w:r>
              <w:rPr>
                <w:rFonts w:ascii="Arial" w:cs="Arial" w:eastAsia="Arial" w:hAnsi="Arial"/>
                <w:sz w:val="12"/>
                <w:szCs w:val="12"/>
                <w:b w:val="1"/>
                <w:bCs w:val="1"/>
                <w:color w:val="auto"/>
              </w:rPr>
              <w:t>September 30,</w:t>
            </w:r>
          </w:p>
        </w:tc>
        <w:tc>
          <w:tcPr>
            <w:tcW w:w="960" w:type="dxa"/>
            <w:vAlign w:val="bottom"/>
            <w:gridSpan w:val="4"/>
          </w:tcPr>
          <w:p>
            <w:pPr>
              <w:jc w:val="right"/>
              <w:ind w:right="22"/>
              <w:spacing w:after="0"/>
              <w:rPr>
                <w:sz w:val="20"/>
                <w:szCs w:val="20"/>
                <w:color w:val="auto"/>
              </w:rPr>
            </w:pPr>
            <w:r>
              <w:rPr>
                <w:rFonts w:ascii="Arial" w:cs="Arial" w:eastAsia="Arial" w:hAnsi="Arial"/>
                <w:sz w:val="12"/>
                <w:szCs w:val="12"/>
                <w:b w:val="1"/>
                <w:bCs w:val="1"/>
                <w:color w:val="auto"/>
              </w:rPr>
              <w:t>September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5"/>
          </w:tcPr>
          <w:p>
            <w:pPr>
              <w:jc w:val="center"/>
              <w:ind w:right="400"/>
              <w:spacing w:after="0"/>
              <w:rPr>
                <w:sz w:val="20"/>
                <w:szCs w:val="20"/>
                <w:color w:val="auto"/>
              </w:rPr>
            </w:pPr>
            <w:r>
              <w:rPr>
                <w:rFonts w:ascii="Arial" w:cs="Arial" w:eastAsia="Arial" w:hAnsi="Arial"/>
                <w:sz w:val="12"/>
                <w:szCs w:val="12"/>
                <w:b w:val="1"/>
                <w:bCs w:val="1"/>
                <w:color w:val="auto"/>
                <w:w w:val="99"/>
              </w:rPr>
              <w:t>June 30,</w:t>
            </w:r>
          </w:p>
        </w:tc>
        <w:tc>
          <w:tcPr>
            <w:tcW w:w="80" w:type="dxa"/>
            <w:vAlign w:val="bottom"/>
          </w:tcPr>
          <w:p>
            <w:pPr>
              <w:spacing w:after="0"/>
              <w:rPr>
                <w:sz w:val="17"/>
                <w:szCs w:val="17"/>
                <w:color w:val="auto"/>
              </w:rPr>
            </w:pPr>
          </w:p>
        </w:tc>
        <w:tc>
          <w:tcPr>
            <w:tcW w:w="1080" w:type="dxa"/>
            <w:vAlign w:val="bottom"/>
            <w:gridSpan w:val="4"/>
          </w:tcPr>
          <w:p>
            <w:pPr>
              <w:jc w:val="center"/>
              <w:ind w:right="280"/>
              <w:spacing w:after="0"/>
              <w:rPr>
                <w:sz w:val="20"/>
                <w:szCs w:val="20"/>
                <w:color w:val="auto"/>
              </w:rPr>
            </w:pPr>
            <w:r>
              <w:rPr>
                <w:rFonts w:ascii="Arial" w:cs="Arial" w:eastAsia="Arial" w:hAnsi="Arial"/>
                <w:sz w:val="12"/>
                <w:szCs w:val="12"/>
                <w:b w:val="1"/>
                <w:bCs w:val="1"/>
                <w:color w:val="auto"/>
                <w:w w:val="97"/>
              </w:rPr>
              <w:t>September 30,</w:t>
            </w:r>
          </w:p>
        </w:tc>
        <w:tc>
          <w:tcPr>
            <w:tcW w:w="80" w:type="dxa"/>
            <w:vAlign w:val="bottom"/>
          </w:tcPr>
          <w:p>
            <w:pPr>
              <w:spacing w:after="0"/>
              <w:rPr>
                <w:sz w:val="17"/>
                <w:szCs w:val="17"/>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2"/>
                <w:szCs w:val="12"/>
                <w:b w:val="1"/>
                <w:bCs w:val="1"/>
                <w:color w:val="auto"/>
                <w:w w:val="95"/>
              </w:rPr>
              <w:t>September 30,</w:t>
            </w:r>
          </w:p>
        </w:tc>
        <w:tc>
          <w:tcPr>
            <w:tcW w:w="0" w:type="dxa"/>
            <w:vAlign w:val="bottom"/>
          </w:tcPr>
          <w:p>
            <w:pPr>
              <w:spacing w:after="0"/>
              <w:rPr>
                <w:sz w:val="1"/>
                <w:szCs w:val="1"/>
                <w:color w:val="auto"/>
              </w:rPr>
            </w:pPr>
          </w:p>
        </w:tc>
      </w:tr>
      <w:tr>
        <w:trPr>
          <w:trHeight w:val="195"/>
        </w:trPr>
        <w:tc>
          <w:tcPr>
            <w:tcW w:w="4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gridSpan w:val="3"/>
          </w:tcPr>
          <w:p>
            <w:pPr>
              <w:jc w:val="right"/>
              <w:ind w:right="302"/>
              <w:spacing w:after="0"/>
              <w:rPr>
                <w:sz w:val="20"/>
                <w:szCs w:val="20"/>
                <w:color w:val="auto"/>
              </w:rPr>
            </w:pPr>
            <w:r>
              <w:rPr>
                <w:rFonts w:ascii="Arial" w:cs="Arial" w:eastAsia="Arial" w:hAnsi="Arial"/>
                <w:sz w:val="12"/>
                <w:szCs w:val="12"/>
                <w:b w:val="1"/>
                <w:bCs w:val="1"/>
                <w:color w:val="auto"/>
              </w:rPr>
              <w:t>2016</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gridSpan w:val="3"/>
          </w:tcPr>
          <w:p>
            <w:pPr>
              <w:jc w:val="right"/>
              <w:ind w:right="282"/>
              <w:spacing w:after="0"/>
              <w:rPr>
                <w:sz w:val="20"/>
                <w:szCs w:val="20"/>
                <w:color w:val="auto"/>
              </w:rPr>
            </w:pPr>
            <w:r>
              <w:rPr>
                <w:rFonts w:ascii="Arial" w:cs="Arial" w:eastAsia="Arial" w:hAnsi="Arial"/>
                <w:sz w:val="12"/>
                <w:szCs w:val="12"/>
                <w:b w:val="1"/>
                <w:bCs w:val="1"/>
                <w:color w:val="auto"/>
              </w:rPr>
              <w:t>2015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3"/>
          </w:tcPr>
          <w:p>
            <w:pPr>
              <w:jc w:val="center"/>
              <w:ind w:right="102"/>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2016</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2"/>
                <w:szCs w:val="12"/>
                <w:b w:val="1"/>
                <w:bCs w:val="1"/>
                <w:color w:val="auto"/>
              </w:rPr>
              <w:t>2015</w:t>
            </w:r>
          </w:p>
        </w:tc>
        <w:tc>
          <w:tcPr>
            <w:tcW w:w="0" w:type="dxa"/>
            <w:vAlign w:val="bottom"/>
          </w:tcPr>
          <w:p>
            <w:pPr>
              <w:spacing w:after="0"/>
              <w:rPr>
                <w:sz w:val="1"/>
                <w:szCs w:val="1"/>
                <w:color w:val="auto"/>
              </w:rPr>
            </w:pPr>
          </w:p>
        </w:tc>
      </w:tr>
      <w:tr>
        <w:trPr>
          <w:trHeight w:val="231"/>
        </w:trPr>
        <w:tc>
          <w:tcPr>
            <w:tcW w:w="43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 xml:space="preserve">Net Operating Income </w:t>
            </w:r>
            <w:r>
              <w:rPr>
                <w:rFonts w:ascii="Arial" w:cs="Arial" w:eastAsia="Arial" w:hAnsi="Arial"/>
                <w:sz w:val="14"/>
                <w:szCs w:val="14"/>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7"/>
        </w:trPr>
        <w:tc>
          <w:tcPr>
            <w:tcW w:w="4340" w:type="dxa"/>
            <w:vAlign w:val="bottom"/>
          </w:tcPr>
          <w:p>
            <w:pPr>
              <w:ind w:left="20"/>
              <w:spacing w:after="0"/>
              <w:rPr>
                <w:sz w:val="20"/>
                <w:szCs w:val="20"/>
                <w:color w:val="auto"/>
              </w:rPr>
            </w:pPr>
            <w:r>
              <w:rPr>
                <w:rFonts w:ascii="Arial" w:cs="Arial" w:eastAsia="Arial" w:hAnsi="Arial"/>
                <w:sz w:val="12"/>
                <w:szCs w:val="12"/>
                <w:color w:val="auto"/>
              </w:rPr>
              <w:t>NOI</w:t>
            </w: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color w:val="auto"/>
              </w:rPr>
              <w:t>179,074</w:t>
            </w:r>
          </w:p>
        </w:tc>
        <w:tc>
          <w:tcPr>
            <w:tcW w:w="18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color w:val="auto"/>
              </w:rPr>
              <w:t>218,810</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316,061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734,828</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633,567</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2"/>
                <w:szCs w:val="12"/>
                <w:color w:val="auto"/>
              </w:rPr>
              <w:t>NOI from discontinued operations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3"/>
          </w:tcPr>
          <w:p>
            <w:pPr>
              <w:jc w:val="right"/>
              <w:ind w:right="3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488</w:t>
            </w:r>
          </w:p>
        </w:tc>
        <w:tc>
          <w:tcPr>
            <w:tcW w:w="0" w:type="dxa"/>
            <w:vAlign w:val="bottom"/>
          </w:tcPr>
          <w:p>
            <w:pPr>
              <w:spacing w:after="0"/>
              <w:rPr>
                <w:sz w:val="1"/>
                <w:szCs w:val="1"/>
                <w:color w:val="auto"/>
              </w:rPr>
            </w:pPr>
          </w:p>
        </w:tc>
      </w:tr>
      <w:tr>
        <w:trPr>
          <w:trHeight w:val="194"/>
        </w:trPr>
        <w:tc>
          <w:tcPr>
            <w:tcW w:w="4340" w:type="dxa"/>
            <w:vAlign w:val="bottom"/>
          </w:tcPr>
          <w:p>
            <w:pPr>
              <w:ind w:left="20"/>
              <w:spacing w:after="0"/>
              <w:rPr>
                <w:sz w:val="20"/>
                <w:szCs w:val="20"/>
                <w:color w:val="auto"/>
              </w:rPr>
            </w:pPr>
            <w:r>
              <w:rPr>
                <w:rFonts w:ascii="Arial" w:cs="Arial" w:eastAsia="Arial" w:hAnsi="Arial"/>
                <w:sz w:val="12"/>
                <w:szCs w:val="12"/>
                <w:color w:val="auto"/>
              </w:rPr>
              <w:t>Total NOI - consolidated</w:t>
            </w: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179,074</w:t>
            </w: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218,810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color w:val="auto"/>
              </w:rPr>
              <w:t>316,061</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734,828</w:t>
            </w: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634,055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2"/>
                <w:szCs w:val="12"/>
                <w:color w:val="auto"/>
              </w:rPr>
              <w:t>SLG share of property NOI from unconsolidated JVs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44,390</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41,759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40,259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119,779</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121,320</w:t>
            </w:r>
          </w:p>
        </w:tc>
        <w:tc>
          <w:tcPr>
            <w:tcW w:w="0" w:type="dxa"/>
            <w:vAlign w:val="bottom"/>
          </w:tcPr>
          <w:p>
            <w:pPr>
              <w:spacing w:after="0"/>
              <w:rPr>
                <w:sz w:val="1"/>
                <w:szCs w:val="1"/>
                <w:color w:val="auto"/>
              </w:rPr>
            </w:pPr>
          </w:p>
        </w:tc>
      </w:tr>
      <w:tr>
        <w:trPr>
          <w:trHeight w:val="194"/>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Combined NOI</w:t>
            </w: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223,464</w:t>
            </w:r>
          </w:p>
        </w:tc>
        <w:tc>
          <w:tcPr>
            <w:tcW w:w="18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260,569</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356,320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854,607</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755,375</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2"/>
                <w:szCs w:val="12"/>
                <w:color w:val="auto"/>
              </w:rPr>
              <w:t>Partners' share of NOI - consolidated JVs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(9,479)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(7,984)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(9,068)</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(27,116)</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(25,987)</w:t>
            </w:r>
          </w:p>
        </w:tc>
        <w:tc>
          <w:tcPr>
            <w:tcW w:w="0" w:type="dxa"/>
            <w:vAlign w:val="bottom"/>
          </w:tcPr>
          <w:p>
            <w:pPr>
              <w:spacing w:after="0"/>
              <w:rPr>
                <w:sz w:val="1"/>
                <w:szCs w:val="1"/>
                <w:color w:val="auto"/>
              </w:rPr>
            </w:pPr>
          </w:p>
        </w:tc>
      </w:tr>
      <w:tr>
        <w:trPr>
          <w:trHeight w:val="193"/>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NOI - SLG share</w:t>
            </w: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w:t>
            </w:r>
          </w:p>
        </w:tc>
        <w:tc>
          <w:tcPr>
            <w:tcW w:w="7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b w:val="1"/>
                <w:bCs w:val="1"/>
                <w:color w:val="auto"/>
              </w:rPr>
              <w:t>213,985</w:t>
            </w:r>
          </w:p>
        </w:tc>
        <w:tc>
          <w:tcPr>
            <w:tcW w:w="180" w:type="dxa"/>
            <w:vAlign w:val="bottom"/>
          </w:tcPr>
          <w:p>
            <w:pPr>
              <w:spacing w:after="0"/>
              <w:rPr>
                <w:sz w:val="16"/>
                <w:szCs w:val="16"/>
                <w:color w:val="auto"/>
              </w:rPr>
            </w:pPr>
          </w:p>
        </w:tc>
        <w:tc>
          <w:tcPr>
            <w:tcW w:w="2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w:t>
            </w:r>
          </w:p>
        </w:tc>
        <w:tc>
          <w:tcPr>
            <w:tcW w:w="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252,585</w:t>
            </w:r>
          </w:p>
        </w:tc>
        <w:tc>
          <w:tcPr>
            <w:tcW w:w="240" w:type="dxa"/>
            <w:vAlign w:val="bottom"/>
            <w:gridSpan w:val="2"/>
          </w:tcPr>
          <w:p>
            <w:pPr>
              <w:spacing w:after="0"/>
              <w:rPr>
                <w:sz w:val="16"/>
                <w:szCs w:val="16"/>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347,252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b w:val="1"/>
                <w:bCs w:val="1"/>
                <w:color w:val="auto"/>
              </w:rPr>
              <w:t>827,491</w:t>
            </w:r>
          </w:p>
        </w:tc>
        <w:tc>
          <w:tcPr>
            <w:tcW w:w="20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729,388</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Combined NOI</w:t>
            </w: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4340" w:type="dxa"/>
            <w:vAlign w:val="bottom"/>
            <w:vMerge w:val="continue"/>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color w:val="auto"/>
              </w:rPr>
              <w:t>223,464</w:t>
            </w:r>
          </w:p>
        </w:tc>
        <w:tc>
          <w:tcPr>
            <w:tcW w:w="18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color w:val="auto"/>
              </w:rPr>
              <w:t>260,569</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356,320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854,607</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755,375</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2"/>
                <w:szCs w:val="12"/>
                <w:color w:val="auto"/>
              </w:rPr>
              <w:t>Free rent (net of amortization)</w:t>
            </w:r>
          </w:p>
        </w:tc>
        <w:tc>
          <w:tcPr>
            <w:tcW w:w="2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(5,410)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(24,266)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52,341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57,181</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(71,806)</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2"/>
                <w:szCs w:val="12"/>
                <w:color w:val="auto"/>
              </w:rPr>
              <w:t>Net FAS 141 adjustment</w:t>
            </w:r>
          </w:p>
        </w:tc>
        <w:tc>
          <w:tcPr>
            <w:tcW w:w="2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(1,850)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(10,752)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(157,703)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(195,190)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(34,198)</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2"/>
                <w:szCs w:val="12"/>
                <w:color w:val="auto"/>
              </w:rPr>
              <w:t>Straightline revenue adjustment</w:t>
            </w:r>
          </w:p>
        </w:tc>
        <w:tc>
          <w:tcPr>
            <w:tcW w:w="22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(20,134)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(14,830)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spacing w:after="0"/>
              <w:rPr>
                <w:sz w:val="20"/>
                <w:szCs w:val="20"/>
                <w:color w:val="auto"/>
              </w:rPr>
            </w:pPr>
            <w:r>
              <w:rPr>
                <w:rFonts w:ascii="Arial" w:cs="Arial" w:eastAsia="Arial" w:hAnsi="Arial"/>
                <w:sz w:val="12"/>
                <w:szCs w:val="12"/>
                <w:color w:val="auto"/>
              </w:rPr>
              <w:t>(5,349)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2"/>
                <w:szCs w:val="12"/>
                <w:color w:val="auto"/>
              </w:rPr>
              <w:t>(42,110)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(40,726)</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2"/>
                <w:szCs w:val="12"/>
                <w:color w:val="auto"/>
              </w:rPr>
              <w:t>Allowance for S/L tenant credit loss</w:t>
            </w:r>
          </w:p>
        </w:tc>
        <w:tc>
          <w:tcPr>
            <w:tcW w:w="220" w:type="dxa"/>
            <w:vAlign w:val="bottom"/>
          </w:tcPr>
          <w:p>
            <w:pPr>
              <w:spacing w:after="0"/>
              <w:rPr>
                <w:sz w:val="19"/>
                <w:szCs w:val="19"/>
                <w:color w:val="auto"/>
              </w:rPr>
            </w:pPr>
          </w:p>
        </w:tc>
        <w:tc>
          <w:tcPr>
            <w:tcW w:w="760" w:type="dxa"/>
            <w:vAlign w:val="bottom"/>
            <w:gridSpan w:val="3"/>
          </w:tcPr>
          <w:p>
            <w:pPr>
              <w:jc w:val="right"/>
              <w:ind w:right="22"/>
              <w:spacing w:after="0"/>
              <w:rPr>
                <w:sz w:val="20"/>
                <w:szCs w:val="20"/>
                <w:color w:val="auto"/>
              </w:rPr>
            </w:pPr>
            <w:r>
              <w:rPr>
                <w:rFonts w:ascii="Arial" w:cs="Arial" w:eastAsia="Arial" w:hAnsi="Arial"/>
                <w:sz w:val="12"/>
                <w:szCs w:val="12"/>
                <w:color w:val="auto"/>
              </w:rPr>
              <w:t>8,424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Arial" w:cs="Arial" w:eastAsia="Arial" w:hAnsi="Arial"/>
                <w:sz w:val="12"/>
                <w:szCs w:val="12"/>
                <w:color w:val="auto"/>
              </w:rPr>
              <w:t>(1,732)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301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10,390</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2"/>
                <w:szCs w:val="12"/>
                <w:color w:val="auto"/>
              </w:rPr>
              <w:t>(2,715)</w:t>
            </w:r>
          </w:p>
        </w:tc>
        <w:tc>
          <w:tcPr>
            <w:tcW w:w="0" w:type="dxa"/>
            <w:vAlign w:val="bottom"/>
          </w:tcPr>
          <w:p>
            <w:pPr>
              <w:spacing w:after="0"/>
              <w:rPr>
                <w:sz w:val="1"/>
                <w:szCs w:val="1"/>
                <w:color w:val="auto"/>
              </w:rPr>
            </w:pPr>
          </w:p>
        </w:tc>
      </w:tr>
      <w:tr>
        <w:trPr>
          <w:trHeight w:val="223"/>
        </w:trPr>
        <w:tc>
          <w:tcPr>
            <w:tcW w:w="43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869</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912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2,598</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2,323</w:t>
            </w:r>
          </w:p>
        </w:tc>
        <w:tc>
          <w:tcPr>
            <w:tcW w:w="0" w:type="dxa"/>
            <w:vAlign w:val="bottom"/>
          </w:tcPr>
          <w:p>
            <w:pPr>
              <w:spacing w:after="0"/>
              <w:rPr>
                <w:sz w:val="1"/>
                <w:szCs w:val="1"/>
                <w:color w:val="auto"/>
              </w:rPr>
            </w:pPr>
          </w:p>
        </w:tc>
      </w:tr>
      <w:tr>
        <w:trPr>
          <w:trHeight w:val="194"/>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Combined Cash NOI</w:t>
            </w: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205,363</w:t>
            </w:r>
          </w:p>
        </w:tc>
        <w:tc>
          <w:tcPr>
            <w:tcW w:w="18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209,902</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246,822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687,476</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608,253</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2"/>
                <w:szCs w:val="12"/>
                <w:color w:val="auto"/>
              </w:rPr>
              <w:t>Partners' share of NOI - consolidated JVs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(7,572)</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(6,616)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(7,284)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(21,717)</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(19,944)</w:t>
            </w:r>
          </w:p>
        </w:tc>
        <w:tc>
          <w:tcPr>
            <w:tcW w:w="0" w:type="dxa"/>
            <w:vAlign w:val="bottom"/>
          </w:tcPr>
          <w:p>
            <w:pPr>
              <w:spacing w:after="0"/>
              <w:rPr>
                <w:sz w:val="1"/>
                <w:szCs w:val="1"/>
                <w:color w:val="auto"/>
              </w:rPr>
            </w:pPr>
          </w:p>
        </w:tc>
      </w:tr>
      <w:tr>
        <w:trPr>
          <w:trHeight w:val="193"/>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Cash NOI - SLG share</w:t>
            </w: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197,791</w:t>
            </w:r>
          </w:p>
        </w:tc>
        <w:tc>
          <w:tcPr>
            <w:tcW w:w="18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203,286</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239,538</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665,759</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588,309</w:t>
            </w:r>
          </w:p>
        </w:tc>
        <w:tc>
          <w:tcPr>
            <w:tcW w:w="0" w:type="dxa"/>
            <w:vAlign w:val="bottom"/>
          </w:tcPr>
          <w:p>
            <w:pPr>
              <w:spacing w:after="0"/>
              <w:rPr>
                <w:sz w:val="1"/>
                <w:szCs w:val="1"/>
                <w:color w:val="auto"/>
              </w:rPr>
            </w:pPr>
          </w:p>
        </w:tc>
      </w:tr>
      <w:tr>
        <w:trPr>
          <w:trHeight w:val="20"/>
        </w:trPr>
        <w:tc>
          <w:tcPr>
            <w:tcW w:w="4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Components of Consolidated Debt Service and Fixed Charges - Cash Basis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3"/>
        </w:trPr>
        <w:tc>
          <w:tcPr>
            <w:tcW w:w="4340" w:type="dxa"/>
            <w:vAlign w:val="bottom"/>
            <w:tcBorders>
              <w:bottom w:val="single" w:sz="8" w:color="auto"/>
            </w:tcBorders>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1"/>
        </w:trPr>
        <w:tc>
          <w:tcPr>
            <w:tcW w:w="4340" w:type="dxa"/>
            <w:vAlign w:val="bottom"/>
          </w:tcPr>
          <w:p>
            <w:pPr>
              <w:ind w:left="20"/>
              <w:spacing w:after="0"/>
              <w:rPr>
                <w:sz w:val="20"/>
                <w:szCs w:val="20"/>
                <w:color w:val="auto"/>
              </w:rPr>
            </w:pPr>
            <w:r>
              <w:rPr>
                <w:rFonts w:ascii="Arial" w:cs="Arial" w:eastAsia="Arial" w:hAnsi="Arial"/>
                <w:sz w:val="12"/>
                <w:szCs w:val="12"/>
                <w:color w:val="auto"/>
              </w:rPr>
              <w:t>Interest expense</w:t>
            </w: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color w:val="auto"/>
              </w:rPr>
              <w:t>72,842</w:t>
            </w:r>
          </w:p>
        </w:tc>
        <w:tc>
          <w:tcPr>
            <w:tcW w:w="18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color w:val="auto"/>
              </w:rPr>
              <w:t>89,217</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88,459</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258,019</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252,277</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2"/>
                <w:szCs w:val="12"/>
                <w:color w:val="auto"/>
              </w:rPr>
              <w:t>Principal amortization payments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12,207</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7,638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7,910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15,820</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22,834</w:t>
            </w:r>
          </w:p>
        </w:tc>
        <w:tc>
          <w:tcPr>
            <w:tcW w:w="0" w:type="dxa"/>
            <w:vAlign w:val="bottom"/>
          </w:tcPr>
          <w:p>
            <w:pPr>
              <w:spacing w:after="0"/>
              <w:rPr>
                <w:sz w:val="1"/>
                <w:szCs w:val="1"/>
                <w:color w:val="auto"/>
              </w:rPr>
            </w:pPr>
          </w:p>
        </w:tc>
      </w:tr>
      <w:tr>
        <w:trPr>
          <w:trHeight w:val="194"/>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Total Consolidated Debt Service</w:t>
            </w: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85,049</w:t>
            </w:r>
          </w:p>
        </w:tc>
        <w:tc>
          <w:tcPr>
            <w:tcW w:w="18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96,855</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96,369</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273,839</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275,111</w:t>
            </w:r>
          </w:p>
        </w:tc>
        <w:tc>
          <w:tcPr>
            <w:tcW w:w="0" w:type="dxa"/>
            <w:vAlign w:val="bottom"/>
          </w:tcPr>
          <w:p>
            <w:pPr>
              <w:spacing w:after="0"/>
              <w:rPr>
                <w:sz w:val="1"/>
                <w:szCs w:val="1"/>
                <w:color w:val="auto"/>
              </w:rPr>
            </w:pPr>
          </w:p>
        </w:tc>
      </w:tr>
      <w:tr>
        <w:trPr>
          <w:trHeight w:val="415"/>
        </w:trPr>
        <w:tc>
          <w:tcPr>
            <w:tcW w:w="4340" w:type="dxa"/>
            <w:vAlign w:val="bottom"/>
          </w:tcPr>
          <w:p>
            <w:pPr>
              <w:ind w:left="20"/>
              <w:spacing w:after="0"/>
              <w:rPr>
                <w:sz w:val="20"/>
                <w:szCs w:val="20"/>
                <w:color w:val="auto"/>
              </w:rPr>
            </w:pPr>
            <w:r>
              <w:rPr>
                <w:rFonts w:ascii="Arial" w:cs="Arial" w:eastAsia="Arial" w:hAnsi="Arial"/>
                <w:sz w:val="12"/>
                <w:szCs w:val="12"/>
                <w:color w:val="auto"/>
              </w:rPr>
              <w:t>Payments under ground lease arrangements</w:t>
            </w: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color w:val="auto"/>
              </w:rPr>
              <w:t>7,774</w:t>
            </w:r>
          </w:p>
        </w:tc>
        <w:tc>
          <w:tcPr>
            <w:tcW w:w="180" w:type="dxa"/>
            <w:vAlign w:val="bottom"/>
          </w:tcPr>
          <w:p>
            <w:pPr>
              <w:spacing w:after="0"/>
              <w:rPr>
                <w:sz w:val="24"/>
                <w:szCs w:val="24"/>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color w:val="auto"/>
              </w:rPr>
              <w:t>7,674</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7,698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23,172</w:t>
            </w:r>
          </w:p>
        </w:tc>
        <w:tc>
          <w:tcPr>
            <w:tcW w:w="20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22,960</w:t>
            </w:r>
          </w:p>
        </w:tc>
        <w:tc>
          <w:tcPr>
            <w:tcW w:w="0" w:type="dxa"/>
            <w:vAlign w:val="bottom"/>
          </w:tcPr>
          <w:p>
            <w:pPr>
              <w:spacing w:after="0"/>
              <w:rPr>
                <w:sz w:val="1"/>
                <w:szCs w:val="1"/>
                <w:color w:val="auto"/>
              </w:rPr>
            </w:pPr>
          </w:p>
        </w:tc>
      </w:tr>
      <w:tr>
        <w:trPr>
          <w:trHeight w:val="219"/>
        </w:trPr>
        <w:tc>
          <w:tcPr>
            <w:tcW w:w="4340" w:type="dxa"/>
            <w:vAlign w:val="bottom"/>
          </w:tcPr>
          <w:p>
            <w:pPr>
              <w:ind w:left="20"/>
              <w:spacing w:after="0"/>
              <w:rPr>
                <w:sz w:val="20"/>
                <w:szCs w:val="20"/>
                <w:color w:val="auto"/>
              </w:rPr>
            </w:pPr>
            <w:r>
              <w:rPr>
                <w:rFonts w:ascii="Arial" w:cs="Arial" w:eastAsia="Arial" w:hAnsi="Arial"/>
                <w:sz w:val="12"/>
                <w:szCs w:val="12"/>
                <w:color w:val="auto"/>
              </w:rPr>
              <w:t>Dividends on preferred units</w:t>
            </w:r>
          </w:p>
        </w:tc>
        <w:tc>
          <w:tcPr>
            <w:tcW w:w="220" w:type="dxa"/>
            <w:vAlign w:val="bottom"/>
          </w:tcPr>
          <w:p>
            <w:pPr>
              <w:spacing w:after="0"/>
              <w:rPr>
                <w:sz w:val="19"/>
                <w:szCs w:val="19"/>
                <w:color w:val="auto"/>
              </w:rPr>
            </w:pPr>
          </w:p>
        </w:tc>
        <w:tc>
          <w:tcPr>
            <w:tcW w:w="760" w:type="dxa"/>
            <w:vAlign w:val="bottom"/>
            <w:gridSpan w:val="3"/>
          </w:tcPr>
          <w:p>
            <w:pPr>
              <w:jc w:val="right"/>
              <w:ind w:right="22"/>
              <w:spacing w:after="0"/>
              <w:rPr>
                <w:sz w:val="20"/>
                <w:szCs w:val="20"/>
                <w:color w:val="auto"/>
              </w:rPr>
            </w:pPr>
            <w:r>
              <w:rPr>
                <w:rFonts w:ascii="Arial" w:cs="Arial" w:eastAsia="Arial" w:hAnsi="Arial"/>
                <w:sz w:val="12"/>
                <w:szCs w:val="12"/>
                <w:color w:val="auto"/>
              </w:rPr>
              <w:t>2,854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gridSpan w:val="3"/>
          </w:tcPr>
          <w:p>
            <w:pPr>
              <w:jc w:val="right"/>
              <w:ind w:right="2"/>
              <w:spacing w:after="0"/>
              <w:rPr>
                <w:sz w:val="20"/>
                <w:szCs w:val="20"/>
                <w:color w:val="auto"/>
              </w:rPr>
            </w:pPr>
            <w:r>
              <w:rPr>
                <w:rFonts w:ascii="Arial" w:cs="Arial" w:eastAsia="Arial" w:hAnsi="Arial"/>
                <w:sz w:val="12"/>
                <w:szCs w:val="12"/>
                <w:color w:val="auto"/>
              </w:rPr>
              <w:t>2,225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3"/>
          </w:tcPr>
          <w:p>
            <w:pPr>
              <w:jc w:val="right"/>
              <w:ind w:right="2"/>
              <w:spacing w:after="0"/>
              <w:rPr>
                <w:sz w:val="20"/>
                <w:szCs w:val="20"/>
                <w:color w:val="auto"/>
              </w:rPr>
            </w:pPr>
            <w:r>
              <w:rPr>
                <w:rFonts w:ascii="Arial" w:cs="Arial" w:eastAsia="Arial" w:hAnsi="Arial"/>
                <w:sz w:val="12"/>
                <w:szCs w:val="12"/>
                <w:color w:val="auto"/>
              </w:rPr>
              <w:t>2,880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jc w:val="right"/>
              <w:ind w:right="2"/>
              <w:spacing w:after="0"/>
              <w:rPr>
                <w:sz w:val="20"/>
                <w:szCs w:val="20"/>
                <w:color w:val="auto"/>
              </w:rPr>
            </w:pPr>
            <w:r>
              <w:rPr>
                <w:rFonts w:ascii="Arial" w:cs="Arial" w:eastAsia="Arial" w:hAnsi="Arial"/>
                <w:sz w:val="12"/>
                <w:szCs w:val="12"/>
                <w:color w:val="auto"/>
              </w:rPr>
              <w:t>8,382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2"/>
                <w:szCs w:val="12"/>
                <w:color w:val="auto"/>
              </w:rPr>
              <w:t>4,316</w:t>
            </w:r>
          </w:p>
        </w:tc>
        <w:tc>
          <w:tcPr>
            <w:tcW w:w="0" w:type="dxa"/>
            <w:vAlign w:val="bottom"/>
          </w:tcPr>
          <w:p>
            <w:pPr>
              <w:spacing w:after="0"/>
              <w:rPr>
                <w:sz w:val="1"/>
                <w:szCs w:val="1"/>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2"/>
                <w:szCs w:val="12"/>
                <w:color w:val="auto"/>
              </w:rPr>
              <w:t>Dividends on perpetual preferred shares</w:t>
            </w: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2"/>
                <w:szCs w:val="12"/>
                <w:color w:val="auto"/>
              </w:rPr>
              <w:t>3,738</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3,738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3,737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2"/>
              <w:spacing w:after="0"/>
              <w:rPr>
                <w:sz w:val="20"/>
                <w:szCs w:val="20"/>
                <w:color w:val="auto"/>
              </w:rPr>
            </w:pPr>
            <w:r>
              <w:rPr>
                <w:rFonts w:ascii="Arial" w:cs="Arial" w:eastAsia="Arial" w:hAnsi="Arial"/>
                <w:sz w:val="12"/>
                <w:szCs w:val="12"/>
                <w:color w:val="auto"/>
              </w:rPr>
              <w:t>11,213</w:t>
            </w: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2"/>
                <w:szCs w:val="12"/>
                <w:color w:val="auto"/>
              </w:rPr>
              <w:t>11,214</w:t>
            </w:r>
          </w:p>
        </w:tc>
        <w:tc>
          <w:tcPr>
            <w:tcW w:w="0" w:type="dxa"/>
            <w:vAlign w:val="bottom"/>
          </w:tcPr>
          <w:p>
            <w:pPr>
              <w:spacing w:after="0"/>
              <w:rPr>
                <w:sz w:val="1"/>
                <w:szCs w:val="1"/>
                <w:color w:val="auto"/>
              </w:rPr>
            </w:pPr>
          </w:p>
        </w:tc>
      </w:tr>
      <w:tr>
        <w:trPr>
          <w:trHeight w:val="193"/>
        </w:trPr>
        <w:tc>
          <w:tcPr>
            <w:tcW w:w="4340" w:type="dxa"/>
            <w:vAlign w:val="bottom"/>
          </w:tcPr>
          <w:p>
            <w:pPr>
              <w:ind w:left="20"/>
              <w:spacing w:after="0"/>
              <w:rPr>
                <w:sz w:val="20"/>
                <w:szCs w:val="20"/>
                <w:color w:val="auto"/>
              </w:rPr>
            </w:pPr>
            <w:r>
              <w:rPr>
                <w:rFonts w:ascii="Arial" w:cs="Arial" w:eastAsia="Arial" w:hAnsi="Arial"/>
                <w:sz w:val="12"/>
                <w:szCs w:val="12"/>
                <w:b w:val="1"/>
                <w:bCs w:val="1"/>
                <w:color w:val="auto"/>
              </w:rPr>
              <w:t>Total Consolidated Fixed Charges</w:t>
            </w: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99,415</w:t>
            </w:r>
          </w:p>
        </w:tc>
        <w:tc>
          <w:tcPr>
            <w:tcW w:w="180" w:type="dxa"/>
            <w:vAlign w:val="bottom"/>
          </w:tcPr>
          <w:p>
            <w:pPr>
              <w:spacing w:after="0"/>
              <w:rPr>
                <w:sz w:val="16"/>
                <w:szCs w:val="16"/>
                <w:color w:val="auto"/>
              </w:rPr>
            </w:pPr>
          </w:p>
        </w:tc>
        <w:tc>
          <w:tcPr>
            <w:tcW w:w="22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74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110,492</w:t>
            </w:r>
          </w:p>
        </w:tc>
        <w:tc>
          <w:tcPr>
            <w:tcW w:w="400" w:type="dxa"/>
            <w:vAlign w:val="bottom"/>
            <w:gridSpan w:val="3"/>
          </w:tcPr>
          <w:p>
            <w:pPr>
              <w:jc w:val="right"/>
              <w:ind w:right="22"/>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110,684</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88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316,606</w:t>
            </w:r>
          </w:p>
        </w:tc>
        <w:tc>
          <w:tcPr>
            <w:tcW w:w="2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2"/>
                <w:szCs w:val="12"/>
                <w:b w:val="1"/>
                <w:bCs w:val="1"/>
                <w:color w:val="auto"/>
                <w:w w:val="89"/>
              </w:rPr>
              <w:t>$</w:t>
            </w:r>
          </w:p>
        </w:tc>
        <w:tc>
          <w:tcPr>
            <w:tcW w:w="90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rPr>
              <w:t>313,601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80"/>
        <w:spacing w:after="0"/>
        <w:rPr>
          <w:sz w:val="20"/>
          <w:szCs w:val="20"/>
          <w:color w:val="auto"/>
        </w:rPr>
      </w:pPr>
      <w:r>
        <w:rPr>
          <w:rFonts w:ascii="Arial" w:cs="Arial" w:eastAsia="Arial" w:hAnsi="Arial"/>
          <w:sz w:val="9"/>
          <w:szCs w:val="9"/>
          <w:color w:val="auto"/>
        </w:rPr>
        <w:t>(1) Includes the operating income of SL Green Management Corp. and Eemerge 212. Excludes lease termination income and the activity of 885 Third Avenue, which was sold but did not meet the criteria for sale accounting and remains consolidated.</w:t>
      </w: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22</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Same Store - Consolidated</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389"/>
              <w:spacing w:after="0"/>
              <w:rPr>
                <w:sz w:val="20"/>
                <w:szCs w:val="20"/>
                <w:color w:val="auto"/>
              </w:rPr>
            </w:pPr>
            <w:r>
              <w:rPr>
                <w:rFonts w:ascii="Arial" w:cs="Arial" w:eastAsia="Arial" w:hAnsi="Arial"/>
                <w:sz w:val="12"/>
                <w:szCs w:val="12"/>
                <w:b w:val="1"/>
                <w:bCs w:val="1"/>
                <w:color w:val="auto"/>
              </w:rPr>
              <w:t>Nine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5"/>
        </w:trPr>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60" w:type="dxa"/>
            <w:vAlign w:val="bottom"/>
            <w:gridSpan w:val="4"/>
          </w:tcPr>
          <w:p>
            <w:pPr>
              <w:jc w:val="center"/>
              <w:ind w:right="140"/>
              <w:spacing w:after="0"/>
              <w:rPr>
                <w:sz w:val="20"/>
                <w:szCs w:val="20"/>
                <w:color w:val="auto"/>
              </w:rPr>
            </w:pPr>
            <w:r>
              <w:rPr>
                <w:rFonts w:ascii="Arial" w:cs="Arial" w:eastAsia="Arial" w:hAnsi="Arial"/>
                <w:sz w:val="12"/>
                <w:szCs w:val="12"/>
                <w:b w:val="1"/>
                <w:bCs w:val="1"/>
                <w:color w:val="auto"/>
                <w:w w:val="97"/>
              </w:rPr>
              <w:t>September 30,</w:t>
            </w:r>
          </w:p>
        </w:tc>
        <w:tc>
          <w:tcPr>
            <w:tcW w:w="92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9"/>
              </w:rPr>
              <w:t>June 30,</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September 30,</w:t>
            </w:r>
          </w:p>
        </w:tc>
        <w:tc>
          <w:tcPr>
            <w:tcW w:w="920" w:type="dxa"/>
            <w:vAlign w:val="bottom"/>
            <w:gridSpan w:val="3"/>
          </w:tcPr>
          <w:p>
            <w:pPr>
              <w:jc w:val="right"/>
              <w:ind w:right="9"/>
              <w:spacing w:after="0"/>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5"/>
        </w:trPr>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9"/>
              </w:rPr>
              <w:t>2016</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2015</w:t>
            </w:r>
          </w:p>
        </w:tc>
        <w:tc>
          <w:tcPr>
            <w:tcW w:w="7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center"/>
              <w:ind w:left="102"/>
              <w:spacing w:after="0"/>
              <w:rPr>
                <w:sz w:val="20"/>
                <w:szCs w:val="20"/>
                <w:color w:val="auto"/>
              </w:rPr>
            </w:pPr>
            <w:r>
              <w:rPr>
                <w:rFonts w:ascii="Arial" w:cs="Arial" w:eastAsia="Arial" w:hAnsi="Arial"/>
                <w:sz w:val="12"/>
                <w:szCs w:val="12"/>
                <w:b w:val="1"/>
                <w:bCs w:val="1"/>
                <w:color w:val="auto"/>
                <w:w w:val="97"/>
              </w:rPr>
              <w:t>2016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9"/>
              </w:rPr>
              <w:t>2015</w:t>
            </w:r>
          </w:p>
        </w:tc>
        <w:tc>
          <w:tcPr>
            <w:tcW w:w="340" w:type="dxa"/>
            <w:vAlign w:val="bottom"/>
          </w:tcPr>
          <w:p>
            <w:pPr>
              <w:spacing w:after="0"/>
              <w:rPr>
                <w:sz w:val="17"/>
                <w:szCs w:val="17"/>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227"/>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Revenues</w:t>
            </w: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Rental revenue, net</w:t>
            </w: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241,803</w:t>
            </w:r>
          </w:p>
        </w:tc>
        <w:tc>
          <w:tcPr>
            <w:tcW w:w="140" w:type="dxa"/>
            <w:vAlign w:val="bottom"/>
          </w:tcPr>
          <w:p>
            <w:pPr>
              <w:spacing w:after="0"/>
              <w:rPr>
                <w:sz w:val="17"/>
                <w:szCs w:val="17"/>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254,950</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(5.2)%</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262,639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762,153</w:t>
            </w:r>
          </w:p>
        </w:tc>
        <w:tc>
          <w:tcPr>
            <w:tcW w:w="14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751,637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1.4 %</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Escalation &amp; reimbursement revenues</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49,719</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44,823</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10.9 %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42,716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133,092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123,259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8.0 %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Other income</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1,779</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4,821</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(63.1)%</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1,537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5,342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19,931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(73.2)%</w:t>
            </w:r>
          </w:p>
        </w:tc>
      </w:tr>
      <w:tr>
        <w:trPr>
          <w:trHeight w:val="194"/>
        </w:trPr>
        <w:tc>
          <w:tcPr>
            <w:tcW w:w="340" w:type="dxa"/>
            <w:vAlign w:val="bottom"/>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Total Revenues</w:t>
            </w: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293,301</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304,594</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(3.7)%</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306,892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900,587</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894,827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0.6 %</w:t>
            </w:r>
          </w:p>
        </w:tc>
      </w:tr>
      <w:tr>
        <w:trPr>
          <w:trHeight w:val="223"/>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Expenses</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Operating expenses</w:t>
            </w: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70,710</w:t>
            </w:r>
          </w:p>
        </w:tc>
        <w:tc>
          <w:tcPr>
            <w:tcW w:w="140" w:type="dxa"/>
            <w:vAlign w:val="bottom"/>
          </w:tcPr>
          <w:p>
            <w:pPr>
              <w:spacing w:after="0"/>
              <w:rPr>
                <w:sz w:val="17"/>
                <w:szCs w:val="17"/>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69,238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2.1 %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62,913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201,220</w:t>
            </w:r>
          </w:p>
        </w:tc>
        <w:tc>
          <w:tcPr>
            <w:tcW w:w="14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202,060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(0.4)%</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Ground rent</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8,358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8,328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0.4 %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8,328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25,013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24,983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0.1 %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Real estate taxes</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60,444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57,252</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5.6 %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57,258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174,841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163,914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6.7 %</w:t>
            </w:r>
          </w:p>
        </w:tc>
      </w:tr>
      <w:tr>
        <w:trPr>
          <w:trHeight w:val="194"/>
        </w:trPr>
        <w:tc>
          <w:tcPr>
            <w:tcW w:w="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139,512</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134,818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3.5 %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128,499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401,074</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390,957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2.6 %</w:t>
            </w: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Operating Income</w:t>
            </w: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153,789</w:t>
            </w:r>
          </w:p>
        </w:tc>
        <w:tc>
          <w:tcPr>
            <w:tcW w:w="14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169,776</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(9.4)%</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178,393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499,513</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503,870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(0.9)%</w:t>
            </w: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Interest expense &amp; amortization of financing costs</w:t>
            </w: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45,360</w:t>
            </w:r>
          </w:p>
        </w:tc>
        <w:tc>
          <w:tcPr>
            <w:tcW w:w="14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41,394</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9.6 %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44,976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134,820</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123,834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8.9 %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Depreciation &amp; amortization</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83,998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77,608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8.2 %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79,811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242,835</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233,152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4.2 %</w:t>
            </w:r>
          </w:p>
        </w:tc>
      </w:tr>
      <w:tr>
        <w:trPr>
          <w:trHeight w:val="401"/>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Income before noncontrolling interest</w:t>
            </w: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24,431</w:t>
            </w:r>
          </w:p>
        </w:tc>
        <w:tc>
          <w:tcPr>
            <w:tcW w:w="14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50,774</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(51.9)%</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53,606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121,858</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146,884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(17.0)%</w:t>
            </w:r>
          </w:p>
        </w:tc>
      </w:tr>
      <w:tr>
        <w:trPr>
          <w:trHeight w:val="223"/>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Real estate depreciation &amp; amortization</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83,928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77,539</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8.2 %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79,740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242,624</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232,928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94"/>
        </w:trPr>
        <w:tc>
          <w:tcPr>
            <w:tcW w:w="340" w:type="dxa"/>
            <w:vAlign w:val="bottom"/>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FFO Contribution</w:t>
            </w: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108,359</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128,313</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(15.6)%</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133,346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364,482</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379,812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(4.0)%</w:t>
            </w:r>
          </w:p>
        </w:tc>
      </w:tr>
      <w:tr>
        <w:trPr>
          <w:trHeight w:val="437"/>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Less:  Non–building revenue</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497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326</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52.5 %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746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1,627</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1,108</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46.8 %</w:t>
            </w:r>
          </w:p>
        </w:tc>
      </w:tr>
      <w:tr>
        <w:trPr>
          <w:trHeight w:val="437"/>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Interest expense &amp; amortization of financing costs</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45,360</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41,394</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9.6 %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44,976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134,820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123,834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8.9 %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Non-real estate depreciation</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69</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1.4 %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211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224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(5.8)%</w:t>
            </w:r>
          </w:p>
        </w:tc>
      </w:tr>
      <w:tr>
        <w:trPr>
          <w:trHeight w:val="194"/>
        </w:trPr>
        <w:tc>
          <w:tcPr>
            <w:tcW w:w="340" w:type="dxa"/>
            <w:vAlign w:val="bottom"/>
          </w:tcPr>
          <w:p>
            <w:pPr>
              <w:spacing w:after="0"/>
              <w:rPr>
                <w:sz w:val="16"/>
                <w:szCs w:val="16"/>
                <w:color w:val="auto"/>
              </w:rPr>
            </w:pPr>
          </w:p>
        </w:tc>
        <w:tc>
          <w:tcPr>
            <w:tcW w:w="3200" w:type="dxa"/>
            <w:vAlign w:val="bottom"/>
          </w:tcPr>
          <w:p>
            <w:pPr>
              <w:jc w:val="right"/>
              <w:ind w:right="62"/>
              <w:spacing w:after="0"/>
              <w:rPr>
                <w:sz w:val="20"/>
                <w:szCs w:val="20"/>
                <w:color w:val="auto"/>
              </w:rPr>
            </w:pPr>
            <w:r>
              <w:rPr>
                <w:rFonts w:ascii="Arial" w:cs="Arial" w:eastAsia="Arial" w:hAnsi="Arial"/>
                <w:sz w:val="12"/>
                <w:szCs w:val="12"/>
                <w:b w:val="1"/>
                <w:bCs w:val="1"/>
                <w:color w:val="auto"/>
              </w:rPr>
              <w:t>NOI</w:t>
            </w: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153,292</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169,450</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(9.5)%</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177,647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497,886</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502,762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(1.0)%</w:t>
            </w:r>
          </w:p>
        </w:tc>
      </w:tr>
      <w:tr>
        <w:trPr>
          <w:trHeight w:val="442"/>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Cash Adjustments</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Less:  Free rent (net of amortization)</w:t>
            </w: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2,707</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1,812</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49.4 %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4,060</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7,334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(44.6)%</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Straightline revenue adjustment</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8,507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7,615</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11.7 %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8,347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25,165</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29,474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(14.6)%</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Rental income - FAS 141</w:t>
            </w:r>
          </w:p>
        </w:tc>
        <w:tc>
          <w:tcPr>
            <w:tcW w:w="3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(7,192)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5,330</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(234.9)%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3,792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346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13,155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(97.4)%</w:t>
            </w:r>
          </w:p>
        </w:tc>
      </w:tr>
      <w:tr>
        <w:trPr>
          <w:trHeight w:val="219"/>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Ground lease straight-line adjustment</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472</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1,359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1,415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(4.0)%</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Allowance for S/L tenant credit loss</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8,371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233</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3,492.7 %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10,288</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2"/>
                <w:szCs w:val="12"/>
                <w:color w:val="auto"/>
              </w:rPr>
              <w:t>(1,373)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(849.3)%</w:t>
            </w:r>
          </w:p>
        </w:tc>
      </w:tr>
      <w:tr>
        <w:trPr>
          <w:trHeight w:val="194"/>
        </w:trPr>
        <w:tc>
          <w:tcPr>
            <w:tcW w:w="340" w:type="dxa"/>
            <w:vAlign w:val="bottom"/>
          </w:tcPr>
          <w:p>
            <w:pPr>
              <w:spacing w:after="0"/>
              <w:rPr>
                <w:sz w:val="16"/>
                <w:szCs w:val="16"/>
                <w:color w:val="auto"/>
              </w:rPr>
            </w:pPr>
          </w:p>
        </w:tc>
        <w:tc>
          <w:tcPr>
            <w:tcW w:w="3200" w:type="dxa"/>
            <w:vAlign w:val="bottom"/>
          </w:tcPr>
          <w:p>
            <w:pPr>
              <w:jc w:val="right"/>
              <w:ind w:right="62"/>
              <w:spacing w:after="0"/>
              <w:rPr>
                <w:sz w:val="20"/>
                <w:szCs w:val="20"/>
                <w:color w:val="auto"/>
              </w:rPr>
            </w:pPr>
            <w:r>
              <w:rPr>
                <w:rFonts w:ascii="Arial" w:cs="Arial" w:eastAsia="Arial" w:hAnsi="Arial"/>
                <w:sz w:val="12"/>
                <w:szCs w:val="12"/>
                <w:b w:val="1"/>
                <w:bCs w:val="1"/>
                <w:color w:val="auto"/>
              </w:rPr>
              <w:t>Cash NOI</w:t>
            </w: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158,065</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155,398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1.7 %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165,778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479,962</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452,841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6.0 %</w:t>
            </w:r>
          </w:p>
        </w:tc>
      </w:tr>
      <w:tr>
        <w:trPr>
          <w:trHeight w:val="442"/>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Operating Margins</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NOI to real estate revenue, net</w:t>
            </w:r>
          </w:p>
        </w:tc>
        <w:tc>
          <w:tcPr>
            <w:tcW w:w="3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52.4%</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55.7%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55.4%</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56.3%</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Cash NOI to real estate revenue, net</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54.0%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51.1%</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54.1%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50.7%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NOI before ground rent/real estate revenue, net</w:t>
            </w:r>
          </w:p>
        </w:tc>
        <w:tc>
          <w:tcPr>
            <w:tcW w:w="3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55.2%</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58.4%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60.7%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58.2%</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59.1%</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Cash NOI before ground rent/real estate revenue, net</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56.7%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53.7%</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56.0%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53.3%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5"/>
        </w:trPr>
        <w:tc>
          <w:tcPr>
            <w:tcW w:w="3540" w:type="dxa"/>
            <w:vAlign w:val="bottom"/>
            <w:gridSpan w:val="2"/>
          </w:tcPr>
          <w:p>
            <w:pPr>
              <w:ind w:left="20"/>
              <w:spacing w:after="0"/>
              <w:rPr>
                <w:sz w:val="20"/>
                <w:szCs w:val="20"/>
                <w:color w:val="auto"/>
              </w:rPr>
            </w:pPr>
            <w:r>
              <w:rPr>
                <w:rFonts w:ascii="Arial" w:cs="Arial" w:eastAsia="Arial" w:hAnsi="Arial"/>
                <w:sz w:val="10"/>
                <w:szCs w:val="10"/>
                <w:color w:val="auto"/>
              </w:rPr>
              <w:t>Supplemental Information</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23</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0"/>
                <w:szCs w:val="10"/>
                <w:color w:val="auto"/>
              </w:rPr>
              <w:t>Third Quarter 2016</w:t>
            </w:r>
          </w:p>
        </w:tc>
      </w:tr>
    </w:tbl>
    <w:p>
      <w:pPr>
        <w:sectPr>
          <w:pgSz w:w="11900" w:h="16838" w:orient="portrait"/>
          <w:cols w:equalWidth="0" w:num="1">
            <w:col w:w="10080"/>
          </w:cols>
          <w:pgMar w:left="900" w:top="338" w:right="919" w:bottom="1440" w:gutter="0" w:footer="0" w:header="0"/>
        </w:sectPr>
      </w:pPr>
    </w:p>
    <w:bookmarkStart w:id="39" w:name="page40"/>
    <w:bookmarkEnd w:id="3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Same Store - Joint Venture</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6"/>
          </w:tcPr>
          <w:p>
            <w:pPr>
              <w:jc w:val="right"/>
              <w:ind w:right="342"/>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384"/>
              <w:spacing w:after="0"/>
              <w:rPr>
                <w:sz w:val="20"/>
                <w:szCs w:val="20"/>
                <w:color w:val="auto"/>
              </w:rPr>
            </w:pPr>
            <w:r>
              <w:rPr>
                <w:rFonts w:ascii="Arial" w:cs="Arial" w:eastAsia="Arial" w:hAnsi="Arial"/>
                <w:sz w:val="12"/>
                <w:szCs w:val="12"/>
                <w:b w:val="1"/>
                <w:bCs w:val="1"/>
                <w:color w:val="auto"/>
              </w:rPr>
              <w:t>Nine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5"/>
        </w:trPr>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September 30,</w:t>
            </w:r>
          </w:p>
        </w:tc>
        <w:tc>
          <w:tcPr>
            <w:tcW w:w="920" w:type="dxa"/>
            <w:vAlign w:val="bottom"/>
            <w:gridSpan w:val="3"/>
          </w:tcPr>
          <w:p>
            <w:pPr>
              <w:jc w:val="right"/>
              <w:ind w:right="2"/>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9"/>
              </w:rPr>
              <w:t>June 30,</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September 30,</w:t>
            </w:r>
          </w:p>
        </w:tc>
        <w:tc>
          <w:tcPr>
            <w:tcW w:w="920" w:type="dxa"/>
            <w:vAlign w:val="bottom"/>
            <w:gridSpan w:val="3"/>
          </w:tcPr>
          <w:p>
            <w:pPr>
              <w:jc w:val="right"/>
              <w:ind w:right="4"/>
              <w:spacing w:after="0"/>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5"/>
        </w:trPr>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262"/>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9"/>
              </w:rPr>
              <w:t>2015</w:t>
            </w:r>
          </w:p>
        </w:tc>
        <w:tc>
          <w:tcPr>
            <w:tcW w:w="320" w:type="dxa"/>
            <w:vAlign w:val="bottom"/>
          </w:tcPr>
          <w:p>
            <w:pPr>
              <w:spacing w:after="0"/>
              <w:rPr>
                <w:sz w:val="17"/>
                <w:szCs w:val="17"/>
                <w:color w:val="auto"/>
              </w:rPr>
            </w:pPr>
          </w:p>
        </w:tc>
        <w:tc>
          <w:tcPr>
            <w:tcW w:w="7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center"/>
              <w:ind w:left="102"/>
              <w:spacing w:after="0"/>
              <w:rPr>
                <w:sz w:val="20"/>
                <w:szCs w:val="20"/>
                <w:color w:val="auto"/>
              </w:rPr>
            </w:pPr>
            <w:r>
              <w:rPr>
                <w:rFonts w:ascii="Arial" w:cs="Arial" w:eastAsia="Arial" w:hAnsi="Arial"/>
                <w:sz w:val="12"/>
                <w:szCs w:val="12"/>
                <w:b w:val="1"/>
                <w:bCs w:val="1"/>
                <w:color w:val="auto"/>
                <w:w w:val="97"/>
              </w:rPr>
              <w:t>2016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282"/>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9"/>
              </w:rPr>
              <w:t>2015</w:t>
            </w:r>
          </w:p>
        </w:tc>
        <w:tc>
          <w:tcPr>
            <w:tcW w:w="340" w:type="dxa"/>
            <w:vAlign w:val="bottom"/>
          </w:tcPr>
          <w:p>
            <w:pPr>
              <w:spacing w:after="0"/>
              <w:rPr>
                <w:sz w:val="17"/>
                <w:szCs w:val="17"/>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227"/>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Revenues</w:t>
            </w:r>
          </w:p>
        </w:tc>
        <w:tc>
          <w:tcPr>
            <w:tcW w:w="3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Rental revenue, net</w:t>
            </w: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28,187</w:t>
            </w:r>
          </w:p>
        </w:tc>
        <w:tc>
          <w:tcPr>
            <w:tcW w:w="14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27,392</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2.9 %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28,049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84,801</w:t>
            </w:r>
          </w:p>
        </w:tc>
        <w:tc>
          <w:tcPr>
            <w:tcW w:w="14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80,895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4.8 %</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Escalation &amp; reimbursement revenues</w:t>
            </w:r>
          </w:p>
        </w:tc>
        <w:tc>
          <w:tcPr>
            <w:tcW w:w="3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2,669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2,691</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(0.8)%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2,297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7,131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6,953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2.6 %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Other income</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207</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208</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(0.5)%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2"/>
                <w:szCs w:val="12"/>
                <w:color w:val="auto"/>
              </w:rPr>
              <w:t>255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687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2"/>
                <w:szCs w:val="12"/>
                <w:color w:val="auto"/>
              </w:rPr>
              <w:t>211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226 %</w:t>
            </w:r>
          </w:p>
        </w:tc>
      </w:tr>
      <w:tr>
        <w:trPr>
          <w:trHeight w:val="194"/>
        </w:trPr>
        <w:tc>
          <w:tcPr>
            <w:tcW w:w="340" w:type="dxa"/>
            <w:vAlign w:val="bottom"/>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Total Revenues</w:t>
            </w: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31,063</w:t>
            </w:r>
          </w:p>
        </w:tc>
        <w:tc>
          <w:tcPr>
            <w:tcW w:w="140" w:type="dxa"/>
            <w:vAlign w:val="bottom"/>
          </w:tcPr>
          <w:p>
            <w:pPr>
              <w:spacing w:after="0"/>
              <w:rPr>
                <w:sz w:val="16"/>
                <w:szCs w:val="16"/>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30,291</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2.5 %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30,601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92,619</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88,059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5.2 %</w:t>
            </w:r>
          </w:p>
        </w:tc>
      </w:tr>
      <w:tr>
        <w:trPr>
          <w:trHeight w:val="223"/>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Expenses</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Operating expenses</w:t>
            </w: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4,797</w:t>
            </w:r>
          </w:p>
        </w:tc>
        <w:tc>
          <w:tcPr>
            <w:tcW w:w="140" w:type="dxa"/>
            <w:vAlign w:val="bottom"/>
          </w:tcPr>
          <w:p>
            <w:pPr>
              <w:spacing w:after="0"/>
              <w:rPr>
                <w:sz w:val="17"/>
                <w:szCs w:val="17"/>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4,824</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(0.6)%</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4,378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13,859</w:t>
            </w:r>
          </w:p>
        </w:tc>
        <w:tc>
          <w:tcPr>
            <w:tcW w:w="14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14,199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(2.4)%</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Ground rent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Real estate taxes</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4,904</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4,335</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13.1 %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2"/>
                <w:szCs w:val="12"/>
                <w:color w:val="auto"/>
              </w:rPr>
              <w:t>4,324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13,642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2"/>
                <w:szCs w:val="12"/>
                <w:color w:val="auto"/>
              </w:rPr>
              <w:t>12,570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8.5 %</w:t>
            </w:r>
          </w:p>
        </w:tc>
      </w:tr>
      <w:tr>
        <w:trPr>
          <w:trHeight w:val="194"/>
        </w:trPr>
        <w:tc>
          <w:tcPr>
            <w:tcW w:w="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9,701</w:t>
            </w:r>
          </w:p>
        </w:tc>
        <w:tc>
          <w:tcPr>
            <w:tcW w:w="140" w:type="dxa"/>
            <w:vAlign w:val="bottom"/>
          </w:tcPr>
          <w:p>
            <w:pPr>
              <w:spacing w:after="0"/>
              <w:rPr>
                <w:sz w:val="16"/>
                <w:szCs w:val="16"/>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9,159</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5.9 %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8,702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27,501</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26,769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2.7 %</w:t>
            </w: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Operating Income</w:t>
            </w: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21,362</w:t>
            </w:r>
          </w:p>
        </w:tc>
        <w:tc>
          <w:tcPr>
            <w:tcW w:w="140" w:type="dxa"/>
            <w:vAlign w:val="bottom"/>
          </w:tcPr>
          <w:p>
            <w:pPr>
              <w:spacing w:after="0"/>
              <w:rPr>
                <w:sz w:val="24"/>
                <w:szCs w:val="24"/>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21,132</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1.1 %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21,899</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65,118</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61,290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6.2 %</w:t>
            </w: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Interest expense &amp; amortization of financing costs</w:t>
            </w: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8,537</w:t>
            </w:r>
          </w:p>
        </w:tc>
        <w:tc>
          <w:tcPr>
            <w:tcW w:w="140" w:type="dxa"/>
            <w:vAlign w:val="bottom"/>
          </w:tcPr>
          <w:p>
            <w:pPr>
              <w:spacing w:after="0"/>
              <w:rPr>
                <w:sz w:val="24"/>
                <w:szCs w:val="24"/>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8,054</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6.0 %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9,675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27,090</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23,407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15.7 %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Depreciation &amp; amortization</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9,696</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8,861</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9.4 %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2"/>
                <w:szCs w:val="12"/>
                <w:color w:val="auto"/>
              </w:rPr>
              <w:t>9,033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27,617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2"/>
                <w:szCs w:val="12"/>
                <w:color w:val="auto"/>
              </w:rPr>
              <w:t>26,494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4.2 %</w:t>
            </w:r>
          </w:p>
        </w:tc>
      </w:tr>
      <w:tr>
        <w:trPr>
          <w:trHeight w:val="423"/>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Income before noncontrolling interest</w:t>
            </w: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3,129</w:t>
            </w:r>
          </w:p>
        </w:tc>
        <w:tc>
          <w:tcPr>
            <w:tcW w:w="140" w:type="dxa"/>
            <w:vAlign w:val="bottom"/>
          </w:tcPr>
          <w:p>
            <w:pPr>
              <w:spacing w:after="0"/>
              <w:rPr>
                <w:sz w:val="24"/>
                <w:szCs w:val="24"/>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4,217</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(25.8)%</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3,191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10,411</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11,389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(8.6)%</w:t>
            </w:r>
          </w:p>
        </w:tc>
      </w:tr>
      <w:tr>
        <w:trPr>
          <w:trHeight w:val="223"/>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Real estate depreciation &amp; amortization</w:t>
            </w: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9,696</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2"/>
          </w:tcPr>
          <w:p>
            <w:pPr>
              <w:jc w:val="right"/>
              <w:ind w:right="62"/>
              <w:spacing w:after="0"/>
              <w:rPr>
                <w:sz w:val="20"/>
                <w:szCs w:val="20"/>
                <w:color w:val="auto"/>
              </w:rPr>
            </w:pPr>
            <w:r>
              <w:rPr>
                <w:rFonts w:ascii="Arial" w:cs="Arial" w:eastAsia="Arial" w:hAnsi="Arial"/>
                <w:sz w:val="12"/>
                <w:szCs w:val="12"/>
                <w:color w:val="auto"/>
              </w:rPr>
              <w:t>8,861</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9.4 %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82"/>
              <w:spacing w:after="0"/>
              <w:rPr>
                <w:sz w:val="20"/>
                <w:szCs w:val="20"/>
                <w:color w:val="auto"/>
              </w:rPr>
            </w:pPr>
            <w:r>
              <w:rPr>
                <w:rFonts w:ascii="Arial" w:cs="Arial" w:eastAsia="Arial" w:hAnsi="Arial"/>
                <w:sz w:val="12"/>
                <w:szCs w:val="12"/>
                <w:color w:val="auto"/>
              </w:rPr>
              <w:t>9,033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2"/>
              <w:spacing w:after="0"/>
              <w:rPr>
                <w:sz w:val="20"/>
                <w:szCs w:val="20"/>
                <w:color w:val="auto"/>
              </w:rPr>
            </w:pPr>
            <w:r>
              <w:rPr>
                <w:rFonts w:ascii="Arial" w:cs="Arial" w:eastAsia="Arial" w:hAnsi="Arial"/>
                <w:sz w:val="12"/>
                <w:szCs w:val="12"/>
                <w:color w:val="auto"/>
              </w:rPr>
              <w:t>27,617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12"/>
                <w:szCs w:val="12"/>
                <w:color w:val="auto"/>
              </w:rPr>
              <w:t>26,494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4.2 %</w:t>
            </w:r>
          </w:p>
        </w:tc>
      </w:tr>
      <w:tr>
        <w:trPr>
          <w:trHeight w:val="194"/>
        </w:trPr>
        <w:tc>
          <w:tcPr>
            <w:tcW w:w="340" w:type="dxa"/>
            <w:vAlign w:val="bottom"/>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FFO Contribution</w:t>
            </w: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12,825</w:t>
            </w:r>
          </w:p>
        </w:tc>
        <w:tc>
          <w:tcPr>
            <w:tcW w:w="140" w:type="dxa"/>
            <w:vAlign w:val="bottom"/>
          </w:tcPr>
          <w:p>
            <w:pPr>
              <w:spacing w:after="0"/>
              <w:rPr>
                <w:sz w:val="16"/>
                <w:szCs w:val="16"/>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13,078</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(1.9)%</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12,224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38,028</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37,883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0.4 %</w:t>
            </w:r>
          </w:p>
        </w:tc>
      </w:tr>
      <w:tr>
        <w:trPr>
          <w:trHeight w:val="437"/>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Less:  Non–building revenue</w:t>
            </w:r>
          </w:p>
        </w:tc>
        <w:tc>
          <w:tcPr>
            <w:tcW w:w="340" w:type="dxa"/>
            <w:vAlign w:val="bottom"/>
          </w:tcPr>
          <w:p>
            <w:pPr>
              <w:spacing w:after="0"/>
              <w:rPr>
                <w:sz w:val="24"/>
                <w:szCs w:val="24"/>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34</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42</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(19.0)%</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60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156</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133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17.3 %</w:t>
            </w:r>
          </w:p>
        </w:tc>
      </w:tr>
      <w:tr>
        <w:trPr>
          <w:trHeight w:val="437"/>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Interest expense &amp; amortization of financing costs</w:t>
            </w:r>
          </w:p>
        </w:tc>
        <w:tc>
          <w:tcPr>
            <w:tcW w:w="340" w:type="dxa"/>
            <w:vAlign w:val="bottom"/>
          </w:tcPr>
          <w:p>
            <w:pPr>
              <w:spacing w:after="0"/>
              <w:rPr>
                <w:sz w:val="24"/>
                <w:szCs w:val="24"/>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8,537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8,054</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6.0 %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9,675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27,090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23,407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15.7 %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Non-real estate depreciation</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4"/>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 %</w:t>
            </w:r>
          </w:p>
        </w:tc>
      </w:tr>
      <w:tr>
        <w:trPr>
          <w:trHeight w:val="194"/>
        </w:trPr>
        <w:tc>
          <w:tcPr>
            <w:tcW w:w="340" w:type="dxa"/>
            <w:vAlign w:val="bottom"/>
          </w:tcPr>
          <w:p>
            <w:pPr>
              <w:spacing w:after="0"/>
              <w:rPr>
                <w:sz w:val="16"/>
                <w:szCs w:val="16"/>
                <w:color w:val="auto"/>
              </w:rPr>
            </w:pPr>
          </w:p>
        </w:tc>
        <w:tc>
          <w:tcPr>
            <w:tcW w:w="3200" w:type="dxa"/>
            <w:vAlign w:val="bottom"/>
          </w:tcPr>
          <w:p>
            <w:pPr>
              <w:jc w:val="right"/>
              <w:ind w:right="42"/>
              <w:spacing w:after="0"/>
              <w:rPr>
                <w:sz w:val="20"/>
                <w:szCs w:val="20"/>
                <w:color w:val="auto"/>
              </w:rPr>
            </w:pPr>
            <w:r>
              <w:rPr>
                <w:rFonts w:ascii="Arial" w:cs="Arial" w:eastAsia="Arial" w:hAnsi="Arial"/>
                <w:sz w:val="12"/>
                <w:szCs w:val="12"/>
                <w:b w:val="1"/>
                <w:bCs w:val="1"/>
                <w:color w:val="auto"/>
              </w:rPr>
              <w:t>NOI</w:t>
            </w: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21,328</w:t>
            </w:r>
          </w:p>
        </w:tc>
        <w:tc>
          <w:tcPr>
            <w:tcW w:w="140" w:type="dxa"/>
            <w:vAlign w:val="bottom"/>
          </w:tcPr>
          <w:p>
            <w:pPr>
              <w:spacing w:after="0"/>
              <w:rPr>
                <w:sz w:val="16"/>
                <w:szCs w:val="16"/>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21,090</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1.1 %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21,839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64,962</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61,157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6.2 %</w:t>
            </w:r>
          </w:p>
        </w:tc>
      </w:tr>
      <w:tr>
        <w:trPr>
          <w:trHeight w:val="442"/>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Cash Adjustments</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Less:  Free rent (net of amortization)</w:t>
            </w:r>
          </w:p>
        </w:tc>
        <w:tc>
          <w:tcPr>
            <w:tcW w:w="340" w:type="dxa"/>
            <w:vAlign w:val="bottom"/>
          </w:tcPr>
          <w:p>
            <w:pPr>
              <w:spacing w:after="0"/>
              <w:rPr>
                <w:sz w:val="17"/>
                <w:szCs w:val="17"/>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276</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405</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(31.9)%</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866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1,845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1,557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18.5 %</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Straightline revenue adjustment</w:t>
            </w:r>
          </w:p>
        </w:tc>
        <w:tc>
          <w:tcPr>
            <w:tcW w:w="3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1,301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929</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40.0 %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723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3,327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2,877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15.6 %</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Rental income - FAS 141</w:t>
            </w:r>
          </w:p>
        </w:tc>
        <w:tc>
          <w:tcPr>
            <w:tcW w:w="3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388</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ind w:right="62"/>
              <w:spacing w:after="0"/>
              <w:rPr>
                <w:sz w:val="20"/>
                <w:szCs w:val="20"/>
                <w:color w:val="auto"/>
              </w:rPr>
            </w:pPr>
            <w:r>
              <w:rPr>
                <w:rFonts w:ascii="Arial" w:cs="Arial" w:eastAsia="Arial" w:hAnsi="Arial"/>
                <w:sz w:val="12"/>
                <w:szCs w:val="12"/>
                <w:color w:val="auto"/>
              </w:rPr>
              <w:t>454</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(14.5)%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82"/>
              <w:spacing w:after="0"/>
              <w:rPr>
                <w:sz w:val="20"/>
                <w:szCs w:val="20"/>
                <w:color w:val="auto"/>
              </w:rPr>
            </w:pPr>
            <w:r>
              <w:rPr>
                <w:rFonts w:ascii="Arial" w:cs="Arial" w:eastAsia="Arial" w:hAnsi="Arial"/>
                <w:sz w:val="12"/>
                <w:szCs w:val="12"/>
                <w:color w:val="auto"/>
              </w:rPr>
              <w:t>391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2"/>
              <w:spacing w:after="0"/>
              <w:rPr>
                <w:sz w:val="20"/>
                <w:szCs w:val="20"/>
                <w:color w:val="auto"/>
              </w:rPr>
            </w:pPr>
            <w:r>
              <w:rPr>
                <w:rFonts w:ascii="Arial" w:cs="Arial" w:eastAsia="Arial" w:hAnsi="Arial"/>
                <w:sz w:val="12"/>
                <w:szCs w:val="12"/>
                <w:color w:val="auto"/>
              </w:rPr>
              <w:t>1,170</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4"/>
              <w:spacing w:after="0"/>
              <w:rPr>
                <w:sz w:val="20"/>
                <w:szCs w:val="20"/>
                <w:color w:val="auto"/>
              </w:rPr>
            </w:pPr>
            <w:r>
              <w:rPr>
                <w:rFonts w:ascii="Arial" w:cs="Arial" w:eastAsia="Arial" w:hAnsi="Arial"/>
                <w:sz w:val="12"/>
                <w:szCs w:val="12"/>
                <w:color w:val="auto"/>
              </w:rPr>
              <w:t>1,417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(17.4)%</w:t>
            </w:r>
          </w:p>
        </w:tc>
      </w:tr>
      <w:tr>
        <w:trPr>
          <w:trHeight w:val="219"/>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Ground lease straight-line adjustment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20" w:type="dxa"/>
            <w:vAlign w:val="bottom"/>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gridSpan w:val="3"/>
          </w:tcPr>
          <w:p>
            <w:pPr>
              <w:jc w:val="right"/>
              <w:ind w:right="34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jc w:val="right"/>
              <w:ind w:right="84"/>
              <w:spacing w:after="0"/>
              <w:rPr>
                <w:sz w:val="20"/>
                <w:szCs w:val="20"/>
                <w:color w:val="auto"/>
              </w:rPr>
            </w:pPr>
            <w:r>
              <w:rPr>
                <w:rFonts w:ascii="Arial" w:cs="Arial" w:eastAsia="Arial" w:hAnsi="Arial"/>
                <w:sz w:val="12"/>
                <w:szCs w:val="12"/>
                <w:color w:val="auto"/>
              </w:rPr>
              <w:t>—</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Allowance for S/L tenant credit loss</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200" w:type="dxa"/>
            <w:vAlign w:val="bottom"/>
            <w:gridSpan w:val="2"/>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4"/>
              <w:spacing w:after="0"/>
              <w:rPr>
                <w:sz w:val="20"/>
                <w:szCs w:val="20"/>
                <w:color w:val="auto"/>
              </w:rPr>
            </w:pPr>
            <w:r>
              <w:rPr>
                <w:rFonts w:ascii="Arial" w:cs="Arial" w:eastAsia="Arial" w:hAnsi="Arial"/>
                <w:sz w:val="12"/>
                <w:szCs w:val="12"/>
                <w:color w:val="auto"/>
              </w:rPr>
              <w:t>(117)</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(100.0)%</w:t>
            </w:r>
          </w:p>
        </w:tc>
      </w:tr>
      <w:tr>
        <w:trPr>
          <w:trHeight w:val="194"/>
        </w:trPr>
        <w:tc>
          <w:tcPr>
            <w:tcW w:w="340" w:type="dxa"/>
            <w:vAlign w:val="bottom"/>
          </w:tcPr>
          <w:p>
            <w:pPr>
              <w:spacing w:after="0"/>
              <w:rPr>
                <w:sz w:val="16"/>
                <w:szCs w:val="16"/>
                <w:color w:val="auto"/>
              </w:rPr>
            </w:pPr>
          </w:p>
        </w:tc>
        <w:tc>
          <w:tcPr>
            <w:tcW w:w="3200" w:type="dxa"/>
            <w:vAlign w:val="bottom"/>
          </w:tcPr>
          <w:p>
            <w:pPr>
              <w:jc w:val="right"/>
              <w:ind w:right="42"/>
              <w:spacing w:after="0"/>
              <w:rPr>
                <w:sz w:val="20"/>
                <w:szCs w:val="20"/>
                <w:color w:val="auto"/>
              </w:rPr>
            </w:pPr>
            <w:r>
              <w:rPr>
                <w:rFonts w:ascii="Arial" w:cs="Arial" w:eastAsia="Arial" w:hAnsi="Arial"/>
                <w:sz w:val="12"/>
                <w:szCs w:val="12"/>
                <w:b w:val="1"/>
                <w:bCs w:val="1"/>
                <w:color w:val="auto"/>
              </w:rPr>
              <w:t>Cash NOI</w:t>
            </w: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19,363</w:t>
            </w:r>
          </w:p>
        </w:tc>
        <w:tc>
          <w:tcPr>
            <w:tcW w:w="140" w:type="dxa"/>
            <w:vAlign w:val="bottom"/>
          </w:tcPr>
          <w:p>
            <w:pPr>
              <w:spacing w:after="0"/>
              <w:rPr>
                <w:sz w:val="16"/>
                <w:szCs w:val="16"/>
                <w:color w:val="auto"/>
              </w:rPr>
            </w:pPr>
          </w:p>
        </w:tc>
        <w:tc>
          <w:tcPr>
            <w:tcW w:w="340" w:type="dxa"/>
            <w:vAlign w:val="bottom"/>
          </w:tcPr>
          <w:p>
            <w:pPr>
              <w:jc w:val="right"/>
              <w:ind w:right="182"/>
              <w:spacing w:after="0"/>
              <w:rPr>
                <w:sz w:val="20"/>
                <w:szCs w:val="20"/>
                <w:color w:val="auto"/>
              </w:rPr>
            </w:pPr>
            <w:r>
              <w:rPr>
                <w:rFonts w:ascii="Arial" w:cs="Arial" w:eastAsia="Arial" w:hAnsi="Arial"/>
                <w:sz w:val="12"/>
                <w:szCs w:val="12"/>
                <w:b w:val="1"/>
                <w:bCs w:val="1"/>
                <w:color w:val="auto"/>
              </w:rPr>
              <w:t>$</w:t>
            </w:r>
          </w:p>
        </w:tc>
        <w:tc>
          <w:tcPr>
            <w:tcW w:w="580" w:type="dxa"/>
            <w:vAlign w:val="bottom"/>
            <w:gridSpan w:val="2"/>
          </w:tcPr>
          <w:p>
            <w:pPr>
              <w:jc w:val="right"/>
              <w:ind w:right="62"/>
              <w:spacing w:after="0"/>
              <w:rPr>
                <w:sz w:val="20"/>
                <w:szCs w:val="20"/>
                <w:color w:val="auto"/>
              </w:rPr>
            </w:pPr>
            <w:r>
              <w:rPr>
                <w:rFonts w:ascii="Arial" w:cs="Arial" w:eastAsia="Arial" w:hAnsi="Arial"/>
                <w:sz w:val="12"/>
                <w:szCs w:val="12"/>
                <w:b w:val="1"/>
                <w:bCs w:val="1"/>
                <w:color w:val="auto"/>
              </w:rPr>
              <w:t>19,302</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0.3 %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82"/>
              <w:spacing w:after="0"/>
              <w:rPr>
                <w:sz w:val="20"/>
                <w:szCs w:val="20"/>
                <w:color w:val="auto"/>
              </w:rPr>
            </w:pPr>
            <w:r>
              <w:rPr>
                <w:rFonts w:ascii="Arial" w:cs="Arial" w:eastAsia="Arial" w:hAnsi="Arial"/>
                <w:sz w:val="12"/>
                <w:szCs w:val="12"/>
                <w:b w:val="1"/>
                <w:bCs w:val="1"/>
                <w:color w:val="auto"/>
              </w:rPr>
              <w:t>19,859</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2"/>
              <w:spacing w:after="0"/>
              <w:rPr>
                <w:sz w:val="20"/>
                <w:szCs w:val="20"/>
                <w:color w:val="auto"/>
              </w:rPr>
            </w:pPr>
            <w:r>
              <w:rPr>
                <w:rFonts w:ascii="Arial" w:cs="Arial" w:eastAsia="Arial" w:hAnsi="Arial"/>
                <w:sz w:val="12"/>
                <w:szCs w:val="12"/>
                <w:b w:val="1"/>
                <w:bCs w:val="1"/>
                <w:color w:val="auto"/>
              </w:rPr>
              <w:t>58,620</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4"/>
              <w:spacing w:after="0"/>
              <w:rPr>
                <w:sz w:val="20"/>
                <w:szCs w:val="20"/>
                <w:color w:val="auto"/>
              </w:rPr>
            </w:pPr>
            <w:r>
              <w:rPr>
                <w:rFonts w:ascii="Arial" w:cs="Arial" w:eastAsia="Arial" w:hAnsi="Arial"/>
                <w:sz w:val="12"/>
                <w:szCs w:val="12"/>
                <w:b w:val="1"/>
                <w:bCs w:val="1"/>
                <w:color w:val="auto"/>
              </w:rPr>
              <w:t>55,189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6.2 %</w:t>
            </w:r>
          </w:p>
        </w:tc>
      </w:tr>
      <w:tr>
        <w:trPr>
          <w:trHeight w:val="442"/>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Operating Margins</w:t>
            </w: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NOI to real estate revenue, net</w:t>
            </w:r>
          </w:p>
        </w:tc>
        <w:tc>
          <w:tcPr>
            <w:tcW w:w="3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68.7%</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69.7%</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71.5%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70.3%</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69.6%</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Cash NOI to real estate revenue, net</w:t>
            </w:r>
          </w:p>
        </w:tc>
        <w:tc>
          <w:tcPr>
            <w:tcW w:w="3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63.8%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NOI before ground rent/real estate revenue, net</w:t>
            </w:r>
          </w:p>
        </w:tc>
        <w:tc>
          <w:tcPr>
            <w:tcW w:w="3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68.7%</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69.7%</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71.5%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70.3%</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69.6%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Cash NOI before ground rent/real estate revenue, net</w:t>
            </w:r>
          </w:p>
        </w:tc>
        <w:tc>
          <w:tcPr>
            <w:tcW w:w="3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62.4%</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2"/>
                <w:szCs w:val="12"/>
                <w:color w:val="auto"/>
              </w:rPr>
              <w:t>63.8%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2"/>
                <w:szCs w:val="12"/>
                <w:color w:val="auto"/>
              </w:rPr>
              <w:t>65.0%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63.4%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62.8%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5"/>
        </w:trPr>
        <w:tc>
          <w:tcPr>
            <w:tcW w:w="3540" w:type="dxa"/>
            <w:vAlign w:val="bottom"/>
            <w:gridSpan w:val="2"/>
          </w:tcPr>
          <w:p>
            <w:pPr>
              <w:ind w:left="20"/>
              <w:spacing w:after="0"/>
              <w:rPr>
                <w:sz w:val="20"/>
                <w:szCs w:val="20"/>
                <w:color w:val="auto"/>
              </w:rPr>
            </w:pPr>
            <w:r>
              <w:rPr>
                <w:rFonts w:ascii="Arial" w:cs="Arial" w:eastAsia="Arial" w:hAnsi="Arial"/>
                <w:sz w:val="10"/>
                <w:szCs w:val="10"/>
                <w:color w:val="auto"/>
              </w:rPr>
              <w:t>Supplemental Information</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jc w:val="right"/>
              <w:ind w:right="62"/>
              <w:spacing w:after="0"/>
              <w:rPr>
                <w:sz w:val="20"/>
                <w:szCs w:val="20"/>
                <w:color w:val="auto"/>
              </w:rPr>
            </w:pPr>
            <w:r>
              <w:rPr>
                <w:rFonts w:ascii="Arial" w:cs="Arial" w:eastAsia="Arial" w:hAnsi="Arial"/>
                <w:sz w:val="10"/>
                <w:szCs w:val="10"/>
                <w:color w:val="auto"/>
              </w:rPr>
              <w:t>24</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0"/>
                <w:szCs w:val="10"/>
                <w:color w:val="auto"/>
              </w:rPr>
              <w:t>Third Quarter 2016</w:t>
            </w:r>
          </w:p>
        </w:tc>
      </w:tr>
    </w:tbl>
    <w:p>
      <w:pPr>
        <w:sectPr>
          <w:pgSz w:w="11900" w:h="16838" w:orient="portrait"/>
          <w:cols w:equalWidth="0" w:num="1">
            <w:col w:w="10080"/>
          </w:cols>
          <w:pgMar w:left="900" w:top="338" w:right="919" w:bottom="1440" w:gutter="0" w:footer="0" w:header="0"/>
        </w:sectPr>
      </w:pPr>
    </w:p>
    <w:bookmarkStart w:id="40" w:name="page41"/>
    <w:bookmarkEnd w:id="4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2016 Same Store - Combined</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3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7"/>
          </w:tcPr>
          <w:p>
            <w:pPr>
              <w:jc w:val="right"/>
              <w:ind w:right="400"/>
              <w:spacing w:after="0"/>
              <w:rPr>
                <w:sz w:val="20"/>
                <w:szCs w:val="20"/>
                <w:color w:val="auto"/>
              </w:rPr>
            </w:pPr>
            <w:r>
              <w:rPr>
                <w:rFonts w:ascii="Arial" w:cs="Arial" w:eastAsia="Arial" w:hAnsi="Arial"/>
                <w:sz w:val="12"/>
                <w:szCs w:val="12"/>
                <w:b w:val="1"/>
                <w:bCs w:val="1"/>
                <w:color w:val="auto"/>
              </w:rPr>
              <w:t>Three Months Ended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tcBorders>
              <w:bottom w:val="single" w:sz="8" w:color="auto"/>
            </w:tcBorders>
            <w:gridSpan w:val="6"/>
          </w:tcPr>
          <w:p>
            <w:pPr>
              <w:jc w:val="center"/>
              <w:spacing w:after="0"/>
              <w:rPr>
                <w:sz w:val="20"/>
                <w:szCs w:val="20"/>
                <w:color w:val="auto"/>
              </w:rPr>
            </w:pPr>
            <w:r>
              <w:rPr>
                <w:rFonts w:ascii="Arial" w:cs="Arial" w:eastAsia="Arial" w:hAnsi="Arial"/>
                <w:sz w:val="12"/>
                <w:szCs w:val="12"/>
                <w:b w:val="1"/>
                <w:bCs w:val="1"/>
                <w:color w:val="auto"/>
                <w:w w:val="97"/>
              </w:rPr>
              <w:t>Three Months Ended</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6"/>
          </w:tcPr>
          <w:p>
            <w:pPr>
              <w:jc w:val="right"/>
              <w:ind w:right="389"/>
              <w:spacing w:after="0"/>
              <w:rPr>
                <w:sz w:val="20"/>
                <w:szCs w:val="20"/>
                <w:color w:val="auto"/>
              </w:rPr>
            </w:pPr>
            <w:r>
              <w:rPr>
                <w:rFonts w:ascii="Arial" w:cs="Arial" w:eastAsia="Arial" w:hAnsi="Arial"/>
                <w:sz w:val="12"/>
                <w:szCs w:val="12"/>
                <w:b w:val="1"/>
                <w:bCs w:val="1"/>
                <w:color w:val="auto"/>
              </w:rPr>
              <w:t>Nine Months Ended</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r>
      <w:tr>
        <w:trPr>
          <w:trHeight w:val="205"/>
        </w:trPr>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September 30,</w:t>
            </w:r>
          </w:p>
        </w:tc>
        <w:tc>
          <w:tcPr>
            <w:tcW w:w="920" w:type="dxa"/>
            <w:vAlign w:val="bottom"/>
            <w:gridSpan w:val="4"/>
          </w:tcPr>
          <w:p>
            <w:pPr>
              <w:jc w:val="right"/>
              <w:ind w:right="60"/>
              <w:spacing w:after="0"/>
              <w:rPr>
                <w:sz w:val="20"/>
                <w:szCs w:val="20"/>
                <w:color w:val="auto"/>
              </w:rPr>
            </w:pPr>
            <w:r>
              <w:rPr>
                <w:rFonts w:ascii="Arial" w:cs="Arial" w:eastAsia="Arial" w:hAnsi="Arial"/>
                <w:sz w:val="12"/>
                <w:szCs w:val="12"/>
                <w:b w:val="1"/>
                <w:bCs w:val="1"/>
                <w:color w:val="auto"/>
              </w:rPr>
              <w:t>September 30,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5"/>
          </w:tcPr>
          <w:p>
            <w:pPr>
              <w:jc w:val="center"/>
              <w:ind w:right="360"/>
              <w:spacing w:after="0"/>
              <w:rPr>
                <w:sz w:val="20"/>
                <w:szCs w:val="20"/>
                <w:color w:val="auto"/>
              </w:rPr>
            </w:pPr>
            <w:r>
              <w:rPr>
                <w:rFonts w:ascii="Arial" w:cs="Arial" w:eastAsia="Arial" w:hAnsi="Arial"/>
                <w:sz w:val="12"/>
                <w:szCs w:val="12"/>
                <w:b w:val="1"/>
                <w:bCs w:val="1"/>
                <w:color w:val="auto"/>
                <w:w w:val="99"/>
              </w:rPr>
              <w:t>June 30,</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September 30,</w:t>
            </w:r>
          </w:p>
        </w:tc>
        <w:tc>
          <w:tcPr>
            <w:tcW w:w="920" w:type="dxa"/>
            <w:vAlign w:val="bottom"/>
            <w:gridSpan w:val="3"/>
          </w:tcPr>
          <w:p>
            <w:pPr>
              <w:jc w:val="right"/>
              <w:ind w:right="9"/>
              <w:spacing w:after="0"/>
              <w:rPr>
                <w:sz w:val="20"/>
                <w:szCs w:val="20"/>
                <w:color w:val="auto"/>
              </w:rPr>
            </w:pPr>
            <w:r>
              <w:rPr>
                <w:rFonts w:ascii="Arial" w:cs="Arial" w:eastAsia="Arial" w:hAnsi="Arial"/>
                <w:sz w:val="12"/>
                <w:szCs w:val="12"/>
                <w:b w:val="1"/>
                <w:bCs w:val="1"/>
                <w:color w:val="auto"/>
              </w:rPr>
              <w:t>September 30,</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195"/>
        </w:trPr>
        <w:tc>
          <w:tcPr>
            <w:tcW w:w="34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9"/>
              </w:rPr>
              <w:t>2016</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2015</w:t>
            </w:r>
          </w:p>
        </w:tc>
        <w:tc>
          <w:tcPr>
            <w:tcW w:w="720" w:type="dxa"/>
            <w:vAlign w:val="bottom"/>
            <w:gridSpan w:val="3"/>
          </w:tcPr>
          <w:p>
            <w:pPr>
              <w:jc w:val="right"/>
              <w:ind w:right="260"/>
              <w:spacing w:after="0"/>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center"/>
              <w:ind w:left="102"/>
              <w:spacing w:after="0"/>
              <w:rPr>
                <w:sz w:val="20"/>
                <w:szCs w:val="20"/>
                <w:color w:val="auto"/>
              </w:rPr>
            </w:pPr>
            <w:r>
              <w:rPr>
                <w:rFonts w:ascii="Arial" w:cs="Arial" w:eastAsia="Arial" w:hAnsi="Arial"/>
                <w:sz w:val="12"/>
                <w:szCs w:val="12"/>
                <w:b w:val="1"/>
                <w:bCs w:val="1"/>
                <w:color w:val="auto"/>
                <w:w w:val="97"/>
              </w:rPr>
              <w:t>2016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9"/>
              </w:rPr>
              <w:t>2016</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w w:val="89"/>
              </w:rPr>
              <w:t>2015</w:t>
            </w:r>
          </w:p>
        </w:tc>
        <w:tc>
          <w:tcPr>
            <w:tcW w:w="340" w:type="dxa"/>
            <w:vAlign w:val="bottom"/>
          </w:tcPr>
          <w:p>
            <w:pPr>
              <w:spacing w:after="0"/>
              <w:rPr>
                <w:sz w:val="17"/>
                <w:szCs w:val="17"/>
                <w:color w:val="auto"/>
              </w:rPr>
            </w:pPr>
          </w:p>
        </w:tc>
        <w:tc>
          <w:tcPr>
            <w:tcW w:w="58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rPr>
              <w:t>%</w:t>
            </w:r>
          </w:p>
        </w:tc>
      </w:tr>
      <w:tr>
        <w:trPr>
          <w:trHeight w:val="227"/>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Revenues</w:t>
            </w: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Rental revenue, net</w:t>
            </w: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269,990</w:t>
            </w:r>
          </w:p>
        </w:tc>
        <w:tc>
          <w:tcPr>
            <w:tcW w:w="140" w:type="dxa"/>
            <w:vAlign w:val="bottom"/>
          </w:tcPr>
          <w:p>
            <w:pPr>
              <w:spacing w:after="0"/>
              <w:rPr>
                <w:sz w:val="17"/>
                <w:szCs w:val="17"/>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282,342</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(4.4)%</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290,688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846,954</w:t>
            </w:r>
          </w:p>
        </w:tc>
        <w:tc>
          <w:tcPr>
            <w:tcW w:w="14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832,532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1.7 %</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Escalation &amp; reimbursement revenues</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52,388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47,514</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10.3 %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45,013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140,223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130,212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7.7 %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Other income</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1,986</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5,029</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(60.5)%</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1,792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6,029</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20,142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(70.1)%</w:t>
            </w:r>
          </w:p>
        </w:tc>
      </w:tr>
      <w:tr>
        <w:trPr>
          <w:trHeight w:val="194"/>
        </w:trPr>
        <w:tc>
          <w:tcPr>
            <w:tcW w:w="340" w:type="dxa"/>
            <w:vAlign w:val="bottom"/>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Total Revenues</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324,364</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334,885</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(3.1)%</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337,493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993,206</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982,886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1.0 %</w:t>
            </w:r>
          </w:p>
        </w:tc>
      </w:tr>
      <w:tr>
        <w:trPr>
          <w:trHeight w:val="223"/>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Expenses</w:t>
            </w: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Operating expenses</w:t>
            </w: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75,507</w:t>
            </w:r>
          </w:p>
        </w:tc>
        <w:tc>
          <w:tcPr>
            <w:tcW w:w="140" w:type="dxa"/>
            <w:vAlign w:val="bottom"/>
          </w:tcPr>
          <w:p>
            <w:pPr>
              <w:spacing w:after="0"/>
              <w:rPr>
                <w:sz w:val="17"/>
                <w:szCs w:val="17"/>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74,062</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2.0 %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67,291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215,079</w:t>
            </w:r>
          </w:p>
        </w:tc>
        <w:tc>
          <w:tcPr>
            <w:tcW w:w="140" w:type="dxa"/>
            <w:vAlign w:val="bottom"/>
          </w:tcPr>
          <w:p>
            <w:pPr>
              <w:spacing w:after="0"/>
              <w:rPr>
                <w:sz w:val="17"/>
                <w:szCs w:val="17"/>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216,259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(0.5)%</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Ground rent</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8,358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8,328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0.4 %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8,328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25,013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24,983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0.1 %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Real estate taxes</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65,348</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61,587</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6.1 %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61,582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188,483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173,484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8.6 %</w:t>
            </w:r>
          </w:p>
        </w:tc>
      </w:tr>
      <w:tr>
        <w:trPr>
          <w:trHeight w:val="194"/>
        </w:trPr>
        <w:tc>
          <w:tcPr>
            <w:tcW w:w="34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149,213</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143,977</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3.6 %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137,201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428,575</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414,726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3.3 %</w:t>
            </w: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Operating Income</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175,151</w:t>
            </w:r>
          </w:p>
        </w:tc>
        <w:tc>
          <w:tcPr>
            <w:tcW w:w="14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190,908</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(8.3)%</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200,292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564,631</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568,160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(0.6)%</w:t>
            </w: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Interest expense &amp; amortization of financing costs</w:t>
            </w: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53,897</w:t>
            </w:r>
          </w:p>
        </w:tc>
        <w:tc>
          <w:tcPr>
            <w:tcW w:w="14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49,448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9.0 %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54,651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161,910</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147,241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10.0 %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Depreciation &amp; amortization</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93,694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86,469</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8.4 %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88,844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270,452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259,646</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4.2 %</w:t>
            </w:r>
          </w:p>
        </w:tc>
      </w:tr>
      <w:tr>
        <w:trPr>
          <w:trHeight w:val="423"/>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Income before noncontrolling interest</w:t>
            </w: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27,560</w:t>
            </w:r>
          </w:p>
        </w:tc>
        <w:tc>
          <w:tcPr>
            <w:tcW w:w="140" w:type="dxa"/>
            <w:vAlign w:val="bottom"/>
          </w:tcPr>
          <w:p>
            <w:pPr>
              <w:spacing w:after="0"/>
              <w:rPr>
                <w:sz w:val="24"/>
                <w:szCs w:val="24"/>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54,991</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(49.9)%</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56,797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132,269</w:t>
            </w:r>
          </w:p>
        </w:tc>
        <w:tc>
          <w:tcPr>
            <w:tcW w:w="140" w:type="dxa"/>
            <w:vAlign w:val="bottom"/>
          </w:tcPr>
          <w:p>
            <w:pPr>
              <w:spacing w:after="0"/>
              <w:rPr>
                <w:sz w:val="24"/>
                <w:szCs w:val="24"/>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158,273</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(16.4)%</w:t>
            </w:r>
          </w:p>
        </w:tc>
      </w:tr>
      <w:tr>
        <w:trPr>
          <w:trHeight w:val="223"/>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Real estate depreciation &amp; amortization</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93,624</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86,400</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8.4 %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88,773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270,241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259,422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4.2 %</w:t>
            </w:r>
          </w:p>
        </w:tc>
      </w:tr>
      <w:tr>
        <w:trPr>
          <w:trHeight w:val="194"/>
        </w:trPr>
        <w:tc>
          <w:tcPr>
            <w:tcW w:w="340" w:type="dxa"/>
            <w:vAlign w:val="bottom"/>
          </w:tcPr>
          <w:p>
            <w:pPr>
              <w:spacing w:after="0"/>
              <w:rPr>
                <w:sz w:val="16"/>
                <w:szCs w:val="16"/>
                <w:color w:val="auto"/>
              </w:rPr>
            </w:pPr>
          </w:p>
        </w:tc>
        <w:tc>
          <w:tcPr>
            <w:tcW w:w="3200" w:type="dxa"/>
            <w:vAlign w:val="bottom"/>
          </w:tcPr>
          <w:p>
            <w:pPr>
              <w:ind w:left="40"/>
              <w:spacing w:after="0"/>
              <w:rPr>
                <w:sz w:val="20"/>
                <w:szCs w:val="20"/>
                <w:color w:val="auto"/>
              </w:rPr>
            </w:pPr>
            <w:r>
              <w:rPr>
                <w:rFonts w:ascii="Arial" w:cs="Arial" w:eastAsia="Arial" w:hAnsi="Arial"/>
                <w:sz w:val="12"/>
                <w:szCs w:val="12"/>
                <w:b w:val="1"/>
                <w:bCs w:val="1"/>
                <w:color w:val="auto"/>
              </w:rPr>
              <w:t>FFO Contribution</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121,184</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141,391</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(14.3)%</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145,570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402,510</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417,695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(3.6)%</w:t>
            </w:r>
          </w:p>
        </w:tc>
      </w:tr>
      <w:tr>
        <w:trPr>
          <w:trHeight w:val="437"/>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Less:  Non–building revenue</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531</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368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44.3 %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806</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1,783</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1,241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43.7 %</w:t>
            </w:r>
          </w:p>
        </w:tc>
      </w:tr>
      <w:tr>
        <w:trPr>
          <w:trHeight w:val="437"/>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Interest expense &amp; amortization of financing costs</w:t>
            </w: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53,897</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49,448</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9.0 %</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54,651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161,910</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147,241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100.0 %</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Non-real estate depreciation</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69</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1.4 %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211</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89"/>
              <w:spacing w:after="0"/>
              <w:rPr>
                <w:sz w:val="20"/>
                <w:szCs w:val="20"/>
                <w:color w:val="auto"/>
              </w:rPr>
            </w:pPr>
            <w:r>
              <w:rPr>
                <w:rFonts w:ascii="Arial" w:cs="Arial" w:eastAsia="Arial" w:hAnsi="Arial"/>
                <w:sz w:val="12"/>
                <w:szCs w:val="12"/>
                <w:color w:val="auto"/>
              </w:rPr>
              <w:t>224</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(5.8)%</w:t>
            </w:r>
          </w:p>
        </w:tc>
      </w:tr>
      <w:tr>
        <w:trPr>
          <w:trHeight w:val="194"/>
        </w:trPr>
        <w:tc>
          <w:tcPr>
            <w:tcW w:w="340" w:type="dxa"/>
            <w:vAlign w:val="bottom"/>
          </w:tcPr>
          <w:p>
            <w:pPr>
              <w:spacing w:after="0"/>
              <w:rPr>
                <w:sz w:val="16"/>
                <w:szCs w:val="16"/>
                <w:color w:val="auto"/>
              </w:rPr>
            </w:pPr>
          </w:p>
        </w:tc>
        <w:tc>
          <w:tcPr>
            <w:tcW w:w="3200" w:type="dxa"/>
            <w:vAlign w:val="bottom"/>
          </w:tcPr>
          <w:p>
            <w:pPr>
              <w:jc w:val="right"/>
              <w:ind w:right="62"/>
              <w:spacing w:after="0"/>
              <w:rPr>
                <w:sz w:val="20"/>
                <w:szCs w:val="20"/>
                <w:color w:val="auto"/>
              </w:rPr>
            </w:pPr>
            <w:r>
              <w:rPr>
                <w:rFonts w:ascii="Arial" w:cs="Arial" w:eastAsia="Arial" w:hAnsi="Arial"/>
                <w:sz w:val="12"/>
                <w:szCs w:val="12"/>
                <w:b w:val="1"/>
                <w:bCs w:val="1"/>
                <w:color w:val="auto"/>
              </w:rPr>
              <w:t>NOI</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174,620</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190,540</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(8.4)%</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199,486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562,848</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563,919</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(0.2)%</w:t>
            </w:r>
          </w:p>
        </w:tc>
      </w:tr>
      <w:tr>
        <w:trPr>
          <w:trHeight w:val="442"/>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Cash Adjustments</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540" w:type="dxa"/>
            <w:vAlign w:val="bottom"/>
            <w:gridSpan w:val="2"/>
          </w:tcPr>
          <w:p>
            <w:pPr>
              <w:ind w:left="20"/>
              <w:spacing w:after="0"/>
              <w:rPr>
                <w:sz w:val="20"/>
                <w:szCs w:val="20"/>
                <w:color w:val="auto"/>
              </w:rPr>
            </w:pPr>
            <w:r>
              <w:rPr>
                <w:rFonts w:ascii="Arial" w:cs="Arial" w:eastAsia="Arial" w:hAnsi="Arial"/>
                <w:sz w:val="12"/>
                <w:szCs w:val="12"/>
                <w:color w:val="auto"/>
              </w:rPr>
              <w:t>Less:  Free rent (net of amortization)</w:t>
            </w: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2,983</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2,217</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34.6 %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1,310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5,905</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8,891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(33.6)%</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Straightline revenue adjustment</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9,808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8,544</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14.8 %</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9,070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28,492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32,351</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(11.9)%</w:t>
            </w: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Rental income - FAS 141</w:t>
            </w:r>
          </w:p>
        </w:tc>
        <w:tc>
          <w:tcPr>
            <w:tcW w:w="320" w:type="dxa"/>
            <w:vAlign w:val="bottom"/>
          </w:tcPr>
          <w:p>
            <w:pPr>
              <w:spacing w:after="0"/>
              <w:rPr>
                <w:sz w:val="19"/>
                <w:szCs w:val="19"/>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2"/>
                <w:szCs w:val="12"/>
                <w:color w:val="auto"/>
              </w:rPr>
              <w:t>(6,804)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5,784</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(217.6)%</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4,183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1,516</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14,572</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(89.6)%</w:t>
            </w:r>
          </w:p>
        </w:tc>
      </w:tr>
      <w:tr>
        <w:trPr>
          <w:trHeight w:val="219"/>
        </w:trPr>
        <w:tc>
          <w:tcPr>
            <w:tcW w:w="340" w:type="dxa"/>
            <w:vAlign w:val="bottom"/>
          </w:tcPr>
          <w:p>
            <w:pPr>
              <w:ind w:left="20"/>
              <w:spacing w:after="0"/>
              <w:rPr>
                <w:sz w:val="20"/>
                <w:szCs w:val="20"/>
                <w:color w:val="auto"/>
              </w:rPr>
            </w:pPr>
            <w:r>
              <w:rPr>
                <w:rFonts w:ascii="Arial" w:cs="Arial" w:eastAsia="Arial" w:hAnsi="Arial"/>
                <w:sz w:val="12"/>
                <w:szCs w:val="12"/>
                <w:color w:val="auto"/>
              </w:rPr>
              <w:t>Plus:</w:t>
            </w:r>
          </w:p>
        </w:tc>
        <w:tc>
          <w:tcPr>
            <w:tcW w:w="3200" w:type="dxa"/>
            <w:vAlign w:val="bottom"/>
          </w:tcPr>
          <w:p>
            <w:pPr>
              <w:ind w:left="40"/>
              <w:spacing w:after="0"/>
              <w:rPr>
                <w:sz w:val="20"/>
                <w:szCs w:val="20"/>
                <w:color w:val="auto"/>
              </w:rPr>
            </w:pPr>
            <w:r>
              <w:rPr>
                <w:rFonts w:ascii="Arial" w:cs="Arial" w:eastAsia="Arial" w:hAnsi="Arial"/>
                <w:sz w:val="12"/>
                <w:szCs w:val="12"/>
                <w:color w:val="auto"/>
              </w:rPr>
              <w:t>Ground lease straight-line adjustment</w:t>
            </w: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424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472</w:t>
            </w:r>
          </w:p>
        </w:tc>
        <w:tc>
          <w:tcPr>
            <w:tcW w:w="720" w:type="dxa"/>
            <w:vAlign w:val="bottom"/>
            <w:gridSpan w:val="3"/>
          </w:tcPr>
          <w:p>
            <w:pPr>
              <w:jc w:val="right"/>
              <w:ind w:right="120"/>
              <w:spacing w:after="0"/>
              <w:rPr>
                <w:sz w:val="20"/>
                <w:szCs w:val="20"/>
                <w:color w:val="auto"/>
              </w:rPr>
            </w:pPr>
            <w:r>
              <w:rPr>
                <w:rFonts w:ascii="Arial" w:cs="Arial" w:eastAsia="Arial" w:hAnsi="Arial"/>
                <w:sz w:val="12"/>
                <w:szCs w:val="12"/>
                <w:color w:val="auto"/>
              </w:rPr>
              <w:t>(10.2)%</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2"/>
                <w:szCs w:val="12"/>
                <w:color w:val="auto"/>
              </w:rPr>
              <w:t>467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2"/>
                <w:szCs w:val="12"/>
                <w:color w:val="auto"/>
              </w:rPr>
              <w:t>1,359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89"/>
              <w:spacing w:after="0"/>
              <w:rPr>
                <w:sz w:val="20"/>
                <w:szCs w:val="20"/>
                <w:color w:val="auto"/>
              </w:rPr>
            </w:pPr>
            <w:r>
              <w:rPr>
                <w:rFonts w:ascii="Arial" w:cs="Arial" w:eastAsia="Arial" w:hAnsi="Arial"/>
                <w:sz w:val="12"/>
                <w:szCs w:val="12"/>
                <w:color w:val="auto"/>
              </w:rPr>
              <w:t>1,415</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(4.0)%</w:t>
            </w:r>
          </w:p>
        </w:tc>
      </w:tr>
      <w:tr>
        <w:trPr>
          <w:trHeight w:val="223"/>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Allowance for S/L tenant credit loss</w:t>
            </w: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8,371</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233</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color w:val="auto"/>
              </w:rPr>
              <w:t>3,492.7 %</w:t>
            </w: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2"/>
                <w:szCs w:val="12"/>
                <w:color w:val="auto"/>
              </w:rPr>
              <w:t>247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2"/>
                <w:szCs w:val="12"/>
                <w:color w:val="auto"/>
              </w:rPr>
              <w:t>10,288</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49"/>
              <w:spacing w:after="0"/>
              <w:rPr>
                <w:sz w:val="20"/>
                <w:szCs w:val="20"/>
                <w:color w:val="auto"/>
              </w:rPr>
            </w:pPr>
            <w:r>
              <w:rPr>
                <w:rFonts w:ascii="Arial" w:cs="Arial" w:eastAsia="Arial" w:hAnsi="Arial"/>
                <w:sz w:val="12"/>
                <w:szCs w:val="12"/>
                <w:color w:val="auto"/>
              </w:rPr>
              <w:t>(1,490)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color w:val="auto"/>
              </w:rPr>
              <w:t>(790.5)%</w:t>
            </w:r>
          </w:p>
        </w:tc>
      </w:tr>
      <w:tr>
        <w:trPr>
          <w:trHeight w:val="194"/>
        </w:trPr>
        <w:tc>
          <w:tcPr>
            <w:tcW w:w="340" w:type="dxa"/>
            <w:vAlign w:val="bottom"/>
          </w:tcPr>
          <w:p>
            <w:pPr>
              <w:spacing w:after="0"/>
              <w:rPr>
                <w:sz w:val="16"/>
                <w:szCs w:val="16"/>
                <w:color w:val="auto"/>
              </w:rPr>
            </w:pPr>
          </w:p>
        </w:tc>
        <w:tc>
          <w:tcPr>
            <w:tcW w:w="3200" w:type="dxa"/>
            <w:vAlign w:val="bottom"/>
          </w:tcPr>
          <w:p>
            <w:pPr>
              <w:jc w:val="right"/>
              <w:ind w:right="62"/>
              <w:spacing w:after="0"/>
              <w:rPr>
                <w:sz w:val="20"/>
                <w:szCs w:val="20"/>
                <w:color w:val="auto"/>
              </w:rPr>
            </w:pPr>
            <w:r>
              <w:rPr>
                <w:rFonts w:ascii="Arial" w:cs="Arial" w:eastAsia="Arial" w:hAnsi="Arial"/>
                <w:sz w:val="12"/>
                <w:szCs w:val="12"/>
                <w:b w:val="1"/>
                <w:bCs w:val="1"/>
                <w:color w:val="auto"/>
              </w:rPr>
              <w:t>Cash NOI</w:t>
            </w: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177,428</w:t>
            </w:r>
          </w:p>
        </w:tc>
        <w:tc>
          <w:tcPr>
            <w:tcW w:w="140" w:type="dxa"/>
            <w:vAlign w:val="bottom"/>
          </w:tcPr>
          <w:p>
            <w:pPr>
              <w:spacing w:after="0"/>
              <w:rPr>
                <w:sz w:val="16"/>
                <w:szCs w:val="16"/>
                <w:color w:val="auto"/>
              </w:rPr>
            </w:pPr>
          </w:p>
        </w:tc>
        <w:tc>
          <w:tcPr>
            <w:tcW w:w="200" w:type="dxa"/>
            <w:vAlign w:val="bottom"/>
          </w:tcPr>
          <w:p>
            <w:pPr>
              <w:jc w:val="right"/>
              <w:ind w:right="62"/>
              <w:spacing w:after="0"/>
              <w:rPr>
                <w:sz w:val="20"/>
                <w:szCs w:val="20"/>
                <w:color w:val="auto"/>
              </w:rPr>
            </w:pPr>
            <w:r>
              <w:rPr>
                <w:rFonts w:ascii="Arial" w:cs="Arial" w:eastAsia="Arial" w:hAnsi="Arial"/>
                <w:sz w:val="12"/>
                <w:szCs w:val="12"/>
                <w:b w:val="1"/>
                <w:bCs w:val="1"/>
                <w:color w:val="auto"/>
                <w:w w:val="89"/>
              </w:rPr>
              <w:t>$</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174,700</w:t>
            </w:r>
          </w:p>
        </w:tc>
        <w:tc>
          <w:tcPr>
            <w:tcW w:w="72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1.6 %</w:t>
            </w:r>
          </w:p>
        </w:tc>
        <w:tc>
          <w:tcPr>
            <w:tcW w:w="300" w:type="dxa"/>
            <w:vAlign w:val="bottom"/>
            <w:gridSpan w:val="2"/>
          </w:tcPr>
          <w:p>
            <w:pPr>
              <w:jc w:val="right"/>
              <w:ind w:right="80"/>
              <w:spacing w:after="0"/>
              <w:rPr>
                <w:sz w:val="20"/>
                <w:szCs w:val="20"/>
                <w:color w:val="auto"/>
              </w:rPr>
            </w:pPr>
            <w:r>
              <w:rPr>
                <w:rFonts w:ascii="Arial" w:cs="Arial" w:eastAsia="Arial" w:hAnsi="Arial"/>
                <w:sz w:val="12"/>
                <w:szCs w:val="12"/>
                <w:b w:val="1"/>
                <w:bCs w:val="1"/>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2"/>
                <w:szCs w:val="12"/>
                <w:b w:val="1"/>
                <w:bCs w:val="1"/>
                <w:color w:val="auto"/>
              </w:rPr>
              <w:t>185,637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ind w:left="20"/>
              <w:spacing w:after="0"/>
              <w:rPr>
                <w:sz w:val="20"/>
                <w:szCs w:val="20"/>
                <w:color w:val="auto"/>
              </w:rPr>
            </w:pPr>
            <w:r>
              <w:rPr>
                <w:rFonts w:ascii="Arial" w:cs="Arial" w:eastAsia="Arial" w:hAnsi="Arial"/>
                <w:sz w:val="12"/>
                <w:szCs w:val="12"/>
                <w:b w:val="1"/>
                <w:bCs w:val="1"/>
                <w:color w:val="auto"/>
              </w:rPr>
              <w:t>$</w:t>
            </w:r>
          </w:p>
        </w:tc>
        <w:tc>
          <w:tcPr>
            <w:tcW w:w="60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rPr>
              <w:t>538,582</w:t>
            </w:r>
          </w:p>
        </w:tc>
        <w:tc>
          <w:tcPr>
            <w:tcW w:w="140" w:type="dxa"/>
            <w:vAlign w:val="bottom"/>
          </w:tcPr>
          <w:p>
            <w:pPr>
              <w:spacing w:after="0"/>
              <w:rPr>
                <w:sz w:val="16"/>
                <w:szCs w:val="16"/>
                <w:color w:val="auto"/>
              </w:rPr>
            </w:pPr>
          </w:p>
        </w:tc>
        <w:tc>
          <w:tcPr>
            <w:tcW w:w="320" w:type="dxa"/>
            <w:vAlign w:val="bottom"/>
          </w:tcPr>
          <w:p>
            <w:pPr>
              <w:jc w:val="right"/>
              <w:ind w:right="182"/>
              <w:spacing w:after="0"/>
              <w:rPr>
                <w:sz w:val="20"/>
                <w:szCs w:val="20"/>
                <w:color w:val="auto"/>
              </w:rPr>
            </w:pPr>
            <w:r>
              <w:rPr>
                <w:rFonts w:ascii="Arial" w:cs="Arial" w:eastAsia="Arial" w:hAnsi="Arial"/>
                <w:sz w:val="12"/>
                <w:szCs w:val="12"/>
                <w:b w:val="1"/>
                <w:bCs w:val="1"/>
                <w:color w:val="auto"/>
                <w:w w:val="89"/>
              </w:rPr>
              <w:t>$</w:t>
            </w:r>
          </w:p>
        </w:tc>
        <w:tc>
          <w:tcPr>
            <w:tcW w:w="600" w:type="dxa"/>
            <w:vAlign w:val="bottom"/>
            <w:gridSpan w:val="2"/>
          </w:tcPr>
          <w:p>
            <w:pPr>
              <w:jc w:val="right"/>
              <w:ind w:right="89"/>
              <w:spacing w:after="0"/>
              <w:rPr>
                <w:sz w:val="20"/>
                <w:szCs w:val="20"/>
                <w:color w:val="auto"/>
              </w:rPr>
            </w:pPr>
            <w:r>
              <w:rPr>
                <w:rFonts w:ascii="Arial" w:cs="Arial" w:eastAsia="Arial" w:hAnsi="Arial"/>
                <w:sz w:val="12"/>
                <w:szCs w:val="12"/>
                <w:b w:val="1"/>
                <w:bCs w:val="1"/>
                <w:color w:val="auto"/>
              </w:rPr>
              <w:t>508,030</w:t>
            </w:r>
          </w:p>
        </w:tc>
        <w:tc>
          <w:tcPr>
            <w:tcW w:w="58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6.0 %</w:t>
            </w:r>
          </w:p>
        </w:tc>
      </w:tr>
      <w:tr>
        <w:trPr>
          <w:trHeight w:val="442"/>
        </w:trPr>
        <w:tc>
          <w:tcPr>
            <w:tcW w:w="354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rPr>
              <w:t>Operating Margins</w:t>
            </w: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r>
      <w:tr>
        <w:trPr>
          <w:trHeight w:val="205"/>
        </w:trPr>
        <w:tc>
          <w:tcPr>
            <w:tcW w:w="340" w:type="dxa"/>
            <w:vAlign w:val="bottom"/>
          </w:tcPr>
          <w:p>
            <w:pPr>
              <w:spacing w:after="0"/>
              <w:rPr>
                <w:sz w:val="17"/>
                <w:szCs w:val="17"/>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NOI to real estate revenue, net</w:t>
            </w:r>
          </w:p>
        </w:tc>
        <w:tc>
          <w:tcPr>
            <w:tcW w:w="3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53.9%</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57.0%</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59.2%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56.8%</w:t>
            </w: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57.4%</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Cash NOI to real estate revenue, net</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54.8%</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52.2%</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55.1%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54.3%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51.8%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37"/>
        </w:trPr>
        <w:tc>
          <w:tcPr>
            <w:tcW w:w="340" w:type="dxa"/>
            <w:vAlign w:val="bottom"/>
          </w:tcPr>
          <w:p>
            <w:pPr>
              <w:spacing w:after="0"/>
              <w:rPr>
                <w:sz w:val="24"/>
                <w:szCs w:val="24"/>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NOI before ground rent/real estate revenue, net</w:t>
            </w:r>
          </w:p>
        </w:tc>
        <w:tc>
          <w:tcPr>
            <w:tcW w:w="3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56.5%</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59.4%</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61.7%</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59.3%</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60.0%</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9"/>
        </w:trPr>
        <w:tc>
          <w:tcPr>
            <w:tcW w:w="340" w:type="dxa"/>
            <w:vAlign w:val="bottom"/>
          </w:tcPr>
          <w:p>
            <w:pPr>
              <w:spacing w:after="0"/>
              <w:rPr>
                <w:sz w:val="19"/>
                <w:szCs w:val="19"/>
                <w:color w:val="auto"/>
              </w:rPr>
            </w:pPr>
          </w:p>
        </w:tc>
        <w:tc>
          <w:tcPr>
            <w:tcW w:w="3200" w:type="dxa"/>
            <w:vAlign w:val="bottom"/>
          </w:tcPr>
          <w:p>
            <w:pPr>
              <w:ind w:left="40"/>
              <w:spacing w:after="0"/>
              <w:rPr>
                <w:sz w:val="20"/>
                <w:szCs w:val="20"/>
                <w:color w:val="auto"/>
              </w:rPr>
            </w:pPr>
            <w:r>
              <w:rPr>
                <w:rFonts w:ascii="Arial" w:cs="Arial" w:eastAsia="Arial" w:hAnsi="Arial"/>
                <w:sz w:val="12"/>
                <w:szCs w:val="12"/>
                <w:color w:val="auto"/>
              </w:rPr>
              <w:t>Cash NOI before ground rent/real estate revenue, net</w:t>
            </w: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57.2%</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54.6%</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2"/>
                <w:szCs w:val="12"/>
                <w:color w:val="auto"/>
              </w:rPr>
              <w:t>57.5%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56.7%</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2"/>
                <w:szCs w:val="12"/>
                <w:color w:val="auto"/>
              </w:rPr>
              <w:t>54.2%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455"/>
        </w:trPr>
        <w:tc>
          <w:tcPr>
            <w:tcW w:w="3540" w:type="dxa"/>
            <w:vAlign w:val="bottom"/>
            <w:gridSpan w:val="2"/>
          </w:tcPr>
          <w:p>
            <w:pPr>
              <w:ind w:left="20"/>
              <w:spacing w:after="0"/>
              <w:rPr>
                <w:sz w:val="20"/>
                <w:szCs w:val="20"/>
                <w:color w:val="auto"/>
              </w:rPr>
            </w:pPr>
            <w:r>
              <w:rPr>
                <w:rFonts w:ascii="Arial" w:cs="Arial" w:eastAsia="Arial" w:hAnsi="Arial"/>
                <w:sz w:val="10"/>
                <w:szCs w:val="10"/>
                <w:color w:val="auto"/>
              </w:rPr>
              <w:t>Supplemental Information</w:t>
            </w: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0"/>
                <w:szCs w:val="10"/>
                <w:color w:val="auto"/>
              </w:rPr>
              <w:t>25</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Arial" w:cs="Arial" w:eastAsia="Arial" w:hAnsi="Arial"/>
                <w:sz w:val="10"/>
                <w:szCs w:val="10"/>
                <w:color w:val="auto"/>
              </w:rPr>
              <w:t>Third Quarter 2016</w:t>
            </w:r>
          </w:p>
        </w:tc>
      </w:tr>
    </w:tbl>
    <w:p>
      <w:pPr>
        <w:sectPr>
          <w:pgSz w:w="11900" w:h="16838" w:orient="portrait"/>
          <w:cols w:equalWidth="0" w:num="1">
            <w:col w:w="10080"/>
          </w:cols>
          <w:pgMar w:left="900" w:top="338" w:right="919" w:bottom="1440" w:gutter="0" w:footer="0" w:header="0"/>
        </w:sectPr>
      </w:pPr>
    </w:p>
    <w:bookmarkStart w:id="41" w:name="page42"/>
    <w:bookmarkEnd w:id="4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94"/>
        </w:trPr>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Principal</w:t>
            </w: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2016</w:t>
            </w:r>
          </w:p>
        </w:tc>
        <w:tc>
          <w:tcPr>
            <w:tcW w:w="940" w:type="dxa"/>
            <w:vAlign w:val="bottom"/>
          </w:tcPr>
          <w:p>
            <w:pPr>
              <w:jc w:val="right"/>
              <w:spacing w:after="0"/>
              <w:rPr>
                <w:sz w:val="20"/>
                <w:szCs w:val="20"/>
                <w:color w:val="auto"/>
              </w:rPr>
            </w:pPr>
            <w:r>
              <w:rPr>
                <w:rFonts w:ascii="Arial" w:cs="Arial" w:eastAsia="Arial" w:hAnsi="Arial"/>
                <w:sz w:val="7"/>
                <w:szCs w:val="7"/>
                <w:b w:val="1"/>
                <w:bCs w:val="1"/>
                <w:color w:val="auto"/>
              </w:rPr>
              <w:t>Initial</w:t>
            </w: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Principal</w:t>
            </w:r>
          </w:p>
        </w:tc>
        <w:tc>
          <w:tcPr>
            <w:tcW w:w="1160" w:type="dxa"/>
            <w:vAlign w:val="bottom"/>
          </w:tcPr>
          <w:p>
            <w:pPr>
              <w:jc w:val="right"/>
              <w:ind w:right="184"/>
              <w:spacing w:after="0"/>
              <w:rPr>
                <w:sz w:val="20"/>
                <w:szCs w:val="20"/>
                <w:color w:val="auto"/>
              </w:rPr>
            </w:pPr>
            <w:r>
              <w:rPr>
                <w:rFonts w:ascii="Arial" w:cs="Arial" w:eastAsia="Arial" w:hAnsi="Arial"/>
                <w:sz w:val="7"/>
                <w:szCs w:val="7"/>
                <w:b w:val="1"/>
                <w:bCs w:val="1"/>
                <w:color w:val="auto"/>
              </w:rPr>
              <w:t>As-Of</w:t>
            </w:r>
          </w:p>
        </w:tc>
        <w:tc>
          <w:tcPr>
            <w:tcW w:w="660" w:type="dxa"/>
            <w:vAlign w:val="bottom"/>
          </w:tcPr>
          <w:p>
            <w:pPr>
              <w:spacing w:after="0"/>
              <w:rPr>
                <w:sz w:val="8"/>
                <w:szCs w:val="8"/>
                <w:color w:val="auto"/>
              </w:rPr>
            </w:pPr>
          </w:p>
        </w:tc>
      </w:tr>
      <w:tr>
        <w:trPr>
          <w:trHeight w:val="219"/>
        </w:trPr>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jc w:val="right"/>
              <w:ind w:right="284"/>
              <w:spacing w:after="0"/>
              <w:rPr>
                <w:sz w:val="20"/>
                <w:szCs w:val="20"/>
                <w:color w:val="auto"/>
              </w:rPr>
            </w:pPr>
            <w:r>
              <w:rPr>
                <w:rFonts w:ascii="Arial" w:cs="Arial" w:eastAsia="Arial" w:hAnsi="Arial"/>
                <w:sz w:val="7"/>
                <w:szCs w:val="7"/>
                <w:b w:val="1"/>
                <w:bCs w:val="1"/>
                <w:color w:val="auto"/>
              </w:rPr>
              <w:t>Ownership</w:t>
            </w:r>
          </w:p>
        </w:tc>
        <w:tc>
          <w:tcPr>
            <w:tcW w:w="14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7"/>
                <w:szCs w:val="7"/>
                <w:b w:val="1"/>
                <w:bCs w:val="1"/>
                <w:color w:val="auto"/>
              </w:rPr>
              <w:t>Outstanding</w:t>
            </w: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Principal</w:t>
            </w:r>
          </w:p>
        </w:tc>
        <w:tc>
          <w:tcPr>
            <w:tcW w:w="940" w:type="dxa"/>
            <w:vAlign w:val="bottom"/>
          </w:tcPr>
          <w:p>
            <w:pPr>
              <w:jc w:val="right"/>
              <w:spacing w:after="0"/>
              <w:rPr>
                <w:sz w:val="20"/>
                <w:szCs w:val="20"/>
                <w:color w:val="auto"/>
              </w:rPr>
            </w:pPr>
            <w:r>
              <w:rPr>
                <w:rFonts w:ascii="Arial" w:cs="Arial" w:eastAsia="Arial" w:hAnsi="Arial"/>
                <w:sz w:val="7"/>
                <w:szCs w:val="7"/>
                <w:b w:val="1"/>
                <w:bCs w:val="1"/>
                <w:color w:val="auto"/>
              </w:rPr>
              <w:t>Maturity</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Due at</w:t>
            </w:r>
          </w:p>
        </w:tc>
        <w:tc>
          <w:tcPr>
            <w:tcW w:w="1160" w:type="dxa"/>
            <w:vAlign w:val="bottom"/>
          </w:tcPr>
          <w:p>
            <w:pPr>
              <w:jc w:val="right"/>
              <w:ind w:right="184"/>
              <w:spacing w:after="0"/>
              <w:rPr>
                <w:sz w:val="20"/>
                <w:szCs w:val="20"/>
                <w:color w:val="auto"/>
              </w:rPr>
            </w:pPr>
            <w:r>
              <w:rPr>
                <w:rFonts w:ascii="Arial" w:cs="Arial" w:eastAsia="Arial" w:hAnsi="Arial"/>
                <w:sz w:val="7"/>
                <w:szCs w:val="7"/>
                <w:b w:val="1"/>
                <w:bCs w:val="1"/>
                <w:color w:val="auto"/>
              </w:rPr>
              <w:t>Right</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Earliest</w:t>
            </w:r>
          </w:p>
        </w:tc>
      </w:tr>
      <w:tr>
        <w:trPr>
          <w:trHeight w:val="225"/>
        </w:trPr>
        <w:tc>
          <w:tcPr>
            <w:tcW w:w="202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Fixed rate debt</w:t>
            </w:r>
          </w:p>
        </w:tc>
        <w:tc>
          <w:tcPr>
            <w:tcW w:w="1580" w:type="dxa"/>
            <w:vAlign w:val="bottom"/>
            <w:tcBorders>
              <w:bottom w:val="single" w:sz="8" w:color="auto"/>
            </w:tcBorders>
          </w:tcPr>
          <w:p>
            <w:pPr>
              <w:jc w:val="right"/>
              <w:ind w:right="284"/>
              <w:spacing w:after="0"/>
              <w:rPr>
                <w:sz w:val="20"/>
                <w:szCs w:val="20"/>
                <w:color w:val="auto"/>
              </w:rPr>
            </w:pPr>
            <w:r>
              <w:rPr>
                <w:rFonts w:ascii="Arial" w:cs="Arial" w:eastAsia="Arial" w:hAnsi="Arial"/>
                <w:sz w:val="7"/>
                <w:szCs w:val="7"/>
                <w:b w:val="1"/>
                <w:bCs w:val="1"/>
                <w:color w:val="auto"/>
              </w:rPr>
              <w:t>Interest (%)</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9/30/2016</w:t>
            </w: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ind w:left="120"/>
              <w:spacing w:after="0"/>
              <w:rPr>
                <w:sz w:val="20"/>
                <w:szCs w:val="20"/>
                <w:color w:val="auto"/>
              </w:rPr>
            </w:pPr>
            <w:r>
              <w:rPr>
                <w:rFonts w:ascii="Arial" w:cs="Arial" w:eastAsia="Arial" w:hAnsi="Arial"/>
                <w:sz w:val="7"/>
                <w:szCs w:val="7"/>
                <w:b w:val="1"/>
                <w:bCs w:val="1"/>
                <w:color w:val="auto"/>
              </w:rPr>
              <w:t>Coupon (1)</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Amortization</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Date</w:t>
            </w: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Maturity</w:t>
            </w:r>
          </w:p>
        </w:tc>
        <w:tc>
          <w:tcPr>
            <w:tcW w:w="11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b w:val="1"/>
                <w:bCs w:val="1"/>
                <w:color w:val="auto"/>
              </w:rPr>
              <w:t>Extension</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Prepayment</w:t>
            </w:r>
          </w:p>
        </w:tc>
      </w:tr>
      <w:tr>
        <w:trPr>
          <w:trHeight w:val="203"/>
        </w:trPr>
        <w:tc>
          <w:tcPr>
            <w:tcW w:w="2020" w:type="dxa"/>
            <w:vAlign w:val="bottom"/>
            <w:gridSpan w:val="3"/>
          </w:tcPr>
          <w:p>
            <w:pPr>
              <w:ind w:left="20"/>
              <w:spacing w:after="0"/>
              <w:rPr>
                <w:sz w:val="20"/>
                <w:szCs w:val="20"/>
                <w:color w:val="auto"/>
              </w:rPr>
            </w:pPr>
            <w:r>
              <w:rPr>
                <w:rFonts w:ascii="Arial" w:cs="Arial" w:eastAsia="Arial" w:hAnsi="Arial"/>
                <w:sz w:val="7"/>
                <w:szCs w:val="7"/>
                <w:b w:val="1"/>
                <w:bCs w:val="1"/>
                <w:color w:val="auto"/>
              </w:rPr>
              <w:t>Secured fixed rate debt</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1-6 Landmark Square</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78,236</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4.00%</w:t>
            </w:r>
          </w:p>
        </w:tc>
        <w:tc>
          <w:tcPr>
            <w:tcW w:w="160" w:type="dxa"/>
            <w:vAlign w:val="bottom"/>
          </w:tcPr>
          <w:p>
            <w:pPr>
              <w:spacing w:after="0"/>
              <w:rPr>
                <w:sz w:val="19"/>
                <w:szCs w:val="19"/>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color w:val="auto"/>
              </w:rPr>
              <w:t>1,626</w:t>
            </w:r>
          </w:p>
        </w:tc>
        <w:tc>
          <w:tcPr>
            <w:tcW w:w="940" w:type="dxa"/>
            <w:vAlign w:val="bottom"/>
          </w:tcPr>
          <w:p>
            <w:pPr>
              <w:jc w:val="right"/>
              <w:spacing w:after="0"/>
              <w:rPr>
                <w:sz w:val="20"/>
                <w:szCs w:val="20"/>
                <w:color w:val="auto"/>
              </w:rPr>
            </w:pPr>
            <w:r>
              <w:rPr>
                <w:rFonts w:ascii="Arial" w:cs="Arial" w:eastAsia="Arial" w:hAnsi="Arial"/>
                <w:sz w:val="7"/>
                <w:szCs w:val="7"/>
                <w:color w:val="auto"/>
              </w:rPr>
              <w:t>Dec-16</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77,936</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120"/>
        </w:trPr>
        <w:tc>
          <w:tcPr>
            <w:tcW w:w="260" w:type="dxa"/>
            <w:vAlign w:val="bottom"/>
          </w:tcPr>
          <w:p>
            <w:pPr>
              <w:spacing w:after="0"/>
              <w:rPr>
                <w:sz w:val="10"/>
                <w:szCs w:val="10"/>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FHLB Facility</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0"/>
                <w:szCs w:val="10"/>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205,000</w:t>
            </w:r>
          </w:p>
        </w:tc>
        <w:tc>
          <w:tcPr>
            <w:tcW w:w="200" w:type="dxa"/>
            <w:vAlign w:val="bottom"/>
          </w:tcPr>
          <w:p>
            <w:pPr>
              <w:spacing w:after="0"/>
              <w:rPr>
                <w:sz w:val="10"/>
                <w:szCs w:val="10"/>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0.92%</w:t>
            </w: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Jan-17</w:t>
            </w:r>
          </w:p>
        </w:tc>
        <w:tc>
          <w:tcPr>
            <w:tcW w:w="2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205,000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317"/>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485</w:t>
            </w:r>
          </w:p>
        </w:tc>
        <w:tc>
          <w:tcPr>
            <w:tcW w:w="164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24"/>
                <w:szCs w:val="24"/>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450,000</w:t>
            </w:r>
          </w:p>
        </w:tc>
        <w:tc>
          <w:tcPr>
            <w:tcW w:w="20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5.61%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Feb-17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450,000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Nov-16</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762</w:t>
            </w:r>
          </w:p>
        </w:tc>
        <w:tc>
          <w:tcPr>
            <w:tcW w:w="1640" w:type="dxa"/>
            <w:vAlign w:val="bottom"/>
          </w:tcPr>
          <w:p>
            <w:pPr>
              <w:ind w:left="20"/>
              <w:spacing w:after="0"/>
              <w:rPr>
                <w:sz w:val="20"/>
                <w:szCs w:val="20"/>
                <w:color w:val="auto"/>
              </w:rPr>
            </w:pPr>
            <w:r>
              <w:rPr>
                <w:rFonts w:ascii="Arial" w:cs="Arial" w:eastAsia="Arial" w:hAnsi="Arial"/>
                <w:sz w:val="7"/>
                <w:szCs w:val="7"/>
                <w:color w:val="auto"/>
              </w:rPr>
              <w:t>Madison Avenue (swapped)</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90.0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7,739</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3.86%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178</w:t>
            </w:r>
          </w:p>
        </w:tc>
        <w:tc>
          <w:tcPr>
            <w:tcW w:w="940" w:type="dxa"/>
            <w:vAlign w:val="bottom"/>
          </w:tcPr>
          <w:p>
            <w:pPr>
              <w:jc w:val="right"/>
              <w:spacing w:after="0"/>
              <w:rPr>
                <w:sz w:val="20"/>
                <w:szCs w:val="20"/>
                <w:color w:val="auto"/>
              </w:rPr>
            </w:pPr>
            <w:r>
              <w:rPr>
                <w:rFonts w:ascii="Arial" w:cs="Arial" w:eastAsia="Arial" w:hAnsi="Arial"/>
                <w:sz w:val="7"/>
                <w:szCs w:val="7"/>
                <w:color w:val="auto"/>
              </w:rPr>
              <w:t>Feb-17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7,679</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1 Madison Avenue</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524,814</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5.91%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25,010</w:t>
            </w:r>
          </w:p>
        </w:tc>
        <w:tc>
          <w:tcPr>
            <w:tcW w:w="940" w:type="dxa"/>
            <w:vAlign w:val="bottom"/>
          </w:tcPr>
          <w:p>
            <w:pPr>
              <w:jc w:val="right"/>
              <w:spacing w:after="0"/>
              <w:rPr>
                <w:sz w:val="20"/>
                <w:szCs w:val="20"/>
                <w:color w:val="auto"/>
              </w:rPr>
            </w:pPr>
            <w:r>
              <w:rPr>
                <w:rFonts w:ascii="Arial" w:cs="Arial" w:eastAsia="Arial" w:hAnsi="Arial"/>
                <w:sz w:val="7"/>
                <w:szCs w:val="7"/>
                <w:color w:val="auto"/>
              </w:rPr>
              <w:t>May-20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404,531</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Nov-19</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100</w:t>
            </w:r>
          </w:p>
        </w:tc>
        <w:tc>
          <w:tcPr>
            <w:tcW w:w="1640" w:type="dxa"/>
            <w:vAlign w:val="bottom"/>
          </w:tcPr>
          <w:p>
            <w:pPr>
              <w:ind w:left="20"/>
              <w:spacing w:after="0"/>
              <w:rPr>
                <w:sz w:val="20"/>
                <w:szCs w:val="20"/>
                <w:color w:val="auto"/>
              </w:rPr>
            </w:pPr>
            <w:r>
              <w:rPr>
                <w:rFonts w:ascii="Arial" w:cs="Arial" w:eastAsia="Arial" w:hAnsi="Arial"/>
                <w:sz w:val="7"/>
                <w:szCs w:val="7"/>
                <w:color w:val="auto"/>
              </w:rPr>
              <w:t>Church Street</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222,390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4.68%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3,653</w:t>
            </w:r>
          </w:p>
        </w:tc>
        <w:tc>
          <w:tcPr>
            <w:tcW w:w="940" w:type="dxa"/>
            <w:vAlign w:val="bottom"/>
          </w:tcPr>
          <w:p>
            <w:pPr>
              <w:jc w:val="right"/>
              <w:spacing w:after="0"/>
              <w:rPr>
                <w:sz w:val="20"/>
                <w:szCs w:val="20"/>
                <w:color w:val="auto"/>
              </w:rPr>
            </w:pPr>
            <w:r>
              <w:rPr>
                <w:rFonts w:ascii="Arial" w:cs="Arial" w:eastAsia="Arial" w:hAnsi="Arial"/>
                <w:sz w:val="7"/>
                <w:szCs w:val="7"/>
                <w:color w:val="auto"/>
              </w:rPr>
              <w:t>Jul-22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197,784</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Apr-22</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919</w:t>
            </w:r>
          </w:p>
        </w:tc>
        <w:tc>
          <w:tcPr>
            <w:tcW w:w="164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51.0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500,000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5.12%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Jun-23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500,000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Feb-23</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400</w:t>
            </w:r>
          </w:p>
        </w:tc>
        <w:tc>
          <w:tcPr>
            <w:tcW w:w="1640" w:type="dxa"/>
            <w:vAlign w:val="bottom"/>
          </w:tcPr>
          <w:p>
            <w:pPr>
              <w:ind w:left="20"/>
              <w:spacing w:after="0"/>
              <w:rPr>
                <w:sz w:val="20"/>
                <w:szCs w:val="20"/>
                <w:color w:val="auto"/>
              </w:rPr>
            </w:pPr>
            <w:r>
              <w:rPr>
                <w:rFonts w:ascii="Arial" w:cs="Arial" w:eastAsia="Arial" w:hAnsi="Arial"/>
                <w:sz w:val="7"/>
                <w:szCs w:val="7"/>
                <w:color w:val="auto"/>
              </w:rPr>
              <w:t>East 57th Street</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90.0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66,779</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1,194</w:t>
            </w:r>
          </w:p>
        </w:tc>
        <w:tc>
          <w:tcPr>
            <w:tcW w:w="940" w:type="dxa"/>
            <w:vAlign w:val="bottom"/>
          </w:tcPr>
          <w:p>
            <w:pPr>
              <w:jc w:val="right"/>
              <w:spacing w:after="0"/>
              <w:rPr>
                <w:sz w:val="20"/>
                <w:szCs w:val="20"/>
                <w:color w:val="auto"/>
              </w:rPr>
            </w:pPr>
            <w:r>
              <w:rPr>
                <w:rFonts w:ascii="Arial" w:cs="Arial" w:eastAsia="Arial" w:hAnsi="Arial"/>
                <w:sz w:val="7"/>
                <w:szCs w:val="7"/>
                <w:color w:val="auto"/>
              </w:rPr>
              <w:t>Feb-24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48,588</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Feb-18</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400</w:t>
            </w:r>
          </w:p>
        </w:tc>
        <w:tc>
          <w:tcPr>
            <w:tcW w:w="1640" w:type="dxa"/>
            <w:vAlign w:val="bottom"/>
          </w:tcPr>
          <w:p>
            <w:pPr>
              <w:ind w:left="20"/>
              <w:spacing w:after="0"/>
              <w:rPr>
                <w:sz w:val="20"/>
                <w:szCs w:val="20"/>
                <w:color w:val="auto"/>
              </w:rPr>
            </w:pPr>
            <w:r>
              <w:rPr>
                <w:rFonts w:ascii="Arial" w:cs="Arial" w:eastAsia="Arial" w:hAnsi="Arial"/>
                <w:sz w:val="7"/>
                <w:szCs w:val="7"/>
                <w:color w:val="auto"/>
              </w:rPr>
              <w:t>East 58th Street</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90.0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28,620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4.13%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512</w:t>
            </w:r>
          </w:p>
        </w:tc>
        <w:tc>
          <w:tcPr>
            <w:tcW w:w="940" w:type="dxa"/>
            <w:vAlign w:val="bottom"/>
          </w:tcPr>
          <w:p>
            <w:pPr>
              <w:jc w:val="right"/>
              <w:spacing w:after="0"/>
              <w:rPr>
                <w:sz w:val="20"/>
                <w:szCs w:val="20"/>
                <w:color w:val="auto"/>
              </w:rPr>
            </w:pPr>
            <w:r>
              <w:rPr>
                <w:rFonts w:ascii="Arial" w:cs="Arial" w:eastAsia="Arial" w:hAnsi="Arial"/>
                <w:sz w:val="7"/>
                <w:szCs w:val="7"/>
                <w:color w:val="auto"/>
              </w:rPr>
              <w:t>Feb-24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20,823</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Feb-18</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420</w:t>
            </w:r>
          </w:p>
        </w:tc>
        <w:tc>
          <w:tcPr>
            <w:tcW w:w="164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300,000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3.99%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Oct-24</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272,749</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Oct-40</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Jul-24</w:t>
            </w:r>
          </w:p>
        </w:tc>
      </w:tr>
      <w:tr>
        <w:trPr>
          <w:trHeight w:val="225"/>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1515 Broadway</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892,457</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3.93%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11,469</w:t>
            </w:r>
          </w:p>
        </w:tc>
        <w:tc>
          <w:tcPr>
            <w:tcW w:w="940" w:type="dxa"/>
            <w:vAlign w:val="bottom"/>
          </w:tcPr>
          <w:p>
            <w:pPr>
              <w:jc w:val="right"/>
              <w:spacing w:after="0"/>
              <w:rPr>
                <w:sz w:val="20"/>
                <w:szCs w:val="20"/>
                <w:color w:val="auto"/>
              </w:rPr>
            </w:pPr>
            <w:r>
              <w:rPr>
                <w:rFonts w:ascii="Arial" w:cs="Arial" w:eastAsia="Arial" w:hAnsi="Arial"/>
                <w:sz w:val="7"/>
                <w:szCs w:val="7"/>
                <w:color w:val="auto"/>
              </w:rPr>
              <w:t>Mar-25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737,436</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Sep-24</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3,276,035</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4.53%</w:t>
            </w:r>
          </w:p>
        </w:tc>
        <w:tc>
          <w:tcPr>
            <w:tcW w:w="160" w:type="dxa"/>
            <w:vAlign w:val="bottom"/>
          </w:tcPr>
          <w:p>
            <w:pPr>
              <w:spacing w:after="0"/>
              <w:rPr>
                <w:sz w:val="16"/>
                <w:szCs w:val="16"/>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43,642</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2,922,526</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2020" w:type="dxa"/>
            <w:vAlign w:val="bottom"/>
            <w:gridSpan w:val="3"/>
          </w:tcPr>
          <w:p>
            <w:pPr>
              <w:ind w:left="20"/>
              <w:spacing w:after="0"/>
              <w:rPr>
                <w:sz w:val="20"/>
                <w:szCs w:val="20"/>
                <w:color w:val="auto"/>
              </w:rPr>
            </w:pPr>
            <w:r>
              <w:rPr>
                <w:rFonts w:ascii="Arial" w:cs="Arial" w:eastAsia="Arial" w:hAnsi="Arial"/>
                <w:sz w:val="7"/>
                <w:szCs w:val="7"/>
                <w:b w:val="1"/>
                <w:bCs w:val="1"/>
                <w:color w:val="auto"/>
              </w:rPr>
              <w:t>Unsecured fixed rate debt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Convertible notes</w:t>
            </w:r>
          </w:p>
        </w:tc>
        <w:tc>
          <w:tcPr>
            <w:tcW w:w="1580" w:type="dxa"/>
            <w:vAlign w:val="bottom"/>
          </w:tcPr>
          <w:p>
            <w:pPr>
              <w:spacing w:after="0"/>
              <w:rPr>
                <w:sz w:val="19"/>
                <w:szCs w:val="19"/>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330,754</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3.00%</w:t>
            </w:r>
          </w:p>
        </w:tc>
        <w:tc>
          <w:tcPr>
            <w:tcW w:w="160" w:type="dxa"/>
            <w:vAlign w:val="bottom"/>
          </w:tcPr>
          <w:p>
            <w:pPr>
              <w:spacing w:after="0"/>
              <w:rPr>
                <w:sz w:val="19"/>
                <w:szCs w:val="19"/>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Oct-17</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345,000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Unsecured loan</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16,000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4.81%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16,000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249,862</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5.00%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Aug-18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250,000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Jun-18</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Term loan (swapped)</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500,000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2.34%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Jun-19</w:t>
            </w:r>
          </w:p>
        </w:tc>
        <w:tc>
          <w:tcPr>
            <w:tcW w:w="200" w:type="dxa"/>
            <w:vAlign w:val="bottom"/>
          </w:tcPr>
          <w:p>
            <w:pPr>
              <w:jc w:val="right"/>
              <w:ind w:right="44"/>
              <w:spacing w:after="0"/>
              <w:rPr>
                <w:sz w:val="20"/>
                <w:szCs w:val="20"/>
                <w:color w:val="auto"/>
              </w:rPr>
            </w:pPr>
            <w:r>
              <w:rPr>
                <w:rFonts w:ascii="Arial" w:cs="Arial" w:eastAsia="Arial" w:hAnsi="Arial"/>
                <w:sz w:val="7"/>
                <w:szCs w:val="7"/>
                <w:color w:val="auto"/>
              </w:rPr>
              <w:t>(2)</w:t>
            </w: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500,000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Term loan (swapped)</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300,000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2.54%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Jun-19</w:t>
            </w:r>
          </w:p>
        </w:tc>
        <w:tc>
          <w:tcPr>
            <w:tcW w:w="200" w:type="dxa"/>
            <w:vAlign w:val="bottom"/>
          </w:tcPr>
          <w:p>
            <w:pPr>
              <w:jc w:val="right"/>
              <w:ind w:right="44"/>
              <w:spacing w:after="0"/>
              <w:rPr>
                <w:sz w:val="20"/>
                <w:szCs w:val="20"/>
                <w:color w:val="auto"/>
              </w:rPr>
            </w:pPr>
            <w:r>
              <w:rPr>
                <w:rFonts w:ascii="Arial" w:cs="Arial" w:eastAsia="Arial" w:hAnsi="Arial"/>
                <w:sz w:val="7"/>
                <w:szCs w:val="7"/>
                <w:color w:val="auto"/>
              </w:rPr>
              <w:t>(2)</w:t>
            </w: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300,000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250,000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7.75%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Mar-20</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250,000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200,000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4.50%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Dec-22</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200,000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Unsecured notes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100,000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4.27%</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Dec-25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100,000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25"/>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Series J Preferred Units</w:t>
            </w:r>
          </w:p>
        </w:tc>
        <w:tc>
          <w:tcPr>
            <w:tcW w:w="1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4,000</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3.75%</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Apr-51</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1,950,616</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3.86%</w:t>
            </w:r>
          </w:p>
        </w:tc>
        <w:tc>
          <w:tcPr>
            <w:tcW w:w="160" w:type="dxa"/>
            <w:vAlign w:val="bottom"/>
          </w:tcPr>
          <w:p>
            <w:pPr>
              <w:spacing w:after="0"/>
              <w:rPr>
                <w:sz w:val="16"/>
                <w:szCs w:val="16"/>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1,965,000</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11"/>
        </w:trPr>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86"/>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jc w:val="right"/>
              <w:ind w:right="144"/>
              <w:spacing w:after="0"/>
              <w:rPr>
                <w:sz w:val="20"/>
                <w:szCs w:val="20"/>
                <w:color w:val="auto"/>
              </w:rPr>
            </w:pPr>
            <w:r>
              <w:rPr>
                <w:rFonts w:ascii="Arial" w:cs="Arial" w:eastAsia="Arial" w:hAnsi="Arial"/>
                <w:sz w:val="7"/>
                <w:szCs w:val="7"/>
                <w:b w:val="1"/>
                <w:bCs w:val="1"/>
                <w:color w:val="auto"/>
              </w:rPr>
              <w:t>Total Fixed Rate Debt/Wtd Avg</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5,226,651</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4.28%</w:t>
            </w:r>
          </w:p>
        </w:tc>
        <w:tc>
          <w:tcPr>
            <w:tcW w:w="160" w:type="dxa"/>
            <w:vAlign w:val="bottom"/>
          </w:tcPr>
          <w:p>
            <w:pPr>
              <w:spacing w:after="0"/>
              <w:rPr>
                <w:sz w:val="16"/>
                <w:szCs w:val="16"/>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43,642</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4,887,526</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25"/>
        </w:trPr>
        <w:tc>
          <w:tcPr>
            <w:tcW w:w="202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Floating rate debt</w:t>
            </w: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r>
      <w:tr>
        <w:trPr>
          <w:trHeight w:val="203"/>
        </w:trPr>
        <w:tc>
          <w:tcPr>
            <w:tcW w:w="2020" w:type="dxa"/>
            <w:vAlign w:val="bottom"/>
            <w:gridSpan w:val="3"/>
          </w:tcPr>
          <w:p>
            <w:pPr>
              <w:ind w:left="20"/>
              <w:spacing w:after="0"/>
              <w:rPr>
                <w:sz w:val="20"/>
                <w:szCs w:val="20"/>
                <w:color w:val="auto"/>
              </w:rPr>
            </w:pPr>
            <w:r>
              <w:rPr>
                <w:rFonts w:ascii="Arial" w:cs="Arial" w:eastAsia="Arial" w:hAnsi="Arial"/>
                <w:sz w:val="7"/>
                <w:szCs w:val="7"/>
                <w:b w:val="1"/>
                <w:bCs w:val="1"/>
                <w:color w:val="auto"/>
              </w:rPr>
              <w:t>Secured floating rate debt</w:t>
            </w:r>
          </w:p>
        </w:tc>
        <w:tc>
          <w:tcPr>
            <w:tcW w:w="1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FHLB Facility (LIBOR + 28 bps)</w:t>
            </w:r>
          </w:p>
        </w:tc>
        <w:tc>
          <w:tcPr>
            <w:tcW w:w="1580" w:type="dxa"/>
            <w:vAlign w:val="bottom"/>
          </w:tcPr>
          <w:p>
            <w:pPr>
              <w:spacing w:after="0"/>
              <w:rPr>
                <w:sz w:val="19"/>
                <w:szCs w:val="19"/>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24,000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0.81%</w:t>
            </w:r>
          </w:p>
        </w:tc>
        <w:tc>
          <w:tcPr>
            <w:tcW w:w="160" w:type="dxa"/>
            <w:vAlign w:val="bottom"/>
          </w:tcPr>
          <w:p>
            <w:pPr>
              <w:spacing w:after="0"/>
              <w:rPr>
                <w:sz w:val="19"/>
                <w:szCs w:val="19"/>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Dec-16</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24,000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719</w:t>
            </w:r>
          </w:p>
        </w:tc>
        <w:tc>
          <w:tcPr>
            <w:tcW w:w="1640" w:type="dxa"/>
            <w:vAlign w:val="bottom"/>
          </w:tcPr>
          <w:p>
            <w:pPr>
              <w:ind w:left="20"/>
              <w:spacing w:after="0"/>
              <w:rPr>
                <w:sz w:val="20"/>
                <w:szCs w:val="20"/>
                <w:color w:val="auto"/>
              </w:rPr>
            </w:pPr>
            <w:r>
              <w:rPr>
                <w:rFonts w:ascii="Arial" w:cs="Arial" w:eastAsia="Arial" w:hAnsi="Arial"/>
                <w:sz w:val="7"/>
                <w:szCs w:val="7"/>
                <w:color w:val="auto"/>
              </w:rPr>
              <w:t>Seventh Avenue (LIBOR + 305 bps)</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75.0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32,823</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3.58%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Feb-18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32,823</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187</w:t>
            </w:r>
          </w:p>
        </w:tc>
        <w:tc>
          <w:tcPr>
            <w:tcW w:w="1640" w:type="dxa"/>
            <w:vAlign w:val="bottom"/>
          </w:tcPr>
          <w:p>
            <w:pPr>
              <w:ind w:left="20"/>
              <w:spacing w:after="0"/>
              <w:rPr>
                <w:sz w:val="20"/>
                <w:szCs w:val="20"/>
                <w:color w:val="auto"/>
              </w:rPr>
            </w:pPr>
            <w:r>
              <w:rPr>
                <w:rFonts w:ascii="Arial" w:cs="Arial" w:eastAsia="Arial" w:hAnsi="Arial"/>
                <w:sz w:val="7"/>
                <w:szCs w:val="7"/>
                <w:color w:val="auto"/>
              </w:rPr>
              <w:t>Broadway &amp; 5-7 Dey Street (LIBOR + 269.5 bps)</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58,000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3.23%</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May-18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58,000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Debt &amp; preferred equity facility (LIBOR + 273 bps)</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134,642</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3.26%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Jul-18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134,642</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Jul-19</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1080 Amsterdam (LIBOR + 375 bps)</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92.5</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3,525</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4.28%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Nov-18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3,525</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Sep-20</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25"/>
        </w:trPr>
        <w:tc>
          <w:tcPr>
            <w:tcW w:w="380" w:type="dxa"/>
            <w:vAlign w:val="bottom"/>
            <w:gridSpan w:val="2"/>
          </w:tcPr>
          <w:p>
            <w:pPr>
              <w:ind w:left="240"/>
              <w:spacing w:after="0"/>
              <w:rPr>
                <w:sz w:val="20"/>
                <w:szCs w:val="20"/>
                <w:color w:val="auto"/>
              </w:rPr>
            </w:pPr>
            <w:r>
              <w:rPr>
                <w:rFonts w:ascii="Arial" w:cs="Arial" w:eastAsia="Arial" w:hAnsi="Arial"/>
                <w:sz w:val="7"/>
                <w:szCs w:val="7"/>
                <w:color w:val="auto"/>
              </w:rPr>
              <w:t>220</w:t>
            </w:r>
          </w:p>
        </w:tc>
        <w:tc>
          <w:tcPr>
            <w:tcW w:w="1640" w:type="dxa"/>
            <w:vAlign w:val="bottom"/>
          </w:tcPr>
          <w:p>
            <w:pPr>
              <w:ind w:left="20"/>
              <w:spacing w:after="0"/>
              <w:rPr>
                <w:sz w:val="20"/>
                <w:szCs w:val="20"/>
                <w:color w:val="auto"/>
              </w:rPr>
            </w:pPr>
            <w:r>
              <w:rPr>
                <w:rFonts w:ascii="Arial" w:cs="Arial" w:eastAsia="Arial" w:hAnsi="Arial"/>
                <w:sz w:val="7"/>
                <w:szCs w:val="7"/>
                <w:color w:val="auto"/>
              </w:rPr>
              <w:t>East 42nd St. (LIBOR + 160 bps)</w:t>
            </w:r>
          </w:p>
        </w:tc>
        <w:tc>
          <w:tcPr>
            <w:tcW w:w="1580" w:type="dxa"/>
            <w:vAlign w:val="bottom"/>
          </w:tcPr>
          <w:p>
            <w:pPr>
              <w:jc w:val="right"/>
              <w:ind w:right="504"/>
              <w:spacing w:after="0"/>
              <w:rPr>
                <w:sz w:val="20"/>
                <w:szCs w:val="20"/>
                <w:color w:val="auto"/>
              </w:rPr>
            </w:pPr>
            <w:r>
              <w:rPr>
                <w:rFonts w:ascii="Arial" w:cs="Arial" w:eastAsia="Arial" w:hAnsi="Arial"/>
                <w:sz w:val="7"/>
                <w:szCs w:val="7"/>
                <w:color w:val="auto"/>
              </w:rPr>
              <w:t>100.0</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275,000</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2.13%</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Oct-20</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275,000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527,990</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2.58%</w:t>
            </w:r>
          </w:p>
        </w:tc>
        <w:tc>
          <w:tcPr>
            <w:tcW w:w="160" w:type="dxa"/>
            <w:vAlign w:val="bottom"/>
          </w:tcPr>
          <w:p>
            <w:pPr>
              <w:spacing w:after="0"/>
              <w:rPr>
                <w:sz w:val="16"/>
                <w:szCs w:val="16"/>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527,990</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2020" w:type="dxa"/>
            <w:vAlign w:val="bottom"/>
            <w:gridSpan w:val="3"/>
          </w:tcPr>
          <w:p>
            <w:pPr>
              <w:ind w:left="20"/>
              <w:spacing w:after="0"/>
              <w:rPr>
                <w:sz w:val="20"/>
                <w:szCs w:val="20"/>
                <w:color w:val="auto"/>
              </w:rPr>
            </w:pPr>
            <w:r>
              <w:rPr>
                <w:rFonts w:ascii="Arial" w:cs="Arial" w:eastAsia="Arial" w:hAnsi="Arial"/>
                <w:sz w:val="7"/>
                <w:szCs w:val="7"/>
                <w:b w:val="1"/>
                <w:bCs w:val="1"/>
                <w:color w:val="auto"/>
              </w:rPr>
              <w:t>Unsecured floating rate debt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9"/>
        </w:trPr>
        <w:tc>
          <w:tcPr>
            <w:tcW w:w="260" w:type="dxa"/>
            <w:vAlign w:val="bottom"/>
          </w:tcPr>
          <w:p>
            <w:pPr>
              <w:spacing w:after="0"/>
              <w:rPr>
                <w:sz w:val="19"/>
                <w:szCs w:val="19"/>
                <w:color w:val="auto"/>
              </w:rPr>
            </w:pPr>
          </w:p>
        </w:tc>
        <w:tc>
          <w:tcPr>
            <w:tcW w:w="1760" w:type="dxa"/>
            <w:vAlign w:val="bottom"/>
            <w:gridSpan w:val="2"/>
          </w:tcPr>
          <w:p>
            <w:pPr>
              <w:spacing w:after="0"/>
              <w:rPr>
                <w:sz w:val="20"/>
                <w:szCs w:val="20"/>
                <w:color w:val="auto"/>
              </w:rPr>
            </w:pPr>
            <w:r>
              <w:rPr>
                <w:rFonts w:ascii="Arial" w:cs="Arial" w:eastAsia="Arial" w:hAnsi="Arial"/>
                <w:sz w:val="7"/>
                <w:szCs w:val="7"/>
                <w:color w:val="auto"/>
              </w:rPr>
              <w:t>Term loan (LIBOR + 140 bps)</w:t>
            </w:r>
          </w:p>
        </w:tc>
        <w:tc>
          <w:tcPr>
            <w:tcW w:w="1580" w:type="dxa"/>
            <w:vAlign w:val="bottom"/>
          </w:tcPr>
          <w:p>
            <w:pPr>
              <w:spacing w:after="0"/>
              <w:rPr>
                <w:sz w:val="19"/>
                <w:szCs w:val="19"/>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383,000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1.93%</w:t>
            </w:r>
          </w:p>
        </w:tc>
        <w:tc>
          <w:tcPr>
            <w:tcW w:w="160" w:type="dxa"/>
            <w:vAlign w:val="bottom"/>
          </w:tcPr>
          <w:p>
            <w:pPr>
              <w:spacing w:after="0"/>
              <w:rPr>
                <w:sz w:val="19"/>
                <w:szCs w:val="19"/>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Jun-19</w:t>
            </w:r>
          </w:p>
        </w:tc>
        <w:tc>
          <w:tcPr>
            <w:tcW w:w="480" w:type="dxa"/>
            <w:vAlign w:val="bottom"/>
            <w:gridSpan w:val="2"/>
          </w:tcPr>
          <w:p>
            <w:pPr>
              <w:jc w:val="right"/>
              <w:ind w:right="220"/>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383,000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25"/>
        </w:trPr>
        <w:tc>
          <w:tcPr>
            <w:tcW w:w="260" w:type="dxa"/>
            <w:vAlign w:val="bottom"/>
          </w:tcPr>
          <w:p>
            <w:pPr>
              <w:spacing w:after="0"/>
              <w:rPr>
                <w:sz w:val="19"/>
                <w:szCs w:val="19"/>
                <w:color w:val="auto"/>
              </w:rPr>
            </w:pPr>
          </w:p>
        </w:tc>
        <w:tc>
          <w:tcPr>
            <w:tcW w:w="3340" w:type="dxa"/>
            <w:vAlign w:val="bottom"/>
            <w:gridSpan w:val="3"/>
          </w:tcPr>
          <w:p>
            <w:pPr>
              <w:spacing w:after="0"/>
              <w:rPr>
                <w:sz w:val="20"/>
                <w:szCs w:val="20"/>
                <w:color w:val="auto"/>
              </w:rPr>
            </w:pPr>
            <w:r>
              <w:rPr>
                <w:rFonts w:ascii="Arial" w:cs="Arial" w:eastAsia="Arial" w:hAnsi="Arial"/>
                <w:sz w:val="7"/>
                <w:szCs w:val="7"/>
                <w:color w:val="auto"/>
              </w:rPr>
              <w:t>Junior subordinated deferrable interest debentures (LIBOR + 125 bps)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100,000</w:t>
            </w:r>
          </w:p>
        </w:tc>
        <w:tc>
          <w:tcPr>
            <w:tcW w:w="200" w:type="dxa"/>
            <w:vAlign w:val="bottom"/>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2.10%</w:t>
            </w: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940" w:type="dxa"/>
            <w:vAlign w:val="bottom"/>
          </w:tcPr>
          <w:p>
            <w:pPr>
              <w:jc w:val="right"/>
              <w:spacing w:after="0"/>
              <w:rPr>
                <w:sz w:val="20"/>
                <w:szCs w:val="20"/>
                <w:color w:val="auto"/>
              </w:rPr>
            </w:pPr>
            <w:r>
              <w:rPr>
                <w:rFonts w:ascii="Arial" w:cs="Arial" w:eastAsia="Arial" w:hAnsi="Arial"/>
                <w:sz w:val="7"/>
                <w:szCs w:val="7"/>
                <w:color w:val="auto"/>
              </w:rPr>
              <w:t>Jul-35</w:t>
            </w:r>
          </w:p>
        </w:tc>
        <w:tc>
          <w:tcPr>
            <w:tcW w:w="2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100,000</w:t>
            </w:r>
          </w:p>
        </w:tc>
        <w:tc>
          <w:tcPr>
            <w:tcW w:w="11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483,000</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1.97%</w:t>
            </w:r>
          </w:p>
        </w:tc>
        <w:tc>
          <w:tcPr>
            <w:tcW w:w="160" w:type="dxa"/>
            <w:vAlign w:val="bottom"/>
          </w:tcPr>
          <w:p>
            <w:pPr>
              <w:spacing w:after="0"/>
              <w:rPr>
                <w:sz w:val="16"/>
                <w:szCs w:val="16"/>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483,000</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11"/>
        </w:trPr>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86"/>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jc w:val="right"/>
              <w:ind w:right="144"/>
              <w:spacing w:after="0"/>
              <w:rPr>
                <w:sz w:val="20"/>
                <w:szCs w:val="20"/>
                <w:color w:val="auto"/>
              </w:rPr>
            </w:pPr>
            <w:r>
              <w:rPr>
                <w:rFonts w:ascii="Arial" w:cs="Arial" w:eastAsia="Arial" w:hAnsi="Arial"/>
                <w:sz w:val="7"/>
                <w:szCs w:val="7"/>
                <w:b w:val="1"/>
                <w:bCs w:val="1"/>
                <w:color w:val="auto"/>
              </w:rPr>
              <w:t>Total Floating Rate Debt/Wtd Avg</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1,010,990</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2.29%</w:t>
            </w:r>
          </w:p>
        </w:tc>
        <w:tc>
          <w:tcPr>
            <w:tcW w:w="160" w:type="dxa"/>
            <w:vAlign w:val="bottom"/>
          </w:tcPr>
          <w:p>
            <w:pPr>
              <w:spacing w:after="0"/>
              <w:rPr>
                <w:sz w:val="16"/>
                <w:szCs w:val="16"/>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1,010,990</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111"/>
        </w:trPr>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86"/>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jc w:val="right"/>
              <w:ind w:right="144"/>
              <w:spacing w:after="0"/>
              <w:rPr>
                <w:sz w:val="20"/>
                <w:szCs w:val="20"/>
                <w:color w:val="auto"/>
              </w:rPr>
            </w:pPr>
            <w:r>
              <w:rPr>
                <w:rFonts w:ascii="Arial" w:cs="Arial" w:eastAsia="Arial" w:hAnsi="Arial"/>
                <w:sz w:val="7"/>
                <w:szCs w:val="7"/>
                <w:b w:val="1"/>
                <w:bCs w:val="1"/>
                <w:color w:val="auto"/>
              </w:rPr>
              <w:t>Total Debt/Wtd Avg - Consolidated</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6,237,641</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3.96%</w:t>
            </w:r>
          </w:p>
        </w:tc>
        <w:tc>
          <w:tcPr>
            <w:tcW w:w="160" w:type="dxa"/>
            <w:vAlign w:val="bottom"/>
          </w:tcPr>
          <w:p>
            <w:pPr>
              <w:spacing w:after="0"/>
              <w:rPr>
                <w:sz w:val="16"/>
                <w:szCs w:val="16"/>
                <w:color w:val="auto"/>
              </w:rPr>
            </w:pPr>
          </w:p>
        </w:tc>
        <w:tc>
          <w:tcPr>
            <w:tcW w:w="160" w:type="dxa"/>
            <w:vAlign w:val="bottom"/>
          </w:tcPr>
          <w:p>
            <w:pPr>
              <w:jc w:val="right"/>
              <w:ind w:right="96"/>
              <w:spacing w:after="0"/>
              <w:rPr>
                <w:sz w:val="20"/>
                <w:szCs w:val="20"/>
                <w:color w:val="auto"/>
              </w:rPr>
            </w:pPr>
            <w:r>
              <w:rPr>
                <w:rFonts w:ascii="Arial" w:cs="Arial" w:eastAsia="Arial" w:hAnsi="Arial"/>
                <w:sz w:val="5"/>
                <w:szCs w:val="5"/>
                <w:b w:val="1"/>
                <w:bCs w:val="1"/>
                <w:color w:val="auto"/>
                <w:w w:val="70"/>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43,642</w:t>
            </w:r>
          </w:p>
        </w:tc>
        <w:tc>
          <w:tcPr>
            <w:tcW w:w="940" w:type="dxa"/>
            <w:vAlign w:val="bottom"/>
          </w:tcPr>
          <w:p>
            <w:pPr>
              <w:spacing w:after="0"/>
              <w:rPr>
                <w:sz w:val="16"/>
                <w:szCs w:val="16"/>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5,898,516</w:t>
            </w: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219"/>
        </w:trPr>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jc w:val="right"/>
              <w:ind w:right="144"/>
              <w:spacing w:after="0"/>
              <w:rPr>
                <w:sz w:val="20"/>
                <w:szCs w:val="20"/>
                <w:color w:val="auto"/>
              </w:rPr>
            </w:pPr>
            <w:r>
              <w:rPr>
                <w:rFonts w:ascii="Arial" w:cs="Arial" w:eastAsia="Arial" w:hAnsi="Arial"/>
                <w:sz w:val="7"/>
                <w:szCs w:val="7"/>
                <w:color w:val="auto"/>
              </w:rPr>
              <w:t>885 Third Avenue (3)</w:t>
            </w:r>
          </w:p>
        </w:tc>
        <w:tc>
          <w:tcPr>
            <w:tcW w:w="140" w:type="dxa"/>
            <w:vAlign w:val="bottom"/>
          </w:tcPr>
          <w:p>
            <w:pPr>
              <w:spacing w:after="0"/>
              <w:rPr>
                <w:sz w:val="19"/>
                <w:szCs w:val="19"/>
                <w:color w:val="auto"/>
              </w:rPr>
            </w:pPr>
          </w:p>
        </w:tc>
        <w:tc>
          <w:tcPr>
            <w:tcW w:w="580" w:type="dxa"/>
            <w:vAlign w:val="bottom"/>
          </w:tcPr>
          <w:p>
            <w:pPr>
              <w:jc w:val="right"/>
              <w:ind w:right="24"/>
              <w:spacing w:after="0"/>
              <w:rPr>
                <w:sz w:val="20"/>
                <w:szCs w:val="20"/>
                <w:color w:val="auto"/>
              </w:rPr>
            </w:pPr>
            <w:r>
              <w:rPr>
                <w:rFonts w:ascii="Arial" w:cs="Arial" w:eastAsia="Arial" w:hAnsi="Arial"/>
                <w:sz w:val="7"/>
                <w:szCs w:val="7"/>
                <w:color w:val="auto"/>
              </w:rPr>
              <w:t>267,650</w:t>
            </w:r>
          </w:p>
        </w:tc>
        <w:tc>
          <w:tcPr>
            <w:tcW w:w="200" w:type="dxa"/>
            <w:vAlign w:val="bottom"/>
          </w:tcPr>
          <w:p>
            <w:pPr>
              <w:spacing w:after="0"/>
              <w:rPr>
                <w:sz w:val="19"/>
                <w:szCs w:val="19"/>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6.26%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5"/>
        </w:trPr>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580" w:type="dxa"/>
            <w:vAlign w:val="bottom"/>
          </w:tcPr>
          <w:p>
            <w:pPr>
              <w:jc w:val="right"/>
              <w:ind w:right="144"/>
              <w:spacing w:after="0"/>
              <w:rPr>
                <w:sz w:val="20"/>
                <w:szCs w:val="20"/>
                <w:color w:val="auto"/>
              </w:rPr>
            </w:pPr>
            <w:r>
              <w:rPr>
                <w:rFonts w:ascii="Arial" w:cs="Arial" w:eastAsia="Arial" w:hAnsi="Arial"/>
                <w:sz w:val="7"/>
                <w:szCs w:val="7"/>
                <w:color w:val="auto"/>
              </w:rPr>
              <w:t>Deferred financing costs</w:t>
            </w: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(87,591)</w:t>
            </w:r>
          </w:p>
        </w:tc>
        <w:tc>
          <w:tcPr>
            <w:tcW w:w="2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580" w:type="dxa"/>
            <w:vAlign w:val="bottom"/>
          </w:tcPr>
          <w:p>
            <w:pPr>
              <w:jc w:val="right"/>
              <w:ind w:right="144"/>
              <w:spacing w:after="0"/>
              <w:rPr>
                <w:sz w:val="20"/>
                <w:szCs w:val="20"/>
                <w:color w:val="auto"/>
              </w:rPr>
            </w:pPr>
            <w:r>
              <w:rPr>
                <w:rFonts w:ascii="Arial" w:cs="Arial" w:eastAsia="Arial" w:hAnsi="Arial"/>
                <w:sz w:val="7"/>
                <w:szCs w:val="7"/>
                <w:b w:val="1"/>
                <w:bCs w:val="1"/>
                <w:color w:val="auto"/>
              </w:rPr>
              <w:t>Total Debt/Wtd Avg - Consolidated, net</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6,417,700</w:t>
            </w:r>
          </w:p>
        </w:tc>
        <w:tc>
          <w:tcPr>
            <w:tcW w:w="20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4.05%</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60" w:type="dxa"/>
            <w:vAlign w:val="bottom"/>
          </w:tcPr>
          <w:p>
            <w:pPr>
              <w:spacing w:after="0"/>
              <w:rPr>
                <w:sz w:val="16"/>
                <w:szCs w:val="16"/>
                <w:color w:val="auto"/>
              </w:rPr>
            </w:pPr>
          </w:p>
        </w:tc>
      </w:tr>
      <w:tr>
        <w:trPr>
          <w:trHeight w:val="317"/>
        </w:trPr>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80" w:type="dxa"/>
            <w:vAlign w:val="bottom"/>
          </w:tcPr>
          <w:p>
            <w:pPr>
              <w:jc w:val="right"/>
              <w:ind w:right="144"/>
              <w:spacing w:after="0"/>
              <w:rPr>
                <w:sz w:val="20"/>
                <w:szCs w:val="20"/>
                <w:color w:val="auto"/>
              </w:rPr>
            </w:pPr>
            <w:r>
              <w:rPr>
                <w:rFonts w:ascii="Arial" w:cs="Arial" w:eastAsia="Arial" w:hAnsi="Arial"/>
                <w:sz w:val="7"/>
                <w:szCs w:val="7"/>
                <w:b w:val="1"/>
                <w:bCs w:val="1"/>
                <w:color w:val="auto"/>
              </w:rPr>
              <w:t>Total Debt/Wtd Avg - Joint Venture, net</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2,662,319</w:t>
            </w:r>
          </w:p>
        </w:tc>
        <w:tc>
          <w:tcPr>
            <w:tcW w:w="200" w:type="dxa"/>
            <w:vAlign w:val="bottom"/>
          </w:tcPr>
          <w:p>
            <w:pPr>
              <w:spacing w:after="0"/>
              <w:rPr>
                <w:sz w:val="24"/>
                <w:szCs w:val="24"/>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3.59%</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11"/>
        </w:trPr>
        <w:tc>
          <w:tcPr>
            <w:tcW w:w="2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gridSpan w:val="2"/>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660" w:type="dxa"/>
            <w:vAlign w:val="bottom"/>
          </w:tcPr>
          <w:p>
            <w:pPr>
              <w:spacing w:after="0"/>
              <w:rPr>
                <w:sz w:val="9"/>
                <w:szCs w:val="9"/>
                <w:color w:val="auto"/>
              </w:rPr>
            </w:pPr>
          </w:p>
        </w:tc>
      </w:tr>
      <w:tr>
        <w:trPr>
          <w:trHeight w:val="197"/>
        </w:trPr>
        <w:tc>
          <w:tcPr>
            <w:tcW w:w="26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20" w:type="dxa"/>
            <w:vAlign w:val="bottom"/>
            <w:gridSpan w:val="2"/>
          </w:tcPr>
          <w:p>
            <w:pPr>
              <w:jc w:val="right"/>
              <w:ind w:right="144"/>
              <w:spacing w:after="0"/>
              <w:rPr>
                <w:sz w:val="20"/>
                <w:szCs w:val="20"/>
                <w:color w:val="auto"/>
              </w:rPr>
            </w:pPr>
            <w:r>
              <w:rPr>
                <w:rFonts w:ascii="Arial" w:cs="Arial" w:eastAsia="Arial" w:hAnsi="Arial"/>
                <w:sz w:val="7"/>
                <w:szCs w:val="7"/>
                <w:b w:val="1"/>
                <w:bCs w:val="1"/>
                <w:color w:val="auto"/>
              </w:rPr>
              <w:t>Total Debt including SLG's share of JV Debt/Wtd Avg</w:t>
            </w:r>
          </w:p>
        </w:tc>
        <w:tc>
          <w:tcPr>
            <w:tcW w:w="140" w:type="dxa"/>
            <w:vAlign w:val="bottom"/>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24"/>
              <w:spacing w:after="0"/>
              <w:rPr>
                <w:sz w:val="20"/>
                <w:szCs w:val="20"/>
                <w:color w:val="auto"/>
              </w:rPr>
            </w:pPr>
            <w:r>
              <w:rPr>
                <w:rFonts w:ascii="Arial" w:cs="Arial" w:eastAsia="Arial" w:hAnsi="Arial"/>
                <w:sz w:val="7"/>
                <w:szCs w:val="7"/>
                <w:b w:val="1"/>
                <w:bCs w:val="1"/>
                <w:color w:val="auto"/>
              </w:rPr>
              <w:t>8,931,914</w:t>
            </w:r>
          </w:p>
        </w:tc>
        <w:tc>
          <w:tcPr>
            <w:tcW w:w="200" w:type="dxa"/>
            <w:vAlign w:val="bottom"/>
          </w:tcPr>
          <w:p>
            <w:pPr>
              <w:spacing w:after="0"/>
              <w:rPr>
                <w:sz w:val="17"/>
                <w:szCs w:val="17"/>
                <w:color w:val="auto"/>
              </w:rPr>
            </w:pP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3.84%</w:t>
            </w:r>
          </w:p>
        </w:tc>
        <w:tc>
          <w:tcPr>
            <w:tcW w:w="160" w:type="dxa"/>
            <w:vAlign w:val="bottom"/>
            <w:tcBorders>
              <w:right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25"/>
        </w:trPr>
        <w:tc>
          <w:tcPr>
            <w:tcW w:w="260" w:type="dxa"/>
            <w:vAlign w:val="bottom"/>
            <w:tcBorders>
              <w:right w:val="single" w:sz="8" w:color="auto"/>
            </w:tcBorders>
          </w:tcPr>
          <w:p>
            <w:pPr>
              <w:spacing w:after="0"/>
              <w:rPr>
                <w:sz w:val="19"/>
                <w:szCs w:val="19"/>
                <w:color w:val="auto"/>
              </w:rPr>
            </w:pPr>
          </w:p>
        </w:tc>
        <w:tc>
          <w:tcPr>
            <w:tcW w:w="3340" w:type="dxa"/>
            <w:vAlign w:val="bottom"/>
            <w:tcBorders>
              <w:bottom w:val="single" w:sz="8" w:color="auto"/>
            </w:tcBorders>
            <w:gridSpan w:val="3"/>
          </w:tcPr>
          <w:p>
            <w:pPr>
              <w:jc w:val="right"/>
              <w:ind w:right="144"/>
              <w:spacing w:after="0"/>
              <w:rPr>
                <w:sz w:val="20"/>
                <w:szCs w:val="20"/>
                <w:color w:val="auto"/>
              </w:rPr>
            </w:pPr>
            <w:r>
              <w:rPr>
                <w:rFonts w:ascii="Arial" w:cs="Arial" w:eastAsia="Arial" w:hAnsi="Arial"/>
                <w:sz w:val="7"/>
                <w:szCs w:val="7"/>
                <w:b w:val="1"/>
                <w:bCs w:val="1"/>
                <w:color w:val="auto"/>
              </w:rPr>
              <w:t>Weighted Average Balance &amp; Interest Rate for the quarter, including SLG's share of JV Debt</w:t>
            </w:r>
          </w:p>
        </w:tc>
        <w:tc>
          <w:tcPr>
            <w:tcW w:w="1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w:t>
            </w:r>
          </w:p>
        </w:tc>
        <w:tc>
          <w:tcPr>
            <w:tcW w:w="5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9,565,753</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3.85%</w:t>
            </w:r>
          </w:p>
        </w:tc>
        <w:tc>
          <w:tcPr>
            <w:tcW w:w="160" w:type="dxa"/>
            <w:vAlign w:val="bottom"/>
            <w:tcBorders>
              <w:bottom w:val="single" w:sz="8" w:color="auto"/>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r>
    </w:tbl>
    <w:p>
      <w:pPr>
        <w:spacing w:after="0" w:line="164" w:lineRule="exact"/>
        <w:rPr>
          <w:sz w:val="20"/>
          <w:szCs w:val="20"/>
          <w:color w:val="auto"/>
        </w:rPr>
      </w:pPr>
    </w:p>
    <w:p>
      <w:pPr>
        <w:ind w:left="220" w:hanging="100"/>
        <w:spacing w:after="0"/>
        <w:tabs>
          <w:tab w:leader="none" w:pos="220" w:val="left"/>
        </w:tabs>
        <w:numPr>
          <w:ilvl w:val="0"/>
          <w:numId w:val="16"/>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LIBOR rate at the end of the quarter. Coupon for loans that are subject to LIBOR floors were determined using the LIBOR floors.</w:t>
      </w:r>
    </w:p>
    <w:p>
      <w:pPr>
        <w:spacing w:after="0" w:line="39" w:lineRule="exact"/>
        <w:rPr>
          <w:rFonts w:ascii="Arial" w:cs="Arial" w:eastAsia="Arial" w:hAnsi="Arial"/>
          <w:sz w:val="7"/>
          <w:szCs w:val="7"/>
          <w:color w:val="auto"/>
        </w:rPr>
      </w:pPr>
    </w:p>
    <w:p>
      <w:pPr>
        <w:ind w:left="220" w:hanging="100"/>
        <w:spacing w:after="0"/>
        <w:tabs>
          <w:tab w:leader="none" w:pos="220" w:val="left"/>
        </w:tabs>
        <w:numPr>
          <w:ilvl w:val="0"/>
          <w:numId w:val="16"/>
        </w:numPr>
        <w:rPr>
          <w:rFonts w:ascii="Arial" w:cs="Arial" w:eastAsia="Arial" w:hAnsi="Arial"/>
          <w:sz w:val="7"/>
          <w:szCs w:val="7"/>
          <w:color w:val="auto"/>
        </w:rPr>
      </w:pPr>
      <w:r>
        <w:rPr>
          <w:rFonts w:ascii="Arial" w:cs="Arial" w:eastAsia="Arial" w:hAnsi="Arial"/>
          <w:sz w:val="7"/>
          <w:szCs w:val="7"/>
          <w:color w:val="auto"/>
        </w:rPr>
        <w:t>The interest rate swaps matures in June 2019.</w:t>
      </w:r>
    </w:p>
    <w:p>
      <w:pPr>
        <w:spacing w:after="0" w:line="39" w:lineRule="exact"/>
        <w:rPr>
          <w:rFonts w:ascii="Arial" w:cs="Arial" w:eastAsia="Arial" w:hAnsi="Arial"/>
          <w:sz w:val="7"/>
          <w:szCs w:val="7"/>
          <w:color w:val="auto"/>
        </w:rPr>
      </w:pPr>
    </w:p>
    <w:p>
      <w:pPr>
        <w:ind w:left="220" w:hanging="100"/>
        <w:spacing w:after="0"/>
        <w:tabs>
          <w:tab w:leader="none" w:pos="220" w:val="left"/>
        </w:tabs>
        <w:numPr>
          <w:ilvl w:val="0"/>
          <w:numId w:val="16"/>
        </w:numPr>
        <w:rPr>
          <w:rFonts w:ascii="Arial" w:cs="Arial" w:eastAsia="Arial" w:hAnsi="Arial"/>
          <w:sz w:val="7"/>
          <w:szCs w:val="7"/>
          <w:color w:val="auto"/>
        </w:rPr>
      </w:pPr>
      <w:r>
        <w:rPr>
          <w:rFonts w:ascii="Arial" w:cs="Arial" w:eastAsia="Arial" w:hAnsi="Arial"/>
          <w:sz w:val="7"/>
          <w:szCs w:val="7"/>
          <w:color w:val="auto"/>
        </w:rPr>
        <w:t>885 Third Avenue was sold but did not meet the criteria for sale accounting and, therefore, remains consolidated.</w:t>
      </w:r>
    </w:p>
    <w:p>
      <w:pPr>
        <w:sectPr>
          <w:pgSz w:w="11900" w:h="16838" w:orient="portrait"/>
          <w:cols w:equalWidth="0" w:num="1">
            <w:col w:w="10080"/>
          </w:cols>
          <w:pgMar w:left="900" w:top="338" w:right="919" w:bottom="1440" w:gutter="0" w:footer="0" w:header="0"/>
        </w:sectPr>
      </w:pPr>
    </w:p>
    <w:p>
      <w:pPr>
        <w:spacing w:after="0" w:line="341"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26</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Unconsolidated Joint Ventures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20" w:type="dxa"/>
        <w:tblCellMar>
          <w:top w:w="0" w:type="dxa"/>
          <w:left w:w="0" w:type="dxa"/>
          <w:bottom w:w="0" w:type="dxa"/>
          <w:right w:w="0" w:type="dxa"/>
        </w:tblCellMar>
      </w:tblPr>
      <w:tr>
        <w:trPr>
          <w:trHeight w:val="94"/>
        </w:trPr>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80" w:type="dxa"/>
            <w:vAlign w:val="bottom"/>
            <w:gridSpan w:val="3"/>
          </w:tcPr>
          <w:p>
            <w:pPr>
              <w:jc w:val="center"/>
              <w:ind w:right="24"/>
              <w:spacing w:after="0"/>
              <w:rPr>
                <w:sz w:val="20"/>
                <w:szCs w:val="20"/>
                <w:color w:val="auto"/>
              </w:rPr>
            </w:pPr>
            <w:r>
              <w:rPr>
                <w:rFonts w:ascii="Arial" w:cs="Arial" w:eastAsia="Arial" w:hAnsi="Arial"/>
                <w:sz w:val="7"/>
                <w:szCs w:val="7"/>
                <w:b w:val="1"/>
                <w:bCs w:val="1"/>
                <w:color w:val="auto"/>
              </w:rPr>
              <w:t>Principal Outstanding</w:t>
            </w: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b w:val="1"/>
                <w:bCs w:val="1"/>
                <w:color w:val="auto"/>
              </w:rPr>
              <w:t>2016</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Initial</w:t>
            </w:r>
          </w:p>
        </w:tc>
        <w:tc>
          <w:tcPr>
            <w:tcW w:w="300" w:type="dxa"/>
            <w:vAlign w:val="bottom"/>
          </w:tcPr>
          <w:p>
            <w:pPr>
              <w:spacing w:after="0"/>
              <w:rPr>
                <w:sz w:val="8"/>
                <w:szCs w:val="8"/>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b w:val="1"/>
                <w:bCs w:val="1"/>
                <w:color w:val="auto"/>
              </w:rPr>
              <w:t>Principal</w:t>
            </w:r>
          </w:p>
        </w:tc>
        <w:tc>
          <w:tcPr>
            <w:tcW w:w="600" w:type="dxa"/>
            <w:vAlign w:val="bottom"/>
          </w:tcPr>
          <w:p>
            <w:pPr>
              <w:jc w:val="right"/>
              <w:ind w:right="44"/>
              <w:spacing w:after="0"/>
              <w:rPr>
                <w:sz w:val="20"/>
                <w:szCs w:val="20"/>
                <w:color w:val="auto"/>
              </w:rPr>
            </w:pPr>
            <w:r>
              <w:rPr>
                <w:rFonts w:ascii="Arial" w:cs="Arial" w:eastAsia="Arial" w:hAnsi="Arial"/>
                <w:sz w:val="7"/>
                <w:szCs w:val="7"/>
                <w:b w:val="1"/>
                <w:bCs w:val="1"/>
                <w:color w:val="auto"/>
              </w:rPr>
              <w:t>As-Of</w:t>
            </w:r>
          </w:p>
        </w:tc>
        <w:tc>
          <w:tcPr>
            <w:tcW w:w="520" w:type="dxa"/>
            <w:vAlign w:val="bottom"/>
          </w:tcPr>
          <w:p>
            <w:pPr>
              <w:spacing w:after="0"/>
              <w:rPr>
                <w:sz w:val="8"/>
                <w:szCs w:val="8"/>
                <w:color w:val="auto"/>
              </w:rPr>
            </w:pPr>
          </w:p>
        </w:tc>
      </w:tr>
      <w:tr>
        <w:trPr>
          <w:trHeight w:val="225"/>
        </w:trPr>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160" w:type="dxa"/>
            <w:vAlign w:val="bottom"/>
          </w:tcPr>
          <w:p>
            <w:pPr>
              <w:jc w:val="right"/>
              <w:ind w:right="284"/>
              <w:spacing w:after="0"/>
              <w:rPr>
                <w:sz w:val="20"/>
                <w:szCs w:val="20"/>
                <w:color w:val="auto"/>
              </w:rPr>
            </w:pPr>
            <w:r>
              <w:rPr>
                <w:rFonts w:ascii="Arial" w:cs="Arial" w:eastAsia="Arial" w:hAnsi="Arial"/>
                <w:sz w:val="7"/>
                <w:szCs w:val="7"/>
                <w:b w:val="1"/>
                <w:bCs w:val="1"/>
                <w:color w:val="auto"/>
              </w:rPr>
              <w:t>Ownership</w:t>
            </w:r>
          </w:p>
        </w:tc>
        <w:tc>
          <w:tcPr>
            <w:tcW w:w="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7"/>
                <w:szCs w:val="7"/>
                <w:b w:val="1"/>
                <w:bCs w:val="1"/>
                <w:color w:val="auto"/>
              </w:rPr>
              <w:t>9/30/2016</w:t>
            </w:r>
          </w:p>
        </w:tc>
        <w:tc>
          <w:tcPr>
            <w:tcW w:w="600" w:type="dxa"/>
            <w:vAlign w:val="bottom"/>
            <w:tcBorders>
              <w:bottom w:val="single" w:sz="8" w:color="auto"/>
            </w:tcBorders>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b w:val="1"/>
                <w:bCs w:val="1"/>
                <w:color w:val="auto"/>
              </w:rPr>
              <w:t>Principal Amortization</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Maturity</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b w:val="1"/>
                <w:bCs w:val="1"/>
                <w:color w:val="auto"/>
              </w:rPr>
              <w:t>Due at Maturity</w:t>
            </w:r>
          </w:p>
        </w:tc>
        <w:tc>
          <w:tcPr>
            <w:tcW w:w="600" w:type="dxa"/>
            <w:vAlign w:val="bottom"/>
          </w:tcPr>
          <w:p>
            <w:pPr>
              <w:jc w:val="right"/>
              <w:ind w:right="44"/>
              <w:spacing w:after="0"/>
              <w:rPr>
                <w:sz w:val="20"/>
                <w:szCs w:val="20"/>
                <w:color w:val="auto"/>
              </w:rPr>
            </w:pPr>
            <w:r>
              <w:rPr>
                <w:rFonts w:ascii="Arial" w:cs="Arial" w:eastAsia="Arial" w:hAnsi="Arial"/>
                <w:sz w:val="7"/>
                <w:szCs w:val="7"/>
                <w:b w:val="1"/>
                <w:bCs w:val="1"/>
                <w:color w:val="auto"/>
              </w:rPr>
              <w:t>Right</w:t>
            </w: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Earliest</w:t>
            </w:r>
          </w:p>
        </w:tc>
      </w:tr>
      <w:tr>
        <w:trPr>
          <w:trHeight w:val="209"/>
        </w:trPr>
        <w:tc>
          <w:tcPr>
            <w:tcW w:w="160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Fixed rate debt</w:t>
            </w:r>
          </w:p>
        </w:tc>
        <w:tc>
          <w:tcPr>
            <w:tcW w:w="1160" w:type="dxa"/>
            <w:vAlign w:val="bottom"/>
            <w:tcBorders>
              <w:bottom w:val="single" w:sz="8" w:color="auto"/>
            </w:tcBorders>
          </w:tcPr>
          <w:p>
            <w:pPr>
              <w:jc w:val="right"/>
              <w:ind w:right="284"/>
              <w:spacing w:after="0"/>
              <w:rPr>
                <w:sz w:val="20"/>
                <w:szCs w:val="20"/>
                <w:color w:val="auto"/>
              </w:rPr>
            </w:pPr>
            <w:r>
              <w:rPr>
                <w:rFonts w:ascii="Arial" w:cs="Arial" w:eastAsia="Arial" w:hAnsi="Arial"/>
                <w:sz w:val="7"/>
                <w:szCs w:val="7"/>
                <w:b w:val="1"/>
                <w:bCs w:val="1"/>
                <w:color w:val="auto"/>
              </w:rPr>
              <w:t>Interest (%)</w:t>
            </w:r>
          </w:p>
        </w:tc>
        <w:tc>
          <w:tcPr>
            <w:tcW w:w="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Gross Principal</w:t>
            </w:r>
          </w:p>
        </w:tc>
        <w:tc>
          <w:tcPr>
            <w:tcW w:w="3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SLG Share</w:t>
            </w:r>
          </w:p>
        </w:tc>
        <w:tc>
          <w:tcPr>
            <w:tcW w:w="84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Coupon (1)</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84"/>
              <w:spacing w:after="0"/>
              <w:rPr>
                <w:sz w:val="20"/>
                <w:szCs w:val="20"/>
                <w:color w:val="auto"/>
              </w:rPr>
            </w:pPr>
            <w:r>
              <w:rPr>
                <w:rFonts w:ascii="Arial" w:cs="Arial" w:eastAsia="Arial" w:hAnsi="Arial"/>
                <w:sz w:val="7"/>
                <w:szCs w:val="7"/>
                <w:b w:val="1"/>
                <w:bCs w:val="1"/>
                <w:color w:val="auto"/>
              </w:rPr>
              <w:t>(SLG Share)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Date</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(SLG Share)</w:t>
            </w:r>
          </w:p>
        </w:tc>
        <w:tc>
          <w:tcPr>
            <w:tcW w:w="6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b w:val="1"/>
                <w:bCs w:val="1"/>
                <w:color w:val="auto"/>
              </w:rPr>
              <w:t>Extension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Prepayment</w:t>
            </w:r>
          </w:p>
        </w:tc>
      </w:tr>
      <w:tr>
        <w:trPr>
          <w:trHeight w:val="203"/>
        </w:trPr>
        <w:tc>
          <w:tcPr>
            <w:tcW w:w="1600" w:type="dxa"/>
            <w:vAlign w:val="bottom"/>
            <w:gridSpan w:val="2"/>
          </w:tcPr>
          <w:p>
            <w:pPr>
              <w:ind w:left="240"/>
              <w:spacing w:after="0"/>
              <w:rPr>
                <w:sz w:val="20"/>
                <w:szCs w:val="20"/>
                <w:color w:val="auto"/>
              </w:rPr>
            </w:pPr>
            <w:r>
              <w:rPr>
                <w:rFonts w:ascii="Arial" w:cs="Arial" w:eastAsia="Arial" w:hAnsi="Arial"/>
                <w:sz w:val="7"/>
                <w:szCs w:val="7"/>
                <w:color w:val="auto"/>
              </w:rPr>
              <w:t>1745 Broadway</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56.9</w:t>
            </w:r>
          </w:p>
        </w:tc>
        <w:tc>
          <w:tcPr>
            <w:tcW w:w="60" w:type="dxa"/>
            <w:vAlign w:val="bottom"/>
          </w:tcPr>
          <w:p>
            <w:pPr>
              <w:jc w:val="right"/>
              <w:spacing w:after="0"/>
              <w:rPr>
                <w:sz w:val="20"/>
                <w:szCs w:val="20"/>
                <w:color w:val="auto"/>
              </w:rPr>
            </w:pPr>
            <w:r>
              <w:rPr>
                <w:rFonts w:ascii="Arial" w:cs="Arial" w:eastAsia="Arial" w:hAnsi="Arial"/>
                <w:sz w:val="7"/>
                <w:szCs w:val="7"/>
                <w:color w:val="auto"/>
              </w:rPr>
              <w:t>$</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340,000</w:t>
            </w:r>
          </w:p>
        </w:tc>
        <w:tc>
          <w:tcPr>
            <w:tcW w:w="34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193,358</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5.68%</w:t>
            </w:r>
          </w:p>
        </w:tc>
        <w:tc>
          <w:tcPr>
            <w:tcW w:w="160" w:type="dxa"/>
            <w:vAlign w:val="bottom"/>
          </w:tcPr>
          <w:p>
            <w:pPr>
              <w:jc w:val="right"/>
              <w:spacing w:after="0"/>
              <w:rPr>
                <w:sz w:val="20"/>
                <w:szCs w:val="20"/>
                <w:color w:val="auto"/>
              </w:rPr>
            </w:pPr>
            <w:r>
              <w:rPr>
                <w:rFonts w:ascii="Arial" w:cs="Arial" w:eastAsia="Arial" w:hAnsi="Arial"/>
                <w:sz w:val="7"/>
                <w:szCs w:val="7"/>
                <w:color w:val="auto"/>
              </w:rPr>
              <w:t>$</w:t>
            </w: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Jan-17</w:t>
            </w:r>
          </w:p>
        </w:tc>
        <w:tc>
          <w:tcPr>
            <w:tcW w:w="300" w:type="dxa"/>
            <w:vAlign w:val="bottom"/>
          </w:tcPr>
          <w:p>
            <w:pPr>
              <w:jc w:val="right"/>
              <w:spacing w:after="0"/>
              <w:rPr>
                <w:sz w:val="20"/>
                <w:szCs w:val="20"/>
                <w:color w:val="auto"/>
              </w:rPr>
            </w:pPr>
            <w:r>
              <w:rPr>
                <w:rFonts w:ascii="Arial" w:cs="Arial" w:eastAsia="Arial" w:hAnsi="Arial"/>
                <w:sz w:val="7"/>
                <w:szCs w:val="7"/>
                <w:color w:val="auto"/>
              </w:rPr>
              <w:t>$</w:t>
            </w: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193,358</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Oct-16</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521</w:t>
            </w:r>
          </w:p>
        </w:tc>
        <w:tc>
          <w:tcPr>
            <w:tcW w:w="1240" w:type="dxa"/>
            <w:vAlign w:val="bottom"/>
          </w:tcPr>
          <w:p>
            <w:pPr>
              <w:ind w:left="20"/>
              <w:spacing w:after="0"/>
              <w:rPr>
                <w:sz w:val="20"/>
                <w:szCs w:val="20"/>
                <w:color w:val="auto"/>
              </w:rPr>
            </w:pPr>
            <w:r>
              <w:rPr>
                <w:rFonts w:ascii="Arial" w:cs="Arial" w:eastAsia="Arial" w:hAnsi="Arial"/>
                <w:sz w:val="7"/>
                <w:szCs w:val="7"/>
                <w:color w:val="auto"/>
              </w:rPr>
              <w:t>Fifth Avenue (swapped)</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50.5</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170,000</w:t>
            </w:r>
          </w:p>
        </w:tc>
        <w:tc>
          <w:tcPr>
            <w:tcW w:w="34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85,850</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3.73%</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Nov-19</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85,850</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717</w:t>
            </w:r>
          </w:p>
        </w:tc>
        <w:tc>
          <w:tcPr>
            <w:tcW w:w="1240" w:type="dxa"/>
            <w:vAlign w:val="bottom"/>
          </w:tcPr>
          <w:p>
            <w:pPr>
              <w:ind w:left="20"/>
              <w:spacing w:after="0"/>
              <w:rPr>
                <w:sz w:val="20"/>
                <w:szCs w:val="20"/>
                <w:color w:val="auto"/>
              </w:rPr>
            </w:pPr>
            <w:r>
              <w:rPr>
                <w:rFonts w:ascii="Arial" w:cs="Arial" w:eastAsia="Arial" w:hAnsi="Arial"/>
                <w:sz w:val="7"/>
                <w:szCs w:val="7"/>
                <w:color w:val="auto"/>
              </w:rPr>
              <w:t>Fifth Avenue (mortgage)</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10.9</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300,000</w:t>
            </w:r>
          </w:p>
        </w:tc>
        <w:tc>
          <w:tcPr>
            <w:tcW w:w="34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32,748</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4.45%</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Jul-22</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32,748</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717</w:t>
            </w:r>
          </w:p>
        </w:tc>
        <w:tc>
          <w:tcPr>
            <w:tcW w:w="1240" w:type="dxa"/>
            <w:vAlign w:val="bottom"/>
          </w:tcPr>
          <w:p>
            <w:pPr>
              <w:ind w:left="20"/>
              <w:spacing w:after="0"/>
              <w:rPr>
                <w:sz w:val="20"/>
                <w:szCs w:val="20"/>
                <w:color w:val="auto"/>
              </w:rPr>
            </w:pPr>
            <w:r>
              <w:rPr>
                <w:rFonts w:ascii="Arial" w:cs="Arial" w:eastAsia="Arial" w:hAnsi="Arial"/>
                <w:sz w:val="7"/>
                <w:szCs w:val="7"/>
                <w:color w:val="auto"/>
              </w:rPr>
              <w:t>Fifth Avenue (mezzanine)</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10.9</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355,328</w:t>
            </w:r>
          </w:p>
        </w:tc>
        <w:tc>
          <w:tcPr>
            <w:tcW w:w="34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38,788</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5.50%</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Jul-22</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38,788</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Mar-22</w:t>
            </w:r>
          </w:p>
        </w:tc>
      </w:tr>
      <w:tr>
        <w:trPr>
          <w:trHeight w:val="219"/>
        </w:trPr>
        <w:tc>
          <w:tcPr>
            <w:tcW w:w="1600" w:type="dxa"/>
            <w:vAlign w:val="bottom"/>
            <w:gridSpan w:val="2"/>
          </w:tcPr>
          <w:p>
            <w:pPr>
              <w:ind w:left="240"/>
              <w:spacing w:after="0"/>
              <w:rPr>
                <w:sz w:val="20"/>
                <w:szCs w:val="20"/>
                <w:color w:val="auto"/>
              </w:rPr>
            </w:pPr>
            <w:r>
              <w:rPr>
                <w:rFonts w:ascii="Arial" w:cs="Arial" w:eastAsia="Arial" w:hAnsi="Arial"/>
                <w:sz w:val="7"/>
                <w:szCs w:val="7"/>
                <w:color w:val="auto"/>
              </w:rPr>
              <w:t>21 East 66th Street</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32.3</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12,000</w:t>
            </w:r>
          </w:p>
        </w:tc>
        <w:tc>
          <w:tcPr>
            <w:tcW w:w="34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3,874</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3.60%</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Apr-23</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3,874</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Apr-28</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r>
        <w:trPr>
          <w:trHeight w:val="219"/>
        </w:trPr>
        <w:tc>
          <w:tcPr>
            <w:tcW w:w="1600" w:type="dxa"/>
            <w:vAlign w:val="bottom"/>
            <w:gridSpan w:val="2"/>
          </w:tcPr>
          <w:p>
            <w:pPr>
              <w:ind w:left="240"/>
              <w:spacing w:after="0"/>
              <w:rPr>
                <w:sz w:val="20"/>
                <w:szCs w:val="20"/>
                <w:color w:val="auto"/>
              </w:rPr>
            </w:pPr>
            <w:r>
              <w:rPr>
                <w:rFonts w:ascii="Arial" w:cs="Arial" w:eastAsia="Arial" w:hAnsi="Arial"/>
                <w:sz w:val="7"/>
                <w:szCs w:val="7"/>
                <w:color w:val="auto"/>
              </w:rPr>
              <w:t>3 Columbus Circle</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48.9</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350,000</w:t>
            </w:r>
          </w:p>
        </w:tc>
        <w:tc>
          <w:tcPr>
            <w:tcW w:w="34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171,150</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3.61%</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Mar-25</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171,150</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Sep-24</w:t>
            </w:r>
          </w:p>
        </w:tc>
      </w:tr>
      <w:tr>
        <w:trPr>
          <w:trHeight w:val="219"/>
        </w:trPr>
        <w:tc>
          <w:tcPr>
            <w:tcW w:w="1600" w:type="dxa"/>
            <w:vAlign w:val="bottom"/>
            <w:gridSpan w:val="2"/>
          </w:tcPr>
          <w:p>
            <w:pPr>
              <w:ind w:left="240"/>
              <w:spacing w:after="0"/>
              <w:rPr>
                <w:sz w:val="20"/>
                <w:szCs w:val="20"/>
                <w:color w:val="auto"/>
              </w:rPr>
            </w:pPr>
            <w:r>
              <w:rPr>
                <w:rFonts w:ascii="Arial" w:cs="Arial" w:eastAsia="Arial" w:hAnsi="Arial"/>
                <w:sz w:val="7"/>
                <w:szCs w:val="7"/>
                <w:color w:val="auto"/>
              </w:rPr>
              <w:t>11 Madison Avenue</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60.0</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1,400,000</w:t>
            </w:r>
          </w:p>
        </w:tc>
        <w:tc>
          <w:tcPr>
            <w:tcW w:w="34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840,000</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3.84%</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Sep-25</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840,000</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Mar-25</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800</w:t>
            </w:r>
          </w:p>
        </w:tc>
        <w:tc>
          <w:tcPr>
            <w:tcW w:w="1240" w:type="dxa"/>
            <w:vAlign w:val="bottom"/>
          </w:tcPr>
          <w:p>
            <w:pPr>
              <w:ind w:left="20"/>
              <w:spacing w:after="0"/>
              <w:rPr>
                <w:sz w:val="20"/>
                <w:szCs w:val="20"/>
                <w:color w:val="auto"/>
              </w:rPr>
            </w:pPr>
            <w:r>
              <w:rPr>
                <w:rFonts w:ascii="Arial" w:cs="Arial" w:eastAsia="Arial" w:hAnsi="Arial"/>
                <w:sz w:val="7"/>
                <w:szCs w:val="7"/>
                <w:color w:val="auto"/>
              </w:rPr>
              <w:t>Third Avenue (swapped)</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60.5</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177,000</w:t>
            </w:r>
          </w:p>
        </w:tc>
        <w:tc>
          <w:tcPr>
            <w:tcW w:w="340" w:type="dxa"/>
            <w:vAlign w:val="bottom"/>
          </w:tcPr>
          <w:p>
            <w:pPr>
              <w:spacing w:after="0"/>
              <w:rPr>
                <w:sz w:val="19"/>
                <w:szCs w:val="19"/>
                <w:color w:val="auto"/>
              </w:rPr>
            </w:pP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107,120</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3.37%</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Feb-26</w:t>
            </w:r>
          </w:p>
        </w:tc>
        <w:tc>
          <w:tcPr>
            <w:tcW w:w="300" w:type="dxa"/>
            <w:vAlign w:val="bottom"/>
          </w:tcPr>
          <w:p>
            <w:pPr>
              <w:spacing w:after="0"/>
              <w:rPr>
                <w:sz w:val="19"/>
                <w:szCs w:val="19"/>
                <w:color w:val="auto"/>
              </w:rPr>
            </w:pP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107,120</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Feb-17</w:t>
            </w:r>
          </w:p>
        </w:tc>
      </w:tr>
      <w:tr>
        <w:trPr>
          <w:trHeight w:val="219"/>
        </w:trPr>
        <w:tc>
          <w:tcPr>
            <w:tcW w:w="1600" w:type="dxa"/>
            <w:vAlign w:val="bottom"/>
            <w:gridSpan w:val="2"/>
          </w:tcPr>
          <w:p>
            <w:pPr>
              <w:ind w:left="240"/>
              <w:spacing w:after="0"/>
              <w:rPr>
                <w:sz w:val="20"/>
                <w:szCs w:val="20"/>
                <w:color w:val="auto"/>
              </w:rPr>
            </w:pPr>
            <w:r>
              <w:rPr>
                <w:rFonts w:ascii="Arial" w:cs="Arial" w:eastAsia="Arial" w:hAnsi="Arial"/>
                <w:sz w:val="7"/>
                <w:szCs w:val="7"/>
                <w:color w:val="auto"/>
              </w:rPr>
              <w:t>Stonehenge Portfolio</w:t>
            </w:r>
          </w:p>
        </w:tc>
        <w:tc>
          <w:tcPr>
            <w:tcW w:w="1160" w:type="dxa"/>
            <w:vAlign w:val="bottom"/>
          </w:tcPr>
          <w:p>
            <w:pPr>
              <w:jc w:val="right"/>
              <w:ind w:right="504"/>
              <w:spacing w:after="0"/>
              <w:rPr>
                <w:sz w:val="20"/>
                <w:szCs w:val="20"/>
                <w:color w:val="auto"/>
              </w:rPr>
            </w:pPr>
            <w:r>
              <w:rPr>
                <w:rFonts w:ascii="Arial" w:cs="Arial" w:eastAsia="Arial" w:hAnsi="Arial"/>
                <w:sz w:val="7"/>
                <w:szCs w:val="7"/>
                <w:color w:val="auto"/>
              </w:rPr>
              <w:t>Various</w:t>
            </w:r>
          </w:p>
        </w:tc>
        <w:tc>
          <w:tcPr>
            <w:tcW w:w="6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364,255</w:t>
            </w:r>
          </w:p>
        </w:tc>
        <w:tc>
          <w:tcPr>
            <w:tcW w:w="340" w:type="dxa"/>
            <w:vAlign w:val="bottom"/>
          </w:tcPr>
          <w:p>
            <w:pPr>
              <w:jc w:val="right"/>
              <w:ind w:right="164"/>
              <w:spacing w:after="0"/>
              <w:rPr>
                <w:sz w:val="20"/>
                <w:szCs w:val="20"/>
                <w:color w:val="auto"/>
              </w:rPr>
            </w:pPr>
            <w:r>
              <w:rPr>
                <w:rFonts w:ascii="Arial" w:cs="Arial" w:eastAsia="Arial" w:hAnsi="Arial"/>
                <w:sz w:val="7"/>
                <w:szCs w:val="7"/>
                <w:color w:val="auto"/>
              </w:rPr>
              <w:t>(2)</w:t>
            </w:r>
          </w:p>
        </w:tc>
        <w:tc>
          <w:tcPr>
            <w:tcW w:w="600" w:type="dxa"/>
            <w:vAlign w:val="bottom"/>
          </w:tcPr>
          <w:p>
            <w:pPr>
              <w:jc w:val="right"/>
              <w:ind w:right="24"/>
              <w:spacing w:after="0"/>
              <w:rPr>
                <w:sz w:val="20"/>
                <w:szCs w:val="20"/>
                <w:color w:val="auto"/>
              </w:rPr>
            </w:pPr>
            <w:r>
              <w:rPr>
                <w:rFonts w:ascii="Arial" w:cs="Arial" w:eastAsia="Arial" w:hAnsi="Arial"/>
                <w:sz w:val="7"/>
                <w:szCs w:val="7"/>
                <w:color w:val="auto"/>
              </w:rPr>
              <w:t>20,675</w:t>
            </w:r>
          </w:p>
        </w:tc>
        <w:tc>
          <w:tcPr>
            <w:tcW w:w="840" w:type="dxa"/>
            <w:vAlign w:val="bottom"/>
          </w:tcPr>
          <w:p>
            <w:pPr>
              <w:jc w:val="right"/>
              <w:ind w:right="84"/>
              <w:spacing w:after="0"/>
              <w:rPr>
                <w:sz w:val="20"/>
                <w:szCs w:val="20"/>
                <w:color w:val="auto"/>
              </w:rPr>
            </w:pPr>
            <w:r>
              <w:rPr>
                <w:rFonts w:ascii="Arial" w:cs="Arial" w:eastAsia="Arial" w:hAnsi="Arial"/>
                <w:sz w:val="7"/>
                <w:szCs w:val="7"/>
                <w:color w:val="auto"/>
              </w:rPr>
              <w:t>4.19%</w:t>
            </w:r>
          </w:p>
        </w:tc>
        <w:tc>
          <w:tcPr>
            <w:tcW w:w="160" w:type="dxa"/>
            <w:vAlign w:val="bottom"/>
          </w:tcPr>
          <w:p>
            <w:pPr>
              <w:spacing w:after="0"/>
              <w:rPr>
                <w:sz w:val="19"/>
                <w:szCs w:val="19"/>
                <w:color w:val="auto"/>
              </w:rPr>
            </w:pPr>
          </w:p>
        </w:tc>
        <w:tc>
          <w:tcPr>
            <w:tcW w:w="1100" w:type="dxa"/>
            <w:vAlign w:val="bottom"/>
          </w:tcPr>
          <w:p>
            <w:pPr>
              <w:jc w:val="right"/>
              <w:ind w:right="284"/>
              <w:spacing w:after="0"/>
              <w:rPr>
                <w:sz w:val="20"/>
                <w:szCs w:val="20"/>
                <w:color w:val="auto"/>
              </w:rPr>
            </w:pPr>
            <w:r>
              <w:rPr>
                <w:rFonts w:ascii="Arial" w:cs="Arial" w:eastAsia="Arial" w:hAnsi="Arial"/>
                <w:sz w:val="7"/>
                <w:szCs w:val="7"/>
                <w:color w:val="auto"/>
              </w:rPr>
              <w:t>454</w:t>
            </w:r>
          </w:p>
        </w:tc>
        <w:tc>
          <w:tcPr>
            <w:tcW w:w="640" w:type="dxa"/>
            <w:vAlign w:val="bottom"/>
          </w:tcPr>
          <w:p>
            <w:pPr>
              <w:jc w:val="right"/>
              <w:spacing w:after="0"/>
              <w:rPr>
                <w:sz w:val="20"/>
                <w:szCs w:val="20"/>
                <w:color w:val="auto"/>
              </w:rPr>
            </w:pPr>
            <w:r>
              <w:rPr>
                <w:rFonts w:ascii="Arial" w:cs="Arial" w:eastAsia="Arial" w:hAnsi="Arial"/>
                <w:sz w:val="7"/>
                <w:szCs w:val="7"/>
                <w:color w:val="auto"/>
              </w:rPr>
              <w:t>Various</w:t>
            </w:r>
          </w:p>
        </w:tc>
        <w:tc>
          <w:tcPr>
            <w:tcW w:w="300" w:type="dxa"/>
            <w:vAlign w:val="bottom"/>
          </w:tcPr>
          <w:p>
            <w:pPr>
              <w:jc w:val="right"/>
              <w:ind w:right="144"/>
              <w:spacing w:after="0"/>
              <w:rPr>
                <w:sz w:val="20"/>
                <w:szCs w:val="20"/>
                <w:color w:val="auto"/>
              </w:rPr>
            </w:pPr>
            <w:r>
              <w:rPr>
                <w:rFonts w:ascii="Arial" w:cs="Arial" w:eastAsia="Arial" w:hAnsi="Arial"/>
                <w:sz w:val="7"/>
                <w:szCs w:val="7"/>
                <w:color w:val="auto"/>
              </w:rPr>
              <w:t>(2)</w:t>
            </w:r>
          </w:p>
        </w:tc>
        <w:tc>
          <w:tcPr>
            <w:tcW w:w="720" w:type="dxa"/>
            <w:vAlign w:val="bottom"/>
          </w:tcPr>
          <w:p>
            <w:pPr>
              <w:jc w:val="right"/>
              <w:ind w:right="144"/>
              <w:spacing w:after="0"/>
              <w:rPr>
                <w:sz w:val="20"/>
                <w:szCs w:val="20"/>
                <w:color w:val="auto"/>
              </w:rPr>
            </w:pPr>
            <w:r>
              <w:rPr>
                <w:rFonts w:ascii="Arial" w:cs="Arial" w:eastAsia="Arial" w:hAnsi="Arial"/>
                <w:sz w:val="7"/>
                <w:szCs w:val="7"/>
                <w:color w:val="auto"/>
              </w:rPr>
              <w:t>18,716</w:t>
            </w:r>
          </w:p>
        </w:tc>
        <w:tc>
          <w:tcPr>
            <w:tcW w:w="6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520" w:type="dxa"/>
            <w:vAlign w:val="bottom"/>
          </w:tcPr>
          <w:p>
            <w:pPr>
              <w:jc w:val="right"/>
              <w:spacing w:after="0"/>
              <w:rPr>
                <w:sz w:val="20"/>
                <w:szCs w:val="20"/>
                <w:color w:val="auto"/>
              </w:rPr>
            </w:pPr>
            <w:r>
              <w:rPr>
                <w:rFonts w:ascii="Arial" w:cs="Arial" w:eastAsia="Arial" w:hAnsi="Arial"/>
                <w:sz w:val="7"/>
                <w:szCs w:val="7"/>
                <w:color w:val="auto"/>
              </w:rPr>
              <w:t>Open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4944110</wp:posOffset>
            </wp:positionH>
            <wp:positionV relativeFrom="paragraph">
              <wp:posOffset>70485</wp:posOffset>
            </wp:positionV>
            <wp:extent cx="43053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0530" cy="6985"/>
                    </a:xfrm>
                    <a:prstGeom prst="rect">
                      <a:avLst/>
                    </a:prstGeom>
                    <a:noFill/>
                  </pic:spPr>
                </pic:pic>
              </a:graphicData>
            </a:graphic>
          </wp:anchor>
        </w:drawing>
        <w:drawing>
          <wp:anchor simplePos="0" relativeHeight="251657728" behindDoc="1" locked="0" layoutInCell="0" allowOverlap="1">
            <wp:simplePos x="0" y="0"/>
            <wp:positionH relativeFrom="column">
              <wp:posOffset>2015490</wp:posOffset>
            </wp:positionH>
            <wp:positionV relativeFrom="paragraph">
              <wp:posOffset>70485</wp:posOffset>
            </wp:positionV>
            <wp:extent cx="219265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192655" cy="6985"/>
                    </a:xfrm>
                    <a:prstGeom prst="rect">
                      <a:avLst/>
                    </a:prstGeom>
                    <a:noFill/>
                  </pic:spPr>
                </pic:pic>
              </a:graphicData>
            </a:graphic>
          </wp:anchor>
        </w:drawing>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94"/>
        </w:trPr>
        <w:tc>
          <w:tcPr>
            <w:tcW w:w="360" w:type="dxa"/>
            <w:vAlign w:val="bottom"/>
          </w:tcPr>
          <w:p>
            <w:pPr>
              <w:spacing w:after="0"/>
              <w:rPr>
                <w:sz w:val="8"/>
                <w:szCs w:val="8"/>
                <w:color w:val="auto"/>
              </w:rPr>
            </w:pPr>
          </w:p>
        </w:tc>
        <w:tc>
          <w:tcPr>
            <w:tcW w:w="2400" w:type="dxa"/>
            <w:vAlign w:val="bottom"/>
            <w:gridSpan w:val="2"/>
          </w:tcPr>
          <w:p>
            <w:pPr>
              <w:jc w:val="right"/>
              <w:ind w:right="144"/>
              <w:spacing w:after="0"/>
              <w:rPr>
                <w:sz w:val="20"/>
                <w:szCs w:val="20"/>
                <w:color w:val="auto"/>
              </w:rPr>
            </w:pPr>
            <w:r>
              <w:rPr>
                <w:rFonts w:ascii="Arial" w:cs="Arial" w:eastAsia="Arial" w:hAnsi="Arial"/>
                <w:sz w:val="7"/>
                <w:szCs w:val="7"/>
                <w:b w:val="1"/>
                <w:bCs w:val="1"/>
                <w:color w:val="auto"/>
              </w:rPr>
              <w:t>Total Fixed Rate Debt/Wtd Avg</w:t>
            </w: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3,468,583</w:t>
            </w:r>
          </w:p>
        </w:tc>
        <w:tc>
          <w:tcPr>
            <w:tcW w:w="200" w:type="dxa"/>
            <w:vAlign w:val="bottom"/>
          </w:tcPr>
          <w:p>
            <w:pPr>
              <w:spacing w:after="0"/>
              <w:rPr>
                <w:sz w:val="8"/>
                <w:szCs w:val="8"/>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ind w:right="24"/>
              <w:spacing w:after="0"/>
              <w:rPr>
                <w:sz w:val="20"/>
                <w:szCs w:val="20"/>
                <w:color w:val="auto"/>
              </w:rPr>
            </w:pPr>
            <w:r>
              <w:rPr>
                <w:rFonts w:ascii="Arial" w:cs="Arial" w:eastAsia="Arial" w:hAnsi="Arial"/>
                <w:sz w:val="7"/>
                <w:szCs w:val="7"/>
                <w:b w:val="1"/>
                <w:bCs w:val="1"/>
                <w:color w:val="auto"/>
              </w:rPr>
              <w:t>1,493,563</w:t>
            </w:r>
          </w:p>
        </w:tc>
        <w:tc>
          <w:tcPr>
            <w:tcW w:w="200" w:type="dxa"/>
            <w:vAlign w:val="bottom"/>
          </w:tcPr>
          <w:p>
            <w:pPr>
              <w:spacing w:after="0"/>
              <w:rPr>
                <w:sz w:val="8"/>
                <w:szCs w:val="8"/>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4.07%</w:t>
            </w:r>
          </w:p>
        </w:tc>
        <w:tc>
          <w:tcPr>
            <w:tcW w:w="200" w:type="dxa"/>
            <w:vAlign w:val="bottom"/>
          </w:tcPr>
          <w:p>
            <w:pPr>
              <w:jc w:val="right"/>
              <w:ind w:right="44"/>
              <w:spacing w:after="0"/>
              <w:rPr>
                <w:sz w:val="20"/>
                <w:szCs w:val="20"/>
                <w:color w:val="auto"/>
              </w:rPr>
            </w:pPr>
            <w:r>
              <w:rPr>
                <w:rFonts w:ascii="Arial" w:cs="Arial" w:eastAsia="Arial" w:hAnsi="Arial"/>
                <w:sz w:val="7"/>
                <w:szCs w:val="7"/>
                <w:b w:val="1"/>
                <w:bCs w:val="1"/>
                <w:color w:val="auto"/>
              </w:rPr>
              <w:t>(3)</w:t>
            </w:r>
          </w:p>
        </w:tc>
        <w:tc>
          <w:tcPr>
            <w:tcW w:w="380" w:type="dxa"/>
            <w:vAlign w:val="bottom"/>
          </w:tcPr>
          <w:p>
            <w:pPr>
              <w:jc w:val="right"/>
              <w:ind w:right="28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454</w:t>
            </w:r>
          </w:p>
        </w:tc>
        <w:tc>
          <w:tcPr>
            <w:tcW w:w="1160" w:type="dxa"/>
            <w:vAlign w:val="bottom"/>
          </w:tcPr>
          <w:p>
            <w:pPr>
              <w:spacing w:after="0"/>
              <w:rPr>
                <w:sz w:val="8"/>
                <w:szCs w:val="8"/>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1,491,604</w:t>
            </w: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r>
      <w:tr>
        <w:trPr>
          <w:trHeight w:val="225"/>
        </w:trPr>
        <w:tc>
          <w:tcPr>
            <w:tcW w:w="170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Floating rate debt</w:t>
            </w: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r>
      <w:tr>
        <w:trPr>
          <w:trHeight w:val="203"/>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175-225 3rd Street (Prime + 100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95.0</w:t>
            </w: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40,000</w:t>
            </w:r>
          </w:p>
        </w:tc>
        <w:tc>
          <w:tcPr>
            <w:tcW w:w="200" w:type="dxa"/>
            <w:vAlign w:val="bottom"/>
          </w:tcPr>
          <w:p>
            <w:pPr>
              <w:spacing w:after="0"/>
              <w:rPr>
                <w:sz w:val="17"/>
                <w:szCs w:val="17"/>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color w:val="auto"/>
                <w:w w:val="70"/>
              </w:rPr>
              <w:t>$</w:t>
            </w: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38,000</w:t>
            </w:r>
          </w:p>
        </w:tc>
        <w:tc>
          <w:tcPr>
            <w:tcW w:w="2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4.50%</w:t>
            </w:r>
          </w:p>
        </w:tc>
        <w:tc>
          <w:tcPr>
            <w:tcW w:w="200" w:type="dxa"/>
            <w:vAlign w:val="bottom"/>
          </w:tcPr>
          <w:p>
            <w:pPr>
              <w:spacing w:after="0"/>
              <w:rPr>
                <w:sz w:val="17"/>
                <w:szCs w:val="17"/>
                <w:color w:val="auto"/>
              </w:rPr>
            </w:pPr>
          </w:p>
        </w:tc>
        <w:tc>
          <w:tcPr>
            <w:tcW w:w="380" w:type="dxa"/>
            <w:vAlign w:val="bottom"/>
          </w:tcPr>
          <w:p>
            <w:pPr>
              <w:jc w:val="right"/>
              <w:ind w:right="284"/>
              <w:spacing w:after="0"/>
              <w:rPr>
                <w:sz w:val="20"/>
                <w:szCs w:val="20"/>
                <w:color w:val="auto"/>
              </w:rPr>
            </w:pPr>
            <w:r>
              <w:rPr>
                <w:rFonts w:ascii="Arial" w:cs="Arial" w:eastAsia="Arial" w:hAnsi="Arial"/>
                <w:sz w:val="7"/>
                <w:szCs w:val="7"/>
                <w:color w:val="auto"/>
              </w:rPr>
              <w:t>$</w:t>
            </w: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Dec-16</w:t>
            </w:r>
          </w:p>
        </w:tc>
        <w:tc>
          <w:tcPr>
            <w:tcW w:w="1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38,000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Dec-17</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10 East 53rd Street (LIBOR + 250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55.0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125,000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68,750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3.03%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Feb-17</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68,750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724</w:t>
            </w:r>
          </w:p>
        </w:tc>
        <w:tc>
          <w:tcPr>
            <w:tcW w:w="1340" w:type="dxa"/>
            <w:vAlign w:val="bottom"/>
          </w:tcPr>
          <w:p>
            <w:pPr>
              <w:ind w:left="20"/>
              <w:spacing w:after="0"/>
              <w:rPr>
                <w:sz w:val="20"/>
                <w:szCs w:val="20"/>
                <w:color w:val="auto"/>
              </w:rPr>
            </w:pPr>
            <w:r>
              <w:rPr>
                <w:rFonts w:ascii="Arial" w:cs="Arial" w:eastAsia="Arial" w:hAnsi="Arial"/>
                <w:sz w:val="7"/>
                <w:szCs w:val="7"/>
                <w:color w:val="auto"/>
              </w:rPr>
              <w:t>Fifth Avenue (LIBOR + 242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50.0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275,000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137,500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2.96%</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Apr-17</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137,500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Apr-19</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1552 Broadway (LIBOR + 417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50.0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185,410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92,705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4.70%</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Apr-17</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92,705</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55 West 46th Street (LIBOR + 230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25.0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151,536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37,884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2.83%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Oct-17</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37,884</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Jericho Plaza (LIBOR + 415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11.7</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76,993</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8,985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4.68%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Mar-18</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8,985</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Mar-21</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605</w:t>
            </w:r>
          </w:p>
        </w:tc>
        <w:tc>
          <w:tcPr>
            <w:tcW w:w="1340" w:type="dxa"/>
            <w:vAlign w:val="bottom"/>
          </w:tcPr>
          <w:p>
            <w:pPr>
              <w:ind w:left="20"/>
              <w:spacing w:after="0"/>
              <w:rPr>
                <w:sz w:val="20"/>
                <w:szCs w:val="20"/>
                <w:color w:val="auto"/>
              </w:rPr>
            </w:pPr>
            <w:r>
              <w:rPr>
                <w:rFonts w:ascii="Arial" w:cs="Arial" w:eastAsia="Arial" w:hAnsi="Arial"/>
                <w:sz w:val="7"/>
                <w:szCs w:val="7"/>
                <w:color w:val="auto"/>
              </w:rPr>
              <w:t>West 42nd Street (Various)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20.0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539,000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107,800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2.85%</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Jul-18</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107,800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650</w:t>
            </w:r>
          </w:p>
        </w:tc>
        <w:tc>
          <w:tcPr>
            <w:tcW w:w="1340" w:type="dxa"/>
            <w:vAlign w:val="bottom"/>
          </w:tcPr>
          <w:p>
            <w:pPr>
              <w:ind w:left="20"/>
              <w:spacing w:after="0"/>
              <w:rPr>
                <w:sz w:val="20"/>
                <w:szCs w:val="20"/>
                <w:color w:val="auto"/>
              </w:rPr>
            </w:pPr>
            <w:r>
              <w:rPr>
                <w:rFonts w:ascii="Arial" w:cs="Arial" w:eastAsia="Arial" w:hAnsi="Arial"/>
                <w:sz w:val="7"/>
                <w:szCs w:val="7"/>
                <w:color w:val="auto"/>
              </w:rPr>
              <w:t>Fifth Avenue (LIBOR + 375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50.0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65,000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32,500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Aug-18</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32,500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Aug-20</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280</w:t>
            </w:r>
          </w:p>
        </w:tc>
        <w:tc>
          <w:tcPr>
            <w:tcW w:w="1340" w:type="dxa"/>
            <w:vAlign w:val="bottom"/>
          </w:tcPr>
          <w:p>
            <w:pPr>
              <w:ind w:left="20"/>
              <w:spacing w:after="0"/>
              <w:rPr>
                <w:sz w:val="20"/>
                <w:szCs w:val="20"/>
                <w:color w:val="auto"/>
              </w:rPr>
            </w:pPr>
            <w:r>
              <w:rPr>
                <w:rFonts w:ascii="Arial" w:cs="Arial" w:eastAsia="Arial" w:hAnsi="Arial"/>
                <w:sz w:val="7"/>
                <w:szCs w:val="7"/>
                <w:color w:val="auto"/>
              </w:rPr>
              <w:t>Park Avenue (LIBOR + 200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50.0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900,000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450,000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2.53%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Jun-19</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450,000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121</w:t>
            </w:r>
          </w:p>
        </w:tc>
        <w:tc>
          <w:tcPr>
            <w:tcW w:w="1340" w:type="dxa"/>
            <w:vAlign w:val="bottom"/>
          </w:tcPr>
          <w:p>
            <w:pPr>
              <w:ind w:left="20"/>
              <w:spacing w:after="0"/>
              <w:rPr>
                <w:sz w:val="20"/>
                <w:szCs w:val="20"/>
                <w:color w:val="auto"/>
              </w:rPr>
            </w:pPr>
            <w:r>
              <w:rPr>
                <w:rFonts w:ascii="Arial" w:cs="Arial" w:eastAsia="Arial" w:hAnsi="Arial"/>
                <w:sz w:val="7"/>
                <w:szCs w:val="7"/>
                <w:color w:val="auto"/>
              </w:rPr>
              <w:t>Greene Street (LIBOR + 150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50.0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15,000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7,500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2.03%</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Nov-19</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7,500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131-137 Spring Street (LIBOR + 155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20.0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141,000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28,200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2.08%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Aug-20</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28,200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11 West 34th Street (LIBOR + 145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30.0</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23,000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6,900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1.98%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Jan-21</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6,900</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Jan-23</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360" w:type="dxa"/>
            <w:vAlign w:val="bottom"/>
          </w:tcPr>
          <w:p>
            <w:pPr>
              <w:ind w:left="240"/>
              <w:spacing w:after="0"/>
              <w:rPr>
                <w:sz w:val="20"/>
                <w:szCs w:val="20"/>
                <w:color w:val="auto"/>
              </w:rPr>
            </w:pPr>
            <w:r>
              <w:rPr>
                <w:rFonts w:ascii="Arial" w:cs="Arial" w:eastAsia="Arial" w:hAnsi="Arial"/>
                <w:sz w:val="7"/>
                <w:szCs w:val="7"/>
                <w:color w:val="auto"/>
                <w:w w:val="85"/>
              </w:rPr>
              <w:t>100</w:t>
            </w:r>
          </w:p>
        </w:tc>
        <w:tc>
          <w:tcPr>
            <w:tcW w:w="1340" w:type="dxa"/>
            <w:vAlign w:val="bottom"/>
          </w:tcPr>
          <w:p>
            <w:pPr>
              <w:ind w:left="20"/>
              <w:spacing w:after="0"/>
              <w:rPr>
                <w:sz w:val="20"/>
                <w:szCs w:val="20"/>
                <w:color w:val="auto"/>
              </w:rPr>
            </w:pPr>
            <w:r>
              <w:rPr>
                <w:rFonts w:ascii="Arial" w:cs="Arial" w:eastAsia="Arial" w:hAnsi="Arial"/>
                <w:sz w:val="7"/>
                <w:szCs w:val="7"/>
                <w:color w:val="auto"/>
              </w:rPr>
              <w:t>Park Avenue (LIBOR + 175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49.9</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360,000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179,640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2.28%</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Feb-21</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175,859</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21 East 66th Street (T 12 mos + 275 bps)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32.3</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1,746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564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3.34%</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26</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Jun-33</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4</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219"/>
        </w:trPr>
        <w:tc>
          <w:tcPr>
            <w:tcW w:w="1700" w:type="dxa"/>
            <w:vAlign w:val="bottom"/>
            <w:gridSpan w:val="2"/>
          </w:tcPr>
          <w:p>
            <w:pPr>
              <w:ind w:left="240"/>
              <w:spacing w:after="0"/>
              <w:rPr>
                <w:sz w:val="20"/>
                <w:szCs w:val="20"/>
                <w:color w:val="auto"/>
              </w:rPr>
            </w:pPr>
            <w:r>
              <w:rPr>
                <w:rFonts w:ascii="Arial" w:cs="Arial" w:eastAsia="Arial" w:hAnsi="Arial"/>
                <w:sz w:val="7"/>
                <w:szCs w:val="7"/>
                <w:color w:val="auto"/>
              </w:rPr>
              <w:t>Stonehenge Portfolio (Various)</w:t>
            </w:r>
          </w:p>
        </w:tc>
        <w:tc>
          <w:tcPr>
            <w:tcW w:w="1060" w:type="dxa"/>
            <w:vAlign w:val="bottom"/>
          </w:tcPr>
          <w:p>
            <w:pPr>
              <w:jc w:val="right"/>
              <w:ind w:right="504"/>
              <w:spacing w:after="0"/>
              <w:rPr>
                <w:sz w:val="20"/>
                <w:szCs w:val="20"/>
                <w:color w:val="auto"/>
              </w:rPr>
            </w:pPr>
            <w:r>
              <w:rPr>
                <w:rFonts w:ascii="Arial" w:cs="Arial" w:eastAsia="Arial" w:hAnsi="Arial"/>
                <w:sz w:val="7"/>
                <w:szCs w:val="7"/>
                <w:color w:val="auto"/>
              </w:rPr>
              <w:t>Various</w:t>
            </w:r>
          </w:p>
        </w:tc>
        <w:tc>
          <w:tcPr>
            <w:tcW w:w="200" w:type="dxa"/>
            <w:vAlign w:val="bottom"/>
          </w:tcPr>
          <w:p>
            <w:pPr>
              <w:spacing w:after="0"/>
              <w:rPr>
                <w:sz w:val="19"/>
                <w:szCs w:val="19"/>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65,664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jc w:val="right"/>
              <w:ind w:right="24"/>
              <w:spacing w:after="0"/>
              <w:rPr>
                <w:sz w:val="20"/>
                <w:szCs w:val="20"/>
                <w:color w:val="auto"/>
              </w:rPr>
            </w:pPr>
            <w:r>
              <w:rPr>
                <w:rFonts w:ascii="Arial" w:cs="Arial" w:eastAsia="Arial" w:hAnsi="Arial"/>
                <w:sz w:val="7"/>
                <w:szCs w:val="7"/>
                <w:color w:val="auto"/>
              </w:rPr>
              <w:t>3,782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5.82%</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7"/>
                <w:szCs w:val="7"/>
                <w:color w:val="auto"/>
              </w:rPr>
              <w:t>19</w:t>
            </w:r>
          </w:p>
        </w:tc>
        <w:tc>
          <w:tcPr>
            <w:tcW w:w="1160" w:type="dxa"/>
            <w:vAlign w:val="bottom"/>
          </w:tcPr>
          <w:p>
            <w:pPr>
              <w:jc w:val="right"/>
              <w:ind w:right="204"/>
              <w:spacing w:after="0"/>
              <w:rPr>
                <w:sz w:val="20"/>
                <w:szCs w:val="20"/>
                <w:color w:val="auto"/>
              </w:rPr>
            </w:pPr>
            <w:r>
              <w:rPr>
                <w:rFonts w:ascii="Arial" w:cs="Arial" w:eastAsia="Arial" w:hAnsi="Arial"/>
                <w:sz w:val="7"/>
                <w:szCs w:val="7"/>
                <w:color w:val="auto"/>
              </w:rPr>
              <w:t>Various</w:t>
            </w:r>
          </w:p>
        </w:tc>
        <w:tc>
          <w:tcPr>
            <w:tcW w:w="180" w:type="dxa"/>
            <w:vAlign w:val="bottom"/>
          </w:tcPr>
          <w:p>
            <w:pPr>
              <w:spacing w:after="0"/>
              <w:rPr>
                <w:sz w:val="19"/>
                <w:szCs w:val="19"/>
                <w:color w:val="auto"/>
              </w:rPr>
            </w:pPr>
          </w:p>
        </w:tc>
        <w:tc>
          <w:tcPr>
            <w:tcW w:w="500" w:type="dxa"/>
            <w:vAlign w:val="bottom"/>
          </w:tcPr>
          <w:p>
            <w:pPr>
              <w:jc w:val="right"/>
              <w:ind w:right="24"/>
              <w:spacing w:after="0"/>
              <w:rPr>
                <w:sz w:val="20"/>
                <w:szCs w:val="20"/>
                <w:color w:val="auto"/>
              </w:rPr>
            </w:pPr>
            <w:r>
              <w:rPr>
                <w:rFonts w:ascii="Arial" w:cs="Arial" w:eastAsia="Arial" w:hAnsi="Arial"/>
                <w:sz w:val="7"/>
                <w:szCs w:val="7"/>
                <w:color w:val="auto"/>
              </w:rPr>
              <w:t>3,719</w:t>
            </w:r>
          </w:p>
        </w:tc>
        <w:tc>
          <w:tcPr>
            <w:tcW w:w="840" w:type="dxa"/>
            <w:vAlign w:val="bottom"/>
          </w:tcPr>
          <w:p>
            <w:pPr>
              <w:jc w:val="right"/>
              <w:ind w:right="164"/>
              <w:spacing w:after="0"/>
              <w:rPr>
                <w:sz w:val="20"/>
                <w:szCs w:val="20"/>
                <w:color w:val="auto"/>
              </w:rPr>
            </w:pPr>
            <w:r>
              <w:rPr>
                <w:rFonts w:ascii="Arial" w:cs="Arial" w:eastAsia="Arial" w:hAnsi="Arial"/>
                <w:sz w:val="7"/>
                <w:szCs w:val="7"/>
                <w:color w:val="auto"/>
              </w:rPr>
              <w:t>—</w:t>
            </w:r>
          </w:p>
        </w:tc>
        <w:tc>
          <w:tcPr>
            <w:tcW w:w="400" w:type="dxa"/>
            <w:vAlign w:val="bottom"/>
          </w:tcPr>
          <w:p>
            <w:pPr>
              <w:ind w:left="200"/>
              <w:spacing w:after="0"/>
              <w:rPr>
                <w:sz w:val="20"/>
                <w:szCs w:val="20"/>
                <w:color w:val="auto"/>
              </w:rPr>
            </w:pPr>
            <w:r>
              <w:rPr>
                <w:rFonts w:ascii="Arial" w:cs="Arial" w:eastAsia="Arial" w:hAnsi="Arial"/>
                <w:sz w:val="7"/>
                <w:szCs w:val="7"/>
                <w:color w:val="auto"/>
              </w:rPr>
              <w:t>Open</w:t>
            </w:r>
          </w:p>
        </w:tc>
      </w:tr>
      <w:tr>
        <w:trPr>
          <w:trHeight w:val="111"/>
        </w:trPr>
        <w:tc>
          <w:tcPr>
            <w:tcW w:w="360" w:type="dxa"/>
            <w:vAlign w:val="bottom"/>
          </w:tcPr>
          <w:p>
            <w:pPr>
              <w:spacing w:after="0"/>
              <w:rPr>
                <w:sz w:val="9"/>
                <w:szCs w:val="9"/>
                <w:color w:val="auto"/>
              </w:rPr>
            </w:pPr>
          </w:p>
        </w:tc>
        <w:tc>
          <w:tcPr>
            <w:tcW w:w="240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86"/>
        </w:trPr>
        <w:tc>
          <w:tcPr>
            <w:tcW w:w="360" w:type="dxa"/>
            <w:vAlign w:val="bottom"/>
          </w:tcPr>
          <w:p>
            <w:pPr>
              <w:spacing w:after="0"/>
              <w:rPr>
                <w:sz w:val="16"/>
                <w:szCs w:val="16"/>
                <w:color w:val="auto"/>
              </w:rPr>
            </w:pPr>
          </w:p>
        </w:tc>
        <w:tc>
          <w:tcPr>
            <w:tcW w:w="2400" w:type="dxa"/>
            <w:vAlign w:val="bottom"/>
            <w:gridSpan w:val="2"/>
          </w:tcPr>
          <w:p>
            <w:pPr>
              <w:jc w:val="right"/>
              <w:ind w:right="144"/>
              <w:spacing w:after="0"/>
              <w:rPr>
                <w:sz w:val="20"/>
                <w:szCs w:val="20"/>
                <w:color w:val="auto"/>
              </w:rPr>
            </w:pPr>
            <w:r>
              <w:rPr>
                <w:rFonts w:ascii="Arial" w:cs="Arial" w:eastAsia="Arial" w:hAnsi="Arial"/>
                <w:sz w:val="7"/>
                <w:szCs w:val="7"/>
                <w:b w:val="1"/>
                <w:bCs w:val="1"/>
                <w:color w:val="auto"/>
              </w:rPr>
              <w:t>Total Floating Rate Debt/Wtd Avg</w:t>
            </w: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2,964,349</w:t>
            </w:r>
          </w:p>
        </w:tc>
        <w:tc>
          <w:tcPr>
            <w:tcW w:w="200" w:type="dxa"/>
            <w:vAlign w:val="bottom"/>
          </w:tcPr>
          <w:p>
            <w:pPr>
              <w:spacing w:after="0"/>
              <w:rPr>
                <w:sz w:val="16"/>
                <w:szCs w:val="16"/>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ind w:right="24"/>
              <w:spacing w:after="0"/>
              <w:rPr>
                <w:sz w:val="20"/>
                <w:szCs w:val="20"/>
                <w:color w:val="auto"/>
              </w:rPr>
            </w:pPr>
            <w:r>
              <w:rPr>
                <w:rFonts w:ascii="Arial" w:cs="Arial" w:eastAsia="Arial" w:hAnsi="Arial"/>
                <w:sz w:val="7"/>
                <w:szCs w:val="7"/>
                <w:b w:val="1"/>
                <w:bCs w:val="1"/>
                <w:color w:val="auto"/>
              </w:rPr>
              <w:t>1,200,710</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2.90%</w:t>
            </w:r>
          </w:p>
        </w:tc>
        <w:tc>
          <w:tcPr>
            <w:tcW w:w="200" w:type="dxa"/>
            <w:vAlign w:val="bottom"/>
          </w:tcPr>
          <w:p>
            <w:pPr>
              <w:jc w:val="right"/>
              <w:ind w:right="44"/>
              <w:spacing w:after="0"/>
              <w:rPr>
                <w:sz w:val="20"/>
                <w:szCs w:val="20"/>
                <w:color w:val="auto"/>
              </w:rPr>
            </w:pPr>
            <w:r>
              <w:rPr>
                <w:rFonts w:ascii="Arial" w:cs="Arial" w:eastAsia="Arial" w:hAnsi="Arial"/>
                <w:sz w:val="7"/>
                <w:szCs w:val="7"/>
                <w:b w:val="1"/>
                <w:bCs w:val="1"/>
                <w:color w:val="auto"/>
              </w:rPr>
              <w:t>(3)</w:t>
            </w:r>
          </w:p>
        </w:tc>
        <w:tc>
          <w:tcPr>
            <w:tcW w:w="380" w:type="dxa"/>
            <w:vAlign w:val="bottom"/>
          </w:tcPr>
          <w:p>
            <w:pPr>
              <w:jc w:val="right"/>
              <w:ind w:right="28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45</w:t>
            </w:r>
          </w:p>
        </w:tc>
        <w:tc>
          <w:tcPr>
            <w:tcW w:w="11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1,196,306</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11"/>
        </w:trPr>
        <w:tc>
          <w:tcPr>
            <w:tcW w:w="360" w:type="dxa"/>
            <w:vAlign w:val="bottom"/>
          </w:tcPr>
          <w:p>
            <w:pPr>
              <w:spacing w:after="0"/>
              <w:rPr>
                <w:sz w:val="9"/>
                <w:szCs w:val="9"/>
                <w:color w:val="auto"/>
              </w:rPr>
            </w:pPr>
          </w:p>
        </w:tc>
        <w:tc>
          <w:tcPr>
            <w:tcW w:w="2400" w:type="dxa"/>
            <w:vAlign w:val="bottom"/>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1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400" w:type="dxa"/>
            <w:vAlign w:val="bottom"/>
          </w:tcPr>
          <w:p>
            <w:pPr>
              <w:spacing w:after="0"/>
              <w:rPr>
                <w:sz w:val="9"/>
                <w:szCs w:val="9"/>
                <w:color w:val="auto"/>
              </w:rPr>
            </w:pPr>
          </w:p>
        </w:tc>
      </w:tr>
      <w:tr>
        <w:trPr>
          <w:trHeight w:val="186"/>
        </w:trPr>
        <w:tc>
          <w:tcPr>
            <w:tcW w:w="360" w:type="dxa"/>
            <w:vAlign w:val="bottom"/>
          </w:tcPr>
          <w:p>
            <w:pPr>
              <w:spacing w:after="0"/>
              <w:rPr>
                <w:sz w:val="16"/>
                <w:szCs w:val="16"/>
                <w:color w:val="auto"/>
              </w:rPr>
            </w:pPr>
          </w:p>
        </w:tc>
        <w:tc>
          <w:tcPr>
            <w:tcW w:w="2400" w:type="dxa"/>
            <w:vAlign w:val="bottom"/>
            <w:gridSpan w:val="2"/>
          </w:tcPr>
          <w:p>
            <w:pPr>
              <w:jc w:val="right"/>
              <w:ind w:right="144"/>
              <w:spacing w:after="0"/>
              <w:rPr>
                <w:sz w:val="20"/>
                <w:szCs w:val="20"/>
                <w:color w:val="auto"/>
              </w:rPr>
            </w:pPr>
            <w:r>
              <w:rPr>
                <w:rFonts w:ascii="Arial" w:cs="Arial" w:eastAsia="Arial" w:hAnsi="Arial"/>
                <w:sz w:val="7"/>
                <w:szCs w:val="7"/>
                <w:b w:val="1"/>
                <w:bCs w:val="1"/>
                <w:color w:val="auto"/>
              </w:rPr>
              <w:t>Total Joint Venture Debt/Wtd Avg</w:t>
            </w: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6,432,932</w:t>
            </w:r>
          </w:p>
        </w:tc>
        <w:tc>
          <w:tcPr>
            <w:tcW w:w="200" w:type="dxa"/>
            <w:vAlign w:val="bottom"/>
          </w:tcPr>
          <w:p>
            <w:pPr>
              <w:spacing w:after="0"/>
              <w:rPr>
                <w:sz w:val="16"/>
                <w:szCs w:val="16"/>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ind w:right="24"/>
              <w:spacing w:after="0"/>
              <w:rPr>
                <w:sz w:val="20"/>
                <w:szCs w:val="20"/>
                <w:color w:val="auto"/>
              </w:rPr>
            </w:pPr>
            <w:r>
              <w:rPr>
                <w:rFonts w:ascii="Arial" w:cs="Arial" w:eastAsia="Arial" w:hAnsi="Arial"/>
                <w:sz w:val="7"/>
                <w:szCs w:val="7"/>
                <w:b w:val="1"/>
                <w:bCs w:val="1"/>
                <w:color w:val="auto"/>
              </w:rPr>
              <w:t>2,694,273</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3.55%</w:t>
            </w:r>
          </w:p>
        </w:tc>
        <w:tc>
          <w:tcPr>
            <w:tcW w:w="200" w:type="dxa"/>
            <w:vAlign w:val="bottom"/>
          </w:tcPr>
          <w:p>
            <w:pPr>
              <w:jc w:val="right"/>
              <w:ind w:right="44"/>
              <w:spacing w:after="0"/>
              <w:rPr>
                <w:sz w:val="20"/>
                <w:szCs w:val="20"/>
                <w:color w:val="auto"/>
              </w:rPr>
            </w:pPr>
            <w:r>
              <w:rPr>
                <w:rFonts w:ascii="Arial" w:cs="Arial" w:eastAsia="Arial" w:hAnsi="Arial"/>
                <w:sz w:val="7"/>
                <w:szCs w:val="7"/>
                <w:b w:val="1"/>
                <w:bCs w:val="1"/>
                <w:color w:val="auto"/>
              </w:rPr>
              <w:t>(3)</w:t>
            </w:r>
          </w:p>
        </w:tc>
        <w:tc>
          <w:tcPr>
            <w:tcW w:w="380" w:type="dxa"/>
            <w:vAlign w:val="bottom"/>
          </w:tcPr>
          <w:p>
            <w:pPr>
              <w:jc w:val="right"/>
              <w:ind w:right="284"/>
              <w:spacing w:after="0"/>
              <w:rPr>
                <w:sz w:val="20"/>
                <w:szCs w:val="20"/>
                <w:color w:val="auto"/>
              </w:rPr>
            </w:pPr>
            <w:r>
              <w:rPr>
                <w:rFonts w:ascii="Arial" w:cs="Arial" w:eastAsia="Arial" w:hAnsi="Arial"/>
                <w:sz w:val="7"/>
                <w:szCs w:val="7"/>
                <w:b w:val="1"/>
                <w:bCs w:val="1"/>
                <w:color w:val="auto"/>
              </w:rPr>
              <w:t>$</w:t>
            </w:r>
          </w:p>
        </w:tc>
        <w:tc>
          <w:tcPr>
            <w:tcW w:w="480" w:type="dxa"/>
            <w:vAlign w:val="bottom"/>
          </w:tcPr>
          <w:p>
            <w:pPr>
              <w:jc w:val="right"/>
              <w:spacing w:after="0"/>
              <w:rPr>
                <w:sz w:val="20"/>
                <w:szCs w:val="20"/>
                <w:color w:val="auto"/>
              </w:rPr>
            </w:pPr>
            <w:r>
              <w:rPr>
                <w:rFonts w:ascii="Arial" w:cs="Arial" w:eastAsia="Arial" w:hAnsi="Arial"/>
                <w:sz w:val="7"/>
                <w:szCs w:val="7"/>
                <w:b w:val="1"/>
                <w:bCs w:val="1"/>
                <w:color w:val="auto"/>
              </w:rPr>
              <w:t>499</w:t>
            </w:r>
          </w:p>
        </w:tc>
        <w:tc>
          <w:tcPr>
            <w:tcW w:w="11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24"/>
              <w:spacing w:after="0"/>
              <w:rPr>
                <w:sz w:val="20"/>
                <w:szCs w:val="20"/>
                <w:color w:val="auto"/>
              </w:rPr>
            </w:pPr>
            <w:r>
              <w:rPr>
                <w:rFonts w:ascii="Arial" w:cs="Arial" w:eastAsia="Arial" w:hAnsi="Arial"/>
                <w:sz w:val="7"/>
                <w:szCs w:val="7"/>
                <w:b w:val="1"/>
                <w:bCs w:val="1"/>
                <w:color w:val="auto"/>
              </w:rPr>
              <w:t>2,687,910</w:t>
            </w: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225"/>
        </w:trPr>
        <w:tc>
          <w:tcPr>
            <w:tcW w:w="3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60" w:type="dxa"/>
            <w:vAlign w:val="bottom"/>
          </w:tcPr>
          <w:p>
            <w:pPr>
              <w:jc w:val="right"/>
              <w:ind w:right="144"/>
              <w:spacing w:after="0"/>
              <w:rPr>
                <w:sz w:val="20"/>
                <w:szCs w:val="20"/>
                <w:color w:val="auto"/>
              </w:rPr>
            </w:pPr>
            <w:r>
              <w:rPr>
                <w:rFonts w:ascii="Arial" w:cs="Arial" w:eastAsia="Arial" w:hAnsi="Arial"/>
                <w:sz w:val="7"/>
                <w:szCs w:val="7"/>
                <w:color w:val="auto"/>
              </w:rPr>
              <w:t>Deferred financing cost</w:t>
            </w:r>
          </w:p>
        </w:tc>
        <w:tc>
          <w:tcPr>
            <w:tcW w:w="2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(100,426)</w:t>
            </w: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(31,954)</w:t>
            </w:r>
          </w:p>
        </w:tc>
        <w:tc>
          <w:tcPr>
            <w:tcW w:w="20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192"/>
        </w:trPr>
        <w:tc>
          <w:tcPr>
            <w:tcW w:w="360" w:type="dxa"/>
            <w:vAlign w:val="bottom"/>
          </w:tcPr>
          <w:p>
            <w:pPr>
              <w:spacing w:after="0"/>
              <w:rPr>
                <w:sz w:val="16"/>
                <w:szCs w:val="16"/>
                <w:color w:val="auto"/>
              </w:rPr>
            </w:pPr>
          </w:p>
        </w:tc>
        <w:tc>
          <w:tcPr>
            <w:tcW w:w="2400" w:type="dxa"/>
            <w:vAlign w:val="bottom"/>
            <w:gridSpan w:val="2"/>
          </w:tcPr>
          <w:p>
            <w:pPr>
              <w:jc w:val="right"/>
              <w:ind w:right="144"/>
              <w:spacing w:after="0"/>
              <w:rPr>
                <w:sz w:val="20"/>
                <w:szCs w:val="20"/>
                <w:color w:val="auto"/>
              </w:rPr>
            </w:pPr>
            <w:r>
              <w:rPr>
                <w:rFonts w:ascii="Arial" w:cs="Arial" w:eastAsia="Arial" w:hAnsi="Arial"/>
                <w:sz w:val="7"/>
                <w:szCs w:val="7"/>
                <w:b w:val="1"/>
                <w:bCs w:val="1"/>
                <w:color w:val="auto"/>
              </w:rPr>
              <w:t>Total Joint Venture Debt/Wtd Avg, net</w:t>
            </w: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6,332,506</w:t>
            </w:r>
          </w:p>
        </w:tc>
        <w:tc>
          <w:tcPr>
            <w:tcW w:w="200" w:type="dxa"/>
            <w:vAlign w:val="bottom"/>
          </w:tcPr>
          <w:p>
            <w:pPr>
              <w:spacing w:after="0"/>
              <w:rPr>
                <w:sz w:val="16"/>
                <w:szCs w:val="16"/>
                <w:color w:val="auto"/>
              </w:rPr>
            </w:pPr>
          </w:p>
        </w:tc>
        <w:tc>
          <w:tcPr>
            <w:tcW w:w="180" w:type="dxa"/>
            <w:vAlign w:val="bottom"/>
          </w:tcPr>
          <w:p>
            <w:pPr>
              <w:jc w:val="right"/>
              <w:ind w:right="116"/>
              <w:spacing w:after="0"/>
              <w:rPr>
                <w:sz w:val="20"/>
                <w:szCs w:val="20"/>
                <w:color w:val="auto"/>
              </w:rPr>
            </w:pPr>
            <w:r>
              <w:rPr>
                <w:rFonts w:ascii="Arial" w:cs="Arial" w:eastAsia="Arial" w:hAnsi="Arial"/>
                <w:sz w:val="5"/>
                <w:szCs w:val="5"/>
                <w:b w:val="1"/>
                <w:bCs w:val="1"/>
                <w:color w:val="auto"/>
                <w:w w:val="70"/>
              </w:rPr>
              <w:t>$</w:t>
            </w:r>
          </w:p>
        </w:tc>
        <w:tc>
          <w:tcPr>
            <w:tcW w:w="540" w:type="dxa"/>
            <w:vAlign w:val="bottom"/>
          </w:tcPr>
          <w:p>
            <w:pPr>
              <w:jc w:val="right"/>
              <w:ind w:right="24"/>
              <w:spacing w:after="0"/>
              <w:rPr>
                <w:sz w:val="20"/>
                <w:szCs w:val="20"/>
                <w:color w:val="auto"/>
              </w:rPr>
            </w:pPr>
            <w:r>
              <w:rPr>
                <w:rFonts w:ascii="Arial" w:cs="Arial" w:eastAsia="Arial" w:hAnsi="Arial"/>
                <w:sz w:val="7"/>
                <w:szCs w:val="7"/>
                <w:b w:val="1"/>
                <w:bCs w:val="1"/>
                <w:color w:val="auto"/>
              </w:rPr>
              <w:t>2,662,319</w:t>
            </w:r>
          </w:p>
        </w:tc>
        <w:tc>
          <w:tcPr>
            <w:tcW w:w="2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3.59%</w:t>
            </w: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r>
    </w:tbl>
    <w:p>
      <w:pPr>
        <w:spacing w:after="0" w:line="133" w:lineRule="exact"/>
        <w:rPr>
          <w:sz w:val="20"/>
          <w:szCs w:val="20"/>
          <w:color w:val="auto"/>
        </w:rPr>
      </w:pPr>
    </w:p>
    <w:p>
      <w:pPr>
        <w:ind w:left="540" w:hanging="103"/>
        <w:spacing w:after="0"/>
        <w:tabs>
          <w:tab w:leader="none" w:pos="540" w:val="left"/>
        </w:tabs>
        <w:numPr>
          <w:ilvl w:val="0"/>
          <w:numId w:val="17"/>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LIBOR rate at the end of the quarter. Coupon for loans that are subject to LIBOR floors were determined using the LIBOR floors.</w:t>
      </w:r>
    </w:p>
    <w:p>
      <w:pPr>
        <w:spacing w:after="0" w:line="39" w:lineRule="exact"/>
        <w:rPr>
          <w:rFonts w:ascii="Arial" w:cs="Arial" w:eastAsia="Arial" w:hAnsi="Arial"/>
          <w:sz w:val="7"/>
          <w:szCs w:val="7"/>
          <w:color w:val="auto"/>
        </w:rPr>
      </w:pPr>
    </w:p>
    <w:p>
      <w:pPr>
        <w:ind w:left="540" w:hanging="103"/>
        <w:spacing w:after="0"/>
        <w:tabs>
          <w:tab w:leader="none" w:pos="540" w:val="left"/>
        </w:tabs>
        <w:numPr>
          <w:ilvl w:val="0"/>
          <w:numId w:val="17"/>
        </w:numPr>
        <w:rPr>
          <w:rFonts w:ascii="Arial" w:cs="Arial" w:eastAsia="Arial" w:hAnsi="Arial"/>
          <w:sz w:val="7"/>
          <w:szCs w:val="7"/>
          <w:color w:val="auto"/>
        </w:rPr>
      </w:pPr>
      <w:r>
        <w:rPr>
          <w:rFonts w:ascii="Arial" w:cs="Arial" w:eastAsia="Arial" w:hAnsi="Arial"/>
          <w:sz w:val="7"/>
          <w:szCs w:val="7"/>
          <w:color w:val="auto"/>
        </w:rPr>
        <w:t>Amount is comprised of $13.2 million, $34.6 million, $176.1 million, and $140.3 million in fixed-rate mortgages that mature in October 2016, November 2017, June 2019, and August 2019, respectively.</w:t>
      </w:r>
    </w:p>
    <w:p>
      <w:pPr>
        <w:spacing w:after="0" w:line="39" w:lineRule="exact"/>
        <w:rPr>
          <w:rFonts w:ascii="Arial" w:cs="Arial" w:eastAsia="Arial" w:hAnsi="Arial"/>
          <w:sz w:val="7"/>
          <w:szCs w:val="7"/>
          <w:color w:val="auto"/>
        </w:rPr>
      </w:pPr>
    </w:p>
    <w:p>
      <w:pPr>
        <w:ind w:left="540" w:hanging="103"/>
        <w:spacing w:after="0"/>
        <w:tabs>
          <w:tab w:leader="none" w:pos="540" w:val="left"/>
        </w:tabs>
        <w:numPr>
          <w:ilvl w:val="0"/>
          <w:numId w:val="17"/>
        </w:numPr>
        <w:rPr>
          <w:rFonts w:ascii="Arial" w:cs="Arial" w:eastAsia="Arial" w:hAnsi="Arial"/>
          <w:sz w:val="7"/>
          <w:szCs w:val="7"/>
          <w:color w:val="auto"/>
        </w:rPr>
      </w:pPr>
      <w:r>
        <w:rPr>
          <w:rFonts w:ascii="Arial" w:cs="Arial" w:eastAsia="Arial" w:hAnsi="Arial"/>
          <w:sz w:val="7"/>
          <w:szCs w:val="7"/>
          <w:color w:val="auto"/>
        </w:rPr>
        <w:t>The weighted average coupon is calculated based on SL Green's share of the outstanding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3535680</wp:posOffset>
            </wp:positionH>
            <wp:positionV relativeFrom="paragraph">
              <wp:posOffset>268605</wp:posOffset>
            </wp:positionV>
            <wp:extent cx="2262505" cy="21856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262505" cy="2185670"/>
                    </a:xfrm>
                    <a:prstGeom prst="rect">
                      <a:avLst/>
                    </a:prstGeom>
                    <a:noFill/>
                  </pic:spPr>
                </pic:pic>
              </a:graphicData>
            </a:graphic>
          </wp:anchor>
        </w:drawing>
      </w:r>
    </w:p>
    <w:p>
      <w:pPr>
        <w:sectPr>
          <w:pgSz w:w="11900" w:h="16838" w:orient="portrait"/>
          <w:cols w:equalWidth="0" w:num="1">
            <w:col w:w="10080"/>
          </w:cols>
          <w:pgMar w:left="900" w:top="338" w:right="91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7"/>
          <w:szCs w:val="7"/>
          <w:b w:val="1"/>
          <w:bCs w:val="1"/>
          <w:u w:val="single" w:color="auto"/>
          <w:color w:val="auto"/>
        </w:rPr>
        <w:t>Covenants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16510</wp:posOffset>
            </wp:positionV>
            <wp:extent cx="2199640" cy="8394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99640" cy="839470"/>
                    </a:xfrm>
                    <a:prstGeom prst="rect">
                      <a:avLst/>
                    </a:prstGeom>
                    <a:noFill/>
                  </pic:spPr>
                </pic:pic>
              </a:graphicData>
            </a:graphic>
          </wp:anchor>
        </w:drawing>
      </w:r>
    </w:p>
    <w:p>
      <w:pPr>
        <w:spacing w:after="0" w:line="74" w:lineRule="exact"/>
        <w:rPr>
          <w:sz w:val="20"/>
          <w:szCs w:val="20"/>
          <w:color w:val="auto"/>
        </w:rPr>
      </w:pPr>
    </w:p>
    <w:p>
      <w:pPr>
        <w:ind w:left="1920"/>
        <w:spacing w:after="0"/>
        <w:rPr>
          <w:sz w:val="20"/>
          <w:szCs w:val="20"/>
          <w:color w:val="auto"/>
        </w:rPr>
      </w:pPr>
      <w:r>
        <w:rPr>
          <w:rFonts w:ascii="Arial" w:cs="Arial" w:eastAsia="Arial" w:hAnsi="Arial"/>
          <w:sz w:val="7"/>
          <w:szCs w:val="7"/>
          <w:b w:val="1"/>
          <w:bCs w:val="1"/>
          <w:color w:val="auto"/>
        </w:rPr>
        <w:t>SL GREEN REALTY CORP.</w:t>
      </w:r>
    </w:p>
    <w:p>
      <w:pPr>
        <w:spacing w:after="0" w:line="291" w:lineRule="exact"/>
        <w:rPr>
          <w:sz w:val="20"/>
          <w:szCs w:val="20"/>
          <w:color w:val="auto"/>
        </w:rPr>
      </w:pPr>
    </w:p>
    <w:p>
      <w:pPr>
        <w:ind w:left="1740"/>
        <w:spacing w:after="0"/>
        <w:rPr>
          <w:sz w:val="20"/>
          <w:szCs w:val="20"/>
          <w:color w:val="auto"/>
        </w:rPr>
      </w:pPr>
      <w:r>
        <w:rPr>
          <w:rFonts w:ascii="Arial" w:cs="Arial" w:eastAsia="Arial" w:hAnsi="Arial"/>
          <w:sz w:val="7"/>
          <w:szCs w:val="7"/>
          <w:b w:val="1"/>
          <w:bCs w:val="1"/>
          <w:color w:val="auto"/>
        </w:rPr>
        <w:t>Revolving Credit Facility Covenants</w:t>
      </w:r>
    </w:p>
    <w:p>
      <w:pPr>
        <w:spacing w:after="0" w:line="149" w:lineRule="exact"/>
        <w:rPr>
          <w:sz w:val="20"/>
          <w:szCs w:val="20"/>
          <w:color w:val="auto"/>
        </w:rPr>
      </w:pPr>
    </w:p>
    <w:tbl>
      <w:tblPr>
        <w:tblLayout w:type="fixed"/>
        <w:tblInd w:w="650" w:type="dxa"/>
        <w:tblCellMar>
          <w:top w:w="0" w:type="dxa"/>
          <w:left w:w="0" w:type="dxa"/>
          <w:bottom w:w="0" w:type="dxa"/>
          <w:right w:w="0" w:type="dxa"/>
        </w:tblCellMar>
      </w:tblPr>
      <w:tr>
        <w:trPr>
          <w:trHeight w:val="85"/>
        </w:trPr>
        <w:tc>
          <w:tcPr>
            <w:tcW w:w="1800" w:type="dxa"/>
            <w:vAlign w:val="bottom"/>
          </w:tcPr>
          <w:p>
            <w:pPr>
              <w:spacing w:after="0"/>
              <w:rPr>
                <w:sz w:val="7"/>
                <w:szCs w:val="7"/>
                <w:color w:val="auto"/>
              </w:rPr>
            </w:pPr>
          </w:p>
        </w:tc>
        <w:tc>
          <w:tcPr>
            <w:tcW w:w="660" w:type="dxa"/>
            <w:vAlign w:val="bottom"/>
            <w:gridSpan w:val="3"/>
          </w:tcPr>
          <w:p>
            <w:pPr>
              <w:ind w:left="200"/>
              <w:spacing w:after="0"/>
              <w:rPr>
                <w:sz w:val="20"/>
                <w:szCs w:val="20"/>
                <w:color w:val="auto"/>
              </w:rPr>
            </w:pPr>
            <w:r>
              <w:rPr>
                <w:rFonts w:ascii="Arial" w:cs="Arial" w:eastAsia="Arial" w:hAnsi="Arial"/>
                <w:sz w:val="7"/>
                <w:szCs w:val="7"/>
                <w:b w:val="1"/>
                <w:bCs w:val="1"/>
                <w:color w:val="auto"/>
              </w:rPr>
              <w:t>Actual</w:t>
            </w:r>
          </w:p>
        </w:tc>
        <w:tc>
          <w:tcPr>
            <w:tcW w:w="380" w:type="dxa"/>
            <w:vAlign w:val="bottom"/>
          </w:tcPr>
          <w:p>
            <w:pPr>
              <w:spacing w:after="0"/>
              <w:rPr>
                <w:sz w:val="7"/>
                <w:szCs w:val="7"/>
                <w:color w:val="auto"/>
              </w:rPr>
            </w:pPr>
          </w:p>
        </w:tc>
        <w:tc>
          <w:tcPr>
            <w:tcW w:w="640" w:type="dxa"/>
            <w:vAlign w:val="bottom"/>
            <w:gridSpan w:val="2"/>
          </w:tcPr>
          <w:p>
            <w:pPr>
              <w:jc w:val="center"/>
              <w:ind w:right="320"/>
              <w:spacing w:after="0"/>
              <w:rPr>
                <w:sz w:val="20"/>
                <w:szCs w:val="20"/>
                <w:color w:val="auto"/>
              </w:rPr>
            </w:pPr>
            <w:r>
              <w:rPr>
                <w:rFonts w:ascii="Arial" w:cs="Arial" w:eastAsia="Arial" w:hAnsi="Arial"/>
                <w:sz w:val="7"/>
                <w:szCs w:val="7"/>
                <w:b w:val="1"/>
                <w:bCs w:val="1"/>
                <w:color w:val="auto"/>
              </w:rPr>
              <w:t>Required</w:t>
            </w:r>
          </w:p>
        </w:tc>
        <w:tc>
          <w:tcPr>
            <w:tcW w:w="0" w:type="dxa"/>
            <w:vAlign w:val="bottom"/>
          </w:tcPr>
          <w:p>
            <w:pPr>
              <w:spacing w:after="0"/>
              <w:rPr>
                <w:sz w:val="1"/>
                <w:szCs w:val="1"/>
                <w:color w:val="auto"/>
              </w:rPr>
            </w:pPr>
          </w:p>
        </w:tc>
      </w:tr>
      <w:tr>
        <w:trPr>
          <w:trHeight w:val="20"/>
        </w:trPr>
        <w:tc>
          <w:tcPr>
            <w:tcW w:w="1800" w:type="dxa"/>
            <w:vAlign w:val="bottom"/>
            <w:vMerge w:val="restart"/>
          </w:tcPr>
          <w:p>
            <w:pPr>
              <w:jc w:val="right"/>
              <w:ind w:right="124"/>
              <w:spacing w:after="0"/>
              <w:rPr>
                <w:sz w:val="20"/>
                <w:szCs w:val="20"/>
                <w:color w:val="auto"/>
              </w:rPr>
            </w:pPr>
            <w:r>
              <w:rPr>
                <w:rFonts w:ascii="Arial" w:cs="Arial" w:eastAsia="Arial" w:hAnsi="Arial"/>
                <w:sz w:val="7"/>
                <w:szCs w:val="7"/>
                <w:b w:val="1"/>
                <w:bCs w:val="1"/>
                <w:color w:val="auto"/>
              </w:rPr>
              <w:t>Total Debt / Total Assets</w:t>
            </w: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0" w:type="dxa"/>
            <w:vAlign w:val="bottom"/>
            <w:vMerge w:val="continue"/>
          </w:tcPr>
          <w:p>
            <w:pPr>
              <w:spacing w:after="0"/>
              <w:rPr>
                <w:sz w:val="18"/>
                <w:szCs w:val="18"/>
                <w:color w:val="auto"/>
              </w:rPr>
            </w:pPr>
          </w:p>
        </w:tc>
        <w:tc>
          <w:tcPr>
            <w:tcW w:w="420" w:type="dxa"/>
            <w:vAlign w:val="bottom"/>
            <w:gridSpan w:val="2"/>
          </w:tcPr>
          <w:p>
            <w:pPr>
              <w:jc w:val="center"/>
              <w:ind w:left="144"/>
              <w:spacing w:after="0"/>
              <w:rPr>
                <w:sz w:val="20"/>
                <w:szCs w:val="20"/>
                <w:color w:val="auto"/>
              </w:rPr>
            </w:pPr>
            <w:r>
              <w:rPr>
                <w:rFonts w:ascii="Arial" w:cs="Arial" w:eastAsia="Arial" w:hAnsi="Arial"/>
                <w:sz w:val="7"/>
                <w:szCs w:val="7"/>
                <w:color w:val="auto"/>
              </w:rPr>
              <w:t>40.0%</w:t>
            </w:r>
          </w:p>
        </w:tc>
        <w:tc>
          <w:tcPr>
            <w:tcW w:w="240" w:type="dxa"/>
            <w:vAlign w:val="bottom"/>
          </w:tcPr>
          <w:p>
            <w:pPr>
              <w:spacing w:after="0"/>
              <w:rPr>
                <w:sz w:val="18"/>
                <w:szCs w:val="18"/>
                <w:color w:val="auto"/>
              </w:rPr>
            </w:pPr>
          </w:p>
        </w:tc>
        <w:tc>
          <w:tcPr>
            <w:tcW w:w="1020" w:type="dxa"/>
            <w:vAlign w:val="bottom"/>
            <w:gridSpan w:val="3"/>
          </w:tcPr>
          <w:p>
            <w:pPr>
              <w:jc w:val="center"/>
              <w:ind w:left="24"/>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219"/>
        </w:trPr>
        <w:tc>
          <w:tcPr>
            <w:tcW w:w="1800" w:type="dxa"/>
            <w:vAlign w:val="bottom"/>
          </w:tcPr>
          <w:p>
            <w:pPr>
              <w:jc w:val="right"/>
              <w:ind w:right="124"/>
              <w:spacing w:after="0"/>
              <w:rPr>
                <w:sz w:val="20"/>
                <w:szCs w:val="20"/>
                <w:color w:val="auto"/>
              </w:rPr>
            </w:pPr>
            <w:r>
              <w:rPr>
                <w:rFonts w:ascii="Arial" w:cs="Arial" w:eastAsia="Arial" w:hAnsi="Arial"/>
                <w:sz w:val="7"/>
                <w:szCs w:val="7"/>
                <w:b w:val="1"/>
                <w:bCs w:val="1"/>
                <w:color w:val="auto"/>
              </w:rPr>
              <w:t>Fixed Charge Coverage</w:t>
            </w:r>
          </w:p>
        </w:tc>
        <w:tc>
          <w:tcPr>
            <w:tcW w:w="200" w:type="dxa"/>
            <w:vAlign w:val="bottom"/>
          </w:tcPr>
          <w:p>
            <w:pPr>
              <w:spacing w:after="0"/>
              <w:rPr>
                <w:sz w:val="19"/>
                <w:szCs w:val="19"/>
                <w:color w:val="auto"/>
              </w:rPr>
            </w:pPr>
          </w:p>
        </w:tc>
        <w:tc>
          <w:tcPr>
            <w:tcW w:w="460" w:type="dxa"/>
            <w:vAlign w:val="bottom"/>
            <w:gridSpan w:val="2"/>
          </w:tcPr>
          <w:p>
            <w:pPr>
              <w:jc w:val="center"/>
              <w:ind w:right="240"/>
              <w:spacing w:after="0"/>
              <w:rPr>
                <w:sz w:val="20"/>
                <w:szCs w:val="20"/>
                <w:color w:val="auto"/>
              </w:rPr>
            </w:pPr>
            <w:r>
              <w:rPr>
                <w:rFonts w:ascii="Arial" w:cs="Arial" w:eastAsia="Arial" w:hAnsi="Arial"/>
                <w:sz w:val="7"/>
                <w:szCs w:val="7"/>
                <w:color w:val="auto"/>
              </w:rPr>
              <w:t>2.68x</w:t>
            </w:r>
          </w:p>
        </w:tc>
        <w:tc>
          <w:tcPr>
            <w:tcW w:w="1020" w:type="dxa"/>
            <w:vAlign w:val="bottom"/>
            <w:gridSpan w:val="3"/>
          </w:tcPr>
          <w:p>
            <w:pPr>
              <w:jc w:val="center"/>
              <w:ind w:left="24"/>
              <w:spacing w:after="0"/>
              <w:rPr>
                <w:sz w:val="20"/>
                <w:szCs w:val="20"/>
                <w:color w:val="auto"/>
              </w:rPr>
            </w:pPr>
            <w:r>
              <w:rPr>
                <w:rFonts w:ascii="Arial" w:cs="Arial" w:eastAsia="Arial" w:hAnsi="Arial"/>
                <w:sz w:val="7"/>
                <w:szCs w:val="7"/>
                <w:color w:val="auto"/>
              </w:rPr>
              <w:t>Greater than 1.5x</w:t>
            </w:r>
          </w:p>
        </w:tc>
        <w:tc>
          <w:tcPr>
            <w:tcW w:w="0" w:type="dxa"/>
            <w:vAlign w:val="bottom"/>
          </w:tcPr>
          <w:p>
            <w:pPr>
              <w:spacing w:after="0"/>
              <w:rPr>
                <w:sz w:val="1"/>
                <w:szCs w:val="1"/>
                <w:color w:val="auto"/>
              </w:rPr>
            </w:pPr>
          </w:p>
        </w:tc>
      </w:tr>
      <w:tr>
        <w:trPr>
          <w:trHeight w:val="111"/>
        </w:trPr>
        <w:tc>
          <w:tcPr>
            <w:tcW w:w="2000" w:type="dxa"/>
            <w:vAlign w:val="bottom"/>
            <w:tcBorders>
              <w:bottom w:val="single" w:sz="8" w:color="auto"/>
            </w:tcBorders>
            <w:gridSpan w:val="2"/>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09"/>
        </w:trPr>
        <w:tc>
          <w:tcPr>
            <w:tcW w:w="1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1"/>
        </w:trPr>
        <w:tc>
          <w:tcPr>
            <w:tcW w:w="2460" w:type="dxa"/>
            <w:vAlign w:val="bottom"/>
            <w:tcBorders>
              <w:left w:val="single" w:sz="8" w:color="auto"/>
            </w:tcBorders>
            <w:gridSpan w:val="4"/>
          </w:tcPr>
          <w:p>
            <w:pPr>
              <w:ind w:left="1240"/>
              <w:spacing w:after="0"/>
              <w:rPr>
                <w:sz w:val="20"/>
                <w:szCs w:val="20"/>
                <w:color w:val="auto"/>
              </w:rPr>
            </w:pPr>
            <w:r>
              <w:rPr>
                <w:rFonts w:ascii="Arial" w:cs="Arial" w:eastAsia="Arial" w:hAnsi="Arial"/>
                <w:sz w:val="7"/>
                <w:szCs w:val="7"/>
                <w:b w:val="1"/>
                <w:bCs w:val="1"/>
                <w:color w:val="auto"/>
              </w:rPr>
              <w:t>Unsecured Notes Covenants</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1800" w:type="dxa"/>
            <w:vAlign w:val="bottom"/>
            <w:tcBorders>
              <w:left w:val="single" w:sz="8" w:color="auto"/>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1800" w:type="dxa"/>
            <w:vAlign w:val="bottom"/>
            <w:tcBorders>
              <w:left w:val="single" w:sz="8" w:color="auto"/>
            </w:tcBorders>
          </w:tcPr>
          <w:p>
            <w:pPr>
              <w:spacing w:after="0"/>
              <w:rPr>
                <w:sz w:val="16"/>
                <w:szCs w:val="16"/>
                <w:color w:val="auto"/>
              </w:rPr>
            </w:pPr>
          </w:p>
        </w:tc>
        <w:tc>
          <w:tcPr>
            <w:tcW w:w="660" w:type="dxa"/>
            <w:vAlign w:val="bottom"/>
            <w:gridSpan w:val="3"/>
          </w:tcPr>
          <w:p>
            <w:pPr>
              <w:ind w:left="200"/>
              <w:spacing w:after="0"/>
              <w:rPr>
                <w:sz w:val="20"/>
                <w:szCs w:val="20"/>
                <w:color w:val="auto"/>
              </w:rPr>
            </w:pPr>
            <w:r>
              <w:rPr>
                <w:rFonts w:ascii="Arial" w:cs="Arial" w:eastAsia="Arial" w:hAnsi="Arial"/>
                <w:sz w:val="7"/>
                <w:szCs w:val="7"/>
                <w:b w:val="1"/>
                <w:bCs w:val="1"/>
                <w:color w:val="auto"/>
              </w:rPr>
              <w:t>Actual</w:t>
            </w:r>
          </w:p>
        </w:tc>
        <w:tc>
          <w:tcPr>
            <w:tcW w:w="380" w:type="dxa"/>
            <w:vAlign w:val="bottom"/>
          </w:tcPr>
          <w:p>
            <w:pPr>
              <w:spacing w:after="0"/>
              <w:rPr>
                <w:sz w:val="16"/>
                <w:szCs w:val="16"/>
                <w:color w:val="auto"/>
              </w:rPr>
            </w:pPr>
          </w:p>
        </w:tc>
        <w:tc>
          <w:tcPr>
            <w:tcW w:w="64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7"/>
                <w:szCs w:val="7"/>
                <w:b w:val="1"/>
                <w:bCs w:val="1"/>
                <w:color w:val="auto"/>
              </w:rPr>
              <w:t>Required</w:t>
            </w:r>
          </w:p>
        </w:tc>
        <w:tc>
          <w:tcPr>
            <w:tcW w:w="0" w:type="dxa"/>
            <w:vAlign w:val="bottom"/>
          </w:tcPr>
          <w:p>
            <w:pPr>
              <w:spacing w:after="0"/>
              <w:rPr>
                <w:sz w:val="1"/>
                <w:szCs w:val="1"/>
                <w:color w:val="auto"/>
              </w:rPr>
            </w:pPr>
          </w:p>
        </w:tc>
      </w:tr>
      <w:tr>
        <w:trPr>
          <w:trHeight w:val="20"/>
        </w:trPr>
        <w:tc>
          <w:tcPr>
            <w:tcW w:w="1800" w:type="dxa"/>
            <w:vAlign w:val="bottom"/>
            <w:tcBorders>
              <w:left w:val="single" w:sz="8" w:color="auto"/>
            </w:tcBorders>
            <w:vMerge w:val="restart"/>
          </w:tcPr>
          <w:p>
            <w:pPr>
              <w:jc w:val="right"/>
              <w:ind w:right="124"/>
              <w:spacing w:after="0"/>
              <w:rPr>
                <w:sz w:val="20"/>
                <w:szCs w:val="20"/>
                <w:color w:val="auto"/>
              </w:rPr>
            </w:pPr>
            <w:r>
              <w:rPr>
                <w:rFonts w:ascii="Arial" w:cs="Arial" w:eastAsia="Arial" w:hAnsi="Arial"/>
                <w:sz w:val="7"/>
                <w:szCs w:val="7"/>
                <w:b w:val="1"/>
                <w:bCs w:val="1"/>
                <w:color w:val="auto"/>
              </w:rPr>
              <w:t>Total Debt / Total Assets</w:t>
            </w: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800" w:type="dxa"/>
            <w:vAlign w:val="bottom"/>
            <w:tcBorders>
              <w:left w:val="single" w:sz="8" w:color="auto"/>
            </w:tcBorders>
            <w:vMerge w:val="continue"/>
          </w:tcPr>
          <w:p>
            <w:pPr>
              <w:spacing w:after="0"/>
              <w:rPr>
                <w:sz w:val="18"/>
                <w:szCs w:val="18"/>
                <w:color w:val="auto"/>
              </w:rPr>
            </w:pPr>
          </w:p>
        </w:tc>
        <w:tc>
          <w:tcPr>
            <w:tcW w:w="420" w:type="dxa"/>
            <w:vAlign w:val="bottom"/>
            <w:gridSpan w:val="2"/>
          </w:tcPr>
          <w:p>
            <w:pPr>
              <w:jc w:val="center"/>
              <w:ind w:left="144"/>
              <w:spacing w:after="0"/>
              <w:rPr>
                <w:sz w:val="20"/>
                <w:szCs w:val="20"/>
                <w:color w:val="auto"/>
              </w:rPr>
            </w:pPr>
            <w:r>
              <w:rPr>
                <w:rFonts w:ascii="Arial" w:cs="Arial" w:eastAsia="Arial" w:hAnsi="Arial"/>
                <w:sz w:val="7"/>
                <w:szCs w:val="7"/>
                <w:color w:val="auto"/>
              </w:rPr>
              <w:t>26.9%</w:t>
            </w:r>
          </w:p>
        </w:tc>
        <w:tc>
          <w:tcPr>
            <w:tcW w:w="240" w:type="dxa"/>
            <w:vAlign w:val="bottom"/>
          </w:tcPr>
          <w:p>
            <w:pPr>
              <w:spacing w:after="0"/>
              <w:rPr>
                <w:sz w:val="18"/>
                <w:szCs w:val="18"/>
                <w:color w:val="auto"/>
              </w:rPr>
            </w:pPr>
          </w:p>
        </w:tc>
        <w:tc>
          <w:tcPr>
            <w:tcW w:w="102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219"/>
        </w:trPr>
        <w:tc>
          <w:tcPr>
            <w:tcW w:w="1800" w:type="dxa"/>
            <w:vAlign w:val="bottom"/>
            <w:tcBorders>
              <w:left w:val="single" w:sz="8" w:color="auto"/>
            </w:tcBorders>
          </w:tcPr>
          <w:p>
            <w:pPr>
              <w:jc w:val="right"/>
              <w:ind w:right="124"/>
              <w:spacing w:after="0"/>
              <w:rPr>
                <w:sz w:val="20"/>
                <w:szCs w:val="20"/>
                <w:color w:val="auto"/>
              </w:rPr>
            </w:pPr>
            <w:r>
              <w:rPr>
                <w:rFonts w:ascii="Arial" w:cs="Arial" w:eastAsia="Arial" w:hAnsi="Arial"/>
                <w:sz w:val="7"/>
                <w:szCs w:val="7"/>
                <w:b w:val="1"/>
                <w:bCs w:val="1"/>
                <w:color w:val="auto"/>
              </w:rPr>
              <w:t>Secured Debt / Total Assets</w:t>
            </w:r>
          </w:p>
        </w:tc>
        <w:tc>
          <w:tcPr>
            <w:tcW w:w="420" w:type="dxa"/>
            <w:vAlign w:val="bottom"/>
            <w:gridSpan w:val="2"/>
          </w:tcPr>
          <w:p>
            <w:pPr>
              <w:jc w:val="center"/>
              <w:ind w:left="144"/>
              <w:spacing w:after="0"/>
              <w:rPr>
                <w:sz w:val="20"/>
                <w:szCs w:val="20"/>
                <w:color w:val="auto"/>
              </w:rPr>
            </w:pPr>
            <w:r>
              <w:rPr>
                <w:rFonts w:ascii="Arial" w:cs="Arial" w:eastAsia="Arial" w:hAnsi="Arial"/>
                <w:sz w:val="7"/>
                <w:szCs w:val="7"/>
                <w:color w:val="auto"/>
              </w:rPr>
              <w:t>16.4%</w:t>
            </w:r>
          </w:p>
        </w:tc>
        <w:tc>
          <w:tcPr>
            <w:tcW w:w="240" w:type="dxa"/>
            <w:vAlign w:val="bottom"/>
          </w:tcPr>
          <w:p>
            <w:pPr>
              <w:spacing w:after="0"/>
              <w:rPr>
                <w:sz w:val="19"/>
                <w:szCs w:val="19"/>
                <w:color w:val="auto"/>
              </w:rPr>
            </w:pPr>
          </w:p>
        </w:tc>
        <w:tc>
          <w:tcPr>
            <w:tcW w:w="102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Less than 40%</w:t>
            </w:r>
          </w:p>
        </w:tc>
        <w:tc>
          <w:tcPr>
            <w:tcW w:w="0" w:type="dxa"/>
            <w:vAlign w:val="bottom"/>
          </w:tcPr>
          <w:p>
            <w:pPr>
              <w:spacing w:after="0"/>
              <w:rPr>
                <w:sz w:val="1"/>
                <w:szCs w:val="1"/>
                <w:color w:val="auto"/>
              </w:rPr>
            </w:pPr>
          </w:p>
        </w:tc>
      </w:tr>
      <w:tr>
        <w:trPr>
          <w:trHeight w:val="219"/>
        </w:trPr>
        <w:tc>
          <w:tcPr>
            <w:tcW w:w="1800" w:type="dxa"/>
            <w:vAlign w:val="bottom"/>
            <w:tcBorders>
              <w:left w:val="single" w:sz="8" w:color="auto"/>
            </w:tcBorders>
          </w:tcPr>
          <w:p>
            <w:pPr>
              <w:jc w:val="right"/>
              <w:ind w:right="124"/>
              <w:spacing w:after="0"/>
              <w:rPr>
                <w:sz w:val="20"/>
                <w:szCs w:val="20"/>
                <w:color w:val="auto"/>
              </w:rPr>
            </w:pPr>
            <w:r>
              <w:rPr>
                <w:rFonts w:ascii="Arial" w:cs="Arial" w:eastAsia="Arial" w:hAnsi="Arial"/>
                <w:sz w:val="7"/>
                <w:szCs w:val="7"/>
                <w:b w:val="1"/>
                <w:bCs w:val="1"/>
                <w:color w:val="auto"/>
              </w:rPr>
              <w:t>Debt Service Coverage</w:t>
            </w:r>
          </w:p>
        </w:tc>
        <w:tc>
          <w:tcPr>
            <w:tcW w:w="200" w:type="dxa"/>
            <w:vAlign w:val="bottom"/>
          </w:tcPr>
          <w:p>
            <w:pPr>
              <w:spacing w:after="0"/>
              <w:rPr>
                <w:sz w:val="19"/>
                <w:szCs w:val="19"/>
                <w:color w:val="auto"/>
              </w:rPr>
            </w:pPr>
          </w:p>
        </w:tc>
        <w:tc>
          <w:tcPr>
            <w:tcW w:w="460" w:type="dxa"/>
            <w:vAlign w:val="bottom"/>
            <w:gridSpan w:val="2"/>
          </w:tcPr>
          <w:p>
            <w:pPr>
              <w:jc w:val="center"/>
              <w:ind w:right="240"/>
              <w:spacing w:after="0"/>
              <w:rPr>
                <w:sz w:val="20"/>
                <w:szCs w:val="20"/>
                <w:color w:val="auto"/>
              </w:rPr>
            </w:pPr>
            <w:r>
              <w:rPr>
                <w:rFonts w:ascii="Arial" w:cs="Arial" w:eastAsia="Arial" w:hAnsi="Arial"/>
                <w:sz w:val="7"/>
                <w:szCs w:val="7"/>
                <w:color w:val="auto"/>
              </w:rPr>
              <w:t>5.72x</w:t>
            </w:r>
          </w:p>
        </w:tc>
        <w:tc>
          <w:tcPr>
            <w:tcW w:w="102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Greater than 1.5x</w:t>
            </w:r>
          </w:p>
        </w:tc>
        <w:tc>
          <w:tcPr>
            <w:tcW w:w="0" w:type="dxa"/>
            <w:vAlign w:val="bottom"/>
          </w:tcPr>
          <w:p>
            <w:pPr>
              <w:spacing w:after="0"/>
              <w:rPr>
                <w:sz w:val="1"/>
                <w:szCs w:val="1"/>
                <w:color w:val="auto"/>
              </w:rPr>
            </w:pPr>
          </w:p>
        </w:tc>
      </w:tr>
      <w:tr>
        <w:trPr>
          <w:trHeight w:val="219"/>
        </w:trPr>
        <w:tc>
          <w:tcPr>
            <w:tcW w:w="1800" w:type="dxa"/>
            <w:vAlign w:val="bottom"/>
            <w:tcBorders>
              <w:left w:val="single" w:sz="8" w:color="auto"/>
            </w:tcBorders>
          </w:tcPr>
          <w:p>
            <w:pPr>
              <w:jc w:val="right"/>
              <w:ind w:right="124"/>
              <w:spacing w:after="0"/>
              <w:rPr>
                <w:sz w:val="20"/>
                <w:szCs w:val="20"/>
                <w:color w:val="auto"/>
              </w:rPr>
            </w:pPr>
            <w:r>
              <w:rPr>
                <w:rFonts w:ascii="Arial" w:cs="Arial" w:eastAsia="Arial" w:hAnsi="Arial"/>
                <w:sz w:val="7"/>
                <w:szCs w:val="7"/>
                <w:b w:val="1"/>
                <w:bCs w:val="1"/>
                <w:color w:val="auto"/>
              </w:rPr>
              <w:t>Unencumbered Assets / Unsecured Debt</w:t>
            </w:r>
          </w:p>
        </w:tc>
        <w:tc>
          <w:tcPr>
            <w:tcW w:w="660" w:type="dxa"/>
            <w:vAlign w:val="bottom"/>
            <w:gridSpan w:val="3"/>
          </w:tcPr>
          <w:p>
            <w:pPr>
              <w:jc w:val="center"/>
              <w:ind w:right="60"/>
              <w:spacing w:after="0"/>
              <w:rPr>
                <w:sz w:val="20"/>
                <w:szCs w:val="20"/>
                <w:color w:val="auto"/>
              </w:rPr>
            </w:pPr>
            <w:r>
              <w:rPr>
                <w:rFonts w:ascii="Arial" w:cs="Arial" w:eastAsia="Arial" w:hAnsi="Arial"/>
                <w:sz w:val="7"/>
                <w:szCs w:val="7"/>
                <w:color w:val="auto"/>
              </w:rPr>
              <w:t>763.8%</w:t>
            </w:r>
          </w:p>
        </w:tc>
        <w:tc>
          <w:tcPr>
            <w:tcW w:w="1020" w:type="dxa"/>
            <w:vAlign w:val="bottom"/>
            <w:tcBorders>
              <w:right w:val="single" w:sz="8" w:color="auto"/>
            </w:tcBorders>
            <w:gridSpan w:val="3"/>
          </w:tcPr>
          <w:p>
            <w:pPr>
              <w:jc w:val="center"/>
              <w:ind w:left="24"/>
              <w:spacing w:after="0"/>
              <w:rPr>
                <w:sz w:val="20"/>
                <w:szCs w:val="20"/>
                <w:color w:val="auto"/>
              </w:rPr>
            </w:pPr>
            <w:r>
              <w:rPr>
                <w:rFonts w:ascii="Arial" w:cs="Arial" w:eastAsia="Arial" w:hAnsi="Arial"/>
                <w:sz w:val="7"/>
                <w:szCs w:val="7"/>
                <w:color w:val="auto"/>
              </w:rPr>
              <w:t>Greater than 150%</w:t>
            </w:r>
          </w:p>
        </w:tc>
        <w:tc>
          <w:tcPr>
            <w:tcW w:w="0" w:type="dxa"/>
            <w:vAlign w:val="bottom"/>
          </w:tcPr>
          <w:p>
            <w:pPr>
              <w:spacing w:after="0"/>
              <w:rPr>
                <w:sz w:val="1"/>
                <w:szCs w:val="1"/>
                <w:color w:val="auto"/>
              </w:rPr>
            </w:pPr>
          </w:p>
        </w:tc>
      </w:tr>
      <w:tr>
        <w:trPr>
          <w:trHeight w:val="133"/>
        </w:trPr>
        <w:tc>
          <w:tcPr>
            <w:tcW w:w="1800" w:type="dxa"/>
            <w:vAlign w:val="bottom"/>
            <w:tcBorders>
              <w:left w:val="single" w:sz="8" w:color="auto"/>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3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0" w:lineRule="exact"/>
        <w:rPr>
          <w:sz w:val="20"/>
          <w:szCs w:val="20"/>
          <w:color w:val="auto"/>
        </w:rPr>
      </w:pPr>
    </w:p>
    <w:p>
      <w:pPr>
        <w:ind w:left="1220"/>
        <w:spacing w:after="0"/>
        <w:rPr>
          <w:sz w:val="20"/>
          <w:szCs w:val="20"/>
          <w:color w:val="auto"/>
        </w:rPr>
      </w:pPr>
      <w:r>
        <w:rPr>
          <w:rFonts w:ascii="Arial" w:cs="Arial" w:eastAsia="Arial" w:hAnsi="Arial"/>
          <w:sz w:val="7"/>
          <w:szCs w:val="7"/>
          <w:b w:val="1"/>
          <w:bCs w:val="1"/>
          <w:color w:val="auto"/>
        </w:rPr>
        <w:t>Composition of Debt</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94"/>
        </w:trPr>
        <w:tc>
          <w:tcPr>
            <w:tcW w:w="2020" w:type="dxa"/>
            <w:vAlign w:val="bottom"/>
          </w:tcPr>
          <w:p>
            <w:pPr>
              <w:spacing w:after="0"/>
              <w:rPr>
                <w:sz w:val="20"/>
                <w:szCs w:val="20"/>
                <w:color w:val="auto"/>
              </w:rPr>
            </w:pPr>
            <w:r>
              <w:rPr>
                <w:rFonts w:ascii="Arial" w:cs="Arial" w:eastAsia="Arial" w:hAnsi="Arial"/>
                <w:sz w:val="7"/>
                <w:szCs w:val="7"/>
                <w:b w:val="1"/>
                <w:bCs w:val="1"/>
                <w:color w:val="auto"/>
              </w:rPr>
              <w:t>Fixed Rate Debt</w:t>
            </w:r>
          </w:p>
        </w:tc>
        <w:tc>
          <w:tcPr>
            <w:tcW w:w="1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r>
      <w:tr>
        <w:trPr>
          <w:trHeight w:val="230"/>
        </w:trPr>
        <w:tc>
          <w:tcPr>
            <w:tcW w:w="2020" w:type="dxa"/>
            <w:vAlign w:val="bottom"/>
          </w:tcPr>
          <w:p>
            <w:pPr>
              <w:jc w:val="right"/>
              <w:ind w:right="204"/>
              <w:spacing w:after="0"/>
              <w:rPr>
                <w:sz w:val="20"/>
                <w:szCs w:val="20"/>
                <w:color w:val="auto"/>
              </w:rPr>
            </w:pPr>
            <w:r>
              <w:rPr>
                <w:rFonts w:ascii="Arial" w:cs="Arial" w:eastAsia="Arial" w:hAnsi="Arial"/>
                <w:sz w:val="7"/>
                <w:szCs w:val="7"/>
                <w:color w:val="auto"/>
              </w:rPr>
              <w:t>Consolidated</w:t>
            </w: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5,226,651</w:t>
            </w:r>
          </w:p>
        </w:tc>
        <w:tc>
          <w:tcPr>
            <w:tcW w:w="520" w:type="dxa"/>
            <w:vAlign w:val="bottom"/>
          </w:tcPr>
          <w:p>
            <w:pPr>
              <w:spacing w:after="0"/>
              <w:rPr>
                <w:sz w:val="19"/>
                <w:szCs w:val="19"/>
                <w:color w:val="auto"/>
              </w:rPr>
            </w:pPr>
          </w:p>
        </w:tc>
      </w:tr>
      <w:tr>
        <w:trPr>
          <w:trHeight w:val="225"/>
        </w:trPr>
        <w:tc>
          <w:tcPr>
            <w:tcW w:w="2020" w:type="dxa"/>
            <w:vAlign w:val="bottom"/>
          </w:tcPr>
          <w:p>
            <w:pPr>
              <w:jc w:val="right"/>
              <w:ind w:right="204"/>
              <w:spacing w:after="0"/>
              <w:rPr>
                <w:sz w:val="20"/>
                <w:szCs w:val="20"/>
                <w:color w:val="auto"/>
              </w:rPr>
            </w:pPr>
            <w:r>
              <w:rPr>
                <w:rFonts w:ascii="Arial" w:cs="Arial" w:eastAsia="Arial" w:hAnsi="Arial"/>
                <w:sz w:val="7"/>
                <w:szCs w:val="7"/>
                <w:color w:val="auto"/>
              </w:rPr>
              <w:t>SLG Share of JV</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1,493,563</w:t>
            </w:r>
          </w:p>
        </w:tc>
        <w:tc>
          <w:tcPr>
            <w:tcW w:w="520" w:type="dxa"/>
            <w:vAlign w:val="bottom"/>
          </w:tcPr>
          <w:p>
            <w:pPr>
              <w:spacing w:after="0"/>
              <w:rPr>
                <w:sz w:val="19"/>
                <w:szCs w:val="19"/>
                <w:color w:val="auto"/>
              </w:rPr>
            </w:pPr>
          </w:p>
        </w:tc>
      </w:tr>
      <w:tr>
        <w:trPr>
          <w:trHeight w:val="192"/>
        </w:trPr>
        <w:tc>
          <w:tcPr>
            <w:tcW w:w="2020" w:type="dxa"/>
            <w:vAlign w:val="bottom"/>
          </w:tcPr>
          <w:p>
            <w:pPr>
              <w:jc w:val="right"/>
              <w:ind w:right="204"/>
              <w:spacing w:after="0"/>
              <w:rPr>
                <w:sz w:val="20"/>
                <w:szCs w:val="20"/>
                <w:color w:val="auto"/>
              </w:rPr>
            </w:pPr>
            <w:r>
              <w:rPr>
                <w:rFonts w:ascii="Arial" w:cs="Arial" w:eastAsia="Arial" w:hAnsi="Arial"/>
                <w:sz w:val="7"/>
                <w:szCs w:val="7"/>
                <w:b w:val="1"/>
                <w:bCs w:val="1"/>
                <w:color w:val="auto"/>
              </w:rPr>
              <w:t>Total Fixed Rate Debt</w:t>
            </w: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6,720,214</w:t>
            </w: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75.2%</w:t>
            </w:r>
          </w:p>
        </w:tc>
      </w:tr>
      <w:tr>
        <w:trPr>
          <w:trHeight w:val="328"/>
        </w:trPr>
        <w:tc>
          <w:tcPr>
            <w:tcW w:w="2020" w:type="dxa"/>
            <w:vAlign w:val="bottom"/>
          </w:tcPr>
          <w:p>
            <w:pPr>
              <w:spacing w:after="0"/>
              <w:rPr>
                <w:sz w:val="20"/>
                <w:szCs w:val="20"/>
                <w:color w:val="auto"/>
              </w:rPr>
            </w:pPr>
            <w:r>
              <w:rPr>
                <w:rFonts w:ascii="Arial" w:cs="Arial" w:eastAsia="Arial" w:hAnsi="Arial"/>
                <w:sz w:val="7"/>
                <w:szCs w:val="7"/>
                <w:b w:val="1"/>
                <w:bCs w:val="1"/>
                <w:color w:val="auto"/>
              </w:rPr>
              <w:t>Floating Rate Debt</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230"/>
        </w:trPr>
        <w:tc>
          <w:tcPr>
            <w:tcW w:w="2020" w:type="dxa"/>
            <w:vAlign w:val="bottom"/>
          </w:tcPr>
          <w:p>
            <w:pPr>
              <w:jc w:val="right"/>
              <w:ind w:right="204"/>
              <w:spacing w:after="0"/>
              <w:rPr>
                <w:sz w:val="20"/>
                <w:szCs w:val="20"/>
                <w:color w:val="auto"/>
              </w:rPr>
            </w:pPr>
            <w:r>
              <w:rPr>
                <w:rFonts w:ascii="Arial" w:cs="Arial" w:eastAsia="Arial" w:hAnsi="Arial"/>
                <w:sz w:val="7"/>
                <w:szCs w:val="7"/>
                <w:color w:val="auto"/>
              </w:rPr>
              <w:t>Consolidated</w:t>
            </w: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1,010,990</w:t>
            </w:r>
          </w:p>
        </w:tc>
        <w:tc>
          <w:tcPr>
            <w:tcW w:w="520" w:type="dxa"/>
            <w:vAlign w:val="bottom"/>
          </w:tcPr>
          <w:p>
            <w:pPr>
              <w:spacing w:after="0"/>
              <w:rPr>
                <w:sz w:val="19"/>
                <w:szCs w:val="19"/>
                <w:color w:val="auto"/>
              </w:rPr>
            </w:pPr>
          </w:p>
        </w:tc>
      </w:tr>
      <w:tr>
        <w:trPr>
          <w:trHeight w:val="225"/>
        </w:trPr>
        <w:tc>
          <w:tcPr>
            <w:tcW w:w="2020" w:type="dxa"/>
            <w:vAlign w:val="bottom"/>
          </w:tcPr>
          <w:p>
            <w:pPr>
              <w:jc w:val="right"/>
              <w:ind w:right="204"/>
              <w:spacing w:after="0"/>
              <w:rPr>
                <w:sz w:val="20"/>
                <w:szCs w:val="20"/>
                <w:color w:val="auto"/>
              </w:rPr>
            </w:pPr>
            <w:r>
              <w:rPr>
                <w:rFonts w:ascii="Arial" w:cs="Arial" w:eastAsia="Arial" w:hAnsi="Arial"/>
                <w:sz w:val="7"/>
                <w:szCs w:val="7"/>
                <w:color w:val="auto"/>
              </w:rPr>
              <w:t>SLG Share of JV</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1,200,710</w:t>
            </w:r>
          </w:p>
        </w:tc>
        <w:tc>
          <w:tcPr>
            <w:tcW w:w="520" w:type="dxa"/>
            <w:vAlign w:val="bottom"/>
          </w:tcPr>
          <w:p>
            <w:pPr>
              <w:spacing w:after="0"/>
              <w:rPr>
                <w:sz w:val="19"/>
                <w:szCs w:val="19"/>
                <w:color w:val="auto"/>
              </w:rPr>
            </w:pPr>
          </w:p>
        </w:tc>
      </w:tr>
      <w:tr>
        <w:trPr>
          <w:trHeight w:val="203"/>
        </w:trPr>
        <w:tc>
          <w:tcPr>
            <w:tcW w:w="2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jc w:val="right"/>
              <w:ind w:right="24"/>
              <w:spacing w:after="0"/>
              <w:rPr>
                <w:sz w:val="20"/>
                <w:szCs w:val="20"/>
                <w:color w:val="auto"/>
              </w:rPr>
            </w:pPr>
            <w:r>
              <w:rPr>
                <w:rFonts w:ascii="Arial" w:cs="Arial" w:eastAsia="Arial" w:hAnsi="Arial"/>
                <w:sz w:val="7"/>
                <w:szCs w:val="7"/>
                <w:color w:val="auto"/>
              </w:rPr>
              <w:t>2,211,700</w:t>
            </w:r>
          </w:p>
        </w:tc>
        <w:tc>
          <w:tcPr>
            <w:tcW w:w="520" w:type="dxa"/>
            <w:vAlign w:val="bottom"/>
          </w:tcPr>
          <w:p>
            <w:pPr>
              <w:spacing w:after="0"/>
              <w:rPr>
                <w:sz w:val="17"/>
                <w:szCs w:val="17"/>
                <w:color w:val="auto"/>
              </w:rPr>
            </w:pPr>
          </w:p>
        </w:tc>
      </w:tr>
      <w:tr>
        <w:trPr>
          <w:trHeight w:val="225"/>
        </w:trPr>
        <w:tc>
          <w:tcPr>
            <w:tcW w:w="2020" w:type="dxa"/>
            <w:vAlign w:val="bottom"/>
          </w:tcPr>
          <w:p>
            <w:pPr>
              <w:jc w:val="right"/>
              <w:ind w:right="204"/>
              <w:spacing w:after="0"/>
              <w:rPr>
                <w:sz w:val="20"/>
                <w:szCs w:val="20"/>
                <w:color w:val="auto"/>
              </w:rPr>
            </w:pPr>
            <w:r>
              <w:rPr>
                <w:rFonts w:ascii="Arial" w:cs="Arial" w:eastAsia="Arial" w:hAnsi="Arial"/>
                <w:sz w:val="7"/>
                <w:szCs w:val="7"/>
                <w:color w:val="auto"/>
              </w:rPr>
              <w:t>Debt &amp; Preferred Equity and Other Investments</w:t>
            </w:r>
          </w:p>
        </w:tc>
        <w:tc>
          <w:tcPr>
            <w:tcW w:w="1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(1,304,360)</w:t>
            </w:r>
          </w:p>
        </w:tc>
        <w:tc>
          <w:tcPr>
            <w:tcW w:w="520" w:type="dxa"/>
            <w:vAlign w:val="bottom"/>
          </w:tcPr>
          <w:p>
            <w:pPr>
              <w:spacing w:after="0"/>
              <w:rPr>
                <w:sz w:val="19"/>
                <w:szCs w:val="19"/>
                <w:color w:val="auto"/>
              </w:rPr>
            </w:pPr>
          </w:p>
        </w:tc>
      </w:tr>
      <w:tr>
        <w:trPr>
          <w:trHeight w:val="192"/>
        </w:trPr>
        <w:tc>
          <w:tcPr>
            <w:tcW w:w="2020" w:type="dxa"/>
            <w:vAlign w:val="bottom"/>
          </w:tcPr>
          <w:p>
            <w:pPr>
              <w:jc w:val="right"/>
              <w:ind w:right="184"/>
              <w:spacing w:after="0"/>
              <w:rPr>
                <w:sz w:val="20"/>
                <w:szCs w:val="20"/>
                <w:color w:val="auto"/>
              </w:rPr>
            </w:pPr>
            <w:r>
              <w:rPr>
                <w:rFonts w:ascii="Arial" w:cs="Arial" w:eastAsia="Arial" w:hAnsi="Arial"/>
                <w:sz w:val="7"/>
                <w:szCs w:val="7"/>
                <w:b w:val="1"/>
                <w:bCs w:val="1"/>
                <w:color w:val="auto"/>
              </w:rPr>
              <w:t>Total Floating Rate Debt</w:t>
            </w: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20" w:type="dxa"/>
            <w:vAlign w:val="bottom"/>
          </w:tcPr>
          <w:p>
            <w:pPr>
              <w:jc w:val="right"/>
              <w:ind w:right="24"/>
              <w:spacing w:after="0"/>
              <w:rPr>
                <w:sz w:val="20"/>
                <w:szCs w:val="20"/>
                <w:color w:val="auto"/>
              </w:rPr>
            </w:pPr>
            <w:r>
              <w:rPr>
                <w:rFonts w:ascii="Arial" w:cs="Arial" w:eastAsia="Arial" w:hAnsi="Arial"/>
                <w:sz w:val="7"/>
                <w:szCs w:val="7"/>
                <w:b w:val="1"/>
                <w:bCs w:val="1"/>
                <w:color w:val="auto"/>
              </w:rPr>
              <w:t>907,340</w:t>
            </w:r>
          </w:p>
        </w:tc>
        <w:tc>
          <w:tcPr>
            <w:tcW w:w="520" w:type="dxa"/>
            <w:vAlign w:val="bottom"/>
          </w:tcPr>
          <w:p>
            <w:pPr>
              <w:jc w:val="right"/>
              <w:spacing w:after="0"/>
              <w:rPr>
                <w:sz w:val="20"/>
                <w:szCs w:val="20"/>
                <w:color w:val="auto"/>
              </w:rPr>
            </w:pPr>
            <w:r>
              <w:rPr>
                <w:rFonts w:ascii="Arial" w:cs="Arial" w:eastAsia="Arial" w:hAnsi="Arial"/>
                <w:sz w:val="7"/>
                <w:szCs w:val="7"/>
                <w:b w:val="1"/>
                <w:bCs w:val="1"/>
                <w:color w:val="auto"/>
              </w:rPr>
              <w:t>10.2%</w:t>
            </w:r>
          </w:p>
        </w:tc>
      </w:tr>
      <w:tr>
        <w:trPr>
          <w:trHeight w:val="438"/>
        </w:trPr>
        <w:tc>
          <w:tcPr>
            <w:tcW w:w="2020" w:type="dxa"/>
            <w:vAlign w:val="bottom"/>
          </w:tcPr>
          <w:p>
            <w:pPr>
              <w:jc w:val="right"/>
              <w:ind w:right="204"/>
              <w:spacing w:after="0"/>
              <w:rPr>
                <w:sz w:val="20"/>
                <w:szCs w:val="20"/>
                <w:color w:val="auto"/>
              </w:rPr>
            </w:pPr>
            <w:r>
              <w:rPr>
                <w:rFonts w:ascii="Arial" w:cs="Arial" w:eastAsia="Arial" w:hAnsi="Arial"/>
                <w:sz w:val="7"/>
                <w:szCs w:val="7"/>
                <w:b w:val="1"/>
                <w:bCs w:val="1"/>
                <w:color w:val="auto"/>
              </w:rPr>
              <w:t>Total Debt</w:t>
            </w:r>
          </w:p>
        </w:tc>
        <w:tc>
          <w:tcPr>
            <w:tcW w:w="1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b w:val="1"/>
                <w:bCs w:val="1"/>
                <w:color w:val="auto"/>
              </w:rPr>
              <w:t>$</w:t>
            </w:r>
          </w:p>
        </w:tc>
        <w:tc>
          <w:tcPr>
            <w:tcW w:w="5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8,931,914</w:t>
            </w:r>
          </w:p>
        </w:tc>
        <w:tc>
          <w:tcPr>
            <w:tcW w:w="520" w:type="dxa"/>
            <w:vAlign w:val="bottom"/>
          </w:tcPr>
          <w:p>
            <w:pPr>
              <w:spacing w:after="0"/>
              <w:rPr>
                <w:sz w:val="24"/>
                <w:szCs w:val="24"/>
                <w:color w:val="auto"/>
              </w:rPr>
            </w:pPr>
          </w:p>
        </w:tc>
      </w:tr>
      <w:tr>
        <w:trPr>
          <w:trHeight w:val="20"/>
        </w:trPr>
        <w:tc>
          <w:tcPr>
            <w:tcW w:w="2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309" w:lineRule="exact"/>
        <w:rPr>
          <w:sz w:val="20"/>
          <w:szCs w:val="20"/>
          <w:color w:val="auto"/>
        </w:rPr>
      </w:pPr>
    </w:p>
    <w:p>
      <w:pPr>
        <w:sectPr>
          <w:pgSz w:w="11900" w:h="16838" w:orient="portrait"/>
          <w:cols w:equalWidth="0" w:num="2">
            <w:col w:w="5040" w:space="720"/>
            <w:col w:w="4320"/>
          </w:cols>
          <w:pgMar w:left="900" w:top="338" w:right="919" w:bottom="1440" w:gutter="0" w:footer="0" w:header="0"/>
          <w:type w:val="continuous"/>
        </w:sectPr>
      </w:pPr>
    </w:p>
    <w:p>
      <w:pPr>
        <w:spacing w:after="0" w:line="298"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27</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SUMMARY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-48895</wp:posOffset>
            </wp:positionV>
            <wp:extent cx="1207770" cy="3606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07770"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Reckson Operating Partnership</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320" w:type="dxa"/>
        <w:tblCellMar>
          <w:top w:w="0" w:type="dxa"/>
          <w:left w:w="0" w:type="dxa"/>
          <w:bottom w:w="0" w:type="dxa"/>
          <w:right w:w="0" w:type="dxa"/>
        </w:tblCellMar>
      </w:tblPr>
      <w:tr>
        <w:trPr>
          <w:trHeight w:val="94"/>
        </w:trPr>
        <w:tc>
          <w:tcPr>
            <w:tcW w:w="15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Principal</w:t>
            </w:r>
          </w:p>
        </w:tc>
        <w:tc>
          <w:tcPr>
            <w:tcW w:w="7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2016</w:t>
            </w:r>
          </w:p>
        </w:tc>
        <w:tc>
          <w:tcPr>
            <w:tcW w:w="1020" w:type="dxa"/>
            <w:vAlign w:val="bottom"/>
          </w:tcPr>
          <w:p>
            <w:pPr>
              <w:jc w:val="right"/>
              <w:spacing w:after="0"/>
              <w:rPr>
                <w:sz w:val="20"/>
                <w:szCs w:val="20"/>
                <w:color w:val="auto"/>
              </w:rPr>
            </w:pPr>
            <w:r>
              <w:rPr>
                <w:rFonts w:ascii="Arial" w:cs="Arial" w:eastAsia="Arial" w:hAnsi="Arial"/>
                <w:sz w:val="7"/>
                <w:szCs w:val="7"/>
                <w:b w:val="1"/>
                <w:bCs w:val="1"/>
                <w:color w:val="auto"/>
              </w:rPr>
              <w:t>Initial</w:t>
            </w: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Principal</w:t>
            </w:r>
          </w:p>
        </w:tc>
        <w:tc>
          <w:tcPr>
            <w:tcW w:w="1100" w:type="dxa"/>
            <w:vAlign w:val="bottom"/>
          </w:tcPr>
          <w:p>
            <w:pPr>
              <w:jc w:val="right"/>
              <w:ind w:right="104"/>
              <w:spacing w:after="0"/>
              <w:rPr>
                <w:sz w:val="20"/>
                <w:szCs w:val="20"/>
                <w:color w:val="auto"/>
              </w:rPr>
            </w:pPr>
            <w:r>
              <w:rPr>
                <w:rFonts w:ascii="Arial" w:cs="Arial" w:eastAsia="Arial" w:hAnsi="Arial"/>
                <w:sz w:val="7"/>
                <w:szCs w:val="7"/>
                <w:b w:val="1"/>
                <w:bCs w:val="1"/>
                <w:color w:val="auto"/>
              </w:rPr>
              <w:t>As-Of</w:t>
            </w:r>
          </w:p>
        </w:tc>
        <w:tc>
          <w:tcPr>
            <w:tcW w:w="580" w:type="dxa"/>
            <w:vAlign w:val="bottom"/>
          </w:tcPr>
          <w:p>
            <w:pPr>
              <w:spacing w:after="0"/>
              <w:rPr>
                <w:sz w:val="8"/>
                <w:szCs w:val="8"/>
                <w:color w:val="auto"/>
              </w:rPr>
            </w:pPr>
          </w:p>
        </w:tc>
      </w:tr>
      <w:tr>
        <w:trPr>
          <w:trHeight w:val="219"/>
        </w:trPr>
        <w:tc>
          <w:tcPr>
            <w:tcW w:w="150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7"/>
                <w:szCs w:val="7"/>
                <w:b w:val="1"/>
                <w:bCs w:val="1"/>
                <w:color w:val="auto"/>
              </w:rPr>
              <w:t>Ownership</w:t>
            </w:r>
          </w:p>
        </w:tc>
        <w:tc>
          <w:tcPr>
            <w:tcW w:w="16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7"/>
                <w:szCs w:val="7"/>
                <w:b w:val="1"/>
                <w:bCs w:val="1"/>
                <w:color w:val="auto"/>
              </w:rPr>
              <w:t>Outstanding</w:t>
            </w: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Principal</w:t>
            </w:r>
          </w:p>
        </w:tc>
        <w:tc>
          <w:tcPr>
            <w:tcW w:w="1020" w:type="dxa"/>
            <w:vAlign w:val="bottom"/>
          </w:tcPr>
          <w:p>
            <w:pPr>
              <w:jc w:val="right"/>
              <w:spacing w:after="0"/>
              <w:rPr>
                <w:sz w:val="20"/>
                <w:szCs w:val="20"/>
                <w:color w:val="auto"/>
              </w:rPr>
            </w:pPr>
            <w:r>
              <w:rPr>
                <w:rFonts w:ascii="Arial" w:cs="Arial" w:eastAsia="Arial" w:hAnsi="Arial"/>
                <w:sz w:val="7"/>
                <w:szCs w:val="7"/>
                <w:b w:val="1"/>
                <w:bCs w:val="1"/>
                <w:color w:val="auto"/>
              </w:rPr>
              <w:t>Maturity</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Due at</w:t>
            </w:r>
          </w:p>
        </w:tc>
        <w:tc>
          <w:tcPr>
            <w:tcW w:w="1100" w:type="dxa"/>
            <w:vAlign w:val="bottom"/>
          </w:tcPr>
          <w:p>
            <w:pPr>
              <w:jc w:val="right"/>
              <w:ind w:right="104"/>
              <w:spacing w:after="0"/>
              <w:rPr>
                <w:sz w:val="20"/>
                <w:szCs w:val="20"/>
                <w:color w:val="auto"/>
              </w:rPr>
            </w:pPr>
            <w:r>
              <w:rPr>
                <w:rFonts w:ascii="Arial" w:cs="Arial" w:eastAsia="Arial" w:hAnsi="Arial"/>
                <w:sz w:val="7"/>
                <w:szCs w:val="7"/>
                <w:b w:val="1"/>
                <w:bCs w:val="1"/>
                <w:color w:val="auto"/>
              </w:rPr>
              <w:t>Right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Earliest</w:t>
            </w:r>
          </w:p>
        </w:tc>
      </w:tr>
      <w:tr>
        <w:trPr>
          <w:trHeight w:val="22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Fixed rate debt</w:t>
            </w: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7"/>
                <w:szCs w:val="7"/>
                <w:b w:val="1"/>
                <w:bCs w:val="1"/>
                <w:color w:val="auto"/>
              </w:rPr>
              <w:t>Interest (%)</w:t>
            </w: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9/30/2016</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160"/>
              <w:spacing w:after="0"/>
              <w:rPr>
                <w:sz w:val="20"/>
                <w:szCs w:val="20"/>
                <w:color w:val="auto"/>
              </w:rPr>
            </w:pPr>
            <w:r>
              <w:rPr>
                <w:rFonts w:ascii="Arial" w:cs="Arial" w:eastAsia="Arial" w:hAnsi="Arial"/>
                <w:sz w:val="7"/>
                <w:szCs w:val="7"/>
                <w:b w:val="1"/>
                <w:bCs w:val="1"/>
                <w:color w:val="auto"/>
              </w:rPr>
              <w:t>Coupon (1)</w:t>
            </w: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Amortization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Date</w:t>
            </w: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Maturity</w:t>
            </w:r>
          </w:p>
        </w:tc>
        <w:tc>
          <w:tcPr>
            <w:tcW w:w="11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Extension</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Prepayment</w:t>
            </w:r>
          </w:p>
        </w:tc>
      </w:tr>
      <w:tr>
        <w:trPr>
          <w:trHeight w:val="203"/>
        </w:trPr>
        <w:tc>
          <w:tcPr>
            <w:tcW w:w="1500" w:type="dxa"/>
            <w:vAlign w:val="bottom"/>
          </w:tcPr>
          <w:p>
            <w:pPr>
              <w:ind w:left="20"/>
              <w:spacing w:after="0"/>
              <w:rPr>
                <w:sz w:val="20"/>
                <w:szCs w:val="20"/>
                <w:color w:val="auto"/>
              </w:rPr>
            </w:pPr>
            <w:r>
              <w:rPr>
                <w:rFonts w:ascii="Arial" w:cs="Arial" w:eastAsia="Arial" w:hAnsi="Arial"/>
                <w:sz w:val="7"/>
                <w:szCs w:val="7"/>
                <w:b w:val="1"/>
                <w:bCs w:val="1"/>
                <w:color w:val="auto"/>
              </w:rPr>
              <w:t>Secured fixed rate debt</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5"/>
        </w:trPr>
        <w:tc>
          <w:tcPr>
            <w:tcW w:w="1500" w:type="dxa"/>
            <w:vAlign w:val="bottom"/>
          </w:tcPr>
          <w:p>
            <w:pPr>
              <w:ind w:left="360"/>
              <w:spacing w:after="0"/>
              <w:rPr>
                <w:sz w:val="20"/>
                <w:szCs w:val="20"/>
                <w:color w:val="auto"/>
              </w:rPr>
            </w:pPr>
            <w:r>
              <w:rPr>
                <w:rFonts w:ascii="Arial" w:cs="Arial" w:eastAsia="Arial" w:hAnsi="Arial"/>
                <w:sz w:val="7"/>
                <w:szCs w:val="7"/>
                <w:color w:val="auto"/>
              </w:rPr>
              <w:t>919 Third Avenue</w:t>
            </w:r>
          </w:p>
        </w:tc>
        <w:tc>
          <w:tcPr>
            <w:tcW w:w="1300" w:type="dxa"/>
            <w:vAlign w:val="bottom"/>
          </w:tcPr>
          <w:p>
            <w:pPr>
              <w:jc w:val="right"/>
              <w:ind w:right="884"/>
              <w:spacing w:after="0"/>
              <w:rPr>
                <w:sz w:val="20"/>
                <w:szCs w:val="20"/>
                <w:color w:val="auto"/>
              </w:rPr>
            </w:pPr>
            <w:r>
              <w:rPr>
                <w:rFonts w:ascii="Arial" w:cs="Arial" w:eastAsia="Arial" w:hAnsi="Arial"/>
                <w:sz w:val="7"/>
                <w:szCs w:val="7"/>
                <w:color w:val="auto"/>
              </w:rPr>
              <w:t>51.0</w:t>
            </w:r>
          </w:p>
        </w:tc>
        <w:tc>
          <w:tcPr>
            <w:tcW w:w="1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500,000</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5.12%</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Jun-23</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w:t>
            </w: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500,000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Feb-23</w:t>
            </w:r>
          </w:p>
        </w:tc>
      </w:tr>
      <w:tr>
        <w:trPr>
          <w:trHeight w:val="192"/>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500,000</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5.12%</w:t>
            </w:r>
          </w:p>
        </w:tc>
        <w:tc>
          <w:tcPr>
            <w:tcW w:w="3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500,000</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1500" w:type="dxa"/>
            <w:vAlign w:val="bottom"/>
          </w:tcPr>
          <w:p>
            <w:pPr>
              <w:ind w:left="20"/>
              <w:spacing w:after="0"/>
              <w:rPr>
                <w:sz w:val="20"/>
                <w:szCs w:val="20"/>
                <w:color w:val="auto"/>
              </w:rPr>
            </w:pPr>
            <w:r>
              <w:rPr>
                <w:rFonts w:ascii="Arial" w:cs="Arial" w:eastAsia="Arial" w:hAnsi="Arial"/>
                <w:sz w:val="7"/>
                <w:szCs w:val="7"/>
                <w:b w:val="1"/>
                <w:bCs w:val="1"/>
                <w:color w:val="auto"/>
              </w:rPr>
              <w:t>Unsecured fixed rate debt</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19"/>
        </w:trPr>
        <w:tc>
          <w:tcPr>
            <w:tcW w:w="150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300" w:type="dxa"/>
            <w:vAlign w:val="bottom"/>
          </w:tcPr>
          <w:p>
            <w:pPr>
              <w:spacing w:after="0"/>
              <w:rPr>
                <w:sz w:val="19"/>
                <w:szCs w:val="19"/>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249,862</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5.00%</w:t>
            </w:r>
          </w:p>
        </w:tc>
        <w:tc>
          <w:tcPr>
            <w:tcW w:w="360" w:type="dxa"/>
            <w:vAlign w:val="bottom"/>
          </w:tcPr>
          <w:p>
            <w:pPr>
              <w:spacing w:after="0"/>
              <w:rPr>
                <w:sz w:val="19"/>
                <w:szCs w:val="19"/>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Aug-18</w:t>
            </w:r>
          </w:p>
        </w:tc>
        <w:tc>
          <w:tcPr>
            <w:tcW w:w="580" w:type="dxa"/>
            <w:vAlign w:val="bottom"/>
            <w:gridSpan w:val="2"/>
          </w:tcPr>
          <w:p>
            <w:pPr>
              <w:jc w:val="right"/>
              <w:ind w:right="104"/>
              <w:spacing w:after="0"/>
              <w:rPr>
                <w:sz w:val="20"/>
                <w:szCs w:val="20"/>
                <w:color w:val="auto"/>
              </w:rPr>
            </w:pPr>
            <w:r>
              <w:rPr>
                <w:rFonts w:ascii="Arial" w:cs="Arial" w:eastAsia="Arial" w:hAnsi="Arial"/>
                <w:sz w:val="7"/>
                <w:szCs w:val="7"/>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250,000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Jun-18</w:t>
            </w:r>
          </w:p>
        </w:tc>
      </w:tr>
      <w:tr>
        <w:trPr>
          <w:trHeight w:val="219"/>
        </w:trPr>
        <w:tc>
          <w:tcPr>
            <w:tcW w:w="1500" w:type="dxa"/>
            <w:vAlign w:val="bottom"/>
          </w:tcPr>
          <w:p>
            <w:pPr>
              <w:ind w:left="360"/>
              <w:spacing w:after="0"/>
              <w:rPr>
                <w:sz w:val="20"/>
                <w:szCs w:val="20"/>
                <w:color w:val="auto"/>
              </w:rPr>
            </w:pPr>
            <w:r>
              <w:rPr>
                <w:rFonts w:ascii="Arial" w:cs="Arial" w:eastAsia="Arial" w:hAnsi="Arial"/>
                <w:sz w:val="7"/>
                <w:szCs w:val="7"/>
                <w:color w:val="auto"/>
              </w:rPr>
              <w:t>Term loan (swapped)</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500,000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2.34%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Jun-19</w:t>
            </w:r>
          </w:p>
        </w:tc>
        <w:tc>
          <w:tcPr>
            <w:tcW w:w="380" w:type="dxa"/>
            <w:vAlign w:val="bottom"/>
          </w:tcPr>
          <w:p>
            <w:pPr>
              <w:jc w:val="right"/>
              <w:ind w:right="224"/>
              <w:spacing w:after="0"/>
              <w:rPr>
                <w:sz w:val="20"/>
                <w:szCs w:val="20"/>
                <w:color w:val="auto"/>
              </w:rPr>
            </w:pPr>
            <w:r>
              <w:rPr>
                <w:rFonts w:ascii="Arial" w:cs="Arial" w:eastAsia="Arial" w:hAnsi="Arial"/>
                <w:sz w:val="7"/>
                <w:szCs w:val="7"/>
                <w:color w:val="auto"/>
              </w:rPr>
              <w:t>(2)</w:t>
            </w:r>
          </w:p>
        </w:tc>
        <w:tc>
          <w:tcPr>
            <w:tcW w:w="200" w:type="dxa"/>
            <w:vAlign w:val="bottom"/>
          </w:tcPr>
          <w:p>
            <w:pPr>
              <w:spacing w:after="0"/>
              <w:rPr>
                <w:sz w:val="19"/>
                <w:szCs w:val="1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500,000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1500" w:type="dxa"/>
            <w:vAlign w:val="bottom"/>
          </w:tcPr>
          <w:p>
            <w:pPr>
              <w:ind w:left="360"/>
              <w:spacing w:after="0"/>
              <w:rPr>
                <w:sz w:val="20"/>
                <w:szCs w:val="20"/>
                <w:color w:val="auto"/>
              </w:rPr>
            </w:pPr>
            <w:r>
              <w:rPr>
                <w:rFonts w:ascii="Arial" w:cs="Arial" w:eastAsia="Arial" w:hAnsi="Arial"/>
                <w:sz w:val="7"/>
                <w:szCs w:val="7"/>
                <w:color w:val="auto"/>
              </w:rPr>
              <w:t>Term loan (swapped)</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300,000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2.54%</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Jun-19</w:t>
            </w:r>
          </w:p>
        </w:tc>
        <w:tc>
          <w:tcPr>
            <w:tcW w:w="380" w:type="dxa"/>
            <w:vAlign w:val="bottom"/>
          </w:tcPr>
          <w:p>
            <w:pPr>
              <w:jc w:val="right"/>
              <w:ind w:right="224"/>
              <w:spacing w:after="0"/>
              <w:rPr>
                <w:sz w:val="20"/>
                <w:szCs w:val="20"/>
                <w:color w:val="auto"/>
              </w:rPr>
            </w:pPr>
            <w:r>
              <w:rPr>
                <w:rFonts w:ascii="Arial" w:cs="Arial" w:eastAsia="Arial" w:hAnsi="Arial"/>
                <w:sz w:val="7"/>
                <w:szCs w:val="7"/>
                <w:color w:val="auto"/>
              </w:rPr>
              <w:t>(2)</w:t>
            </w:r>
          </w:p>
        </w:tc>
        <w:tc>
          <w:tcPr>
            <w:tcW w:w="200" w:type="dxa"/>
            <w:vAlign w:val="bottom"/>
          </w:tcPr>
          <w:p>
            <w:pPr>
              <w:spacing w:after="0"/>
              <w:rPr>
                <w:sz w:val="19"/>
                <w:szCs w:val="1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300,000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150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250,000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7.75%</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Mar-20</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250,000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19"/>
        </w:trPr>
        <w:tc>
          <w:tcPr>
            <w:tcW w:w="150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200,000</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4.50%</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Dec-22</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jc w:val="right"/>
              <w:ind w:right="4"/>
              <w:spacing w:after="0"/>
              <w:rPr>
                <w:sz w:val="20"/>
                <w:szCs w:val="20"/>
                <w:color w:val="auto"/>
              </w:rPr>
            </w:pPr>
            <w:r>
              <w:rPr>
                <w:rFonts w:ascii="Arial" w:cs="Arial" w:eastAsia="Arial" w:hAnsi="Arial"/>
                <w:sz w:val="7"/>
                <w:szCs w:val="7"/>
                <w:color w:val="auto"/>
              </w:rPr>
              <w:t>200,000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225"/>
        </w:trPr>
        <w:tc>
          <w:tcPr>
            <w:tcW w:w="1500" w:type="dxa"/>
            <w:vAlign w:val="bottom"/>
          </w:tcPr>
          <w:p>
            <w:pPr>
              <w:ind w:left="360"/>
              <w:spacing w:after="0"/>
              <w:rPr>
                <w:sz w:val="20"/>
                <w:szCs w:val="20"/>
                <w:color w:val="auto"/>
              </w:rPr>
            </w:pPr>
            <w:r>
              <w:rPr>
                <w:rFonts w:ascii="Arial" w:cs="Arial" w:eastAsia="Arial" w:hAnsi="Arial"/>
                <w:sz w:val="7"/>
                <w:szCs w:val="7"/>
                <w:color w:val="auto"/>
              </w:rPr>
              <w:t>Unsecured notes</w:t>
            </w:r>
          </w:p>
        </w:tc>
        <w:tc>
          <w:tcPr>
            <w:tcW w:w="1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100,000</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4.27%</w:t>
            </w:r>
          </w:p>
        </w:tc>
        <w:tc>
          <w:tcPr>
            <w:tcW w:w="3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Dec-25</w:t>
            </w:r>
          </w:p>
        </w:tc>
        <w:tc>
          <w:tcPr>
            <w:tcW w:w="3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100,000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192"/>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1,599,862</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4.03%</w:t>
            </w:r>
          </w:p>
        </w:tc>
        <w:tc>
          <w:tcPr>
            <w:tcW w:w="3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1,600,000</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11"/>
        </w:trPr>
        <w:tc>
          <w:tcPr>
            <w:tcW w:w="28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6"/>
        </w:trPr>
        <w:tc>
          <w:tcPr>
            <w:tcW w:w="2800" w:type="dxa"/>
            <w:vAlign w:val="bottom"/>
            <w:gridSpan w:val="2"/>
          </w:tcPr>
          <w:p>
            <w:pPr>
              <w:ind w:left="960"/>
              <w:spacing w:after="0"/>
              <w:rPr>
                <w:sz w:val="20"/>
                <w:szCs w:val="20"/>
                <w:color w:val="auto"/>
              </w:rPr>
            </w:pPr>
            <w:r>
              <w:rPr>
                <w:rFonts w:ascii="Arial" w:cs="Arial" w:eastAsia="Arial" w:hAnsi="Arial"/>
                <w:sz w:val="7"/>
                <w:szCs w:val="7"/>
                <w:b w:val="1"/>
                <w:bCs w:val="1"/>
                <w:color w:val="auto"/>
              </w:rPr>
              <w:t>Total Fixed Rate Debt/Wtd Avg</w:t>
            </w: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2,099,862</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4.29%</w:t>
            </w:r>
          </w:p>
        </w:tc>
        <w:tc>
          <w:tcPr>
            <w:tcW w:w="3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2,100,000</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25"/>
        </w:trPr>
        <w:tc>
          <w:tcPr>
            <w:tcW w:w="150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Floating rate debt</w:t>
            </w:r>
          </w:p>
        </w:tc>
        <w:tc>
          <w:tcPr>
            <w:tcW w:w="13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r>
      <w:tr>
        <w:trPr>
          <w:trHeight w:val="203"/>
        </w:trPr>
        <w:tc>
          <w:tcPr>
            <w:tcW w:w="1500" w:type="dxa"/>
            <w:vAlign w:val="bottom"/>
          </w:tcPr>
          <w:p>
            <w:pPr>
              <w:ind w:left="20"/>
              <w:spacing w:after="0"/>
              <w:rPr>
                <w:sz w:val="20"/>
                <w:szCs w:val="20"/>
                <w:color w:val="auto"/>
              </w:rPr>
            </w:pPr>
            <w:r>
              <w:rPr>
                <w:rFonts w:ascii="Arial" w:cs="Arial" w:eastAsia="Arial" w:hAnsi="Arial"/>
                <w:sz w:val="7"/>
                <w:szCs w:val="7"/>
                <w:b w:val="1"/>
                <w:bCs w:val="1"/>
                <w:color w:val="auto"/>
              </w:rPr>
              <w:t>Secured floating rate debt</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25"/>
        </w:trPr>
        <w:tc>
          <w:tcPr>
            <w:tcW w:w="2800" w:type="dxa"/>
            <w:vAlign w:val="bottom"/>
            <w:gridSpan w:val="2"/>
          </w:tcPr>
          <w:p>
            <w:pPr>
              <w:ind w:left="360"/>
              <w:spacing w:after="0"/>
              <w:rPr>
                <w:sz w:val="20"/>
                <w:szCs w:val="20"/>
                <w:color w:val="auto"/>
              </w:rPr>
            </w:pPr>
            <w:r>
              <w:rPr>
                <w:rFonts w:ascii="Arial" w:cs="Arial" w:eastAsia="Arial" w:hAnsi="Arial"/>
                <w:sz w:val="7"/>
                <w:szCs w:val="7"/>
                <w:color w:val="auto"/>
              </w:rPr>
              <w:t>Debt &amp; preferred equity facility (LIBOR + 273 bps)</w:t>
            </w:r>
          </w:p>
        </w:tc>
        <w:tc>
          <w:tcPr>
            <w:tcW w:w="1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134,642</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3.26%</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Jul-18</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w:t>
            </w: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134,642</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Jul-19</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192"/>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134,642</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3.26%</w:t>
            </w:r>
          </w:p>
        </w:tc>
        <w:tc>
          <w:tcPr>
            <w:tcW w:w="3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134,642</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19"/>
        </w:trPr>
        <w:tc>
          <w:tcPr>
            <w:tcW w:w="1500" w:type="dxa"/>
            <w:vAlign w:val="bottom"/>
          </w:tcPr>
          <w:p>
            <w:pPr>
              <w:ind w:left="20"/>
              <w:spacing w:after="0"/>
              <w:rPr>
                <w:sz w:val="20"/>
                <w:szCs w:val="20"/>
                <w:color w:val="auto"/>
              </w:rPr>
            </w:pPr>
            <w:r>
              <w:rPr>
                <w:rFonts w:ascii="Arial" w:cs="Arial" w:eastAsia="Arial" w:hAnsi="Arial"/>
                <w:sz w:val="7"/>
                <w:szCs w:val="7"/>
                <w:b w:val="1"/>
                <w:bCs w:val="1"/>
                <w:color w:val="auto"/>
              </w:rPr>
              <w:t>Unsecured floating rate debt</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r>
      <w:tr>
        <w:trPr>
          <w:trHeight w:val="225"/>
        </w:trPr>
        <w:tc>
          <w:tcPr>
            <w:tcW w:w="1500" w:type="dxa"/>
            <w:vAlign w:val="bottom"/>
          </w:tcPr>
          <w:p>
            <w:pPr>
              <w:ind w:left="360"/>
              <w:spacing w:after="0"/>
              <w:rPr>
                <w:sz w:val="20"/>
                <w:szCs w:val="20"/>
                <w:color w:val="auto"/>
              </w:rPr>
            </w:pPr>
            <w:r>
              <w:rPr>
                <w:rFonts w:ascii="Arial" w:cs="Arial" w:eastAsia="Arial" w:hAnsi="Arial"/>
                <w:sz w:val="7"/>
                <w:szCs w:val="7"/>
                <w:color w:val="auto"/>
              </w:rPr>
              <w:t>Term loan (LIBOR + 140 bps)</w:t>
            </w:r>
          </w:p>
        </w:tc>
        <w:tc>
          <w:tcPr>
            <w:tcW w:w="1300" w:type="dxa"/>
            <w:vAlign w:val="bottom"/>
          </w:tcPr>
          <w:p>
            <w:pPr>
              <w:spacing w:after="0"/>
              <w:rPr>
                <w:sz w:val="19"/>
                <w:szCs w:val="19"/>
                <w:color w:val="auto"/>
              </w:rPr>
            </w:pPr>
          </w:p>
        </w:tc>
        <w:tc>
          <w:tcPr>
            <w:tcW w:w="1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383,000</w:t>
            </w:r>
          </w:p>
        </w:tc>
        <w:tc>
          <w:tcPr>
            <w:tcW w:w="3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1.93%</w:t>
            </w:r>
          </w:p>
        </w:tc>
        <w:tc>
          <w:tcPr>
            <w:tcW w:w="360" w:type="dxa"/>
            <w:vAlign w:val="bottom"/>
          </w:tcPr>
          <w:p>
            <w:pPr>
              <w:spacing w:after="0"/>
              <w:rPr>
                <w:sz w:val="19"/>
                <w:szCs w:val="19"/>
                <w:color w:val="auto"/>
              </w:rPr>
            </w:pPr>
          </w:p>
        </w:tc>
        <w:tc>
          <w:tcPr>
            <w:tcW w:w="18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jc w:val="right"/>
              <w:spacing w:after="0"/>
              <w:rPr>
                <w:sz w:val="20"/>
                <w:szCs w:val="20"/>
                <w:color w:val="auto"/>
              </w:rPr>
            </w:pPr>
            <w:r>
              <w:rPr>
                <w:rFonts w:ascii="Arial" w:cs="Arial" w:eastAsia="Arial" w:hAnsi="Arial"/>
                <w:sz w:val="7"/>
                <w:szCs w:val="7"/>
                <w:color w:val="auto"/>
              </w:rPr>
              <w:t>Jun-19</w:t>
            </w:r>
          </w:p>
        </w:tc>
        <w:tc>
          <w:tcPr>
            <w:tcW w:w="380" w:type="dxa"/>
            <w:vAlign w:val="bottom"/>
          </w:tcPr>
          <w:p>
            <w:pPr>
              <w:spacing w:after="0"/>
              <w:rPr>
                <w:sz w:val="19"/>
                <w:szCs w:val="19"/>
                <w:color w:val="auto"/>
              </w:rPr>
            </w:pPr>
          </w:p>
        </w:tc>
        <w:tc>
          <w:tcPr>
            <w:tcW w:w="20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w:t>
            </w:r>
          </w:p>
        </w:tc>
        <w:tc>
          <w:tcPr>
            <w:tcW w:w="50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383,000</w:t>
            </w:r>
          </w:p>
        </w:tc>
        <w:tc>
          <w:tcPr>
            <w:tcW w:w="11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color w:val="auto"/>
              </w:rPr>
              <w:t>Open</w:t>
            </w:r>
          </w:p>
        </w:tc>
      </w:tr>
      <w:tr>
        <w:trPr>
          <w:trHeight w:val="192"/>
        </w:trPr>
        <w:tc>
          <w:tcPr>
            <w:tcW w:w="15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383,000</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1.93%</w:t>
            </w:r>
          </w:p>
        </w:tc>
        <w:tc>
          <w:tcPr>
            <w:tcW w:w="3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color w:val="auto"/>
              </w:rPr>
              <w:t>$</w:t>
            </w:r>
          </w:p>
        </w:tc>
        <w:tc>
          <w:tcPr>
            <w:tcW w:w="600" w:type="dxa"/>
            <w:vAlign w:val="bottom"/>
          </w:tcPr>
          <w:p>
            <w:pPr>
              <w:jc w:val="right"/>
              <w:spacing w:after="0"/>
              <w:rPr>
                <w:sz w:val="20"/>
                <w:szCs w:val="20"/>
                <w:color w:val="auto"/>
              </w:rPr>
            </w:pPr>
            <w:r>
              <w:rPr>
                <w:rFonts w:ascii="Arial" w:cs="Arial" w:eastAsia="Arial" w:hAnsi="Arial"/>
                <w:sz w:val="7"/>
                <w:szCs w:val="7"/>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383,000</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11"/>
        </w:trPr>
        <w:tc>
          <w:tcPr>
            <w:tcW w:w="28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6"/>
        </w:trPr>
        <w:tc>
          <w:tcPr>
            <w:tcW w:w="2800" w:type="dxa"/>
            <w:vAlign w:val="bottom"/>
            <w:gridSpan w:val="2"/>
          </w:tcPr>
          <w:p>
            <w:pPr>
              <w:ind w:left="960"/>
              <w:spacing w:after="0"/>
              <w:rPr>
                <w:sz w:val="20"/>
                <w:szCs w:val="20"/>
                <w:color w:val="auto"/>
              </w:rPr>
            </w:pPr>
            <w:r>
              <w:rPr>
                <w:rFonts w:ascii="Arial" w:cs="Arial" w:eastAsia="Arial" w:hAnsi="Arial"/>
                <w:sz w:val="7"/>
                <w:szCs w:val="7"/>
                <w:b w:val="1"/>
                <w:bCs w:val="1"/>
                <w:color w:val="auto"/>
              </w:rPr>
              <w:t>Total Floating Rate Debt/Wtd Avg</w:t>
            </w: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517,642</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2.28%</w:t>
            </w:r>
          </w:p>
        </w:tc>
        <w:tc>
          <w:tcPr>
            <w:tcW w:w="3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517,642</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11"/>
        </w:trPr>
        <w:tc>
          <w:tcPr>
            <w:tcW w:w="2800" w:type="dxa"/>
            <w:vAlign w:val="bottom"/>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10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86"/>
        </w:trPr>
        <w:tc>
          <w:tcPr>
            <w:tcW w:w="2800" w:type="dxa"/>
            <w:vAlign w:val="bottom"/>
            <w:gridSpan w:val="2"/>
          </w:tcPr>
          <w:p>
            <w:pPr>
              <w:ind w:left="960"/>
              <w:spacing w:after="0"/>
              <w:rPr>
                <w:sz w:val="20"/>
                <w:szCs w:val="20"/>
                <w:color w:val="auto"/>
              </w:rPr>
            </w:pPr>
            <w:r>
              <w:rPr>
                <w:rFonts w:ascii="Arial" w:cs="Arial" w:eastAsia="Arial" w:hAnsi="Arial"/>
                <w:sz w:val="7"/>
                <w:szCs w:val="7"/>
                <w:b w:val="1"/>
                <w:bCs w:val="1"/>
                <w:color w:val="auto"/>
              </w:rPr>
              <w:t>Total Debt/Wtd Avg - Consolidated</w:t>
            </w:r>
          </w:p>
        </w:tc>
        <w:tc>
          <w:tcPr>
            <w:tcW w:w="160" w:type="dxa"/>
            <w:vAlign w:val="bottom"/>
          </w:tcPr>
          <w:p>
            <w:pPr>
              <w:jc w:val="right"/>
              <w:ind w:right="6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ind w:right="4"/>
              <w:spacing w:after="0"/>
              <w:rPr>
                <w:sz w:val="20"/>
                <w:szCs w:val="20"/>
                <w:color w:val="auto"/>
              </w:rPr>
            </w:pPr>
            <w:r>
              <w:rPr>
                <w:rFonts w:ascii="Arial" w:cs="Arial" w:eastAsia="Arial" w:hAnsi="Arial"/>
                <w:sz w:val="7"/>
                <w:szCs w:val="7"/>
                <w:b w:val="1"/>
                <w:bCs w:val="1"/>
                <w:color w:val="auto"/>
              </w:rPr>
              <w:t>2,617,504</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3.89%</w:t>
            </w:r>
          </w:p>
        </w:tc>
        <w:tc>
          <w:tcPr>
            <w:tcW w:w="360" w:type="dxa"/>
            <w:vAlign w:val="bottom"/>
          </w:tcPr>
          <w:p>
            <w:pPr>
              <w:spacing w:after="0"/>
              <w:rPr>
                <w:sz w:val="16"/>
                <w:szCs w:val="16"/>
                <w:color w:val="auto"/>
              </w:rPr>
            </w:pPr>
          </w:p>
        </w:tc>
        <w:tc>
          <w:tcPr>
            <w:tcW w:w="180" w:type="dxa"/>
            <w:vAlign w:val="bottom"/>
          </w:tcPr>
          <w:p>
            <w:pPr>
              <w:jc w:val="right"/>
              <w:ind w:right="84"/>
              <w:spacing w:after="0"/>
              <w:rPr>
                <w:sz w:val="20"/>
                <w:szCs w:val="20"/>
                <w:color w:val="auto"/>
              </w:rPr>
            </w:pPr>
            <w:r>
              <w:rPr>
                <w:rFonts w:ascii="Arial" w:cs="Arial" w:eastAsia="Arial" w:hAnsi="Arial"/>
                <w:sz w:val="7"/>
                <w:szCs w:val="7"/>
                <w:b w:val="1"/>
                <w:bCs w:val="1"/>
                <w:color w:val="auto"/>
              </w:rPr>
              <w:t>$</w:t>
            </w:r>
          </w:p>
        </w:tc>
        <w:tc>
          <w:tcPr>
            <w:tcW w:w="600" w:type="dxa"/>
            <w:vAlign w:val="bottom"/>
          </w:tcPr>
          <w:p>
            <w:pPr>
              <w:jc w:val="right"/>
              <w:spacing w:after="0"/>
              <w:rPr>
                <w:sz w:val="20"/>
                <w:szCs w:val="20"/>
                <w:color w:val="auto"/>
              </w:rPr>
            </w:pPr>
            <w:r>
              <w:rPr>
                <w:rFonts w:ascii="Arial" w:cs="Arial" w:eastAsia="Arial" w:hAnsi="Arial"/>
                <w:sz w:val="7"/>
                <w:szCs w:val="7"/>
                <w:b w:val="1"/>
                <w:bCs w:val="1"/>
                <w:color w:val="auto"/>
              </w:rPr>
              <w:t>—</w:t>
            </w:r>
          </w:p>
        </w:tc>
        <w:tc>
          <w:tcPr>
            <w:tcW w:w="1020" w:type="dxa"/>
            <w:vAlign w:val="bottom"/>
          </w:tcPr>
          <w:p>
            <w:pPr>
              <w:spacing w:after="0"/>
              <w:rPr>
                <w:sz w:val="16"/>
                <w:szCs w:val="16"/>
                <w:color w:val="auto"/>
              </w:rPr>
            </w:pPr>
          </w:p>
        </w:tc>
        <w:tc>
          <w:tcPr>
            <w:tcW w:w="580" w:type="dxa"/>
            <w:vAlign w:val="bottom"/>
            <w:gridSpan w:val="2"/>
          </w:tcPr>
          <w:p>
            <w:pPr>
              <w:jc w:val="right"/>
              <w:ind w:right="104"/>
              <w:spacing w:after="0"/>
              <w:rPr>
                <w:sz w:val="20"/>
                <w:szCs w:val="20"/>
                <w:color w:val="auto"/>
              </w:rPr>
            </w:pPr>
            <w:r>
              <w:rPr>
                <w:rFonts w:ascii="Arial" w:cs="Arial" w:eastAsia="Arial" w:hAnsi="Arial"/>
                <w:sz w:val="7"/>
                <w:szCs w:val="7"/>
                <w:b w:val="1"/>
                <w:bCs w:val="1"/>
                <w:color w:val="auto"/>
              </w:rPr>
              <w:t>$</w:t>
            </w:r>
          </w:p>
        </w:tc>
        <w:tc>
          <w:tcPr>
            <w:tcW w:w="500" w:type="dxa"/>
            <w:vAlign w:val="bottom"/>
          </w:tcPr>
          <w:p>
            <w:pPr>
              <w:jc w:val="right"/>
              <w:ind w:right="4"/>
              <w:spacing w:after="0"/>
              <w:rPr>
                <w:sz w:val="20"/>
                <w:szCs w:val="20"/>
                <w:color w:val="auto"/>
              </w:rPr>
            </w:pPr>
            <w:r>
              <w:rPr>
                <w:rFonts w:ascii="Arial" w:cs="Arial" w:eastAsia="Arial" w:hAnsi="Arial"/>
                <w:sz w:val="7"/>
                <w:szCs w:val="7"/>
                <w:b w:val="1"/>
                <w:bCs w:val="1"/>
                <w:color w:val="auto"/>
              </w:rPr>
              <w:t>2,617,642</w:t>
            </w: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r>
    </w:tbl>
    <w:p>
      <w:pPr>
        <w:spacing w:after="0" w:line="329" w:lineRule="exact"/>
        <w:rPr>
          <w:sz w:val="20"/>
          <w:szCs w:val="20"/>
          <w:color w:val="auto"/>
        </w:rPr>
      </w:pPr>
    </w:p>
    <w:p>
      <w:pPr>
        <w:ind w:left="440" w:hanging="102"/>
        <w:spacing w:after="0"/>
        <w:tabs>
          <w:tab w:leader="none" w:pos="440" w:val="left"/>
        </w:tabs>
        <w:numPr>
          <w:ilvl w:val="0"/>
          <w:numId w:val="18"/>
        </w:numPr>
        <w:rPr>
          <w:rFonts w:ascii="Arial" w:cs="Arial" w:eastAsia="Arial" w:hAnsi="Arial"/>
          <w:sz w:val="7"/>
          <w:szCs w:val="7"/>
          <w:color w:val="auto"/>
        </w:rPr>
      </w:pPr>
      <w:r>
        <w:rPr>
          <w:rFonts w:ascii="Arial" w:cs="Arial" w:eastAsia="Arial" w:hAnsi="Arial"/>
          <w:sz w:val="7"/>
          <w:szCs w:val="7"/>
          <w:color w:val="auto"/>
        </w:rPr>
        <w:t>Coupon for floating rate debt determined using the effective LIBOR rate at the end of the quarter. Coupon for loans that are subject to LIBOR floors were determined using the LIBOR floors.</w:t>
      </w:r>
    </w:p>
    <w:p>
      <w:pPr>
        <w:spacing w:after="0" w:line="138" w:lineRule="exact"/>
        <w:rPr>
          <w:rFonts w:ascii="Arial" w:cs="Arial" w:eastAsia="Arial" w:hAnsi="Arial"/>
          <w:sz w:val="7"/>
          <w:szCs w:val="7"/>
          <w:color w:val="auto"/>
        </w:rPr>
      </w:pPr>
    </w:p>
    <w:p>
      <w:pPr>
        <w:ind w:left="440" w:hanging="102"/>
        <w:spacing w:after="0"/>
        <w:tabs>
          <w:tab w:leader="none" w:pos="440" w:val="left"/>
        </w:tabs>
        <w:numPr>
          <w:ilvl w:val="0"/>
          <w:numId w:val="18"/>
        </w:numPr>
        <w:rPr>
          <w:rFonts w:ascii="Arial" w:cs="Arial" w:eastAsia="Arial" w:hAnsi="Arial"/>
          <w:sz w:val="7"/>
          <w:szCs w:val="7"/>
          <w:color w:val="auto"/>
        </w:rPr>
      </w:pPr>
      <w:r>
        <w:rPr>
          <w:rFonts w:ascii="Arial" w:cs="Arial" w:eastAsia="Arial" w:hAnsi="Arial"/>
          <w:sz w:val="7"/>
          <w:szCs w:val="7"/>
          <w:color w:val="auto"/>
        </w:rPr>
        <w:t>The interest rate swaps matures in June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74295</wp:posOffset>
            </wp:positionV>
            <wp:extent cx="6016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16625" cy="6985"/>
                    </a:xfrm>
                    <a:prstGeom prst="rect">
                      <a:avLst/>
                    </a:prstGeom>
                    <a:noFill/>
                  </pic:spPr>
                </pic:pic>
              </a:graphicData>
            </a:graphic>
          </wp:anchor>
        </w:drawing>
        <w:drawing>
          <wp:anchor simplePos="0" relativeHeight="251657728" behindDoc="1" locked="0" layoutInCell="0" allowOverlap="1">
            <wp:simplePos x="0" y="0"/>
            <wp:positionH relativeFrom="column">
              <wp:posOffset>204470</wp:posOffset>
            </wp:positionH>
            <wp:positionV relativeFrom="paragraph">
              <wp:posOffset>87630</wp:posOffset>
            </wp:positionV>
            <wp:extent cx="6016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16625" cy="6985"/>
                    </a:xfrm>
                    <a:prstGeom prst="rect">
                      <a:avLst/>
                    </a:prstGeom>
                    <a:noFill/>
                  </pic:spPr>
                </pic:pic>
              </a:graphicData>
            </a:graphic>
          </wp:anchor>
        </w:drawing>
      </w:r>
    </w:p>
    <w:p>
      <w:pPr>
        <w:spacing w:after="0" w:line="340" w:lineRule="exact"/>
        <w:rPr>
          <w:sz w:val="20"/>
          <w:szCs w:val="20"/>
          <w:color w:val="auto"/>
        </w:rPr>
      </w:pPr>
    </w:p>
    <w:p>
      <w:pPr>
        <w:ind w:left="680"/>
        <w:spacing w:after="0"/>
        <w:rPr>
          <w:sz w:val="20"/>
          <w:szCs w:val="20"/>
          <w:color w:val="auto"/>
        </w:rPr>
      </w:pPr>
      <w:r>
        <w:rPr>
          <w:rFonts w:ascii="Arial" w:cs="Arial" w:eastAsia="Arial" w:hAnsi="Arial"/>
          <w:sz w:val="7"/>
          <w:szCs w:val="7"/>
          <w:b w:val="1"/>
          <w:bCs w:val="1"/>
          <w:color w:val="auto"/>
        </w:rPr>
        <w:t>Covenants</w:t>
      </w:r>
    </w:p>
    <w:p>
      <w:pPr>
        <w:spacing w:after="0" w:line="4" w:lineRule="exact"/>
        <w:rPr>
          <w:sz w:val="20"/>
          <w:szCs w:val="20"/>
          <w:color w:val="auto"/>
        </w:rPr>
      </w:pPr>
    </w:p>
    <w:tbl>
      <w:tblPr>
        <w:tblLayout w:type="fixed"/>
        <w:tblInd w:w="670" w:type="dxa"/>
        <w:tblCellMar>
          <w:top w:w="0" w:type="dxa"/>
          <w:left w:w="0" w:type="dxa"/>
          <w:bottom w:w="0" w:type="dxa"/>
          <w:right w:w="0" w:type="dxa"/>
        </w:tblCellMar>
      </w:tblPr>
      <w:tr>
        <w:trPr>
          <w:trHeight w:val="214"/>
        </w:trPr>
        <w:tc>
          <w:tcPr>
            <w:tcW w:w="380" w:type="dxa"/>
            <w:vAlign w:val="bottom"/>
            <w:tcBorders>
              <w:top w:val="single" w:sz="8" w:color="auto"/>
              <w:left w:val="single" w:sz="8" w:color="auto"/>
              <w:bottom w:val="single" w:sz="8" w:color="auto"/>
            </w:tcBorders>
          </w:tcPr>
          <w:p>
            <w:pPr>
              <w:spacing w:after="0"/>
              <w:rPr>
                <w:sz w:val="18"/>
                <w:szCs w:val="18"/>
                <w:color w:val="auto"/>
              </w:rPr>
            </w:pPr>
          </w:p>
        </w:tc>
        <w:tc>
          <w:tcPr>
            <w:tcW w:w="2240" w:type="dxa"/>
            <w:vAlign w:val="bottom"/>
            <w:tcBorders>
              <w:top w:val="single" w:sz="8" w:color="auto"/>
              <w:bottom w:val="single" w:sz="8" w:color="auto"/>
            </w:tcBorders>
            <w:gridSpan w:val="3"/>
          </w:tcPr>
          <w:p>
            <w:pPr>
              <w:jc w:val="center"/>
              <w:ind w:left="484"/>
              <w:spacing w:after="0"/>
              <w:rPr>
                <w:sz w:val="20"/>
                <w:szCs w:val="20"/>
                <w:color w:val="auto"/>
              </w:rPr>
            </w:pPr>
            <w:r>
              <w:rPr>
                <w:rFonts w:ascii="Arial" w:cs="Arial" w:eastAsia="Arial" w:hAnsi="Arial"/>
                <w:sz w:val="7"/>
                <w:szCs w:val="7"/>
                <w:b w:val="1"/>
                <w:bCs w:val="1"/>
                <w:color w:val="auto"/>
              </w:rPr>
              <w:t>RECKSON OPERATING PARTNERSHIP, L.P.</w:t>
            </w:r>
          </w:p>
        </w:tc>
        <w:tc>
          <w:tcPr>
            <w:tcW w:w="2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380" w:type="dxa"/>
            <w:vAlign w:val="bottom"/>
            <w:tcBorders>
              <w:left w:val="single" w:sz="8" w:color="auto"/>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7"/>
                <w:szCs w:val="7"/>
                <w:b w:val="1"/>
                <w:bCs w:val="1"/>
                <w:color w:val="auto"/>
              </w:rPr>
              <w:t>Revolving Credit Facility Covenants</w:t>
            </w: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380" w:type="dxa"/>
            <w:vAlign w:val="bottom"/>
            <w:tcBorders>
              <w:left w:val="single" w:sz="8" w:color="auto"/>
            </w:tcBorders>
          </w:tcPr>
          <w:p>
            <w:pPr>
              <w:spacing w:after="0"/>
              <w:rPr>
                <w:sz w:val="16"/>
                <w:szCs w:val="16"/>
                <w:color w:val="auto"/>
              </w:rPr>
            </w:pPr>
          </w:p>
        </w:tc>
        <w:tc>
          <w:tcPr>
            <w:tcW w:w="1700" w:type="dxa"/>
            <w:vAlign w:val="bottom"/>
          </w:tcPr>
          <w:p>
            <w:pPr>
              <w:spacing w:after="0"/>
              <w:rPr>
                <w:sz w:val="16"/>
                <w:szCs w:val="16"/>
                <w:color w:val="auto"/>
              </w:rPr>
            </w:pPr>
          </w:p>
        </w:tc>
        <w:tc>
          <w:tcPr>
            <w:tcW w:w="540" w:type="dxa"/>
            <w:vAlign w:val="bottom"/>
            <w:gridSpan w:val="2"/>
          </w:tcPr>
          <w:p>
            <w:pPr>
              <w:spacing w:after="0"/>
              <w:rPr>
                <w:sz w:val="20"/>
                <w:szCs w:val="20"/>
                <w:color w:val="auto"/>
              </w:rPr>
            </w:pPr>
            <w:r>
              <w:rPr>
                <w:rFonts w:ascii="Arial" w:cs="Arial" w:eastAsia="Arial" w:hAnsi="Arial"/>
                <w:sz w:val="7"/>
                <w:szCs w:val="7"/>
                <w:b w:val="1"/>
                <w:bCs w:val="1"/>
                <w:color w:val="auto"/>
              </w:rPr>
              <w:t>Actual</w:t>
            </w:r>
          </w:p>
        </w:tc>
        <w:tc>
          <w:tcPr>
            <w:tcW w:w="220" w:type="dxa"/>
            <w:vAlign w:val="bottom"/>
          </w:tcPr>
          <w:p>
            <w:pPr>
              <w:spacing w:after="0"/>
              <w:rPr>
                <w:sz w:val="16"/>
                <w:szCs w:val="16"/>
                <w:color w:val="auto"/>
              </w:rPr>
            </w:pPr>
          </w:p>
        </w:tc>
        <w:tc>
          <w:tcPr>
            <w:tcW w:w="700" w:type="dxa"/>
            <w:vAlign w:val="bottom"/>
            <w:tcBorders>
              <w:right w:val="single" w:sz="8" w:color="auto"/>
            </w:tcBorders>
            <w:gridSpan w:val="2"/>
          </w:tcPr>
          <w:p>
            <w:pPr>
              <w:jc w:val="center"/>
              <w:ind w:right="380"/>
              <w:spacing w:after="0"/>
              <w:rPr>
                <w:sz w:val="20"/>
                <w:szCs w:val="20"/>
                <w:color w:val="auto"/>
              </w:rPr>
            </w:pPr>
            <w:r>
              <w:rPr>
                <w:rFonts w:ascii="Arial" w:cs="Arial" w:eastAsia="Arial" w:hAnsi="Arial"/>
                <w:sz w:val="7"/>
                <w:szCs w:val="7"/>
                <w:b w:val="1"/>
                <w:bCs w:val="1"/>
                <w:color w:val="auto"/>
              </w:rPr>
              <w:t>Required</w:t>
            </w:r>
          </w:p>
        </w:tc>
        <w:tc>
          <w:tcPr>
            <w:tcW w:w="0" w:type="dxa"/>
            <w:vAlign w:val="bottom"/>
          </w:tcPr>
          <w:p>
            <w:pPr>
              <w:spacing w:after="0"/>
              <w:rPr>
                <w:sz w:val="1"/>
                <w:szCs w:val="1"/>
                <w:color w:val="auto"/>
              </w:rPr>
            </w:pPr>
          </w:p>
        </w:tc>
      </w:tr>
      <w:tr>
        <w:trPr>
          <w:trHeight w:val="20"/>
        </w:trPr>
        <w:tc>
          <w:tcPr>
            <w:tcW w:w="380" w:type="dxa"/>
            <w:vAlign w:val="bottom"/>
            <w:tcBorders>
              <w:left w:val="single" w:sz="8" w:color="auto"/>
            </w:tcBorders>
          </w:tcPr>
          <w:p>
            <w:pPr>
              <w:spacing w:after="0" w:line="20" w:lineRule="exact"/>
              <w:rPr>
                <w:sz w:val="1"/>
                <w:szCs w:val="1"/>
                <w:color w:val="auto"/>
              </w:rPr>
            </w:pPr>
          </w:p>
        </w:tc>
        <w:tc>
          <w:tcPr>
            <w:tcW w:w="1700" w:type="dxa"/>
            <w:vAlign w:val="bottom"/>
            <w:vMerge w:val="restart"/>
          </w:tcPr>
          <w:p>
            <w:pPr>
              <w:jc w:val="right"/>
              <w:ind w:right="144"/>
              <w:spacing w:after="0"/>
              <w:rPr>
                <w:sz w:val="20"/>
                <w:szCs w:val="20"/>
                <w:color w:val="auto"/>
              </w:rPr>
            </w:pPr>
            <w:r>
              <w:rPr>
                <w:rFonts w:ascii="Arial" w:cs="Arial" w:eastAsia="Arial" w:hAnsi="Arial"/>
                <w:sz w:val="7"/>
                <w:szCs w:val="7"/>
                <w:b w:val="1"/>
                <w:bCs w:val="1"/>
                <w:color w:val="auto"/>
              </w:rPr>
              <w:t>Total Debt / Total Assets</w:t>
            </w:r>
          </w:p>
        </w:tc>
        <w:tc>
          <w:tcPr>
            <w:tcW w:w="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0" w:type="dxa"/>
            <w:vAlign w:val="bottom"/>
            <w:tcBorders>
              <w:left w:val="single" w:sz="8" w:color="auto"/>
            </w:tcBorders>
          </w:tcPr>
          <w:p>
            <w:pPr>
              <w:spacing w:after="0"/>
              <w:rPr>
                <w:sz w:val="18"/>
                <w:szCs w:val="18"/>
                <w:color w:val="auto"/>
              </w:rPr>
            </w:pPr>
          </w:p>
        </w:tc>
        <w:tc>
          <w:tcPr>
            <w:tcW w:w="1700" w:type="dxa"/>
            <w:vAlign w:val="bottom"/>
            <w:vMerge w:val="continue"/>
          </w:tcPr>
          <w:p>
            <w:pPr>
              <w:spacing w:after="0"/>
              <w:rPr>
                <w:sz w:val="18"/>
                <w:szCs w:val="18"/>
                <w:color w:val="auto"/>
              </w:rPr>
            </w:pPr>
          </w:p>
        </w:tc>
        <w:tc>
          <w:tcPr>
            <w:tcW w:w="220" w:type="dxa"/>
            <w:vAlign w:val="bottom"/>
          </w:tcPr>
          <w:p>
            <w:pPr>
              <w:jc w:val="center"/>
              <w:spacing w:after="0"/>
              <w:rPr>
                <w:sz w:val="20"/>
                <w:szCs w:val="20"/>
                <w:color w:val="auto"/>
              </w:rPr>
            </w:pPr>
            <w:r>
              <w:rPr>
                <w:rFonts w:ascii="Arial" w:cs="Arial" w:eastAsia="Arial" w:hAnsi="Arial"/>
                <w:sz w:val="7"/>
                <w:szCs w:val="7"/>
                <w:color w:val="auto"/>
              </w:rPr>
              <w:t>34.0%</w:t>
            </w:r>
          </w:p>
        </w:tc>
        <w:tc>
          <w:tcPr>
            <w:tcW w:w="320" w:type="dxa"/>
            <w:vAlign w:val="bottom"/>
          </w:tcPr>
          <w:p>
            <w:pPr>
              <w:spacing w:after="0"/>
              <w:rPr>
                <w:sz w:val="18"/>
                <w:szCs w:val="18"/>
                <w:color w:val="auto"/>
              </w:rPr>
            </w:pP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219"/>
        </w:trPr>
        <w:tc>
          <w:tcPr>
            <w:tcW w:w="380" w:type="dxa"/>
            <w:vAlign w:val="bottom"/>
            <w:tcBorders>
              <w:left w:val="single" w:sz="8" w:color="auto"/>
            </w:tcBorders>
          </w:tcPr>
          <w:p>
            <w:pPr>
              <w:spacing w:after="0"/>
              <w:rPr>
                <w:sz w:val="19"/>
                <w:szCs w:val="19"/>
                <w:color w:val="auto"/>
              </w:rPr>
            </w:pPr>
          </w:p>
        </w:tc>
        <w:tc>
          <w:tcPr>
            <w:tcW w:w="1700" w:type="dxa"/>
            <w:vAlign w:val="bottom"/>
          </w:tcPr>
          <w:p>
            <w:pPr>
              <w:jc w:val="right"/>
              <w:ind w:right="144"/>
              <w:spacing w:after="0"/>
              <w:rPr>
                <w:sz w:val="20"/>
                <w:szCs w:val="20"/>
                <w:color w:val="auto"/>
              </w:rPr>
            </w:pPr>
            <w:r>
              <w:rPr>
                <w:rFonts w:ascii="Arial" w:cs="Arial" w:eastAsia="Arial" w:hAnsi="Arial"/>
                <w:sz w:val="7"/>
                <w:szCs w:val="7"/>
                <w:b w:val="1"/>
                <w:bCs w:val="1"/>
                <w:color w:val="auto"/>
              </w:rPr>
              <w:t>Fixed Charge Coverage</w:t>
            </w:r>
          </w:p>
        </w:tc>
        <w:tc>
          <w:tcPr>
            <w:tcW w:w="540" w:type="dxa"/>
            <w:vAlign w:val="bottom"/>
            <w:gridSpan w:val="2"/>
          </w:tcPr>
          <w:p>
            <w:pPr>
              <w:jc w:val="center"/>
              <w:ind w:right="320"/>
              <w:spacing w:after="0"/>
              <w:rPr>
                <w:sz w:val="20"/>
                <w:szCs w:val="20"/>
                <w:color w:val="auto"/>
              </w:rPr>
            </w:pPr>
            <w:r>
              <w:rPr>
                <w:rFonts w:ascii="Arial" w:cs="Arial" w:eastAsia="Arial" w:hAnsi="Arial"/>
                <w:sz w:val="7"/>
                <w:szCs w:val="7"/>
                <w:color w:val="auto"/>
              </w:rPr>
              <w:t>5.26x</w:t>
            </w: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Greater than 1.5x</w:t>
            </w:r>
          </w:p>
        </w:tc>
        <w:tc>
          <w:tcPr>
            <w:tcW w:w="0" w:type="dxa"/>
            <w:vAlign w:val="bottom"/>
          </w:tcPr>
          <w:p>
            <w:pPr>
              <w:spacing w:after="0"/>
              <w:rPr>
                <w:sz w:val="1"/>
                <w:szCs w:val="1"/>
                <w:color w:val="auto"/>
              </w:rPr>
            </w:pPr>
          </w:p>
        </w:tc>
      </w:tr>
      <w:tr>
        <w:trPr>
          <w:trHeight w:val="219"/>
        </w:trPr>
        <w:tc>
          <w:tcPr>
            <w:tcW w:w="380" w:type="dxa"/>
            <w:vAlign w:val="bottom"/>
            <w:tcBorders>
              <w:left w:val="single" w:sz="8" w:color="auto"/>
            </w:tcBorders>
          </w:tcPr>
          <w:p>
            <w:pPr>
              <w:spacing w:after="0"/>
              <w:rPr>
                <w:sz w:val="19"/>
                <w:szCs w:val="19"/>
                <w:color w:val="auto"/>
              </w:rPr>
            </w:pPr>
          </w:p>
        </w:tc>
        <w:tc>
          <w:tcPr>
            <w:tcW w:w="1700" w:type="dxa"/>
            <w:vAlign w:val="bottom"/>
          </w:tcPr>
          <w:p>
            <w:pPr>
              <w:jc w:val="right"/>
              <w:ind w:right="144"/>
              <w:spacing w:after="0"/>
              <w:rPr>
                <w:sz w:val="20"/>
                <w:szCs w:val="20"/>
                <w:color w:val="auto"/>
              </w:rPr>
            </w:pPr>
            <w:r>
              <w:rPr>
                <w:rFonts w:ascii="Arial" w:cs="Arial" w:eastAsia="Arial" w:hAnsi="Arial"/>
                <w:sz w:val="7"/>
                <w:szCs w:val="7"/>
                <w:b w:val="1"/>
                <w:bCs w:val="1"/>
                <w:color w:val="auto"/>
              </w:rPr>
              <w:t>Secured Debt / Total Assets</w:t>
            </w:r>
          </w:p>
        </w:tc>
        <w:tc>
          <w:tcPr>
            <w:tcW w:w="220" w:type="dxa"/>
            <w:vAlign w:val="bottom"/>
          </w:tcPr>
          <w:p>
            <w:pPr>
              <w:jc w:val="center"/>
              <w:spacing w:after="0"/>
              <w:rPr>
                <w:sz w:val="20"/>
                <w:szCs w:val="20"/>
                <w:color w:val="auto"/>
              </w:rPr>
            </w:pPr>
            <w:r>
              <w:rPr>
                <w:rFonts w:ascii="Arial" w:cs="Arial" w:eastAsia="Arial" w:hAnsi="Arial"/>
                <w:sz w:val="7"/>
                <w:szCs w:val="7"/>
                <w:color w:val="auto"/>
              </w:rPr>
              <w:t>7.2%</w:t>
            </w:r>
          </w:p>
        </w:tc>
        <w:tc>
          <w:tcPr>
            <w:tcW w:w="320" w:type="dxa"/>
            <w:vAlign w:val="bottom"/>
          </w:tcPr>
          <w:p>
            <w:pPr>
              <w:spacing w:after="0"/>
              <w:rPr>
                <w:sz w:val="19"/>
                <w:szCs w:val="19"/>
                <w:color w:val="auto"/>
              </w:rPr>
            </w:pP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Less than 40%</w:t>
            </w:r>
          </w:p>
        </w:tc>
        <w:tc>
          <w:tcPr>
            <w:tcW w:w="0" w:type="dxa"/>
            <w:vAlign w:val="bottom"/>
          </w:tcPr>
          <w:p>
            <w:pPr>
              <w:spacing w:after="0"/>
              <w:rPr>
                <w:sz w:val="1"/>
                <w:szCs w:val="1"/>
                <w:color w:val="auto"/>
              </w:rPr>
            </w:pPr>
          </w:p>
        </w:tc>
      </w:tr>
      <w:tr>
        <w:trPr>
          <w:trHeight w:val="219"/>
        </w:trPr>
        <w:tc>
          <w:tcPr>
            <w:tcW w:w="380" w:type="dxa"/>
            <w:vAlign w:val="bottom"/>
            <w:tcBorders>
              <w:left w:val="single" w:sz="8" w:color="auto"/>
            </w:tcBorders>
          </w:tcPr>
          <w:p>
            <w:pPr>
              <w:spacing w:after="0"/>
              <w:rPr>
                <w:sz w:val="19"/>
                <w:szCs w:val="19"/>
                <w:color w:val="auto"/>
              </w:rPr>
            </w:pPr>
          </w:p>
        </w:tc>
        <w:tc>
          <w:tcPr>
            <w:tcW w:w="1700" w:type="dxa"/>
            <w:vAlign w:val="bottom"/>
          </w:tcPr>
          <w:p>
            <w:pPr>
              <w:jc w:val="right"/>
              <w:ind w:right="144"/>
              <w:spacing w:after="0"/>
              <w:rPr>
                <w:sz w:val="20"/>
                <w:szCs w:val="20"/>
                <w:color w:val="auto"/>
              </w:rPr>
            </w:pPr>
            <w:r>
              <w:rPr>
                <w:rFonts w:ascii="Arial" w:cs="Arial" w:eastAsia="Arial" w:hAnsi="Arial"/>
                <w:sz w:val="7"/>
                <w:szCs w:val="7"/>
                <w:b w:val="1"/>
                <w:bCs w:val="1"/>
                <w:color w:val="auto"/>
              </w:rPr>
              <w:t>Unsecured Debt / Unencumbered Assets</w:t>
            </w:r>
          </w:p>
        </w:tc>
        <w:tc>
          <w:tcPr>
            <w:tcW w:w="220" w:type="dxa"/>
            <w:vAlign w:val="bottom"/>
          </w:tcPr>
          <w:p>
            <w:pPr>
              <w:jc w:val="center"/>
              <w:spacing w:after="0"/>
              <w:rPr>
                <w:sz w:val="20"/>
                <w:szCs w:val="20"/>
                <w:color w:val="auto"/>
              </w:rPr>
            </w:pPr>
            <w:r>
              <w:rPr>
                <w:rFonts w:ascii="Arial" w:cs="Arial" w:eastAsia="Arial" w:hAnsi="Arial"/>
                <w:sz w:val="7"/>
                <w:szCs w:val="7"/>
                <w:color w:val="auto"/>
              </w:rPr>
              <w:t>38.5%</w:t>
            </w:r>
          </w:p>
        </w:tc>
        <w:tc>
          <w:tcPr>
            <w:tcW w:w="320" w:type="dxa"/>
            <w:vAlign w:val="bottom"/>
          </w:tcPr>
          <w:p>
            <w:pPr>
              <w:spacing w:after="0"/>
              <w:rPr>
                <w:sz w:val="19"/>
                <w:szCs w:val="19"/>
                <w:color w:val="auto"/>
              </w:rPr>
            </w:pPr>
          </w:p>
        </w:tc>
        <w:tc>
          <w:tcPr>
            <w:tcW w:w="920" w:type="dxa"/>
            <w:vAlign w:val="bottom"/>
            <w:tcBorders>
              <w:right w:val="single" w:sz="8" w:color="auto"/>
            </w:tcBorders>
            <w:gridSpan w:val="3"/>
          </w:tcPr>
          <w:p>
            <w:pPr>
              <w:jc w:val="center"/>
              <w:ind w:right="160"/>
              <w:spacing w:after="0"/>
              <w:rPr>
                <w:sz w:val="20"/>
                <w:szCs w:val="20"/>
                <w:color w:val="auto"/>
              </w:rPr>
            </w:pPr>
            <w:r>
              <w:rPr>
                <w:rFonts w:ascii="Arial" w:cs="Arial" w:eastAsia="Arial" w:hAnsi="Arial"/>
                <w:sz w:val="7"/>
                <w:szCs w:val="7"/>
                <w:color w:val="auto"/>
              </w:rPr>
              <w:t>Less than 60%</w:t>
            </w:r>
          </w:p>
        </w:tc>
        <w:tc>
          <w:tcPr>
            <w:tcW w:w="0" w:type="dxa"/>
            <w:vAlign w:val="bottom"/>
          </w:tcPr>
          <w:p>
            <w:pPr>
              <w:spacing w:after="0"/>
              <w:rPr>
                <w:sz w:val="1"/>
                <w:szCs w:val="1"/>
                <w:color w:val="auto"/>
              </w:rPr>
            </w:pPr>
          </w:p>
        </w:tc>
      </w:tr>
      <w:tr>
        <w:trPr>
          <w:trHeight w:val="122"/>
        </w:trPr>
        <w:tc>
          <w:tcPr>
            <w:tcW w:w="380" w:type="dxa"/>
            <w:vAlign w:val="bottom"/>
            <w:tcBorders>
              <w:left w:val="single" w:sz="8" w:color="auto"/>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3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8"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28</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sectPr>
      </w:pPr>
    </w:p>
    <w:bookmarkStart w:id="44" w:name="page45"/>
    <w:bookmarkEnd w:id="4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GROUND LEASE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5"/>
          </w:tcPr>
          <w:p>
            <w:pPr>
              <w:jc w:val="center"/>
              <w:ind w:right="300"/>
              <w:spacing w:after="0"/>
              <w:rPr>
                <w:sz w:val="20"/>
                <w:szCs w:val="20"/>
                <w:color w:val="auto"/>
              </w:rPr>
            </w:pPr>
            <w:r>
              <w:rPr>
                <w:rFonts w:ascii="Arial" w:cs="Arial" w:eastAsia="Arial" w:hAnsi="Arial"/>
                <w:sz w:val="13"/>
                <w:szCs w:val="13"/>
                <w:b w:val="1"/>
                <w:bCs w:val="1"/>
                <w:color w:val="auto"/>
                <w:w w:val="99"/>
              </w:rPr>
              <w:t>Deferred Land</w:t>
            </w: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4"/>
          </w:tcPr>
          <w:p>
            <w:pPr>
              <w:ind w:left="80"/>
              <w:spacing w:after="0"/>
              <w:rPr>
                <w:sz w:val="20"/>
                <w:szCs w:val="20"/>
                <w:color w:val="auto"/>
              </w:rPr>
            </w:pPr>
            <w:r>
              <w:rPr>
                <w:rFonts w:ascii="Arial" w:cs="Arial" w:eastAsia="Arial" w:hAnsi="Arial"/>
                <w:sz w:val="13"/>
                <w:szCs w:val="13"/>
                <w:b w:val="1"/>
                <w:bCs w:val="1"/>
                <w:color w:val="auto"/>
              </w:rPr>
              <w:t>2016 Scheduled</w:t>
            </w:r>
          </w:p>
        </w:tc>
        <w:tc>
          <w:tcPr>
            <w:tcW w:w="1260" w:type="dxa"/>
            <w:vAlign w:val="bottom"/>
            <w:gridSpan w:val="5"/>
          </w:tcPr>
          <w:p>
            <w:pPr>
              <w:ind w:left="140"/>
              <w:spacing w:after="0"/>
              <w:rPr>
                <w:sz w:val="20"/>
                <w:szCs w:val="20"/>
                <w:color w:val="auto"/>
              </w:rPr>
            </w:pPr>
            <w:r>
              <w:rPr>
                <w:rFonts w:ascii="Arial" w:cs="Arial" w:eastAsia="Arial" w:hAnsi="Arial"/>
                <w:sz w:val="13"/>
                <w:szCs w:val="13"/>
                <w:b w:val="1"/>
                <w:bCs w:val="1"/>
                <w:color w:val="auto"/>
              </w:rPr>
              <w:t>2017 Scheduled</w:t>
            </w:r>
          </w:p>
        </w:tc>
        <w:tc>
          <w:tcPr>
            <w:tcW w:w="124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w w:val="99"/>
              </w:rPr>
              <w:t>2018 Scheduled</w:t>
            </w:r>
          </w:p>
        </w:tc>
        <w:tc>
          <w:tcPr>
            <w:tcW w:w="12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2019 Scheduled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center"/>
              <w:ind w:right="640"/>
              <w:spacing w:after="0"/>
              <w:rPr>
                <w:sz w:val="20"/>
                <w:szCs w:val="20"/>
                <w:color w:val="auto"/>
              </w:rPr>
            </w:pPr>
            <w:r>
              <w:rPr>
                <w:rFonts w:ascii="Arial" w:cs="Arial" w:eastAsia="Arial" w:hAnsi="Arial"/>
                <w:sz w:val="13"/>
                <w:szCs w:val="13"/>
                <w:b w:val="1"/>
                <w:bCs w:val="1"/>
                <w:color w:val="auto"/>
              </w:rPr>
              <w:t>Lease</w:t>
            </w:r>
          </w:p>
        </w:tc>
        <w:tc>
          <w:tcPr>
            <w:tcW w:w="54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9"/>
              </w:rPr>
              <w:t>Year of</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20"/>
                <w:szCs w:val="20"/>
                <w:color w:val="auto"/>
              </w:rPr>
            </w:pPr>
            <w:r>
              <w:rPr>
                <w:rFonts w:ascii="Arial" w:cs="Arial" w:eastAsia="Arial" w:hAnsi="Arial"/>
                <w:sz w:val="13"/>
                <w:szCs w:val="13"/>
                <w:b w:val="1"/>
                <w:bCs w:val="1"/>
                <w:color w:val="auto"/>
                <w:w w:val="97"/>
              </w:rPr>
              <w:t>Property</w:t>
            </w:r>
          </w:p>
        </w:tc>
        <w:tc>
          <w:tcPr>
            <w:tcW w:w="1340" w:type="dxa"/>
            <w:vAlign w:val="bottom"/>
            <w:gridSpan w:val="2"/>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b w:val="1"/>
                <w:bCs w:val="1"/>
                <w:color w:val="auto"/>
                <w:w w:val="93"/>
              </w:rPr>
              <w:t>Cash Payment</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gridSpan w:val="3"/>
          </w:tcPr>
          <w:p>
            <w:pPr>
              <w:jc w:val="right"/>
              <w:spacing w:after="0"/>
              <w:rPr>
                <w:sz w:val="20"/>
                <w:szCs w:val="20"/>
                <w:color w:val="auto"/>
              </w:rPr>
            </w:pPr>
            <w:r>
              <w:rPr>
                <w:rFonts w:ascii="Arial" w:cs="Arial" w:eastAsia="Arial" w:hAnsi="Arial"/>
                <w:sz w:val="13"/>
                <w:szCs w:val="13"/>
                <w:b w:val="1"/>
                <w:bCs w:val="1"/>
                <w:color w:val="auto"/>
                <w:w w:val="93"/>
              </w:rPr>
              <w:t>Cash Payment</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5"/>
              </w:rPr>
              <w:t>Cash Payment</w:t>
            </w:r>
          </w:p>
        </w:tc>
        <w:tc>
          <w:tcPr>
            <w:tcW w:w="1260" w:type="dxa"/>
            <w:vAlign w:val="bottom"/>
            <w:gridSpan w:val="4"/>
          </w:tcPr>
          <w:p>
            <w:pPr>
              <w:jc w:val="center"/>
              <w:ind w:right="20"/>
              <w:spacing w:after="0"/>
              <w:rPr>
                <w:sz w:val="20"/>
                <w:szCs w:val="20"/>
                <w:color w:val="auto"/>
              </w:rPr>
            </w:pPr>
            <w:r>
              <w:rPr>
                <w:rFonts w:ascii="Arial" w:cs="Arial" w:eastAsia="Arial" w:hAnsi="Arial"/>
                <w:sz w:val="13"/>
                <w:szCs w:val="13"/>
                <w:b w:val="1"/>
                <w:bCs w:val="1"/>
                <w:color w:val="auto"/>
              </w:rPr>
              <w:t>Cash Payment</w:t>
            </w:r>
          </w:p>
        </w:tc>
        <w:tc>
          <w:tcPr>
            <w:tcW w:w="1500" w:type="dxa"/>
            <w:vAlign w:val="bottom"/>
            <w:gridSpan w:val="5"/>
          </w:tcPr>
          <w:p>
            <w:pPr>
              <w:jc w:val="center"/>
              <w:ind w:right="280"/>
              <w:spacing w:after="0" w:line="192" w:lineRule="exact"/>
              <w:rPr>
                <w:sz w:val="20"/>
                <w:szCs w:val="20"/>
                <w:color w:val="auto"/>
              </w:rPr>
            </w:pPr>
            <w:r>
              <w:rPr>
                <w:rFonts w:ascii="Arial" w:cs="Arial" w:eastAsia="Arial" w:hAnsi="Arial"/>
                <w:sz w:val="13"/>
                <w:szCs w:val="13"/>
                <w:b w:val="1"/>
                <w:bCs w:val="1"/>
                <w:color w:val="auto"/>
                <w:w w:val="96"/>
              </w:rPr>
              <w:t>Obligations</w:t>
            </w:r>
            <w:r>
              <w:rPr>
                <w:rFonts w:ascii="Arial" w:cs="Arial" w:eastAsia="Arial" w:hAnsi="Arial"/>
                <w:sz w:val="17"/>
                <w:szCs w:val="17"/>
                <w:b w:val="1"/>
                <w:bCs w:val="1"/>
                <w:color w:val="auto"/>
                <w:w w:val="96"/>
                <w:vertAlign w:val="superscript"/>
              </w:rPr>
              <w:t>(1)</w:t>
            </w:r>
          </w:p>
        </w:tc>
        <w:tc>
          <w:tcPr>
            <w:tcW w:w="5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8"/>
              </w:rPr>
              <w:t>Maturity</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780" w:type="dxa"/>
            <w:vAlign w:val="bottom"/>
            <w:gridSpan w:val="5"/>
          </w:tcPr>
          <w:p>
            <w:pPr>
              <w:spacing w:after="0"/>
              <w:rPr>
                <w:sz w:val="20"/>
                <w:szCs w:val="20"/>
                <w:color w:val="auto"/>
              </w:rPr>
            </w:pPr>
            <w:r>
              <w:rPr>
                <w:rFonts w:ascii="Arial" w:cs="Arial" w:eastAsia="Arial" w:hAnsi="Arial"/>
                <w:sz w:val="13"/>
                <w:szCs w:val="13"/>
                <w:b w:val="1"/>
                <w:bCs w:val="1"/>
                <w:color w:val="auto"/>
              </w:rPr>
              <w:t>Consolidated Ground Lease Arrangements</w:t>
            </w: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4"/>
        </w:trPr>
        <w:tc>
          <w:tcPr>
            <w:tcW w:w="20" w:type="dxa"/>
            <w:vAlign w:val="bottom"/>
            <w:tcBorders>
              <w:bottom w:val="single" w:sz="8" w:color="auto"/>
            </w:tcBorders>
          </w:tcPr>
          <w:p>
            <w:pPr>
              <w:spacing w:after="0"/>
              <w:rPr>
                <w:sz w:val="24"/>
                <w:szCs w:val="24"/>
                <w:color w:val="auto"/>
              </w:rPr>
            </w:pPr>
          </w:p>
        </w:tc>
        <w:tc>
          <w:tcPr>
            <w:tcW w:w="2680" w:type="dxa"/>
            <w:vAlign w:val="bottom"/>
            <w:tcBorders>
              <w:top w:val="single" w:sz="8" w:color="auto"/>
              <w:bottom w:val="single" w:sz="8" w:color="auto"/>
            </w:tcBorders>
            <w:gridSpan w:val="4"/>
          </w:tcPr>
          <w:p>
            <w:pPr>
              <w:spacing w:after="0"/>
              <w:rPr>
                <w:sz w:val="20"/>
                <w:szCs w:val="20"/>
                <w:color w:val="auto"/>
              </w:rPr>
            </w:pPr>
            <w:r>
              <w:rPr>
                <w:rFonts w:ascii="Arial" w:cs="Arial" w:eastAsia="Arial" w:hAnsi="Arial"/>
                <w:sz w:val="13"/>
                <w:szCs w:val="13"/>
                <w:b w:val="1"/>
                <w:bCs w:val="1"/>
                <w:color w:val="auto"/>
              </w:rPr>
              <w:t>Operating Leases</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625</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Madison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4,613</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4,613</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4,613</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4,613</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2022</w:t>
            </w:r>
          </w:p>
        </w:tc>
        <w:tc>
          <w:tcPr>
            <w:tcW w:w="40" w:type="dxa"/>
            <w:vAlign w:val="bottom"/>
          </w:tcPr>
          <w:p>
            <w:pPr>
              <w:spacing w:after="0"/>
              <w:rPr>
                <w:sz w:val="17"/>
                <w:szCs w:val="17"/>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219"/>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461</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Fifth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2,100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2,100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2,100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612</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2027</w:t>
            </w:r>
          </w:p>
        </w:tc>
        <w:tc>
          <w:tcPr>
            <w:tcW w:w="40" w:type="dxa"/>
            <w:vAlign w:val="bottom"/>
          </w:tcPr>
          <w:p>
            <w:pPr>
              <w:spacing w:after="0"/>
              <w:rPr>
                <w:sz w:val="19"/>
                <w:szCs w:val="19"/>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219"/>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711</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Third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5,354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5,500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5,500</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5,500</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1,160</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2033</w:t>
            </w:r>
          </w:p>
        </w:tc>
        <w:tc>
          <w:tcPr>
            <w:tcW w:w="40" w:type="dxa"/>
            <w:vAlign w:val="bottom"/>
          </w:tcPr>
          <w:p>
            <w:pPr>
              <w:spacing w:after="0"/>
              <w:rPr>
                <w:sz w:val="19"/>
                <w:szCs w:val="19"/>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1185 Avenue of the Americas</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6,909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6,909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6,909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6,909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2043</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420</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Lexington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10,899</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10,899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10,899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10,899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2050</w:t>
            </w:r>
          </w:p>
        </w:tc>
        <w:tc>
          <w:tcPr>
            <w:tcW w:w="40" w:type="dxa"/>
            <w:vAlign w:val="bottom"/>
          </w:tcPr>
          <w:p>
            <w:pPr>
              <w:spacing w:after="0"/>
              <w:rPr>
                <w:sz w:val="19"/>
                <w:szCs w:val="19"/>
                <w:color w:val="auto"/>
              </w:rPr>
            </w:pPr>
          </w:p>
        </w:tc>
        <w:tc>
          <w:tcPr>
            <w:tcW w:w="300" w:type="dxa"/>
            <w:vAlign w:val="bottom"/>
          </w:tcPr>
          <w:p>
            <w:pPr>
              <w:jc w:val="right"/>
              <w:ind w:right="34"/>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1055 Washington Blvd, Stamford</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615</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615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615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615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2090</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1080 Amsterdam Avenue</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209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209</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226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3"/>
                <w:szCs w:val="13"/>
                <w:color w:val="auto"/>
              </w:rPr>
              <w:t>—</w:t>
            </w:r>
          </w:p>
        </w:tc>
        <w:tc>
          <w:tcPr>
            <w:tcW w:w="500" w:type="dxa"/>
            <w:vAlign w:val="bottom"/>
          </w:tcPr>
          <w:p>
            <w:pPr>
              <w:jc w:val="center"/>
              <w:spacing w:after="0"/>
              <w:rPr>
                <w:sz w:val="20"/>
                <w:szCs w:val="20"/>
                <w:color w:val="auto"/>
              </w:rPr>
            </w:pPr>
            <w:r>
              <w:rPr>
                <w:rFonts w:ascii="Arial" w:cs="Arial" w:eastAsia="Arial" w:hAnsi="Arial"/>
                <w:sz w:val="13"/>
                <w:szCs w:val="13"/>
                <w:color w:val="auto"/>
              </w:rPr>
              <w:t>2111</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30 East 40th Street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204</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647</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2114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580"/>
              <w:spacing w:after="0"/>
              <w:rPr>
                <w:sz w:val="20"/>
                <w:szCs w:val="20"/>
                <w:color w:val="auto"/>
              </w:rPr>
            </w:pPr>
            <w:r>
              <w:rPr>
                <w:rFonts w:ascii="Arial" w:cs="Arial" w:eastAsia="Arial" w:hAnsi="Arial"/>
                <w:sz w:val="13"/>
                <w:szCs w:val="13"/>
                <w:b w:val="1"/>
                <w:bCs w:val="1"/>
                <w:color w:val="auto"/>
              </w:rPr>
              <w:t>Total</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30,816</w:t>
            </w:r>
          </w:p>
        </w:tc>
        <w:tc>
          <w:tcPr>
            <w:tcW w:w="160" w:type="dxa"/>
            <w:vAlign w:val="bottom"/>
          </w:tcPr>
          <w:p>
            <w:pPr>
              <w:spacing w:after="0"/>
              <w:rPr>
                <w:sz w:val="16"/>
                <w:szCs w:val="16"/>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b w:val="1"/>
                <w:bCs w:val="1"/>
                <w:color w:val="auto"/>
              </w:rPr>
              <w:t>31,049</w:t>
            </w:r>
          </w:p>
        </w:tc>
        <w:tc>
          <w:tcPr>
            <w:tcW w:w="180" w:type="dxa"/>
            <w:vAlign w:val="bottom"/>
          </w:tcPr>
          <w:p>
            <w:pPr>
              <w:spacing w:after="0"/>
              <w:rPr>
                <w:sz w:val="16"/>
                <w:szCs w:val="16"/>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b w:val="1"/>
                <w:bCs w:val="1"/>
                <w:color w:val="auto"/>
              </w:rPr>
              <w:t>31,049</w:t>
            </w:r>
          </w:p>
        </w:tc>
        <w:tc>
          <w:tcPr>
            <w:tcW w:w="1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31,066</w:t>
            </w:r>
          </w:p>
        </w:tc>
        <w:tc>
          <w:tcPr>
            <w:tcW w:w="1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2,419</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80" w:type="dxa"/>
            <w:vAlign w:val="bottom"/>
            <w:gridSpan w:val="5"/>
            <w:vMerge w:val="restart"/>
          </w:tcPr>
          <w:p>
            <w:pPr>
              <w:spacing w:after="0"/>
              <w:rPr>
                <w:sz w:val="20"/>
                <w:szCs w:val="20"/>
                <w:color w:val="auto"/>
              </w:rPr>
            </w:pPr>
            <w:r>
              <w:rPr>
                <w:rFonts w:ascii="Arial" w:cs="Arial" w:eastAsia="Arial" w:hAnsi="Arial"/>
                <w:sz w:val="13"/>
                <w:szCs w:val="13"/>
                <w:b w:val="1"/>
                <w:bCs w:val="1"/>
                <w:color w:val="auto"/>
              </w:rPr>
              <w:t>Capitalized Leases</w:t>
            </w: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vMerge w:val="continue"/>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1080 Amsterdam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170</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291</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291</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315</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21,500</w:t>
            </w: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2111</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2780" w:type="dxa"/>
            <w:vAlign w:val="bottom"/>
            <w:gridSpan w:val="5"/>
          </w:tcPr>
          <w:p>
            <w:pPr>
              <w:spacing w:after="0"/>
              <w:rPr>
                <w:sz w:val="20"/>
                <w:szCs w:val="20"/>
                <w:color w:val="auto"/>
              </w:rPr>
            </w:pPr>
            <w:r>
              <w:rPr>
                <w:rFonts w:ascii="Arial" w:cs="Arial" w:eastAsia="Arial" w:hAnsi="Arial"/>
                <w:sz w:val="13"/>
                <w:szCs w:val="13"/>
                <w:color w:val="auto"/>
              </w:rPr>
              <w:t>30 East 40th Street</w:t>
            </w: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2,096</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2,096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color w:val="auto"/>
              </w:rPr>
              <w:t>2,096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34"/>
              <w:spacing w:after="0"/>
              <w:rPr>
                <w:sz w:val="20"/>
                <w:szCs w:val="20"/>
                <w:color w:val="auto"/>
              </w:rPr>
            </w:pPr>
            <w:r>
              <w:rPr>
                <w:rFonts w:ascii="Arial" w:cs="Arial" w:eastAsia="Arial" w:hAnsi="Arial"/>
                <w:sz w:val="13"/>
                <w:szCs w:val="13"/>
                <w:color w:val="auto"/>
              </w:rPr>
              <w:t>2,096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color w:val="auto"/>
              </w:rPr>
              <w:t>20,452</w:t>
            </w:r>
          </w:p>
        </w:tc>
        <w:tc>
          <w:tcPr>
            <w:tcW w:w="500" w:type="dxa"/>
            <w:vAlign w:val="bottom"/>
          </w:tcPr>
          <w:p>
            <w:pPr>
              <w:spacing w:after="0"/>
              <w:rPr>
                <w:sz w:val="19"/>
                <w:szCs w:val="19"/>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2114</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340" w:type="dxa"/>
            <w:vAlign w:val="bottom"/>
            <w:gridSpan w:val="2"/>
          </w:tcPr>
          <w:p>
            <w:pPr>
              <w:ind w:left="580"/>
              <w:spacing w:after="0"/>
              <w:rPr>
                <w:sz w:val="20"/>
                <w:szCs w:val="20"/>
                <w:color w:val="auto"/>
              </w:rPr>
            </w:pPr>
            <w:r>
              <w:rPr>
                <w:rFonts w:ascii="Arial" w:cs="Arial" w:eastAsia="Arial" w:hAnsi="Arial"/>
                <w:sz w:val="13"/>
                <w:szCs w:val="13"/>
                <w:b w:val="1"/>
                <w:bCs w:val="1"/>
                <w:color w:val="auto"/>
              </w:rPr>
              <w:t>Total</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2,266</w:t>
            </w:r>
          </w:p>
        </w:tc>
        <w:tc>
          <w:tcPr>
            <w:tcW w:w="160" w:type="dxa"/>
            <w:vAlign w:val="bottom"/>
          </w:tcPr>
          <w:p>
            <w:pPr>
              <w:spacing w:after="0"/>
              <w:rPr>
                <w:sz w:val="16"/>
                <w:szCs w:val="16"/>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b w:val="1"/>
                <w:bCs w:val="1"/>
                <w:color w:val="auto"/>
              </w:rPr>
              <w:t>2,387</w:t>
            </w:r>
          </w:p>
        </w:tc>
        <w:tc>
          <w:tcPr>
            <w:tcW w:w="180" w:type="dxa"/>
            <w:vAlign w:val="bottom"/>
          </w:tcPr>
          <w:p>
            <w:pPr>
              <w:spacing w:after="0"/>
              <w:rPr>
                <w:sz w:val="16"/>
                <w:szCs w:val="16"/>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b w:val="1"/>
                <w:bCs w:val="1"/>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b w:val="1"/>
                <w:bCs w:val="1"/>
                <w:color w:val="auto"/>
              </w:rPr>
              <w:t>2,387</w:t>
            </w:r>
          </w:p>
        </w:tc>
        <w:tc>
          <w:tcPr>
            <w:tcW w:w="180" w:type="dxa"/>
            <w:vAlign w:val="bottom"/>
          </w:tcPr>
          <w:p>
            <w:pPr>
              <w:spacing w:after="0"/>
              <w:rPr>
                <w:sz w:val="16"/>
                <w:szCs w:val="16"/>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b w:val="1"/>
                <w:bCs w:val="1"/>
                <w:color w:val="auto"/>
              </w:rPr>
              <w:t>2,411</w:t>
            </w:r>
          </w:p>
        </w:tc>
        <w:tc>
          <w:tcPr>
            <w:tcW w:w="180" w:type="dxa"/>
            <w:vAlign w:val="bottom"/>
          </w:tcPr>
          <w:p>
            <w:pPr>
              <w:spacing w:after="0"/>
              <w:rPr>
                <w:sz w:val="16"/>
                <w:szCs w:val="16"/>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41,952</w:t>
            </w:r>
          </w:p>
        </w:tc>
        <w:tc>
          <w:tcPr>
            <w:tcW w:w="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4500" w:type="dxa"/>
            <w:vAlign w:val="bottom"/>
            <w:gridSpan w:val="12"/>
          </w:tcPr>
          <w:p>
            <w:pPr>
              <w:spacing w:after="0"/>
              <w:rPr>
                <w:sz w:val="20"/>
                <w:szCs w:val="20"/>
                <w:color w:val="auto"/>
              </w:rPr>
            </w:pPr>
            <w:r>
              <w:rPr>
                <w:rFonts w:ascii="Arial" w:cs="Arial" w:eastAsia="Arial" w:hAnsi="Arial"/>
                <w:sz w:val="13"/>
                <w:szCs w:val="13"/>
                <w:b w:val="1"/>
                <w:bCs w:val="1"/>
                <w:color w:val="auto"/>
              </w:rPr>
              <w:t>Unconsolidated Joint Venture Ground Lease Arrangement (SLG Share)</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20" w:type="dxa"/>
            <w:vAlign w:val="bottom"/>
            <w:tcBorders>
              <w:bottom w:val="single" w:sz="8" w:color="auto"/>
            </w:tcBorders>
          </w:tcPr>
          <w:p>
            <w:pPr>
              <w:spacing w:after="0"/>
              <w:rPr>
                <w:sz w:val="24"/>
                <w:szCs w:val="24"/>
                <w:color w:val="auto"/>
              </w:rPr>
            </w:pPr>
          </w:p>
        </w:tc>
        <w:tc>
          <w:tcPr>
            <w:tcW w:w="2780" w:type="dxa"/>
            <w:vAlign w:val="bottom"/>
            <w:tcBorders>
              <w:top w:val="single" w:sz="8" w:color="auto"/>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Operating Leases</w:t>
            </w:r>
          </w:p>
        </w:tc>
        <w:tc>
          <w:tcPr>
            <w:tcW w:w="1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64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650</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Fifth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1,167</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1,167</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1,183</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1,284</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1,947</w:t>
            </w: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2062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6"/>
        </w:trPr>
        <w:tc>
          <w:tcPr>
            <w:tcW w:w="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spacing w:after="0"/>
              <w:rPr>
                <w:sz w:val="20"/>
                <w:szCs w:val="20"/>
                <w:color w:val="auto"/>
              </w:rPr>
            </w:pPr>
            <w:r>
              <w:rPr>
                <w:rFonts w:ascii="Arial" w:cs="Arial" w:eastAsia="Arial" w:hAnsi="Arial"/>
                <w:sz w:val="13"/>
                <w:szCs w:val="13"/>
                <w:b w:val="1"/>
                <w:bCs w:val="1"/>
                <w:color w:val="auto"/>
              </w:rPr>
              <w:t>Capitalized Leases</w:t>
            </w: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60" w:type="dxa"/>
            <w:vAlign w:val="bottom"/>
            <w:gridSpan w:val="2"/>
          </w:tcPr>
          <w:p>
            <w:pPr>
              <w:ind w:left="20"/>
              <w:spacing w:after="0"/>
              <w:rPr>
                <w:sz w:val="20"/>
                <w:szCs w:val="20"/>
                <w:color w:val="auto"/>
              </w:rPr>
            </w:pPr>
            <w:r>
              <w:rPr>
                <w:rFonts w:ascii="Arial" w:cs="Arial" w:eastAsia="Arial" w:hAnsi="Arial"/>
                <w:sz w:val="13"/>
                <w:szCs w:val="13"/>
                <w:color w:val="auto"/>
              </w:rPr>
              <w:t>650</w:t>
            </w:r>
          </w:p>
        </w:tc>
        <w:tc>
          <w:tcPr>
            <w:tcW w:w="2540" w:type="dxa"/>
            <w:vAlign w:val="bottom"/>
            <w:gridSpan w:val="4"/>
          </w:tcPr>
          <w:p>
            <w:pPr>
              <w:ind w:left="20"/>
              <w:spacing w:after="0"/>
              <w:rPr>
                <w:sz w:val="20"/>
                <w:szCs w:val="20"/>
                <w:color w:val="auto"/>
              </w:rPr>
            </w:pPr>
            <w:r>
              <w:rPr>
                <w:rFonts w:ascii="Arial" w:cs="Arial" w:eastAsia="Arial" w:hAnsi="Arial"/>
                <w:sz w:val="13"/>
                <w:szCs w:val="13"/>
                <w:color w:val="auto"/>
              </w:rPr>
              <w:t>Fifth Avenue</w:t>
            </w:r>
          </w:p>
        </w:tc>
        <w:tc>
          <w:tcPr>
            <w:tcW w:w="40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6,086</w:t>
            </w:r>
          </w:p>
        </w:tc>
        <w:tc>
          <w:tcPr>
            <w:tcW w:w="160" w:type="dxa"/>
            <w:vAlign w:val="bottom"/>
          </w:tcPr>
          <w:p>
            <w:pPr>
              <w:spacing w:after="0"/>
              <w:rPr>
                <w:sz w:val="17"/>
                <w:szCs w:val="17"/>
                <w:color w:val="auto"/>
              </w:rPr>
            </w:pPr>
          </w:p>
        </w:tc>
        <w:tc>
          <w:tcPr>
            <w:tcW w:w="440" w:type="dxa"/>
            <w:vAlign w:val="bottom"/>
            <w:gridSpan w:val="2"/>
          </w:tcPr>
          <w:p>
            <w:pPr>
              <w:jc w:val="right"/>
              <w:ind w:right="54"/>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7"/>
                <w:szCs w:val="17"/>
                <w:color w:val="auto"/>
              </w:rPr>
            </w:pPr>
          </w:p>
        </w:tc>
        <w:tc>
          <w:tcPr>
            <w:tcW w:w="560" w:type="dxa"/>
            <w:vAlign w:val="bottom"/>
          </w:tcPr>
          <w:p>
            <w:pPr>
              <w:jc w:val="right"/>
              <w:ind w:right="34"/>
              <w:spacing w:after="0"/>
              <w:rPr>
                <w:sz w:val="20"/>
                <w:szCs w:val="20"/>
                <w:color w:val="auto"/>
              </w:rPr>
            </w:pPr>
            <w:r>
              <w:rPr>
                <w:rFonts w:ascii="Arial" w:cs="Arial" w:eastAsia="Arial" w:hAnsi="Arial"/>
                <w:sz w:val="13"/>
                <w:szCs w:val="13"/>
                <w:color w:val="auto"/>
              </w:rPr>
              <w:t>6,086</w:t>
            </w:r>
          </w:p>
        </w:tc>
        <w:tc>
          <w:tcPr>
            <w:tcW w:w="180" w:type="dxa"/>
            <w:vAlign w:val="bottom"/>
          </w:tcPr>
          <w:p>
            <w:pPr>
              <w:spacing w:after="0"/>
              <w:rPr>
                <w:sz w:val="17"/>
                <w:szCs w:val="17"/>
                <w:color w:val="auto"/>
              </w:rPr>
            </w:pPr>
          </w:p>
        </w:tc>
        <w:tc>
          <w:tcPr>
            <w:tcW w:w="440" w:type="dxa"/>
            <w:vAlign w:val="bottom"/>
            <w:gridSpan w:val="2"/>
          </w:tcPr>
          <w:p>
            <w:pPr>
              <w:jc w:val="right"/>
              <w:ind w:right="74"/>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4"/>
              <w:spacing w:after="0"/>
              <w:rPr>
                <w:sz w:val="20"/>
                <w:szCs w:val="20"/>
                <w:color w:val="auto"/>
              </w:rPr>
            </w:pPr>
            <w:r>
              <w:rPr>
                <w:rFonts w:ascii="Arial" w:cs="Arial" w:eastAsia="Arial" w:hAnsi="Arial"/>
                <w:sz w:val="13"/>
                <w:szCs w:val="13"/>
                <w:color w:val="auto"/>
              </w:rPr>
              <w:t>6,169</w:t>
            </w:r>
          </w:p>
        </w:tc>
        <w:tc>
          <w:tcPr>
            <w:tcW w:w="18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34"/>
              <w:spacing w:after="0"/>
              <w:rPr>
                <w:sz w:val="20"/>
                <w:szCs w:val="20"/>
                <w:color w:val="auto"/>
              </w:rPr>
            </w:pPr>
            <w:r>
              <w:rPr>
                <w:rFonts w:ascii="Arial" w:cs="Arial" w:eastAsia="Arial" w:hAnsi="Arial"/>
                <w:sz w:val="13"/>
                <w:szCs w:val="13"/>
                <w:color w:val="auto"/>
              </w:rPr>
              <w:t>6,695</w:t>
            </w:r>
          </w:p>
        </w:tc>
        <w:tc>
          <w:tcPr>
            <w:tcW w:w="180" w:type="dxa"/>
            <w:vAlign w:val="bottom"/>
          </w:tcPr>
          <w:p>
            <w:pPr>
              <w:spacing w:after="0"/>
              <w:rPr>
                <w:sz w:val="17"/>
                <w:szCs w:val="17"/>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3"/>
                <w:szCs w:val="13"/>
                <w:color w:val="auto"/>
              </w:rPr>
              <w:t>92,656</w:t>
            </w:r>
          </w:p>
        </w:tc>
        <w:tc>
          <w:tcPr>
            <w:tcW w:w="5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3"/>
                <w:szCs w:val="13"/>
                <w:color w:val="auto"/>
              </w:rPr>
              <w:t>2062</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70" w:lineRule="exact"/>
        <w:rPr>
          <w:sz w:val="20"/>
          <w:szCs w:val="20"/>
          <w:color w:val="auto"/>
        </w:rPr>
      </w:pPr>
    </w:p>
    <w:p>
      <w:pPr>
        <w:ind w:left="220" w:hanging="193"/>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Per the balance sheet at September 30, 2016.</w:t>
      </w:r>
    </w:p>
    <w:p>
      <w:pPr>
        <w:spacing w:after="0" w:line="47" w:lineRule="exact"/>
        <w:rPr>
          <w:rFonts w:ascii="Arial" w:cs="Arial" w:eastAsia="Arial" w:hAnsi="Arial"/>
          <w:sz w:val="13"/>
          <w:szCs w:val="13"/>
          <w:color w:val="auto"/>
        </w:rPr>
      </w:pPr>
    </w:p>
    <w:p>
      <w:pPr>
        <w:ind w:left="220" w:hanging="193"/>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Subject to renewal at the Company's option through 2054.</w:t>
      </w:r>
    </w:p>
    <w:p>
      <w:pPr>
        <w:spacing w:after="0" w:line="47" w:lineRule="exact"/>
        <w:rPr>
          <w:rFonts w:ascii="Arial" w:cs="Arial" w:eastAsia="Arial" w:hAnsi="Arial"/>
          <w:sz w:val="13"/>
          <w:szCs w:val="13"/>
          <w:color w:val="auto"/>
        </w:rPr>
      </w:pPr>
    </w:p>
    <w:p>
      <w:pPr>
        <w:ind w:left="220" w:hanging="193"/>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Company has an option to purchase the ground lease for a fixed price on a specific date.</w:t>
      </w:r>
    </w:p>
    <w:p>
      <w:pPr>
        <w:spacing w:after="0" w:line="47" w:lineRule="exact"/>
        <w:rPr>
          <w:rFonts w:ascii="Arial" w:cs="Arial" w:eastAsia="Arial" w:hAnsi="Arial"/>
          <w:sz w:val="13"/>
          <w:szCs w:val="13"/>
          <w:color w:val="auto"/>
        </w:rPr>
      </w:pPr>
    </w:p>
    <w:p>
      <w:pPr>
        <w:ind w:left="220" w:hanging="193"/>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50% of the annual ground rent payment as the Company owns 50% of the fee interest.</w:t>
      </w:r>
    </w:p>
    <w:p>
      <w:pPr>
        <w:spacing w:after="0" w:line="69" w:lineRule="exact"/>
        <w:rPr>
          <w:rFonts w:ascii="Arial" w:cs="Arial" w:eastAsia="Arial" w:hAnsi="Arial"/>
          <w:sz w:val="13"/>
          <w:szCs w:val="13"/>
          <w:color w:val="auto"/>
        </w:rPr>
      </w:pPr>
    </w:p>
    <w:p>
      <w:pPr>
        <w:ind w:left="220" w:hanging="193"/>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Subject to two 15-year renewals at the Company's option through 2080.</w:t>
      </w:r>
    </w:p>
    <w:p>
      <w:pPr>
        <w:spacing w:after="0" w:line="200" w:lineRule="exact"/>
        <w:rPr>
          <w:sz w:val="20"/>
          <w:szCs w:val="20"/>
          <w:color w:val="auto"/>
        </w:rPr>
      </w:pPr>
    </w:p>
    <w:p>
      <w:pPr>
        <w:spacing w:after="0" w:line="322"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29</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7" w:right="899" w:bottom="1440" w:gutter="0" w:footer="0" w:header="0"/>
        </w:sectPr>
      </w:pPr>
    </w:p>
    <w:bookmarkStart w:id="45" w:name="page46"/>
    <w:bookmarkEnd w:id="4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920" w:type="dxa"/>
        <w:tblCellMar>
          <w:top w:w="0" w:type="dxa"/>
          <w:left w:w="0" w:type="dxa"/>
          <w:bottom w:w="0" w:type="dxa"/>
          <w:right w:w="0" w:type="dxa"/>
        </w:tblCellMar>
      </w:tblPr>
      <w:tr>
        <w:trPr>
          <w:trHeight w:val="153"/>
        </w:trPr>
        <w:tc>
          <w:tcPr>
            <w:tcW w:w="3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340" w:type="dxa"/>
            <w:vAlign w:val="bottom"/>
            <w:gridSpan w:val="4"/>
          </w:tcPr>
          <w:p>
            <w:pPr>
              <w:jc w:val="center"/>
              <w:ind w:right="400"/>
              <w:spacing w:after="0"/>
              <w:rPr>
                <w:sz w:val="20"/>
                <w:szCs w:val="20"/>
                <w:color w:val="auto"/>
              </w:rPr>
            </w:pPr>
            <w:r>
              <w:rPr>
                <w:rFonts w:ascii="Arial" w:cs="Arial" w:eastAsia="Arial" w:hAnsi="Arial"/>
                <w:sz w:val="12"/>
                <w:szCs w:val="12"/>
                <w:b w:val="1"/>
                <w:bCs w:val="1"/>
                <w:color w:val="auto"/>
                <w:w w:val="97"/>
              </w:rPr>
              <w:t>Weighted Average Book</w:t>
            </w:r>
          </w:p>
        </w:tc>
        <w:tc>
          <w:tcPr>
            <w:tcW w:w="14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5"/>
              </w:rPr>
              <w:t>Weighted Average</w:t>
            </w:r>
          </w:p>
        </w:tc>
        <w:tc>
          <w:tcPr>
            <w:tcW w:w="780" w:type="dxa"/>
            <w:vAlign w:val="bottom"/>
            <w:gridSpan w:val="3"/>
          </w:tcPr>
          <w:p>
            <w:pPr>
              <w:ind w:left="360"/>
              <w:spacing w:after="0"/>
              <w:rPr>
                <w:sz w:val="20"/>
                <w:szCs w:val="20"/>
                <w:color w:val="auto"/>
              </w:rPr>
            </w:pPr>
            <w:r>
              <w:rPr>
                <w:rFonts w:ascii="Arial" w:cs="Arial" w:eastAsia="Arial" w:hAnsi="Arial"/>
                <w:sz w:val="12"/>
                <w:szCs w:val="12"/>
                <w:b w:val="1"/>
                <w:bCs w:val="1"/>
                <w:color w:val="auto"/>
                <w:w w:val="92"/>
              </w:rPr>
              <w:t>Current</w:t>
            </w:r>
          </w:p>
        </w:tc>
        <w:tc>
          <w:tcPr>
            <w:tcW w:w="0" w:type="dxa"/>
            <w:vAlign w:val="bottom"/>
          </w:tcPr>
          <w:p>
            <w:pPr>
              <w:spacing w:after="0"/>
              <w:rPr>
                <w:sz w:val="1"/>
                <w:szCs w:val="1"/>
                <w:color w:val="auto"/>
              </w:rPr>
            </w:pPr>
          </w:p>
        </w:tc>
      </w:tr>
      <w:tr>
        <w:trPr>
          <w:trHeight w:val="195"/>
        </w:trPr>
        <w:tc>
          <w:tcPr>
            <w:tcW w:w="3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Arial" w:cs="Arial" w:eastAsia="Arial" w:hAnsi="Arial"/>
                <w:sz w:val="12"/>
                <w:szCs w:val="12"/>
                <w:b w:val="1"/>
                <w:bCs w:val="1"/>
                <w:color w:val="auto"/>
                <w:w w:val="92"/>
              </w:rPr>
              <w:t xml:space="preserve">Book Value </w:t>
            </w:r>
            <w:r>
              <w:rPr>
                <w:rFonts w:ascii="Arial" w:cs="Arial" w:eastAsia="Arial" w:hAnsi="Arial"/>
                <w:sz w:val="14"/>
                <w:szCs w:val="14"/>
                <w:b w:val="1"/>
                <w:bCs w:val="1"/>
                <w:color w:val="auto"/>
                <w:w w:val="92"/>
                <w:vertAlign w:val="superscript"/>
              </w:rPr>
              <w:t>(1)</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20" w:type="dxa"/>
            <w:vAlign w:val="bottom"/>
            <w:gridSpan w:val="3"/>
          </w:tcPr>
          <w:p>
            <w:pPr>
              <w:jc w:val="center"/>
              <w:ind w:right="740"/>
              <w:spacing w:after="0"/>
              <w:rPr>
                <w:sz w:val="20"/>
                <w:szCs w:val="20"/>
                <w:color w:val="auto"/>
              </w:rPr>
            </w:pPr>
            <w:r>
              <w:rPr>
                <w:rFonts w:ascii="Arial" w:cs="Arial" w:eastAsia="Arial" w:hAnsi="Arial"/>
                <w:sz w:val="12"/>
                <w:szCs w:val="12"/>
                <w:b w:val="1"/>
                <w:bCs w:val="1"/>
                <w:color w:val="auto"/>
                <w:w w:val="94"/>
              </w:rPr>
              <w:t xml:space="preserve">Value During Quarter </w:t>
            </w:r>
            <w:r>
              <w:rPr>
                <w:rFonts w:ascii="Arial" w:cs="Arial" w:eastAsia="Arial" w:hAnsi="Arial"/>
                <w:sz w:val="14"/>
                <w:szCs w:val="14"/>
                <w:b w:val="1"/>
                <w:bCs w:val="1"/>
                <w:color w:val="auto"/>
                <w:w w:val="94"/>
                <w:vertAlign w:val="superscript"/>
              </w:rPr>
              <w:t>(2)</w:t>
            </w:r>
          </w:p>
        </w:tc>
        <w:tc>
          <w:tcPr>
            <w:tcW w:w="14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5"/>
              </w:rPr>
              <w:t>Yield During Quarter</w:t>
            </w:r>
          </w:p>
        </w:tc>
        <w:tc>
          <w:tcPr>
            <w:tcW w:w="360" w:type="dxa"/>
            <w:vAlign w:val="bottom"/>
          </w:tcPr>
          <w:p>
            <w:pPr>
              <w:spacing w:after="0"/>
              <w:rPr>
                <w:sz w:val="17"/>
                <w:szCs w:val="17"/>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w w:val="92"/>
              </w:rPr>
              <w:t xml:space="preserve">Yield </w:t>
            </w:r>
            <w:r>
              <w:rPr>
                <w:rFonts w:ascii="Arial" w:cs="Arial" w:eastAsia="Arial" w:hAnsi="Arial"/>
                <w:sz w:val="14"/>
                <w:szCs w:val="14"/>
                <w:b w:val="1"/>
                <w:bCs w:val="1"/>
                <w:color w:val="auto"/>
                <w:w w:val="92"/>
                <w:vertAlign w:val="superscript"/>
              </w:rPr>
              <w:t>(3)</w:t>
            </w:r>
          </w:p>
        </w:tc>
        <w:tc>
          <w:tcPr>
            <w:tcW w:w="0" w:type="dxa"/>
            <w:vAlign w:val="bottom"/>
          </w:tcPr>
          <w:p>
            <w:pPr>
              <w:spacing w:after="0"/>
              <w:rPr>
                <w:sz w:val="1"/>
                <w:szCs w:val="1"/>
                <w:color w:val="auto"/>
              </w:rPr>
            </w:pPr>
          </w:p>
        </w:tc>
      </w:tr>
      <w:tr>
        <w:trPr>
          <w:trHeight w:val="20"/>
        </w:trPr>
        <w:tc>
          <w:tcPr>
            <w:tcW w:w="3120" w:type="dxa"/>
            <w:vAlign w:val="bottom"/>
            <w:vMerge w:val="restart"/>
          </w:tcPr>
          <w:p>
            <w:pPr>
              <w:jc w:val="right"/>
              <w:ind w:right="682"/>
              <w:spacing w:after="0"/>
              <w:rPr>
                <w:sz w:val="20"/>
                <w:szCs w:val="20"/>
                <w:color w:val="auto"/>
              </w:rPr>
            </w:pPr>
            <w:r>
              <w:rPr>
                <w:rFonts w:ascii="Arial" w:cs="Arial" w:eastAsia="Arial" w:hAnsi="Arial"/>
                <w:sz w:val="12"/>
                <w:szCs w:val="12"/>
                <w:b w:val="1"/>
                <w:bCs w:val="1"/>
                <w:color w:val="auto"/>
              </w:rPr>
              <w:t>9/30/2015</w:t>
            </w: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4"/>
        </w:trPr>
        <w:tc>
          <w:tcPr>
            <w:tcW w:w="3120" w:type="dxa"/>
            <w:vAlign w:val="bottom"/>
            <w:vMerge w:val="continue"/>
          </w:tcPr>
          <w:p>
            <w:pPr>
              <w:spacing w:after="0"/>
              <w:rPr>
                <w:sz w:val="24"/>
                <w:szCs w:val="24"/>
                <w:color w:val="auto"/>
              </w:rPr>
            </w:pPr>
          </w:p>
        </w:tc>
        <w:tc>
          <w:tcPr>
            <w:tcW w:w="200" w:type="dxa"/>
            <w:vAlign w:val="bottom"/>
            <w:gridSpan w:val="2"/>
          </w:tcPr>
          <w:p>
            <w:pPr>
              <w:jc w:val="right"/>
              <w:ind w:right="62"/>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1,501,619</w:t>
            </w:r>
          </w:p>
        </w:tc>
        <w:tc>
          <w:tcPr>
            <w:tcW w:w="380" w:type="dxa"/>
            <w:vAlign w:val="bottom"/>
          </w:tcPr>
          <w:p>
            <w:pPr>
              <w:spacing w:after="0"/>
              <w:rPr>
                <w:sz w:val="24"/>
                <w:szCs w:val="24"/>
                <w:color w:val="auto"/>
              </w:rPr>
            </w:pPr>
          </w:p>
        </w:tc>
        <w:tc>
          <w:tcPr>
            <w:tcW w:w="62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2"/>
              <w:spacing w:after="0"/>
              <w:rPr>
                <w:sz w:val="20"/>
                <w:szCs w:val="20"/>
                <w:color w:val="auto"/>
              </w:rPr>
            </w:pPr>
            <w:r>
              <w:rPr>
                <w:rFonts w:ascii="Arial" w:cs="Arial" w:eastAsia="Arial" w:hAnsi="Arial"/>
                <w:sz w:val="12"/>
                <w:szCs w:val="12"/>
                <w:color w:val="auto"/>
              </w:rPr>
              <w:t>1,599,153</w:t>
            </w:r>
          </w:p>
        </w:tc>
        <w:tc>
          <w:tcPr>
            <w:tcW w:w="84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8"/>
              </w:rPr>
              <w:t>10.10%</w:t>
            </w:r>
          </w:p>
        </w:tc>
        <w:tc>
          <w:tcPr>
            <w:tcW w:w="360" w:type="dxa"/>
            <w:vAlign w:val="bottom"/>
          </w:tcPr>
          <w:p>
            <w:pPr>
              <w:spacing w:after="0"/>
              <w:rPr>
                <w:sz w:val="24"/>
                <w:szCs w:val="24"/>
                <w:color w:val="auto"/>
              </w:rPr>
            </w:pPr>
          </w:p>
        </w:tc>
        <w:tc>
          <w:tcPr>
            <w:tcW w:w="780" w:type="dxa"/>
            <w:vAlign w:val="bottom"/>
            <w:gridSpan w:val="3"/>
          </w:tcPr>
          <w:p>
            <w:pPr>
              <w:jc w:val="center"/>
              <w:ind w:left="282"/>
              <w:spacing w:after="0"/>
              <w:rPr>
                <w:sz w:val="20"/>
                <w:szCs w:val="20"/>
                <w:color w:val="auto"/>
              </w:rPr>
            </w:pPr>
            <w:r>
              <w:rPr>
                <w:rFonts w:ascii="Arial" w:cs="Arial" w:eastAsia="Arial" w:hAnsi="Arial"/>
                <w:sz w:val="12"/>
                <w:szCs w:val="12"/>
                <w:color w:val="auto"/>
                <w:w w:val="98"/>
              </w:rPr>
              <w:t>10.25%</w:t>
            </w:r>
          </w:p>
        </w:tc>
        <w:tc>
          <w:tcPr>
            <w:tcW w:w="0" w:type="dxa"/>
            <w:vAlign w:val="bottom"/>
          </w:tcPr>
          <w:p>
            <w:pPr>
              <w:spacing w:after="0"/>
              <w:rPr>
                <w:sz w:val="1"/>
                <w:szCs w:val="1"/>
                <w:color w:val="auto"/>
              </w:rPr>
            </w:pPr>
          </w:p>
        </w:tc>
      </w:tr>
      <w:tr>
        <w:trPr>
          <w:trHeight w:val="522"/>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316,508</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27</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2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(148,134)</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jc w:val="right"/>
              <w:ind w:right="682"/>
              <w:spacing w:after="0"/>
              <w:rPr>
                <w:sz w:val="20"/>
                <w:szCs w:val="20"/>
                <w:color w:val="auto"/>
              </w:rPr>
            </w:pPr>
            <w:r>
              <w:rPr>
                <w:rFonts w:ascii="Arial" w:cs="Arial" w:eastAsia="Arial" w:hAnsi="Arial"/>
                <w:sz w:val="12"/>
                <w:szCs w:val="12"/>
                <w:b w:val="1"/>
                <w:bCs w:val="1"/>
                <w:color w:val="auto"/>
              </w:rPr>
              <w:t>12/31/2015</w:t>
            </w:r>
          </w:p>
        </w:tc>
        <w:tc>
          <w:tcPr>
            <w:tcW w:w="200" w:type="dxa"/>
            <w:vAlign w:val="bottom"/>
            <w:gridSpan w:val="2"/>
          </w:tcPr>
          <w:p>
            <w:pPr>
              <w:jc w:val="right"/>
              <w:ind w:right="62"/>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1,670,020</w:t>
            </w:r>
          </w:p>
        </w:tc>
        <w:tc>
          <w:tcPr>
            <w:tcW w:w="380" w:type="dxa"/>
            <w:vAlign w:val="bottom"/>
          </w:tcPr>
          <w:p>
            <w:pPr>
              <w:spacing w:after="0"/>
              <w:rPr>
                <w:sz w:val="17"/>
                <w:szCs w:val="17"/>
                <w:color w:val="auto"/>
              </w:rPr>
            </w:pPr>
          </w:p>
        </w:tc>
        <w:tc>
          <w:tcPr>
            <w:tcW w:w="62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2"/>
              <w:spacing w:after="0"/>
              <w:rPr>
                <w:sz w:val="20"/>
                <w:szCs w:val="20"/>
                <w:color w:val="auto"/>
              </w:rPr>
            </w:pPr>
            <w:r>
              <w:rPr>
                <w:rFonts w:ascii="Arial" w:cs="Arial" w:eastAsia="Arial" w:hAnsi="Arial"/>
                <w:sz w:val="12"/>
                <w:szCs w:val="12"/>
                <w:color w:val="auto"/>
              </w:rPr>
              <w:t>1,553,949</w:t>
            </w:r>
          </w:p>
        </w:tc>
        <w:tc>
          <w:tcPr>
            <w:tcW w:w="8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8"/>
              </w:rPr>
              <w:t>10.29%</w:t>
            </w:r>
          </w:p>
        </w:tc>
        <w:tc>
          <w:tcPr>
            <w:tcW w:w="360" w:type="dxa"/>
            <w:vAlign w:val="bottom"/>
          </w:tcPr>
          <w:p>
            <w:pPr>
              <w:spacing w:after="0"/>
              <w:rPr>
                <w:sz w:val="17"/>
                <w:szCs w:val="17"/>
                <w:color w:val="auto"/>
              </w:rPr>
            </w:pPr>
          </w:p>
        </w:tc>
        <w:tc>
          <w:tcPr>
            <w:tcW w:w="780" w:type="dxa"/>
            <w:vAlign w:val="bottom"/>
            <w:gridSpan w:val="3"/>
          </w:tcPr>
          <w:p>
            <w:pPr>
              <w:jc w:val="center"/>
              <w:ind w:left="282"/>
              <w:spacing w:after="0"/>
              <w:rPr>
                <w:sz w:val="20"/>
                <w:szCs w:val="20"/>
                <w:color w:val="auto"/>
              </w:rPr>
            </w:pPr>
            <w:r>
              <w:rPr>
                <w:rFonts w:ascii="Arial" w:cs="Arial" w:eastAsia="Arial" w:hAnsi="Arial"/>
                <w:sz w:val="12"/>
                <w:szCs w:val="12"/>
                <w:color w:val="auto"/>
                <w:w w:val="98"/>
              </w:rPr>
              <w:t>10.17%</w:t>
            </w:r>
          </w:p>
        </w:tc>
        <w:tc>
          <w:tcPr>
            <w:tcW w:w="0" w:type="dxa"/>
            <w:vAlign w:val="bottom"/>
          </w:tcPr>
          <w:p>
            <w:pPr>
              <w:spacing w:after="0"/>
              <w:rPr>
                <w:sz w:val="1"/>
                <w:szCs w:val="1"/>
                <w:color w:val="auto"/>
              </w:rPr>
            </w:pPr>
          </w:p>
        </w:tc>
      </w:tr>
      <w:tr>
        <w:trPr>
          <w:trHeight w:val="522"/>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128,193</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604</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2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(420,201)</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jc w:val="right"/>
              <w:ind w:right="682"/>
              <w:spacing w:after="0"/>
              <w:rPr>
                <w:sz w:val="20"/>
                <w:szCs w:val="20"/>
                <w:color w:val="auto"/>
              </w:rPr>
            </w:pPr>
            <w:r>
              <w:rPr>
                <w:rFonts w:ascii="Arial" w:cs="Arial" w:eastAsia="Arial" w:hAnsi="Arial"/>
                <w:sz w:val="12"/>
                <w:szCs w:val="12"/>
                <w:b w:val="1"/>
                <w:bCs w:val="1"/>
                <w:color w:val="auto"/>
              </w:rPr>
              <w:t>3/31/2016</w:t>
            </w:r>
          </w:p>
        </w:tc>
        <w:tc>
          <w:tcPr>
            <w:tcW w:w="200" w:type="dxa"/>
            <w:vAlign w:val="bottom"/>
            <w:gridSpan w:val="2"/>
          </w:tcPr>
          <w:p>
            <w:pPr>
              <w:jc w:val="right"/>
              <w:ind w:right="62"/>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1,378,616</w:t>
            </w:r>
          </w:p>
        </w:tc>
        <w:tc>
          <w:tcPr>
            <w:tcW w:w="380" w:type="dxa"/>
            <w:vAlign w:val="bottom"/>
          </w:tcPr>
          <w:p>
            <w:pPr>
              <w:spacing w:after="0"/>
              <w:rPr>
                <w:sz w:val="17"/>
                <w:szCs w:val="17"/>
                <w:color w:val="auto"/>
              </w:rPr>
            </w:pPr>
          </w:p>
        </w:tc>
        <w:tc>
          <w:tcPr>
            <w:tcW w:w="62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2"/>
              <w:spacing w:after="0"/>
              <w:rPr>
                <w:sz w:val="20"/>
                <w:szCs w:val="20"/>
                <w:color w:val="auto"/>
              </w:rPr>
            </w:pPr>
            <w:r>
              <w:rPr>
                <w:rFonts w:ascii="Arial" w:cs="Arial" w:eastAsia="Arial" w:hAnsi="Arial"/>
                <w:sz w:val="12"/>
                <w:szCs w:val="12"/>
                <w:color w:val="auto"/>
              </w:rPr>
              <w:t>1,652,321</w:t>
            </w:r>
          </w:p>
        </w:tc>
        <w:tc>
          <w:tcPr>
            <w:tcW w:w="8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8"/>
              </w:rPr>
              <w:t>10.35%</w:t>
            </w:r>
          </w:p>
        </w:tc>
        <w:tc>
          <w:tcPr>
            <w:tcW w:w="360" w:type="dxa"/>
            <w:vAlign w:val="bottom"/>
          </w:tcPr>
          <w:p>
            <w:pPr>
              <w:spacing w:after="0"/>
              <w:rPr>
                <w:sz w:val="17"/>
                <w:szCs w:val="17"/>
                <w:color w:val="auto"/>
              </w:rPr>
            </w:pPr>
          </w:p>
        </w:tc>
        <w:tc>
          <w:tcPr>
            <w:tcW w:w="780" w:type="dxa"/>
            <w:vAlign w:val="bottom"/>
            <w:gridSpan w:val="3"/>
          </w:tcPr>
          <w:p>
            <w:pPr>
              <w:jc w:val="center"/>
              <w:ind w:left="282"/>
              <w:spacing w:after="0"/>
              <w:rPr>
                <w:sz w:val="20"/>
                <w:szCs w:val="20"/>
                <w:color w:val="auto"/>
              </w:rPr>
            </w:pPr>
            <w:r>
              <w:rPr>
                <w:rFonts w:ascii="Arial" w:cs="Arial" w:eastAsia="Arial" w:hAnsi="Arial"/>
                <w:sz w:val="12"/>
                <w:szCs w:val="12"/>
                <w:color w:val="auto"/>
                <w:w w:val="98"/>
              </w:rPr>
              <w:t>10.39%</w:t>
            </w:r>
          </w:p>
        </w:tc>
        <w:tc>
          <w:tcPr>
            <w:tcW w:w="0" w:type="dxa"/>
            <w:vAlign w:val="bottom"/>
          </w:tcPr>
          <w:p>
            <w:pPr>
              <w:spacing w:after="0"/>
              <w:rPr>
                <w:sz w:val="1"/>
                <w:szCs w:val="1"/>
                <w:color w:val="auto"/>
              </w:rPr>
            </w:pPr>
          </w:p>
        </w:tc>
      </w:tr>
      <w:tr>
        <w:trPr>
          <w:trHeight w:val="522"/>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125,993</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255</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2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(147,683)</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jc w:val="right"/>
              <w:ind w:right="682"/>
              <w:spacing w:after="0"/>
              <w:rPr>
                <w:sz w:val="20"/>
                <w:szCs w:val="20"/>
                <w:color w:val="auto"/>
              </w:rPr>
            </w:pPr>
            <w:r>
              <w:rPr>
                <w:rFonts w:ascii="Arial" w:cs="Arial" w:eastAsia="Arial" w:hAnsi="Arial"/>
                <w:sz w:val="12"/>
                <w:szCs w:val="12"/>
                <w:b w:val="1"/>
                <w:bCs w:val="1"/>
                <w:color w:val="auto"/>
              </w:rPr>
              <w:t>6/30/2016</w:t>
            </w:r>
          </w:p>
        </w:tc>
        <w:tc>
          <w:tcPr>
            <w:tcW w:w="200" w:type="dxa"/>
            <w:vAlign w:val="bottom"/>
            <w:gridSpan w:val="2"/>
          </w:tcPr>
          <w:p>
            <w:pPr>
              <w:jc w:val="right"/>
              <w:ind w:right="62"/>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1,357,181</w:t>
            </w:r>
          </w:p>
        </w:tc>
        <w:tc>
          <w:tcPr>
            <w:tcW w:w="380" w:type="dxa"/>
            <w:vAlign w:val="bottom"/>
          </w:tcPr>
          <w:p>
            <w:pPr>
              <w:spacing w:after="0"/>
              <w:rPr>
                <w:sz w:val="17"/>
                <w:szCs w:val="17"/>
                <w:color w:val="auto"/>
              </w:rPr>
            </w:pPr>
          </w:p>
        </w:tc>
        <w:tc>
          <w:tcPr>
            <w:tcW w:w="62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2"/>
              <w:spacing w:after="0"/>
              <w:rPr>
                <w:sz w:val="20"/>
                <w:szCs w:val="20"/>
                <w:color w:val="auto"/>
              </w:rPr>
            </w:pPr>
            <w:r>
              <w:rPr>
                <w:rFonts w:ascii="Arial" w:cs="Arial" w:eastAsia="Arial" w:hAnsi="Arial"/>
                <w:sz w:val="12"/>
                <w:szCs w:val="12"/>
                <w:color w:val="auto"/>
              </w:rPr>
              <w:t>1,373,151</w:t>
            </w:r>
          </w:p>
        </w:tc>
        <w:tc>
          <w:tcPr>
            <w:tcW w:w="8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3"/>
              </w:rPr>
              <w:t>9.50%</w:t>
            </w:r>
          </w:p>
        </w:tc>
        <w:tc>
          <w:tcPr>
            <w:tcW w:w="360" w:type="dxa"/>
            <w:vAlign w:val="bottom"/>
          </w:tcPr>
          <w:p>
            <w:pPr>
              <w:spacing w:after="0"/>
              <w:rPr>
                <w:sz w:val="17"/>
                <w:szCs w:val="17"/>
                <w:color w:val="auto"/>
              </w:rPr>
            </w:pPr>
          </w:p>
        </w:tc>
        <w:tc>
          <w:tcPr>
            <w:tcW w:w="780" w:type="dxa"/>
            <w:vAlign w:val="bottom"/>
            <w:gridSpan w:val="3"/>
          </w:tcPr>
          <w:p>
            <w:pPr>
              <w:jc w:val="center"/>
              <w:ind w:left="282"/>
              <w:spacing w:after="0"/>
              <w:rPr>
                <w:sz w:val="20"/>
                <w:szCs w:val="20"/>
                <w:color w:val="auto"/>
              </w:rPr>
            </w:pPr>
            <w:r>
              <w:rPr>
                <w:rFonts w:ascii="Arial" w:cs="Arial" w:eastAsia="Arial" w:hAnsi="Arial"/>
                <w:sz w:val="12"/>
                <w:szCs w:val="12"/>
                <w:color w:val="auto"/>
                <w:w w:val="93"/>
              </w:rPr>
              <w:t>9.40%</w:t>
            </w:r>
          </w:p>
        </w:tc>
        <w:tc>
          <w:tcPr>
            <w:tcW w:w="0" w:type="dxa"/>
            <w:vAlign w:val="bottom"/>
          </w:tcPr>
          <w:p>
            <w:pPr>
              <w:spacing w:after="0"/>
              <w:rPr>
                <w:sz w:val="1"/>
                <w:szCs w:val="1"/>
                <w:color w:val="auto"/>
              </w:rPr>
            </w:pPr>
          </w:p>
        </w:tc>
      </w:tr>
      <w:tr>
        <w:trPr>
          <w:trHeight w:val="522"/>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Debt originations/accretion</w:t>
            </w:r>
            <w:r>
              <w:rPr>
                <w:rFonts w:ascii="Arial" w:cs="Arial" w:eastAsia="Arial" w:hAnsi="Arial"/>
                <w:sz w:val="14"/>
                <w:szCs w:val="14"/>
                <w:color w:val="auto"/>
                <w:vertAlign w:val="superscript"/>
              </w:rPr>
              <w:t>(4)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330,576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3120" w:type="dxa"/>
            <w:vAlign w:val="bottom"/>
          </w:tcPr>
          <w:p>
            <w:pPr>
              <w:jc w:val="right"/>
              <w:ind w:right="682"/>
              <w:spacing w:after="0"/>
              <w:rPr>
                <w:sz w:val="20"/>
                <w:szCs w:val="20"/>
                <w:color w:val="auto"/>
              </w:rPr>
            </w:pPr>
            <w:r>
              <w:rPr>
                <w:rFonts w:ascii="Arial" w:cs="Arial" w:eastAsia="Arial" w:hAnsi="Arial"/>
                <w:sz w:val="12"/>
                <w:szCs w:val="12"/>
                <w:color w:val="auto"/>
              </w:rPr>
              <w:t>Preferred Equity originations/accretion</w:t>
            </w:r>
            <w:r>
              <w:rPr>
                <w:rFonts w:ascii="Arial" w:cs="Arial" w:eastAsia="Arial" w:hAnsi="Arial"/>
                <w:sz w:val="14"/>
                <w:szCs w:val="14"/>
                <w:color w:val="auto"/>
                <w:vertAlign w:val="superscript"/>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4,809</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3120" w:type="dxa"/>
            <w:vAlign w:val="bottom"/>
          </w:tcPr>
          <w:p>
            <w:pPr>
              <w:jc w:val="right"/>
              <w:ind w:right="682"/>
              <w:spacing w:after="0"/>
              <w:rPr>
                <w:sz w:val="20"/>
                <w:szCs w:val="20"/>
                <w:color w:val="auto"/>
              </w:rPr>
            </w:pPr>
            <w:r>
              <w:rPr>
                <w:rFonts w:ascii="Arial" w:cs="Arial" w:eastAsia="Arial" w:hAnsi="Arial"/>
                <w:sz w:val="12"/>
                <w:szCs w:val="12"/>
                <w:color w:val="auto"/>
                <w:w w:val="96"/>
              </w:rPr>
              <w:t>Redemptions/Sales/Syndications/Amortization</w:t>
            </w:r>
          </w:p>
        </w:tc>
        <w:tc>
          <w:tcPr>
            <w:tcW w:w="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(239,332)</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3120" w:type="dxa"/>
            <w:vAlign w:val="bottom"/>
          </w:tcPr>
          <w:p>
            <w:pPr>
              <w:jc w:val="right"/>
              <w:ind w:right="682"/>
              <w:spacing w:after="0"/>
              <w:rPr>
                <w:sz w:val="20"/>
                <w:szCs w:val="20"/>
                <w:color w:val="auto"/>
              </w:rPr>
            </w:pPr>
            <w:r>
              <w:rPr>
                <w:rFonts w:ascii="Arial" w:cs="Arial" w:eastAsia="Arial" w:hAnsi="Arial"/>
                <w:sz w:val="12"/>
                <w:szCs w:val="12"/>
                <w:b w:val="1"/>
                <w:bCs w:val="1"/>
                <w:color w:val="auto"/>
              </w:rPr>
              <w:t>9/30/2016</w:t>
            </w:r>
          </w:p>
        </w:tc>
        <w:tc>
          <w:tcPr>
            <w:tcW w:w="200" w:type="dxa"/>
            <w:vAlign w:val="bottom"/>
            <w:gridSpan w:val="2"/>
          </w:tcPr>
          <w:p>
            <w:pPr>
              <w:jc w:val="right"/>
              <w:ind w:right="62"/>
              <w:spacing w:after="0"/>
              <w:rPr>
                <w:sz w:val="20"/>
                <w:szCs w:val="20"/>
                <w:color w:val="auto"/>
              </w:rPr>
            </w:pPr>
            <w:r>
              <w:rPr>
                <w:rFonts w:ascii="Arial" w:cs="Arial" w:eastAsia="Arial" w:hAnsi="Arial"/>
                <w:sz w:val="12"/>
                <w:szCs w:val="12"/>
                <w:color w:val="auto"/>
                <w:w w:val="89"/>
              </w:rPr>
              <w:t>$</w:t>
            </w:r>
          </w:p>
        </w:tc>
        <w:tc>
          <w:tcPr>
            <w:tcW w:w="700" w:type="dxa"/>
            <w:vAlign w:val="bottom"/>
            <w:gridSpan w:val="2"/>
          </w:tcPr>
          <w:p>
            <w:pPr>
              <w:jc w:val="right"/>
              <w:ind w:right="80"/>
              <w:spacing w:after="0"/>
              <w:rPr>
                <w:sz w:val="20"/>
                <w:szCs w:val="20"/>
                <w:color w:val="auto"/>
              </w:rPr>
            </w:pPr>
            <w:r>
              <w:rPr>
                <w:rFonts w:ascii="Arial" w:cs="Arial" w:eastAsia="Arial" w:hAnsi="Arial"/>
                <w:sz w:val="12"/>
                <w:szCs w:val="12"/>
                <w:color w:val="auto"/>
              </w:rPr>
              <w:t>1,453,234</w:t>
            </w:r>
          </w:p>
        </w:tc>
        <w:tc>
          <w:tcPr>
            <w:tcW w:w="380" w:type="dxa"/>
            <w:vAlign w:val="bottom"/>
          </w:tcPr>
          <w:p>
            <w:pPr>
              <w:jc w:val="right"/>
              <w:ind w:right="244"/>
              <w:spacing w:after="0"/>
              <w:rPr>
                <w:sz w:val="20"/>
                <w:szCs w:val="20"/>
                <w:color w:val="auto"/>
              </w:rPr>
            </w:pPr>
            <w:r>
              <w:rPr>
                <w:rFonts w:ascii="Arial" w:cs="Arial" w:eastAsia="Arial" w:hAnsi="Arial"/>
                <w:sz w:val="7"/>
                <w:szCs w:val="7"/>
                <w:color w:val="auto"/>
                <w:w w:val="92"/>
              </w:rPr>
              <w:t>(5)</w:t>
            </w:r>
          </w:p>
        </w:tc>
        <w:tc>
          <w:tcPr>
            <w:tcW w:w="620" w:type="dxa"/>
            <w:vAlign w:val="bottom"/>
            <w:gridSpan w:val="2"/>
          </w:tcPr>
          <w:p>
            <w:pPr>
              <w:jc w:val="right"/>
              <w:ind w:right="102"/>
              <w:spacing w:after="0"/>
              <w:rPr>
                <w:sz w:val="20"/>
                <w:szCs w:val="20"/>
                <w:color w:val="auto"/>
              </w:rPr>
            </w:pPr>
            <w:r>
              <w:rPr>
                <w:rFonts w:ascii="Arial" w:cs="Arial" w:eastAsia="Arial" w:hAnsi="Arial"/>
                <w:sz w:val="12"/>
                <w:szCs w:val="12"/>
                <w:color w:val="auto"/>
              </w:rPr>
              <w:t>$</w:t>
            </w:r>
          </w:p>
        </w:tc>
        <w:tc>
          <w:tcPr>
            <w:tcW w:w="880" w:type="dxa"/>
            <w:vAlign w:val="bottom"/>
          </w:tcPr>
          <w:p>
            <w:pPr>
              <w:jc w:val="right"/>
              <w:ind w:right="142"/>
              <w:spacing w:after="0"/>
              <w:rPr>
                <w:sz w:val="20"/>
                <w:szCs w:val="20"/>
                <w:color w:val="auto"/>
              </w:rPr>
            </w:pPr>
            <w:r>
              <w:rPr>
                <w:rFonts w:ascii="Arial" w:cs="Arial" w:eastAsia="Arial" w:hAnsi="Arial"/>
                <w:sz w:val="12"/>
                <w:szCs w:val="12"/>
                <w:color w:val="auto"/>
              </w:rPr>
              <w:t>1,383,096</w:t>
            </w:r>
          </w:p>
        </w:tc>
        <w:tc>
          <w:tcPr>
            <w:tcW w:w="84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2"/>
                <w:szCs w:val="12"/>
                <w:color w:val="auto"/>
                <w:w w:val="93"/>
              </w:rPr>
              <w:t>9.37%</w:t>
            </w:r>
          </w:p>
        </w:tc>
        <w:tc>
          <w:tcPr>
            <w:tcW w:w="360" w:type="dxa"/>
            <w:vAlign w:val="bottom"/>
          </w:tcPr>
          <w:p>
            <w:pPr>
              <w:spacing w:after="0"/>
              <w:rPr>
                <w:sz w:val="17"/>
                <w:szCs w:val="17"/>
                <w:color w:val="auto"/>
              </w:rPr>
            </w:pPr>
          </w:p>
        </w:tc>
        <w:tc>
          <w:tcPr>
            <w:tcW w:w="780" w:type="dxa"/>
            <w:vAlign w:val="bottom"/>
            <w:gridSpan w:val="3"/>
          </w:tcPr>
          <w:p>
            <w:pPr>
              <w:jc w:val="center"/>
              <w:ind w:left="282"/>
              <w:spacing w:after="0"/>
              <w:rPr>
                <w:sz w:val="20"/>
                <w:szCs w:val="20"/>
                <w:color w:val="auto"/>
              </w:rPr>
            </w:pPr>
            <w:r>
              <w:rPr>
                <w:rFonts w:ascii="Arial" w:cs="Arial" w:eastAsia="Arial" w:hAnsi="Arial"/>
                <w:sz w:val="12"/>
                <w:szCs w:val="12"/>
                <w:color w:val="auto"/>
                <w:w w:val="93"/>
              </w:rPr>
              <w:t>9.23%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9" w:lineRule="exact"/>
        <w:rPr>
          <w:sz w:val="20"/>
          <w:szCs w:val="20"/>
          <w:color w:val="auto"/>
        </w:rPr>
      </w:pPr>
    </w:p>
    <w:p>
      <w:pPr>
        <w:ind w:left="180" w:hanging="148"/>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Net of unamortized fees, discounts, and premiums.</w:t>
      </w:r>
    </w:p>
    <w:p>
      <w:pPr>
        <w:spacing w:after="0" w:line="38" w:lineRule="exact"/>
        <w:rPr>
          <w:rFonts w:ascii="Arial" w:cs="Arial" w:eastAsia="Arial" w:hAnsi="Arial"/>
          <w:sz w:val="10"/>
          <w:szCs w:val="10"/>
          <w:color w:val="auto"/>
        </w:rPr>
      </w:pPr>
    </w:p>
    <w:p>
      <w:pPr>
        <w:ind w:left="180" w:hanging="148"/>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Excludes accelerated fee income resulting from early repayment.</w:t>
      </w:r>
    </w:p>
    <w:p>
      <w:pPr>
        <w:spacing w:after="0" w:line="38" w:lineRule="exact"/>
        <w:rPr>
          <w:rFonts w:ascii="Arial" w:cs="Arial" w:eastAsia="Arial" w:hAnsi="Arial"/>
          <w:sz w:val="10"/>
          <w:szCs w:val="10"/>
          <w:color w:val="auto"/>
        </w:rPr>
      </w:pPr>
    </w:p>
    <w:p>
      <w:pPr>
        <w:ind w:left="200" w:right="380" w:hanging="168"/>
        <w:spacing w:after="0" w:line="319" w:lineRule="auto"/>
        <w:tabs>
          <w:tab w:leader="none" w:pos="183" w:val="left"/>
        </w:tabs>
        <w:numPr>
          <w:ilvl w:val="0"/>
          <w:numId w:val="20"/>
        </w:numPr>
        <w:rPr>
          <w:rFonts w:ascii="Arial" w:cs="Arial" w:eastAsia="Arial" w:hAnsi="Arial"/>
          <w:sz w:val="10"/>
          <w:szCs w:val="10"/>
          <w:color w:val="auto"/>
        </w:rPr>
      </w:pPr>
      <w:r>
        <w:rPr>
          <w:rFonts w:ascii="Arial" w:cs="Arial" w:eastAsia="Arial" w:hAnsi="Arial"/>
          <w:sz w:val="10"/>
          <w:szCs w:val="10"/>
          <w:color w:val="auto"/>
        </w:rPr>
        <w:t>Calculated based on accounting income, which includes cash interest, paid-in-kind interest, fee accrual and amortization of discounts, recognized in the last month of the quarter, excluding accelerated fee income resulting from early repayment.</w:t>
      </w:r>
    </w:p>
    <w:p>
      <w:pPr>
        <w:ind w:left="180" w:hanging="148"/>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Accretion includes amortization of fees and discounts and paid-in-kind investment income.</w:t>
      </w:r>
    </w:p>
    <w:p>
      <w:pPr>
        <w:spacing w:after="0" w:line="38" w:lineRule="exact"/>
        <w:rPr>
          <w:rFonts w:ascii="Arial" w:cs="Arial" w:eastAsia="Arial" w:hAnsi="Arial"/>
          <w:sz w:val="10"/>
          <w:szCs w:val="10"/>
          <w:color w:val="auto"/>
        </w:rPr>
      </w:pPr>
    </w:p>
    <w:p>
      <w:pPr>
        <w:ind w:left="180" w:hanging="148"/>
        <w:spacing w:after="0"/>
        <w:tabs>
          <w:tab w:leader="none" w:pos="180" w:val="left"/>
        </w:tabs>
        <w:numPr>
          <w:ilvl w:val="0"/>
          <w:numId w:val="20"/>
        </w:numPr>
        <w:rPr>
          <w:rFonts w:ascii="Arial" w:cs="Arial" w:eastAsia="Arial" w:hAnsi="Arial"/>
          <w:sz w:val="10"/>
          <w:szCs w:val="10"/>
          <w:color w:val="auto"/>
        </w:rPr>
      </w:pPr>
      <w:r>
        <w:rPr>
          <w:rFonts w:ascii="Arial" w:cs="Arial" w:eastAsia="Arial" w:hAnsi="Arial"/>
          <w:sz w:val="10"/>
          <w:szCs w:val="10"/>
          <w:color w:val="auto"/>
        </w:rPr>
        <w:t>Excludes debt and preferred equity investments totaling $338.0 million with a weighted average current yield of 7.84% that are included in other balance sheet line items.</w:t>
      </w:r>
    </w:p>
    <w:p>
      <w:pPr>
        <w:spacing w:after="0" w:line="200" w:lineRule="exact"/>
        <w:rPr>
          <w:sz w:val="20"/>
          <w:szCs w:val="20"/>
          <w:color w:val="auto"/>
        </w:rPr>
      </w:pPr>
    </w:p>
    <w:p>
      <w:pPr>
        <w:spacing w:after="0" w:line="319"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30</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sectPr>
      </w:pPr>
    </w:p>
    <w:bookmarkStart w:id="46" w:name="page47"/>
    <w:bookmarkEnd w:id="4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DEBT AND PREFERRED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Square Foot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0" w:type="dxa"/>
        <w:tblCellMar>
          <w:top w:w="0" w:type="dxa"/>
          <w:left w:w="0" w:type="dxa"/>
          <w:bottom w:w="0" w:type="dxa"/>
          <w:right w:w="0" w:type="dxa"/>
        </w:tblCellMar>
      </w:tblPr>
      <w:tr>
        <w:trPr>
          <w:trHeight w:val="158"/>
        </w:trPr>
        <w:tc>
          <w:tcPr>
            <w:tcW w:w="10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4"/>
          </w:tcPr>
          <w:p>
            <w:pPr>
              <w:jc w:val="center"/>
              <w:ind w:right="240"/>
              <w:spacing w:after="0"/>
              <w:rPr>
                <w:sz w:val="20"/>
                <w:szCs w:val="20"/>
                <w:color w:val="auto"/>
              </w:rPr>
            </w:pPr>
            <w:r>
              <w:rPr>
                <w:rFonts w:ascii="Arial" w:cs="Arial" w:eastAsia="Arial" w:hAnsi="Arial"/>
                <w:sz w:val="12"/>
                <w:szCs w:val="12"/>
                <w:b w:val="1"/>
                <w:bCs w:val="1"/>
                <w:color w:val="auto"/>
                <w:w w:val="94"/>
              </w:rPr>
              <w:t>Book Value</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Senior</w:t>
            </w:r>
          </w:p>
        </w:tc>
        <w:tc>
          <w:tcPr>
            <w:tcW w:w="1360" w:type="dxa"/>
            <w:vAlign w:val="bottom"/>
            <w:gridSpan w:val="4"/>
          </w:tcPr>
          <w:p>
            <w:pPr>
              <w:jc w:val="center"/>
              <w:ind w:left="42"/>
              <w:spacing w:after="0"/>
              <w:rPr>
                <w:sz w:val="20"/>
                <w:szCs w:val="20"/>
                <w:color w:val="auto"/>
              </w:rPr>
            </w:pPr>
            <w:r>
              <w:rPr>
                <w:rFonts w:ascii="Arial" w:cs="Arial" w:eastAsia="Arial" w:hAnsi="Arial"/>
                <w:sz w:val="12"/>
                <w:szCs w:val="12"/>
                <w:b w:val="1"/>
                <w:bCs w:val="1"/>
                <w:color w:val="auto"/>
                <w:w w:val="97"/>
              </w:rPr>
              <w:t>Weighted Average</w:t>
            </w:r>
          </w:p>
        </w:tc>
        <w:tc>
          <w:tcPr>
            <w:tcW w:w="120" w:type="dxa"/>
            <w:vAlign w:val="bottom"/>
          </w:tcPr>
          <w:p>
            <w:pPr>
              <w:spacing w:after="0"/>
              <w:rPr>
                <w:sz w:val="13"/>
                <w:szCs w:val="13"/>
                <w:color w:val="auto"/>
              </w:rPr>
            </w:pPr>
          </w:p>
        </w:tc>
        <w:tc>
          <w:tcPr>
            <w:tcW w:w="13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5"/>
              </w:rPr>
              <w:t>Weighted Average</w:t>
            </w:r>
          </w:p>
        </w:tc>
        <w:tc>
          <w:tcPr>
            <w:tcW w:w="560" w:type="dxa"/>
            <w:vAlign w:val="bottom"/>
            <w:gridSpan w:val="3"/>
          </w:tcPr>
          <w:p>
            <w:pPr>
              <w:ind w:left="140"/>
              <w:spacing w:after="0"/>
              <w:rPr>
                <w:sz w:val="20"/>
                <w:szCs w:val="20"/>
                <w:color w:val="auto"/>
              </w:rPr>
            </w:pPr>
            <w:r>
              <w:rPr>
                <w:rFonts w:ascii="Arial" w:cs="Arial" w:eastAsia="Arial" w:hAnsi="Arial"/>
                <w:sz w:val="12"/>
                <w:szCs w:val="12"/>
                <w:b w:val="1"/>
                <w:bCs w:val="1"/>
                <w:color w:val="auto"/>
                <w:w w:val="92"/>
              </w:rPr>
              <w:t>Current</w:t>
            </w:r>
          </w:p>
        </w:tc>
      </w:tr>
      <w:tr>
        <w:trPr>
          <w:trHeight w:val="182"/>
        </w:trPr>
        <w:tc>
          <w:tcPr>
            <w:tcW w:w="1060" w:type="dxa"/>
            <w:vAlign w:val="bottom"/>
          </w:tcPr>
          <w:p>
            <w:pPr>
              <w:spacing w:after="0"/>
              <w:rPr>
                <w:sz w:val="20"/>
                <w:szCs w:val="20"/>
                <w:color w:val="auto"/>
              </w:rPr>
            </w:pPr>
            <w:r>
              <w:rPr>
                <w:rFonts w:ascii="Arial" w:cs="Arial" w:eastAsia="Arial" w:hAnsi="Arial"/>
                <w:sz w:val="12"/>
                <w:szCs w:val="12"/>
                <w:b w:val="1"/>
                <w:bCs w:val="1"/>
                <w:color w:val="auto"/>
                <w:w w:val="95"/>
              </w:rPr>
              <w:t>Type of Investment</w:t>
            </w: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w w:val="94"/>
              </w:rPr>
              <w:t>Floating rate</w:t>
            </w:r>
          </w:p>
        </w:tc>
        <w:tc>
          <w:tcPr>
            <w:tcW w:w="20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gridSpan w:val="3"/>
          </w:tcPr>
          <w:p>
            <w:pPr>
              <w:jc w:val="center"/>
              <w:ind w:right="280"/>
              <w:spacing w:after="0"/>
              <w:rPr>
                <w:sz w:val="20"/>
                <w:szCs w:val="20"/>
                <w:color w:val="auto"/>
              </w:rPr>
            </w:pPr>
            <w:r>
              <w:rPr>
                <w:rFonts w:ascii="Arial" w:cs="Arial" w:eastAsia="Arial" w:hAnsi="Arial"/>
                <w:sz w:val="12"/>
                <w:szCs w:val="12"/>
                <w:b w:val="1"/>
                <w:bCs w:val="1"/>
                <w:color w:val="auto"/>
                <w:w w:val="95"/>
              </w:rPr>
              <w:t>Fixed rate</w:t>
            </w:r>
          </w:p>
        </w:tc>
        <w:tc>
          <w:tcPr>
            <w:tcW w:w="160" w:type="dxa"/>
            <w:vAlign w:val="bottom"/>
          </w:tcPr>
          <w:p>
            <w:pPr>
              <w:spacing w:after="0"/>
              <w:rPr>
                <w:sz w:val="15"/>
                <w:szCs w:val="15"/>
                <w:color w:val="auto"/>
              </w:rPr>
            </w:pPr>
          </w:p>
        </w:tc>
        <w:tc>
          <w:tcPr>
            <w:tcW w:w="660" w:type="dxa"/>
            <w:vAlign w:val="bottom"/>
            <w:gridSpan w:val="3"/>
          </w:tcPr>
          <w:p>
            <w:pPr>
              <w:jc w:val="right"/>
              <w:ind w:right="280"/>
              <w:spacing w:after="0"/>
              <w:rPr>
                <w:sz w:val="20"/>
                <w:szCs w:val="20"/>
                <w:color w:val="auto"/>
              </w:rPr>
            </w:pPr>
            <w:r>
              <w:rPr>
                <w:rFonts w:ascii="Arial" w:cs="Arial" w:eastAsia="Arial" w:hAnsi="Arial"/>
                <w:sz w:val="12"/>
                <w:szCs w:val="12"/>
                <w:b w:val="1"/>
                <w:bCs w:val="1"/>
                <w:color w:val="auto"/>
              </w:rPr>
              <w:t>Total</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w w:val="95"/>
              </w:rPr>
              <w:t>Financing</w:t>
            </w:r>
          </w:p>
        </w:tc>
        <w:tc>
          <w:tcPr>
            <w:tcW w:w="340" w:type="dxa"/>
            <w:vAlign w:val="bottom"/>
          </w:tcPr>
          <w:p>
            <w:pPr>
              <w:spacing w:after="0"/>
              <w:rPr>
                <w:sz w:val="15"/>
                <w:szCs w:val="15"/>
                <w:color w:val="auto"/>
              </w:rPr>
            </w:pPr>
          </w:p>
        </w:tc>
        <w:tc>
          <w:tcPr>
            <w:tcW w:w="1020" w:type="dxa"/>
            <w:vAlign w:val="bottom"/>
            <w:gridSpan w:val="3"/>
          </w:tcPr>
          <w:p>
            <w:pPr>
              <w:jc w:val="center"/>
              <w:ind w:right="240"/>
              <w:spacing w:after="0"/>
              <w:rPr>
                <w:sz w:val="20"/>
                <w:szCs w:val="20"/>
                <w:color w:val="auto"/>
              </w:rPr>
            </w:pPr>
            <w:r>
              <w:rPr>
                <w:rFonts w:ascii="Arial" w:cs="Arial" w:eastAsia="Arial" w:hAnsi="Arial"/>
                <w:sz w:val="12"/>
                <w:szCs w:val="12"/>
                <w:b w:val="1"/>
                <w:bCs w:val="1"/>
                <w:color w:val="auto"/>
                <w:w w:val="95"/>
              </w:rPr>
              <w:t>Exposure PSF</w:t>
            </w:r>
          </w:p>
        </w:tc>
        <w:tc>
          <w:tcPr>
            <w:tcW w:w="1500" w:type="dxa"/>
            <w:vAlign w:val="bottom"/>
            <w:gridSpan w:val="3"/>
          </w:tcPr>
          <w:p>
            <w:pPr>
              <w:jc w:val="center"/>
              <w:spacing w:after="0"/>
              <w:rPr>
                <w:sz w:val="20"/>
                <w:szCs w:val="20"/>
                <w:color w:val="auto"/>
              </w:rPr>
            </w:pPr>
            <w:r>
              <w:rPr>
                <w:rFonts w:ascii="Arial" w:cs="Arial" w:eastAsia="Arial" w:hAnsi="Arial"/>
                <w:sz w:val="12"/>
                <w:szCs w:val="12"/>
                <w:b w:val="1"/>
                <w:bCs w:val="1"/>
                <w:color w:val="auto"/>
                <w:w w:val="95"/>
              </w:rPr>
              <w:t xml:space="preserve">Yield During Quarter </w:t>
            </w:r>
            <w:r>
              <w:rPr>
                <w:rFonts w:ascii="Arial" w:cs="Arial" w:eastAsia="Arial" w:hAnsi="Arial"/>
                <w:sz w:val="14"/>
                <w:szCs w:val="14"/>
                <w:b w:val="1"/>
                <w:bCs w:val="1"/>
                <w:color w:val="auto"/>
                <w:w w:val="95"/>
                <w:vertAlign w:val="superscript"/>
              </w:rPr>
              <w:t>(1)</w:t>
            </w:r>
          </w:p>
        </w:tc>
        <w:tc>
          <w:tcPr>
            <w:tcW w:w="560" w:type="dxa"/>
            <w:vAlign w:val="bottom"/>
            <w:gridSpan w:val="3"/>
          </w:tcPr>
          <w:p>
            <w:pPr>
              <w:ind w:left="140"/>
              <w:spacing w:after="0"/>
              <w:rPr>
                <w:sz w:val="20"/>
                <w:szCs w:val="20"/>
                <w:color w:val="auto"/>
              </w:rPr>
            </w:pPr>
            <w:r>
              <w:rPr>
                <w:rFonts w:ascii="Arial" w:cs="Arial" w:eastAsia="Arial" w:hAnsi="Arial"/>
                <w:sz w:val="12"/>
                <w:szCs w:val="12"/>
                <w:b w:val="1"/>
                <w:bCs w:val="1"/>
                <w:color w:val="auto"/>
                <w:w w:val="92"/>
              </w:rPr>
              <w:t xml:space="preserve">Yield </w:t>
            </w:r>
            <w:r>
              <w:rPr>
                <w:rFonts w:ascii="Arial" w:cs="Arial" w:eastAsia="Arial" w:hAnsi="Arial"/>
                <w:sz w:val="14"/>
                <w:szCs w:val="14"/>
                <w:b w:val="1"/>
                <w:bCs w:val="1"/>
                <w:color w:val="auto"/>
                <w:w w:val="92"/>
                <w:vertAlign w:val="superscript"/>
              </w:rPr>
              <w:t>(2)</w:t>
            </w:r>
          </w:p>
        </w:tc>
      </w:tr>
      <w:tr>
        <w:trPr>
          <w:trHeight w:val="20"/>
        </w:trPr>
        <w:tc>
          <w:tcPr>
            <w:tcW w:w="10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40"/>
        </w:trPr>
        <w:tc>
          <w:tcPr>
            <w:tcW w:w="2380" w:type="dxa"/>
            <w:vAlign w:val="bottom"/>
            <w:gridSpan w:val="2"/>
          </w:tcPr>
          <w:p>
            <w:pPr>
              <w:ind w:left="120"/>
              <w:spacing w:after="0"/>
              <w:rPr>
                <w:sz w:val="20"/>
                <w:szCs w:val="20"/>
                <w:color w:val="auto"/>
              </w:rPr>
            </w:pPr>
            <w:r>
              <w:rPr>
                <w:rFonts w:ascii="Arial" w:cs="Arial" w:eastAsia="Arial" w:hAnsi="Arial"/>
                <w:sz w:val="12"/>
                <w:szCs w:val="12"/>
                <w:b w:val="1"/>
                <w:bCs w:val="1"/>
                <w:color w:val="auto"/>
              </w:rPr>
              <w:t>Senior Mortgage Debt</w:t>
            </w:r>
          </w:p>
        </w:tc>
        <w:tc>
          <w:tcPr>
            <w:tcW w:w="180" w:type="dxa"/>
            <w:vAlign w:val="bottom"/>
            <w:gridSpan w:val="2"/>
          </w:tcPr>
          <w:p>
            <w:pPr>
              <w:jc w:val="right"/>
              <w:ind w:right="42"/>
              <w:spacing w:after="0"/>
              <w:rPr>
                <w:sz w:val="20"/>
                <w:szCs w:val="20"/>
                <w:color w:val="auto"/>
              </w:rPr>
            </w:pPr>
            <w:r>
              <w:rPr>
                <w:rFonts w:ascii="Arial" w:cs="Arial" w:eastAsia="Arial" w:hAnsi="Arial"/>
                <w:sz w:val="12"/>
                <w:szCs w:val="12"/>
                <w:color w:val="auto"/>
                <w:w w:val="89"/>
              </w:rPr>
              <w:t>$</w:t>
            </w: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313,762</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26,712</w:t>
            </w:r>
          </w:p>
        </w:tc>
        <w:tc>
          <w:tcPr>
            <w:tcW w:w="140" w:type="dxa"/>
            <w:vAlign w:val="bottom"/>
          </w:tcPr>
          <w:p>
            <w:pPr>
              <w:spacing w:after="0"/>
              <w:rPr>
                <w:sz w:val="24"/>
                <w:szCs w:val="24"/>
                <w:color w:val="auto"/>
              </w:rPr>
            </w:pPr>
          </w:p>
        </w:tc>
        <w:tc>
          <w:tcPr>
            <w:tcW w:w="160" w:type="dxa"/>
            <w:vAlign w:val="bottom"/>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6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340,474</w:t>
            </w:r>
          </w:p>
        </w:tc>
        <w:tc>
          <w:tcPr>
            <w:tcW w:w="3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4"/>
                <w:szCs w:val="24"/>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6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422</w:t>
            </w:r>
          </w:p>
        </w:tc>
        <w:tc>
          <w:tcPr>
            <w:tcW w:w="240" w:type="dxa"/>
            <w:vAlign w:val="bottom"/>
          </w:tcPr>
          <w:p>
            <w:pPr>
              <w:spacing w:after="0"/>
              <w:rPr>
                <w:sz w:val="24"/>
                <w:szCs w:val="24"/>
                <w:color w:val="auto"/>
              </w:rPr>
            </w:pPr>
          </w:p>
        </w:tc>
        <w:tc>
          <w:tcPr>
            <w:tcW w:w="1260" w:type="dxa"/>
            <w:vAlign w:val="bottom"/>
            <w:gridSpan w:val="2"/>
          </w:tcPr>
          <w:p>
            <w:pPr>
              <w:jc w:val="center"/>
              <w:ind w:left="162"/>
              <w:spacing w:after="0"/>
              <w:rPr>
                <w:sz w:val="20"/>
                <w:szCs w:val="20"/>
                <w:color w:val="auto"/>
              </w:rPr>
            </w:pPr>
            <w:r>
              <w:rPr>
                <w:rFonts w:ascii="Arial" w:cs="Arial" w:eastAsia="Arial" w:hAnsi="Arial"/>
                <w:sz w:val="12"/>
                <w:szCs w:val="12"/>
                <w:color w:val="auto"/>
                <w:w w:val="93"/>
              </w:rPr>
              <w:t>7.07%</w:t>
            </w:r>
          </w:p>
        </w:tc>
        <w:tc>
          <w:tcPr>
            <w:tcW w:w="240" w:type="dxa"/>
            <w:vAlign w:val="bottom"/>
          </w:tcPr>
          <w:p>
            <w:pPr>
              <w:spacing w:after="0"/>
              <w:rPr>
                <w:sz w:val="24"/>
                <w:szCs w:val="24"/>
                <w:color w:val="auto"/>
              </w:rPr>
            </w:pPr>
          </w:p>
        </w:tc>
        <w:tc>
          <w:tcPr>
            <w:tcW w:w="560" w:type="dxa"/>
            <w:vAlign w:val="bottom"/>
            <w:gridSpan w:val="3"/>
          </w:tcPr>
          <w:p>
            <w:pPr>
              <w:jc w:val="center"/>
              <w:ind w:left="62"/>
              <w:spacing w:after="0"/>
              <w:rPr>
                <w:sz w:val="20"/>
                <w:szCs w:val="20"/>
                <w:color w:val="auto"/>
              </w:rPr>
            </w:pPr>
            <w:r>
              <w:rPr>
                <w:rFonts w:ascii="Arial" w:cs="Arial" w:eastAsia="Arial" w:hAnsi="Arial"/>
                <w:sz w:val="12"/>
                <w:szCs w:val="12"/>
                <w:color w:val="auto"/>
                <w:w w:val="93"/>
              </w:rPr>
              <w:t>7.08%</w:t>
            </w:r>
          </w:p>
        </w:tc>
      </w:tr>
      <w:tr>
        <w:trPr>
          <w:trHeight w:val="393"/>
        </w:trPr>
        <w:tc>
          <w:tcPr>
            <w:tcW w:w="2380" w:type="dxa"/>
            <w:vAlign w:val="bottom"/>
            <w:gridSpan w:val="2"/>
          </w:tcPr>
          <w:p>
            <w:pPr>
              <w:ind w:left="120"/>
              <w:spacing w:after="0"/>
              <w:rPr>
                <w:sz w:val="20"/>
                <w:szCs w:val="20"/>
                <w:color w:val="auto"/>
              </w:rPr>
            </w:pPr>
            <w:r>
              <w:rPr>
                <w:rFonts w:ascii="Arial" w:cs="Arial" w:eastAsia="Arial" w:hAnsi="Arial"/>
                <w:sz w:val="12"/>
                <w:szCs w:val="12"/>
                <w:b w:val="1"/>
                <w:bCs w:val="1"/>
                <w:color w:val="auto"/>
              </w:rPr>
              <w:t>Junior Mortgage Participation</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73,010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29,557</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102,567</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2"/>
                <w:szCs w:val="12"/>
                <w:color w:val="auto"/>
              </w:rPr>
              <w:t>1,389,740</w:t>
            </w:r>
          </w:p>
        </w:tc>
        <w:tc>
          <w:tcPr>
            <w:tcW w:w="6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2,521</w:t>
            </w:r>
          </w:p>
        </w:tc>
        <w:tc>
          <w:tcPr>
            <w:tcW w:w="240" w:type="dxa"/>
            <w:vAlign w:val="bottom"/>
          </w:tcPr>
          <w:p>
            <w:pPr>
              <w:spacing w:after="0"/>
              <w:rPr>
                <w:sz w:val="24"/>
                <w:szCs w:val="24"/>
                <w:color w:val="auto"/>
              </w:rPr>
            </w:pPr>
          </w:p>
        </w:tc>
        <w:tc>
          <w:tcPr>
            <w:tcW w:w="1260" w:type="dxa"/>
            <w:vAlign w:val="bottom"/>
            <w:gridSpan w:val="2"/>
          </w:tcPr>
          <w:p>
            <w:pPr>
              <w:jc w:val="center"/>
              <w:ind w:left="162"/>
              <w:spacing w:after="0"/>
              <w:rPr>
                <w:sz w:val="20"/>
                <w:szCs w:val="20"/>
                <w:color w:val="auto"/>
              </w:rPr>
            </w:pPr>
            <w:r>
              <w:rPr>
                <w:rFonts w:ascii="Arial" w:cs="Arial" w:eastAsia="Arial" w:hAnsi="Arial"/>
                <w:sz w:val="12"/>
                <w:szCs w:val="12"/>
                <w:color w:val="auto"/>
                <w:w w:val="93"/>
              </w:rPr>
              <w:t>9.66%</w:t>
            </w:r>
          </w:p>
        </w:tc>
        <w:tc>
          <w:tcPr>
            <w:tcW w:w="240" w:type="dxa"/>
            <w:vAlign w:val="bottom"/>
          </w:tcPr>
          <w:p>
            <w:pPr>
              <w:spacing w:after="0"/>
              <w:rPr>
                <w:sz w:val="24"/>
                <w:szCs w:val="24"/>
                <w:color w:val="auto"/>
              </w:rPr>
            </w:pPr>
          </w:p>
        </w:tc>
        <w:tc>
          <w:tcPr>
            <w:tcW w:w="560" w:type="dxa"/>
            <w:vAlign w:val="bottom"/>
            <w:gridSpan w:val="3"/>
          </w:tcPr>
          <w:p>
            <w:pPr>
              <w:jc w:val="center"/>
              <w:ind w:left="62"/>
              <w:spacing w:after="0"/>
              <w:rPr>
                <w:sz w:val="20"/>
                <w:szCs w:val="20"/>
                <w:color w:val="auto"/>
              </w:rPr>
            </w:pPr>
            <w:r>
              <w:rPr>
                <w:rFonts w:ascii="Arial" w:cs="Arial" w:eastAsia="Arial" w:hAnsi="Arial"/>
                <w:sz w:val="12"/>
                <w:szCs w:val="12"/>
                <w:color w:val="auto"/>
                <w:w w:val="93"/>
              </w:rPr>
              <w:t>9.81%</w:t>
            </w:r>
          </w:p>
        </w:tc>
      </w:tr>
      <w:tr>
        <w:trPr>
          <w:trHeight w:val="393"/>
        </w:trPr>
        <w:tc>
          <w:tcPr>
            <w:tcW w:w="2380" w:type="dxa"/>
            <w:vAlign w:val="bottom"/>
            <w:gridSpan w:val="2"/>
          </w:tcPr>
          <w:p>
            <w:pPr>
              <w:ind w:left="120"/>
              <w:spacing w:after="0"/>
              <w:rPr>
                <w:sz w:val="20"/>
                <w:szCs w:val="20"/>
                <w:color w:val="auto"/>
              </w:rPr>
            </w:pPr>
            <w:r>
              <w:rPr>
                <w:rFonts w:ascii="Arial" w:cs="Arial" w:eastAsia="Arial" w:hAnsi="Arial"/>
                <w:sz w:val="12"/>
                <w:szCs w:val="12"/>
                <w:b w:val="1"/>
                <w:bCs w:val="1"/>
                <w:color w:val="auto"/>
              </w:rPr>
              <w:t>Mezzanine Debt</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682,483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2"/>
                <w:szCs w:val="12"/>
                <w:color w:val="auto"/>
              </w:rPr>
              <w:t>279,865</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962,348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2"/>
                <w:szCs w:val="12"/>
                <w:color w:val="auto"/>
              </w:rPr>
              <w:t>3,175,071</w:t>
            </w:r>
          </w:p>
        </w:tc>
        <w:tc>
          <w:tcPr>
            <w:tcW w:w="6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1,802</w:t>
            </w:r>
          </w:p>
        </w:tc>
        <w:tc>
          <w:tcPr>
            <w:tcW w:w="240" w:type="dxa"/>
            <w:vAlign w:val="bottom"/>
          </w:tcPr>
          <w:p>
            <w:pPr>
              <w:spacing w:after="0"/>
              <w:rPr>
                <w:sz w:val="24"/>
                <w:szCs w:val="24"/>
                <w:color w:val="auto"/>
              </w:rPr>
            </w:pPr>
          </w:p>
        </w:tc>
        <w:tc>
          <w:tcPr>
            <w:tcW w:w="1260" w:type="dxa"/>
            <w:vAlign w:val="bottom"/>
            <w:gridSpan w:val="2"/>
          </w:tcPr>
          <w:p>
            <w:pPr>
              <w:jc w:val="center"/>
              <w:ind w:left="162"/>
              <w:spacing w:after="0"/>
              <w:rPr>
                <w:sz w:val="20"/>
                <w:szCs w:val="20"/>
                <w:color w:val="auto"/>
              </w:rPr>
            </w:pPr>
            <w:r>
              <w:rPr>
                <w:rFonts w:ascii="Arial" w:cs="Arial" w:eastAsia="Arial" w:hAnsi="Arial"/>
                <w:sz w:val="12"/>
                <w:szCs w:val="12"/>
                <w:color w:val="auto"/>
                <w:w w:val="98"/>
              </w:rPr>
              <w:t>10.18%</w:t>
            </w:r>
          </w:p>
        </w:tc>
        <w:tc>
          <w:tcPr>
            <w:tcW w:w="240" w:type="dxa"/>
            <w:vAlign w:val="bottom"/>
          </w:tcPr>
          <w:p>
            <w:pPr>
              <w:spacing w:after="0"/>
              <w:rPr>
                <w:sz w:val="24"/>
                <w:szCs w:val="24"/>
                <w:color w:val="auto"/>
              </w:rPr>
            </w:pPr>
          </w:p>
        </w:tc>
        <w:tc>
          <w:tcPr>
            <w:tcW w:w="560" w:type="dxa"/>
            <w:vAlign w:val="bottom"/>
            <w:gridSpan w:val="3"/>
          </w:tcPr>
          <w:p>
            <w:pPr>
              <w:jc w:val="center"/>
              <w:ind w:left="62"/>
              <w:spacing w:after="0"/>
              <w:rPr>
                <w:sz w:val="20"/>
                <w:szCs w:val="20"/>
                <w:color w:val="auto"/>
              </w:rPr>
            </w:pPr>
            <w:r>
              <w:rPr>
                <w:rFonts w:ascii="Arial" w:cs="Arial" w:eastAsia="Arial" w:hAnsi="Arial"/>
                <w:sz w:val="12"/>
                <w:szCs w:val="12"/>
                <w:color w:val="auto"/>
                <w:w w:val="98"/>
              </w:rPr>
              <w:t>10.02%</w:t>
            </w:r>
          </w:p>
        </w:tc>
      </w:tr>
      <w:tr>
        <w:trPr>
          <w:trHeight w:val="398"/>
        </w:trPr>
        <w:tc>
          <w:tcPr>
            <w:tcW w:w="2380" w:type="dxa"/>
            <w:vAlign w:val="bottom"/>
            <w:gridSpan w:val="2"/>
          </w:tcPr>
          <w:p>
            <w:pPr>
              <w:ind w:left="120"/>
              <w:spacing w:after="0"/>
              <w:rPr>
                <w:sz w:val="20"/>
                <w:szCs w:val="20"/>
                <w:color w:val="auto"/>
              </w:rPr>
            </w:pPr>
            <w:r>
              <w:rPr>
                <w:rFonts w:ascii="Arial" w:cs="Arial" w:eastAsia="Arial" w:hAnsi="Arial"/>
                <w:sz w:val="12"/>
                <w:szCs w:val="12"/>
                <w:b w:val="1"/>
                <w:bCs w:val="1"/>
                <w:color w:val="auto"/>
              </w:rPr>
              <w:t>Preferred Equity</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47,845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24"/>
                <w:szCs w:val="24"/>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2"/>
                <w:szCs w:val="12"/>
                <w:b w:val="1"/>
                <w:bCs w:val="1"/>
                <w:color w:val="auto"/>
              </w:rPr>
              <w:t>47,845</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right"/>
              <w:ind w:right="40"/>
              <w:spacing w:after="0"/>
              <w:rPr>
                <w:sz w:val="20"/>
                <w:szCs w:val="20"/>
                <w:color w:val="auto"/>
              </w:rPr>
            </w:pPr>
            <w:r>
              <w:rPr>
                <w:rFonts w:ascii="Arial" w:cs="Arial" w:eastAsia="Arial" w:hAnsi="Arial"/>
                <w:sz w:val="12"/>
                <w:szCs w:val="12"/>
                <w:color w:val="auto"/>
              </w:rPr>
              <w:t>130,520</w:t>
            </w:r>
          </w:p>
        </w:tc>
        <w:tc>
          <w:tcPr>
            <w:tcW w:w="6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426</w:t>
            </w:r>
          </w:p>
        </w:tc>
        <w:tc>
          <w:tcPr>
            <w:tcW w:w="240" w:type="dxa"/>
            <w:vAlign w:val="bottom"/>
          </w:tcPr>
          <w:p>
            <w:pPr>
              <w:spacing w:after="0"/>
              <w:rPr>
                <w:sz w:val="24"/>
                <w:szCs w:val="24"/>
                <w:color w:val="auto"/>
              </w:rPr>
            </w:pPr>
          </w:p>
        </w:tc>
        <w:tc>
          <w:tcPr>
            <w:tcW w:w="1260" w:type="dxa"/>
            <w:vAlign w:val="bottom"/>
            <w:gridSpan w:val="2"/>
          </w:tcPr>
          <w:p>
            <w:pPr>
              <w:jc w:val="center"/>
              <w:ind w:left="162"/>
              <w:spacing w:after="0"/>
              <w:rPr>
                <w:sz w:val="20"/>
                <w:szCs w:val="20"/>
                <w:color w:val="auto"/>
              </w:rPr>
            </w:pPr>
            <w:r>
              <w:rPr>
                <w:rFonts w:ascii="Arial" w:cs="Arial" w:eastAsia="Arial" w:hAnsi="Arial"/>
                <w:sz w:val="12"/>
                <w:szCs w:val="12"/>
                <w:color w:val="auto"/>
                <w:w w:val="93"/>
              </w:rPr>
              <w:t>8.03%</w:t>
            </w:r>
          </w:p>
        </w:tc>
        <w:tc>
          <w:tcPr>
            <w:tcW w:w="240" w:type="dxa"/>
            <w:vAlign w:val="bottom"/>
          </w:tcPr>
          <w:p>
            <w:pPr>
              <w:spacing w:after="0"/>
              <w:rPr>
                <w:sz w:val="24"/>
                <w:szCs w:val="24"/>
                <w:color w:val="auto"/>
              </w:rPr>
            </w:pPr>
          </w:p>
        </w:tc>
        <w:tc>
          <w:tcPr>
            <w:tcW w:w="560" w:type="dxa"/>
            <w:vAlign w:val="bottom"/>
            <w:gridSpan w:val="3"/>
          </w:tcPr>
          <w:p>
            <w:pPr>
              <w:jc w:val="center"/>
              <w:ind w:left="62"/>
              <w:spacing w:after="0"/>
              <w:rPr>
                <w:sz w:val="20"/>
                <w:szCs w:val="20"/>
                <w:color w:val="auto"/>
              </w:rPr>
            </w:pPr>
            <w:r>
              <w:rPr>
                <w:rFonts w:ascii="Arial" w:cs="Arial" w:eastAsia="Arial" w:hAnsi="Arial"/>
                <w:sz w:val="12"/>
                <w:szCs w:val="12"/>
                <w:color w:val="auto"/>
                <w:w w:val="93"/>
              </w:rPr>
              <w:t>7.32%</w:t>
            </w:r>
          </w:p>
        </w:tc>
      </w:tr>
      <w:tr>
        <w:trPr>
          <w:trHeight w:val="369"/>
        </w:trPr>
        <w:tc>
          <w:tcPr>
            <w:tcW w:w="2380" w:type="dxa"/>
            <w:vAlign w:val="bottom"/>
            <w:gridSpan w:val="2"/>
          </w:tcPr>
          <w:p>
            <w:pPr>
              <w:spacing w:after="0"/>
              <w:rPr>
                <w:sz w:val="20"/>
                <w:szCs w:val="20"/>
                <w:color w:val="auto"/>
              </w:rPr>
            </w:pPr>
            <w:r>
              <w:rPr>
                <w:rFonts w:ascii="Arial" w:cs="Arial" w:eastAsia="Arial" w:hAnsi="Arial"/>
                <w:sz w:val="12"/>
                <w:szCs w:val="12"/>
                <w:b w:val="1"/>
                <w:bCs w:val="1"/>
                <w:color w:val="auto"/>
              </w:rPr>
              <w:t>Balance as of 9/30/16</w:t>
            </w:r>
          </w:p>
        </w:tc>
        <w:tc>
          <w:tcPr>
            <w:tcW w:w="180" w:type="dxa"/>
            <w:vAlign w:val="bottom"/>
            <w:tcBorders>
              <w:top w:val="single" w:sz="8" w:color="auto"/>
            </w:tcBorders>
            <w:gridSpan w:val="2"/>
          </w:tcPr>
          <w:p>
            <w:pPr>
              <w:jc w:val="right"/>
              <w:ind w:right="42"/>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1,117,100</w:t>
            </w:r>
          </w:p>
        </w:tc>
        <w:tc>
          <w:tcPr>
            <w:tcW w:w="14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336,134</w:t>
            </w:r>
          </w:p>
        </w:tc>
        <w:tc>
          <w:tcPr>
            <w:tcW w:w="140" w:type="dxa"/>
            <w:vAlign w:val="bottom"/>
          </w:tcPr>
          <w:p>
            <w:pPr>
              <w:spacing w:after="0"/>
              <w:rPr>
                <w:sz w:val="24"/>
                <w:szCs w:val="24"/>
                <w:color w:val="auto"/>
              </w:rPr>
            </w:pPr>
          </w:p>
        </w:tc>
        <w:tc>
          <w:tcPr>
            <w:tcW w:w="160" w:type="dxa"/>
            <w:vAlign w:val="bottom"/>
            <w:tcBorders>
              <w:top w:val="single" w:sz="8" w:color="auto"/>
            </w:tcBorders>
          </w:tcPr>
          <w:p>
            <w:pPr>
              <w:jc w:val="right"/>
              <w:ind w:right="22"/>
              <w:spacing w:after="0"/>
              <w:rPr>
                <w:sz w:val="20"/>
                <w:szCs w:val="20"/>
                <w:color w:val="auto"/>
              </w:rPr>
            </w:pPr>
            <w:r>
              <w:rPr>
                <w:rFonts w:ascii="Arial" w:cs="Arial" w:eastAsia="Arial" w:hAnsi="Arial"/>
                <w:sz w:val="12"/>
                <w:szCs w:val="12"/>
                <w:b w:val="1"/>
                <w:bCs w:val="1"/>
                <w:color w:val="auto"/>
                <w:w w:val="89"/>
              </w:rPr>
              <w:t>$</w:t>
            </w:r>
          </w:p>
        </w:tc>
        <w:tc>
          <w:tcPr>
            <w:tcW w:w="66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2"/>
                <w:szCs w:val="12"/>
                <w:b w:val="1"/>
                <w:bCs w:val="1"/>
                <w:color w:val="auto"/>
              </w:rPr>
              <w:t>1,453,234</w:t>
            </w:r>
          </w:p>
        </w:tc>
        <w:tc>
          <w:tcPr>
            <w:tcW w:w="380" w:type="dxa"/>
            <w:vAlign w:val="bottom"/>
          </w:tcPr>
          <w:p>
            <w:pPr>
              <w:jc w:val="right"/>
              <w:ind w:right="244"/>
              <w:spacing w:after="0"/>
              <w:rPr>
                <w:sz w:val="20"/>
                <w:szCs w:val="20"/>
                <w:color w:val="auto"/>
              </w:rPr>
            </w:pPr>
            <w:r>
              <w:rPr>
                <w:rFonts w:ascii="Arial" w:cs="Arial" w:eastAsia="Arial" w:hAnsi="Arial"/>
                <w:sz w:val="7"/>
                <w:szCs w:val="7"/>
                <w:b w:val="1"/>
                <w:bCs w:val="1"/>
                <w:color w:val="auto"/>
                <w:w w:val="92"/>
              </w:rPr>
              <w:t>(3)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80" w:type="dxa"/>
            <w:vAlign w:val="bottom"/>
            <w:tcBorders>
              <w:top w:val="single" w:sz="8" w:color="auto"/>
            </w:tcBorders>
            <w:gridSpan w:val="3"/>
          </w:tcPr>
          <w:p>
            <w:pPr>
              <w:jc w:val="right"/>
              <w:ind w:right="40"/>
              <w:spacing w:after="0"/>
              <w:rPr>
                <w:sz w:val="20"/>
                <w:szCs w:val="20"/>
                <w:color w:val="auto"/>
              </w:rPr>
            </w:pPr>
            <w:r>
              <w:rPr>
                <w:rFonts w:ascii="Arial" w:cs="Arial" w:eastAsia="Arial" w:hAnsi="Arial"/>
                <w:sz w:val="12"/>
                <w:szCs w:val="12"/>
                <w:color w:val="auto"/>
              </w:rPr>
              <w:t>4,695,331</w:t>
            </w:r>
          </w:p>
        </w:tc>
        <w:tc>
          <w:tcPr>
            <w:tcW w:w="660" w:type="dxa"/>
            <w:vAlign w:val="bottom"/>
            <w:gridSpan w:val="2"/>
          </w:tcPr>
          <w:p>
            <w:pPr>
              <w:jc w:val="right"/>
              <w:ind w:right="22"/>
              <w:spacing w:after="0"/>
              <w:rPr>
                <w:sz w:val="20"/>
                <w:szCs w:val="20"/>
                <w:color w:val="auto"/>
              </w:rPr>
            </w:pPr>
            <w:r>
              <w:rPr>
                <w:rFonts w:ascii="Arial" w:cs="Arial" w:eastAsia="Arial" w:hAnsi="Arial"/>
                <w:sz w:val="12"/>
                <w:szCs w:val="12"/>
                <w:color w:val="auto"/>
              </w:rPr>
              <w:t>$</w:t>
            </w:r>
          </w:p>
        </w:tc>
        <w:tc>
          <w:tcPr>
            <w:tcW w:w="460" w:type="dxa"/>
            <w:vAlign w:val="bottom"/>
          </w:tcPr>
          <w:p>
            <w:pPr>
              <w:jc w:val="right"/>
              <w:ind w:right="22"/>
              <w:spacing w:after="0"/>
              <w:rPr>
                <w:sz w:val="20"/>
                <w:szCs w:val="20"/>
                <w:color w:val="auto"/>
              </w:rPr>
            </w:pPr>
            <w:r>
              <w:rPr>
                <w:rFonts w:ascii="Arial" w:cs="Arial" w:eastAsia="Arial" w:hAnsi="Arial"/>
                <w:sz w:val="12"/>
                <w:szCs w:val="12"/>
                <w:color w:val="auto"/>
              </w:rPr>
              <w:t>1,484</w:t>
            </w:r>
          </w:p>
        </w:tc>
        <w:tc>
          <w:tcPr>
            <w:tcW w:w="240" w:type="dxa"/>
            <w:vAlign w:val="bottom"/>
          </w:tcPr>
          <w:p>
            <w:pPr>
              <w:spacing w:after="0"/>
              <w:rPr>
                <w:sz w:val="24"/>
                <w:szCs w:val="24"/>
                <w:color w:val="auto"/>
              </w:rPr>
            </w:pPr>
          </w:p>
        </w:tc>
        <w:tc>
          <w:tcPr>
            <w:tcW w:w="1260" w:type="dxa"/>
            <w:vAlign w:val="bottom"/>
            <w:gridSpan w:val="2"/>
          </w:tcPr>
          <w:p>
            <w:pPr>
              <w:jc w:val="center"/>
              <w:ind w:left="162"/>
              <w:spacing w:after="0"/>
              <w:rPr>
                <w:sz w:val="20"/>
                <w:szCs w:val="20"/>
                <w:color w:val="auto"/>
              </w:rPr>
            </w:pPr>
            <w:r>
              <w:rPr>
                <w:rFonts w:ascii="Arial" w:cs="Arial" w:eastAsia="Arial" w:hAnsi="Arial"/>
                <w:sz w:val="12"/>
                <w:szCs w:val="12"/>
                <w:color w:val="auto"/>
                <w:w w:val="93"/>
              </w:rPr>
              <w:t>9.37%</w:t>
            </w:r>
          </w:p>
        </w:tc>
        <w:tc>
          <w:tcPr>
            <w:tcW w:w="240" w:type="dxa"/>
            <w:vAlign w:val="bottom"/>
          </w:tcPr>
          <w:p>
            <w:pPr>
              <w:spacing w:after="0"/>
              <w:rPr>
                <w:sz w:val="24"/>
                <w:szCs w:val="24"/>
                <w:color w:val="auto"/>
              </w:rPr>
            </w:pPr>
          </w:p>
        </w:tc>
        <w:tc>
          <w:tcPr>
            <w:tcW w:w="560" w:type="dxa"/>
            <w:vAlign w:val="bottom"/>
            <w:gridSpan w:val="3"/>
          </w:tcPr>
          <w:p>
            <w:pPr>
              <w:jc w:val="center"/>
              <w:ind w:left="62"/>
              <w:spacing w:after="0"/>
              <w:rPr>
                <w:sz w:val="20"/>
                <w:szCs w:val="20"/>
                <w:color w:val="auto"/>
              </w:rPr>
            </w:pPr>
            <w:r>
              <w:rPr>
                <w:rFonts w:ascii="Arial" w:cs="Arial" w:eastAsia="Arial" w:hAnsi="Arial"/>
                <w:sz w:val="12"/>
                <w:szCs w:val="12"/>
                <w:color w:val="auto"/>
                <w:w w:val="93"/>
              </w:rPr>
              <w:t>9.23%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311785</wp:posOffset>
            </wp:positionV>
            <wp:extent cx="6134735" cy="11658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134735" cy="1165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0" w:hanging="133"/>
        <w:spacing w:after="0"/>
        <w:tabs>
          <w:tab w:leader="none" w:pos="340" w:val="left"/>
        </w:tabs>
        <w:numPr>
          <w:ilvl w:val="0"/>
          <w:numId w:val="21"/>
        </w:numPr>
        <w:rPr>
          <w:rFonts w:ascii="Arial" w:cs="Arial" w:eastAsia="Arial" w:hAnsi="Arial"/>
          <w:sz w:val="9"/>
          <w:szCs w:val="9"/>
          <w:color w:val="auto"/>
        </w:rPr>
      </w:pPr>
      <w:r>
        <w:rPr>
          <w:rFonts w:ascii="Arial" w:cs="Arial" w:eastAsia="Arial" w:hAnsi="Arial"/>
          <w:sz w:val="9"/>
          <w:szCs w:val="9"/>
          <w:color w:val="auto"/>
        </w:rPr>
        <w:t>Excludes accelerated fee income resulting from early repayment.</w:t>
      </w:r>
    </w:p>
    <w:p>
      <w:pPr>
        <w:spacing w:after="0" w:line="71" w:lineRule="exact"/>
        <w:rPr>
          <w:rFonts w:ascii="Arial" w:cs="Arial" w:eastAsia="Arial" w:hAnsi="Arial"/>
          <w:sz w:val="9"/>
          <w:szCs w:val="9"/>
          <w:color w:val="auto"/>
        </w:rPr>
      </w:pPr>
    </w:p>
    <w:p>
      <w:pPr>
        <w:ind w:left="340" w:hanging="133"/>
        <w:spacing w:after="0"/>
        <w:tabs>
          <w:tab w:leader="none" w:pos="340" w:val="left"/>
        </w:tabs>
        <w:numPr>
          <w:ilvl w:val="0"/>
          <w:numId w:val="21"/>
        </w:numPr>
        <w:rPr>
          <w:rFonts w:ascii="Arial" w:cs="Arial" w:eastAsia="Arial" w:hAnsi="Arial"/>
          <w:sz w:val="9"/>
          <w:szCs w:val="9"/>
          <w:color w:val="auto"/>
        </w:rPr>
      </w:pPr>
      <w:r>
        <w:rPr>
          <w:rFonts w:ascii="Arial" w:cs="Arial" w:eastAsia="Arial" w:hAnsi="Arial"/>
          <w:sz w:val="9"/>
          <w:szCs w:val="9"/>
          <w:color w:val="auto"/>
        </w:rPr>
        <w:t>Calculated based on accounting income, which includes cash interest, paid-in-kind interest, fee accrual and amortization of discounts, recognized in the last month of the quarter, excluding accelerated fee income resulting from early repayment.</w:t>
      </w:r>
    </w:p>
    <w:p>
      <w:pPr>
        <w:spacing w:after="0" w:line="71" w:lineRule="exact"/>
        <w:rPr>
          <w:rFonts w:ascii="Arial" w:cs="Arial" w:eastAsia="Arial" w:hAnsi="Arial"/>
          <w:sz w:val="9"/>
          <w:szCs w:val="9"/>
          <w:color w:val="auto"/>
        </w:rPr>
      </w:pPr>
    </w:p>
    <w:p>
      <w:pPr>
        <w:ind w:left="340" w:hanging="133"/>
        <w:spacing w:after="0"/>
        <w:tabs>
          <w:tab w:leader="none" w:pos="340" w:val="left"/>
        </w:tabs>
        <w:numPr>
          <w:ilvl w:val="0"/>
          <w:numId w:val="21"/>
        </w:numPr>
        <w:rPr>
          <w:rFonts w:ascii="Arial" w:cs="Arial" w:eastAsia="Arial" w:hAnsi="Arial"/>
          <w:sz w:val="9"/>
          <w:szCs w:val="9"/>
          <w:color w:val="auto"/>
        </w:rPr>
      </w:pPr>
      <w:r>
        <w:rPr>
          <w:rFonts w:ascii="Arial" w:cs="Arial" w:eastAsia="Arial" w:hAnsi="Arial"/>
          <w:sz w:val="9"/>
          <w:szCs w:val="9"/>
          <w:color w:val="auto"/>
        </w:rPr>
        <w:t>Net of unamortized fees, discounts, and premiums. Excludes debt and preferred equity investments totaling $338.0 million with a weighted average current yield of 7.84% that are included in other balance sheet line items.</w:t>
      </w:r>
    </w:p>
    <w:p>
      <w:pPr>
        <w:spacing w:after="0" w:line="71" w:lineRule="exact"/>
        <w:rPr>
          <w:rFonts w:ascii="Arial" w:cs="Arial" w:eastAsia="Arial" w:hAnsi="Arial"/>
          <w:sz w:val="9"/>
          <w:szCs w:val="9"/>
          <w:color w:val="auto"/>
        </w:rPr>
      </w:pPr>
    </w:p>
    <w:p>
      <w:pPr>
        <w:ind w:left="340" w:hanging="133"/>
        <w:spacing w:after="0"/>
        <w:tabs>
          <w:tab w:leader="none" w:pos="340" w:val="left"/>
        </w:tabs>
        <w:numPr>
          <w:ilvl w:val="0"/>
          <w:numId w:val="21"/>
        </w:numPr>
        <w:rPr>
          <w:rFonts w:ascii="Arial" w:cs="Arial" w:eastAsia="Arial" w:hAnsi="Arial"/>
          <w:sz w:val="9"/>
          <w:szCs w:val="9"/>
          <w:color w:val="auto"/>
        </w:rPr>
      </w:pPr>
      <w:r>
        <w:rPr>
          <w:rFonts w:ascii="Arial" w:cs="Arial" w:eastAsia="Arial" w:hAnsi="Arial"/>
          <w:sz w:val="9"/>
          <w:szCs w:val="9"/>
          <w:color w:val="auto"/>
        </w:rPr>
        <w:t>The weighted average maturity of the outstanding balance is 1.62 years. Approximately 61.1% of our portfolio of investments have extension options, some of which may be subject to certain conditions for extension.</w:t>
      </w: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31</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sectPr>
      </w:pPr>
    </w:p>
    <w:bookmarkStart w:id="47" w:name="page48"/>
    <w:bookmarkEnd w:id="4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10 LARGEST DEBT AND PREFERRED</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5159375</wp:posOffset>
            </wp:positionH>
            <wp:positionV relativeFrom="paragraph">
              <wp:posOffset>-62865</wp:posOffset>
            </wp:positionV>
            <wp:extent cx="1263015" cy="3606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Unaudited</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 Except Per Square Foot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19"/>
        </w:trPr>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w w:val="96"/>
              </w:rPr>
              <w:t>Book Value</w:t>
            </w:r>
            <w:r>
              <w:rPr>
                <w:rFonts w:ascii="Arial" w:cs="Arial" w:eastAsia="Arial" w:hAnsi="Arial"/>
                <w:sz w:val="17"/>
                <w:szCs w:val="17"/>
                <w:b w:val="1"/>
                <w:bCs w:val="1"/>
                <w:color w:val="auto"/>
                <w:w w:val="96"/>
                <w:vertAlign w:val="superscript"/>
              </w:rPr>
              <w:t>(1)</w:t>
            </w:r>
          </w:p>
        </w:tc>
        <w:tc>
          <w:tcPr>
            <w:tcW w:w="2020" w:type="dxa"/>
            <w:vAlign w:val="bottom"/>
            <w:gridSpan w:val="3"/>
          </w:tcPr>
          <w:p>
            <w:pPr>
              <w:jc w:val="center"/>
              <w:spacing w:after="0"/>
              <w:rPr>
                <w:sz w:val="20"/>
                <w:szCs w:val="20"/>
                <w:color w:val="auto"/>
              </w:rPr>
            </w:pPr>
            <w:r>
              <w:rPr>
                <w:rFonts w:ascii="Arial" w:cs="Arial" w:eastAsia="Arial" w:hAnsi="Arial"/>
                <w:sz w:val="13"/>
                <w:szCs w:val="13"/>
                <w:b w:val="1"/>
                <w:bCs w:val="1"/>
                <w:color w:val="auto"/>
              </w:rPr>
              <w:t>Property</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Senior</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gridSpan w:val="3"/>
          </w:tcPr>
          <w:p>
            <w:pPr>
              <w:jc w:val="center"/>
              <w:ind w:left="175"/>
              <w:spacing w:after="0"/>
              <w:rPr>
                <w:sz w:val="20"/>
                <w:szCs w:val="20"/>
                <w:color w:val="auto"/>
              </w:rPr>
            </w:pPr>
            <w:r>
              <w:rPr>
                <w:rFonts w:ascii="Arial" w:cs="Arial" w:eastAsia="Arial" w:hAnsi="Arial"/>
                <w:sz w:val="13"/>
                <w:szCs w:val="13"/>
                <w:b w:val="1"/>
                <w:bCs w:val="1"/>
                <w:color w:val="auto"/>
              </w:rPr>
              <w:t>Current</w:t>
            </w:r>
          </w:p>
        </w:tc>
        <w:tc>
          <w:tcPr>
            <w:tcW w:w="0" w:type="dxa"/>
            <w:vAlign w:val="bottom"/>
          </w:tcPr>
          <w:p>
            <w:pPr>
              <w:spacing w:after="0"/>
              <w:rPr>
                <w:sz w:val="1"/>
                <w:szCs w:val="1"/>
                <w:color w:val="auto"/>
              </w:rPr>
            </w:pPr>
          </w:p>
        </w:tc>
      </w:tr>
      <w:tr>
        <w:trPr>
          <w:trHeight w:val="146"/>
        </w:trPr>
        <w:tc>
          <w:tcPr>
            <w:tcW w:w="2680" w:type="dxa"/>
            <w:vAlign w:val="bottom"/>
            <w:gridSpan w:val="2"/>
          </w:tcPr>
          <w:p>
            <w:pPr>
              <w:spacing w:after="0" w:line="146" w:lineRule="exact"/>
              <w:rPr>
                <w:sz w:val="20"/>
                <w:szCs w:val="20"/>
                <w:color w:val="auto"/>
              </w:rPr>
            </w:pPr>
            <w:r>
              <w:rPr>
                <w:rFonts w:ascii="Arial" w:cs="Arial" w:eastAsia="Arial" w:hAnsi="Arial"/>
                <w:sz w:val="13"/>
                <w:szCs w:val="13"/>
                <w:b w:val="1"/>
                <w:bCs w:val="1"/>
                <w:color w:val="auto"/>
              </w:rPr>
              <w:t>Investment Type</w:t>
            </w:r>
          </w:p>
        </w:tc>
        <w:tc>
          <w:tcPr>
            <w:tcW w:w="12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Arial" w:cs="Arial" w:eastAsia="Arial" w:hAnsi="Arial"/>
                <w:sz w:val="13"/>
                <w:szCs w:val="13"/>
                <w:b w:val="1"/>
                <w:bCs w:val="1"/>
                <w:color w:val="auto"/>
                <w:w w:val="96"/>
              </w:rPr>
              <w:t>9/30/2016</w:t>
            </w: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2"/>
          </w:tcPr>
          <w:p>
            <w:pPr>
              <w:jc w:val="center"/>
              <w:ind w:right="840"/>
              <w:spacing w:after="0" w:line="146" w:lineRule="exact"/>
              <w:rPr>
                <w:sz w:val="20"/>
                <w:szCs w:val="20"/>
                <w:color w:val="auto"/>
              </w:rPr>
            </w:pPr>
            <w:r>
              <w:rPr>
                <w:rFonts w:ascii="Arial" w:cs="Arial" w:eastAsia="Arial" w:hAnsi="Arial"/>
                <w:sz w:val="13"/>
                <w:szCs w:val="13"/>
                <w:b w:val="1"/>
                <w:bCs w:val="1"/>
                <w:color w:val="auto"/>
                <w:w w:val="92"/>
              </w:rPr>
              <w:t>Type</w:t>
            </w:r>
          </w:p>
        </w:tc>
        <w:tc>
          <w:tcPr>
            <w:tcW w:w="260" w:type="dxa"/>
            <w:vAlign w:val="bottom"/>
          </w:tcPr>
          <w:p>
            <w:pPr>
              <w:spacing w:after="0"/>
              <w:rPr>
                <w:sz w:val="12"/>
                <w:szCs w:val="12"/>
                <w:color w:val="auto"/>
              </w:rPr>
            </w:pPr>
          </w:p>
        </w:tc>
        <w:tc>
          <w:tcPr>
            <w:tcW w:w="1160" w:type="dxa"/>
            <w:vAlign w:val="bottom"/>
            <w:gridSpan w:val="2"/>
          </w:tcPr>
          <w:p>
            <w:pPr>
              <w:jc w:val="center"/>
              <w:ind w:right="620"/>
              <w:spacing w:after="0" w:line="146" w:lineRule="exact"/>
              <w:rPr>
                <w:sz w:val="20"/>
                <w:szCs w:val="20"/>
                <w:color w:val="auto"/>
              </w:rPr>
            </w:pPr>
            <w:r>
              <w:rPr>
                <w:rFonts w:ascii="Arial" w:cs="Arial" w:eastAsia="Arial" w:hAnsi="Arial"/>
                <w:sz w:val="13"/>
                <w:szCs w:val="13"/>
                <w:b w:val="1"/>
                <w:bCs w:val="1"/>
                <w:color w:val="auto"/>
                <w:w w:val="99"/>
              </w:rPr>
              <w:t>Location</w:t>
            </w:r>
          </w:p>
        </w:tc>
        <w:tc>
          <w:tcPr>
            <w:tcW w:w="140" w:type="dxa"/>
            <w:vAlign w:val="bottom"/>
          </w:tcPr>
          <w:p>
            <w:pPr>
              <w:spacing w:after="0"/>
              <w:rPr>
                <w:sz w:val="12"/>
                <w:szCs w:val="12"/>
                <w:color w:val="auto"/>
              </w:rPr>
            </w:pPr>
          </w:p>
        </w:tc>
        <w:tc>
          <w:tcPr>
            <w:tcW w:w="760" w:type="dxa"/>
            <w:vAlign w:val="bottom"/>
            <w:gridSpan w:val="2"/>
          </w:tcPr>
          <w:p>
            <w:pPr>
              <w:jc w:val="right"/>
              <w:ind w:right="140"/>
              <w:spacing w:after="0" w:line="146" w:lineRule="exact"/>
              <w:rPr>
                <w:sz w:val="20"/>
                <w:szCs w:val="20"/>
                <w:color w:val="auto"/>
              </w:rPr>
            </w:pPr>
            <w:r>
              <w:rPr>
                <w:rFonts w:ascii="Arial" w:cs="Arial" w:eastAsia="Arial" w:hAnsi="Arial"/>
                <w:sz w:val="13"/>
                <w:szCs w:val="13"/>
                <w:b w:val="1"/>
                <w:bCs w:val="1"/>
                <w:color w:val="auto"/>
                <w:w w:val="97"/>
              </w:rPr>
              <w:t>Financing</w:t>
            </w:r>
          </w:p>
        </w:tc>
        <w:tc>
          <w:tcPr>
            <w:tcW w:w="1320" w:type="dxa"/>
            <w:vAlign w:val="bottom"/>
            <w:gridSpan w:val="4"/>
          </w:tcPr>
          <w:p>
            <w:pPr>
              <w:jc w:val="right"/>
              <w:ind w:right="240"/>
              <w:spacing w:after="0" w:line="145" w:lineRule="exact"/>
              <w:rPr>
                <w:sz w:val="20"/>
                <w:szCs w:val="20"/>
                <w:color w:val="auto"/>
              </w:rPr>
            </w:pPr>
            <w:r>
              <w:rPr>
                <w:rFonts w:ascii="Arial" w:cs="Arial" w:eastAsia="Arial" w:hAnsi="Arial"/>
                <w:sz w:val="12"/>
                <w:szCs w:val="12"/>
                <w:b w:val="1"/>
                <w:bCs w:val="1"/>
                <w:color w:val="auto"/>
              </w:rPr>
              <w:t>Last $ PSF</w:t>
            </w:r>
            <w:r>
              <w:rPr>
                <w:rFonts w:ascii="Arial" w:cs="Arial" w:eastAsia="Arial" w:hAnsi="Arial"/>
                <w:sz w:val="16"/>
                <w:szCs w:val="16"/>
                <w:b w:val="1"/>
                <w:bCs w:val="1"/>
                <w:color w:val="auto"/>
                <w:vertAlign w:val="superscript"/>
              </w:rPr>
              <w:t>(2)</w:t>
            </w:r>
          </w:p>
        </w:tc>
        <w:tc>
          <w:tcPr>
            <w:tcW w:w="720" w:type="dxa"/>
            <w:vAlign w:val="bottom"/>
            <w:gridSpan w:val="3"/>
          </w:tcPr>
          <w:p>
            <w:pPr>
              <w:jc w:val="center"/>
              <w:ind w:left="175"/>
              <w:spacing w:after="0" w:line="145" w:lineRule="exact"/>
              <w:rPr>
                <w:sz w:val="20"/>
                <w:szCs w:val="20"/>
                <w:color w:val="auto"/>
              </w:rPr>
            </w:pPr>
            <w:r>
              <w:rPr>
                <w:rFonts w:ascii="Arial" w:cs="Arial" w:eastAsia="Arial" w:hAnsi="Arial"/>
                <w:sz w:val="12"/>
                <w:szCs w:val="12"/>
                <w:b w:val="1"/>
                <w:bCs w:val="1"/>
                <w:color w:val="auto"/>
                <w:w w:val="95"/>
              </w:rPr>
              <w:t>Yield</w:t>
            </w:r>
            <w:r>
              <w:rPr>
                <w:rFonts w:ascii="Arial" w:cs="Arial" w:eastAsia="Arial" w:hAnsi="Arial"/>
                <w:sz w:val="16"/>
                <w:szCs w:val="16"/>
                <w:b w:val="1"/>
                <w:bCs w:val="1"/>
                <w:color w:val="auto"/>
                <w:w w:val="95"/>
                <w:vertAlign w:val="superscript"/>
              </w:rPr>
              <w:t>(3)</w:t>
            </w:r>
          </w:p>
        </w:tc>
        <w:tc>
          <w:tcPr>
            <w:tcW w:w="0" w:type="dxa"/>
            <w:vAlign w:val="bottom"/>
          </w:tcPr>
          <w:p>
            <w:pPr>
              <w:spacing w:after="0"/>
              <w:rPr>
                <w:sz w:val="1"/>
                <w:szCs w:val="1"/>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2680" w:type="dxa"/>
            <w:vAlign w:val="bottom"/>
            <w:gridSpan w:val="2"/>
          </w:tcPr>
          <w:p>
            <w:pPr>
              <w:spacing w:after="0"/>
              <w:rPr>
                <w:sz w:val="20"/>
                <w:szCs w:val="20"/>
                <w:color w:val="auto"/>
              </w:rPr>
            </w:pPr>
            <w:r>
              <w:rPr>
                <w:rFonts w:ascii="Arial" w:cs="Arial" w:eastAsia="Arial" w:hAnsi="Arial"/>
                <w:sz w:val="13"/>
                <w:szCs w:val="13"/>
                <w:color w:val="auto"/>
              </w:rPr>
              <w:t>Jr. Mortgage Participation and</w:t>
            </w:r>
          </w:p>
        </w:tc>
        <w:tc>
          <w:tcPr>
            <w:tcW w:w="120" w:type="dxa"/>
            <w:vAlign w:val="bottom"/>
            <w:vMerge w:val="restart"/>
          </w:tcPr>
          <w:p>
            <w:pPr>
              <w:ind w:left="20"/>
              <w:spacing w:after="0"/>
              <w:rPr>
                <w:sz w:val="20"/>
                <w:szCs w:val="20"/>
                <w:color w:val="auto"/>
              </w:rPr>
            </w:pPr>
            <w:r>
              <w:rPr>
                <w:rFonts w:ascii="Arial" w:cs="Arial" w:eastAsia="Arial" w:hAnsi="Arial"/>
                <w:sz w:val="13"/>
                <w:szCs w:val="13"/>
                <w:color w:val="auto"/>
              </w:rPr>
              <w:t>$</w:t>
            </w: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189,250</w:t>
            </w:r>
          </w:p>
        </w:tc>
        <w:tc>
          <w:tcPr>
            <w:tcW w:w="2020" w:type="dxa"/>
            <w:vAlign w:val="bottom"/>
            <w:gridSpan w:val="3"/>
            <w:vMerge w:val="restart"/>
          </w:tcPr>
          <w:p>
            <w:pPr>
              <w:jc w:val="center"/>
              <w:spacing w:after="0"/>
              <w:rPr>
                <w:sz w:val="20"/>
                <w:szCs w:val="20"/>
                <w:color w:val="auto"/>
              </w:rPr>
            </w:pPr>
            <w:r>
              <w:rPr>
                <w:rFonts w:ascii="Arial" w:cs="Arial" w:eastAsia="Arial" w:hAnsi="Arial"/>
                <w:sz w:val="13"/>
                <w:szCs w:val="13"/>
                <w:color w:val="auto"/>
                <w:w w:val="99"/>
              </w:rPr>
              <w:t>Office</w:t>
            </w:r>
          </w:p>
        </w:tc>
        <w:tc>
          <w:tcPr>
            <w:tcW w:w="1420" w:type="dxa"/>
            <w:vAlign w:val="bottom"/>
            <w:gridSpan w:val="3"/>
            <w:vMerge w:val="restart"/>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1,109,000</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1,179</w:t>
            </w:r>
          </w:p>
        </w:tc>
        <w:tc>
          <w:tcPr>
            <w:tcW w:w="720" w:type="dxa"/>
            <w:vAlign w:val="bottom"/>
            <w:gridSpan w:val="3"/>
            <w:vMerge w:val="restart"/>
          </w:tcPr>
          <w:p>
            <w:pPr>
              <w:jc w:val="center"/>
              <w:ind w:left="175"/>
              <w:spacing w:after="0"/>
              <w:rPr>
                <w:sz w:val="20"/>
                <w:szCs w:val="20"/>
                <w:color w:val="auto"/>
              </w:rPr>
            </w:pPr>
            <w:r>
              <w:rPr>
                <w:rFonts w:ascii="Arial" w:cs="Arial" w:eastAsia="Arial" w:hAnsi="Arial"/>
                <w:sz w:val="13"/>
                <w:szCs w:val="13"/>
                <w:color w:val="auto"/>
                <w:w w:val="97"/>
              </w:rPr>
              <w:t>9.69%</w:t>
            </w:r>
          </w:p>
        </w:tc>
        <w:tc>
          <w:tcPr>
            <w:tcW w:w="0" w:type="dxa"/>
            <w:vAlign w:val="bottom"/>
          </w:tcPr>
          <w:p>
            <w:pPr>
              <w:spacing w:after="0"/>
              <w:rPr>
                <w:sz w:val="1"/>
                <w:szCs w:val="1"/>
                <w:color w:val="auto"/>
              </w:rPr>
            </w:pPr>
          </w:p>
        </w:tc>
      </w:tr>
      <w:tr>
        <w:trPr>
          <w:trHeight w:val="80"/>
        </w:trPr>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Mezzanine Loans</w:t>
            </w:r>
          </w:p>
        </w:tc>
        <w:tc>
          <w:tcPr>
            <w:tcW w:w="12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4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0"/>
        </w:trPr>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Mortgage and Mezzanine Loans</w:t>
            </w:r>
          </w:p>
        </w:tc>
        <w:tc>
          <w:tcPr>
            <w:tcW w:w="120" w:type="dxa"/>
            <w:vAlign w:val="bottom"/>
          </w:tcPr>
          <w:p>
            <w:pPr>
              <w:spacing w:after="0"/>
              <w:rPr>
                <w:sz w:val="24"/>
                <w:szCs w:val="24"/>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140,920</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rPr>
              <w:t>Commercial/Multi-Family</w:t>
            </w:r>
          </w:p>
        </w:tc>
        <w:tc>
          <w:tcPr>
            <w:tcW w:w="1420" w:type="dxa"/>
            <w:vAlign w:val="bottom"/>
            <w:gridSpan w:val="3"/>
            <w:vMerge w:val="restart"/>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256</w:t>
            </w:r>
          </w:p>
        </w:tc>
        <w:tc>
          <w:tcPr>
            <w:tcW w:w="720" w:type="dxa"/>
            <w:vAlign w:val="bottom"/>
            <w:gridSpan w:val="3"/>
            <w:vMerge w:val="restart"/>
          </w:tcPr>
          <w:p>
            <w:pPr>
              <w:jc w:val="center"/>
              <w:ind w:left="175"/>
              <w:spacing w:after="0"/>
              <w:rPr>
                <w:sz w:val="20"/>
                <w:szCs w:val="20"/>
                <w:color w:val="auto"/>
              </w:rPr>
            </w:pPr>
            <w:r>
              <w:rPr>
                <w:rFonts w:ascii="Arial" w:cs="Arial" w:eastAsia="Arial" w:hAnsi="Arial"/>
                <w:sz w:val="13"/>
                <w:szCs w:val="13"/>
                <w:color w:val="auto"/>
                <w:w w:val="97"/>
              </w:rPr>
              <w:t>9.63%</w:t>
            </w:r>
          </w:p>
        </w:tc>
        <w:tc>
          <w:tcPr>
            <w:tcW w:w="0" w:type="dxa"/>
            <w:vAlign w:val="bottom"/>
          </w:tcPr>
          <w:p>
            <w:pPr>
              <w:spacing w:after="0"/>
              <w:rPr>
                <w:sz w:val="1"/>
                <w:szCs w:val="1"/>
                <w:color w:val="auto"/>
              </w:rPr>
            </w:pPr>
          </w:p>
        </w:tc>
      </w:tr>
      <w:tr>
        <w:trPr>
          <w:trHeight w:val="80"/>
        </w:trPr>
        <w:tc>
          <w:tcPr>
            <w:tcW w:w="2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20" w:type="dxa"/>
            <w:vAlign w:val="bottom"/>
            <w:gridSpan w:val="3"/>
            <w:vMerge w:val="restart"/>
          </w:tcPr>
          <w:p>
            <w:pPr>
              <w:jc w:val="center"/>
              <w:spacing w:after="0"/>
              <w:rPr>
                <w:sz w:val="20"/>
                <w:szCs w:val="20"/>
                <w:color w:val="auto"/>
              </w:rPr>
            </w:pPr>
            <w:r>
              <w:rPr>
                <w:rFonts w:ascii="Arial" w:cs="Arial" w:eastAsia="Arial" w:hAnsi="Arial"/>
                <w:sz w:val="13"/>
                <w:szCs w:val="13"/>
                <w:color w:val="auto"/>
              </w:rPr>
              <w:t>Rental Land</w:t>
            </w:r>
          </w:p>
        </w:tc>
        <w:tc>
          <w:tcPr>
            <w:tcW w:w="14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102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4"/>
        </w:trPr>
        <w:tc>
          <w:tcPr>
            <w:tcW w:w="2680" w:type="dxa"/>
            <w:vAlign w:val="bottom"/>
            <w:gridSpan w:val="2"/>
          </w:tcPr>
          <w:p>
            <w:pPr>
              <w:spacing w:after="0"/>
              <w:rPr>
                <w:sz w:val="20"/>
                <w:szCs w:val="20"/>
                <w:color w:val="auto"/>
              </w:rPr>
            </w:pPr>
            <w:r>
              <w:rPr>
                <w:rFonts w:ascii="Arial" w:cs="Arial" w:eastAsia="Arial" w:hAnsi="Arial"/>
                <w:sz w:val="13"/>
                <w:szCs w:val="13"/>
                <w:color w:val="auto"/>
              </w:rPr>
              <w:t>Mortgage and Mezzanine Loans</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107,061</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w w:val="99"/>
              </w:rPr>
              <w:t>Retail/Multi-Family Rental</w:t>
            </w:r>
          </w:p>
        </w:tc>
        <w:tc>
          <w:tcPr>
            <w:tcW w:w="1420" w:type="dxa"/>
            <w:vAlign w:val="bottom"/>
            <w:gridSpan w:val="3"/>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725</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8.56%</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99,945</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rPr>
              <w:t>Multi-Family Rental</w:t>
            </w:r>
          </w:p>
        </w:tc>
        <w:tc>
          <w:tcPr>
            <w:tcW w:w="1420" w:type="dxa"/>
            <w:vAlign w:val="bottom"/>
            <w:gridSpan w:val="3"/>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360,000</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844</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8.42%</w:t>
            </w:r>
          </w:p>
        </w:tc>
        <w:tc>
          <w:tcPr>
            <w:tcW w:w="0" w:type="dxa"/>
            <w:vAlign w:val="bottom"/>
          </w:tcPr>
          <w:p>
            <w:pPr>
              <w:spacing w:after="0"/>
              <w:rPr>
                <w:sz w:val="1"/>
                <w:szCs w:val="1"/>
                <w:color w:val="auto"/>
              </w:rPr>
            </w:pPr>
          </w:p>
        </w:tc>
      </w:tr>
      <w:tr>
        <w:trPr>
          <w:trHeight w:val="401"/>
        </w:trPr>
        <w:tc>
          <w:tcPr>
            <w:tcW w:w="2680" w:type="dxa"/>
            <w:vAlign w:val="bottom"/>
            <w:gridSpan w:val="2"/>
          </w:tcPr>
          <w:p>
            <w:pPr>
              <w:spacing w:after="0"/>
              <w:rPr>
                <w:sz w:val="20"/>
                <w:szCs w:val="20"/>
                <w:color w:val="auto"/>
              </w:rPr>
            </w:pPr>
            <w:r>
              <w:rPr>
                <w:rFonts w:ascii="Arial" w:cs="Arial" w:eastAsia="Arial" w:hAnsi="Arial"/>
                <w:sz w:val="13"/>
                <w:szCs w:val="13"/>
                <w:color w:val="auto"/>
              </w:rPr>
              <w:t>Mortgage and Jr. Mortgage</w:t>
            </w:r>
          </w:p>
        </w:tc>
        <w:tc>
          <w:tcPr>
            <w:tcW w:w="120" w:type="dxa"/>
            <w:vAlign w:val="bottom"/>
          </w:tcPr>
          <w:p>
            <w:pPr>
              <w:spacing w:after="0"/>
              <w:rPr>
                <w:sz w:val="24"/>
                <w:szCs w:val="24"/>
                <w:color w:val="auto"/>
              </w:rPr>
            </w:pPr>
          </w:p>
        </w:tc>
        <w:tc>
          <w:tcPr>
            <w:tcW w:w="7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64,549</w:t>
            </w:r>
          </w:p>
        </w:tc>
        <w:tc>
          <w:tcPr>
            <w:tcW w:w="2020" w:type="dxa"/>
            <w:vAlign w:val="bottom"/>
            <w:gridSpan w:val="3"/>
            <w:vMerge w:val="restart"/>
          </w:tcPr>
          <w:p>
            <w:pPr>
              <w:jc w:val="center"/>
              <w:spacing w:after="0"/>
              <w:rPr>
                <w:sz w:val="20"/>
                <w:szCs w:val="20"/>
                <w:color w:val="auto"/>
              </w:rPr>
            </w:pPr>
            <w:r>
              <w:rPr>
                <w:rFonts w:ascii="Arial" w:cs="Arial" w:eastAsia="Arial" w:hAnsi="Arial"/>
                <w:sz w:val="13"/>
                <w:szCs w:val="13"/>
                <w:color w:val="auto"/>
              </w:rPr>
              <w:t>Office/Retail</w:t>
            </w:r>
          </w:p>
        </w:tc>
        <w:tc>
          <w:tcPr>
            <w:tcW w:w="260" w:type="dxa"/>
            <w:vAlign w:val="bottom"/>
          </w:tcPr>
          <w:p>
            <w:pPr>
              <w:spacing w:after="0"/>
              <w:rPr>
                <w:sz w:val="24"/>
                <w:szCs w:val="24"/>
                <w:color w:val="auto"/>
              </w:rPr>
            </w:pPr>
          </w:p>
        </w:tc>
        <w:tc>
          <w:tcPr>
            <w:tcW w:w="1160" w:type="dxa"/>
            <w:vAlign w:val="bottom"/>
            <w:gridSpan w:val="2"/>
            <w:vMerge w:val="restart"/>
          </w:tcPr>
          <w:p>
            <w:pPr>
              <w:jc w:val="center"/>
              <w:ind w:right="620"/>
              <w:spacing w:after="0"/>
              <w:rPr>
                <w:sz w:val="20"/>
                <w:szCs w:val="20"/>
                <w:color w:val="auto"/>
              </w:rPr>
            </w:pPr>
            <w:r>
              <w:rPr>
                <w:rFonts w:ascii="Arial" w:cs="Arial" w:eastAsia="Arial" w:hAnsi="Arial"/>
                <w:sz w:val="13"/>
                <w:szCs w:val="13"/>
                <w:color w:val="auto"/>
                <w:w w:val="98"/>
              </w:rPr>
              <w:t>Brooklyn</w:t>
            </w:r>
          </w:p>
        </w:tc>
        <w:tc>
          <w:tcPr>
            <w:tcW w:w="140" w:type="dxa"/>
            <w:vAlign w:val="bottom"/>
          </w:tcPr>
          <w:p>
            <w:pPr>
              <w:spacing w:after="0"/>
              <w:rPr>
                <w:sz w:val="24"/>
                <w:szCs w:val="24"/>
                <w:color w:val="auto"/>
              </w:rPr>
            </w:pP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180,740</w:t>
            </w:r>
          </w:p>
        </w:tc>
        <w:tc>
          <w:tcPr>
            <w:tcW w:w="54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3"/>
                <w:szCs w:val="13"/>
                <w:color w:val="auto"/>
              </w:rPr>
              <w:t>338</w:t>
            </w:r>
          </w:p>
        </w:tc>
        <w:tc>
          <w:tcPr>
            <w:tcW w:w="720" w:type="dxa"/>
            <w:vAlign w:val="bottom"/>
            <w:gridSpan w:val="3"/>
            <w:vMerge w:val="restart"/>
          </w:tcPr>
          <w:p>
            <w:pPr>
              <w:jc w:val="center"/>
              <w:ind w:left="175"/>
              <w:spacing w:after="0"/>
              <w:rPr>
                <w:sz w:val="20"/>
                <w:szCs w:val="20"/>
                <w:color w:val="auto"/>
              </w:rPr>
            </w:pPr>
            <w:r>
              <w:rPr>
                <w:rFonts w:ascii="Arial" w:cs="Arial" w:eastAsia="Arial" w:hAnsi="Arial"/>
                <w:sz w:val="13"/>
                <w:szCs w:val="13"/>
                <w:color w:val="auto"/>
                <w:w w:val="97"/>
              </w:rPr>
              <w:t>9.01%</w:t>
            </w:r>
          </w:p>
        </w:tc>
        <w:tc>
          <w:tcPr>
            <w:tcW w:w="0" w:type="dxa"/>
            <w:vAlign w:val="bottom"/>
          </w:tcPr>
          <w:p>
            <w:pPr>
              <w:spacing w:after="0"/>
              <w:rPr>
                <w:sz w:val="1"/>
                <w:szCs w:val="1"/>
                <w:color w:val="auto"/>
              </w:rPr>
            </w:pPr>
          </w:p>
        </w:tc>
      </w:tr>
      <w:tr>
        <w:trPr>
          <w:trHeight w:val="80"/>
        </w:trPr>
        <w:tc>
          <w:tcPr>
            <w:tcW w:w="2680" w:type="dxa"/>
            <w:vAlign w:val="bottom"/>
            <w:gridSpan w:val="2"/>
            <w:vMerge w:val="restart"/>
          </w:tcPr>
          <w:p>
            <w:pPr>
              <w:spacing w:after="0"/>
              <w:rPr>
                <w:sz w:val="20"/>
                <w:szCs w:val="20"/>
                <w:color w:val="auto"/>
              </w:rPr>
            </w:pPr>
            <w:r>
              <w:rPr>
                <w:rFonts w:ascii="Arial" w:cs="Arial" w:eastAsia="Arial" w:hAnsi="Arial"/>
                <w:sz w:val="13"/>
                <w:szCs w:val="13"/>
                <w:color w:val="auto"/>
              </w:rPr>
              <w:t>Participation Loans</w:t>
            </w:r>
          </w:p>
        </w:tc>
        <w:tc>
          <w:tcPr>
            <w:tcW w:w="1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26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68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04"/>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61,059</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w w:val="99"/>
              </w:rPr>
              <w:t>Office</w:t>
            </w:r>
          </w:p>
        </w:tc>
        <w:tc>
          <w:tcPr>
            <w:tcW w:w="1420" w:type="dxa"/>
            <w:vAlign w:val="bottom"/>
            <w:gridSpan w:val="3"/>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502,100</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521</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7.91%</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59,917</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w w:val="99"/>
              </w:rPr>
              <w:t>Office</w:t>
            </w:r>
          </w:p>
        </w:tc>
        <w:tc>
          <w:tcPr>
            <w:tcW w:w="1420" w:type="dxa"/>
            <w:vAlign w:val="bottom"/>
            <w:gridSpan w:val="3"/>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246,758</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54</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9"/>
              </w:rPr>
              <w:t>11.23%</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55,264</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w w:val="99"/>
              </w:rPr>
              <w:t>Office</w:t>
            </w:r>
          </w:p>
        </w:tc>
        <w:tc>
          <w:tcPr>
            <w:tcW w:w="1420" w:type="dxa"/>
            <w:vAlign w:val="bottom"/>
            <w:gridSpan w:val="3"/>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156,383</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533</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9.11%</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Mezzanine Loan</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53,405</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w w:val="99"/>
              </w:rPr>
              <w:t>Office</w:t>
            </w:r>
          </w:p>
        </w:tc>
        <w:tc>
          <w:tcPr>
            <w:tcW w:w="1420" w:type="dxa"/>
            <w:vAlign w:val="bottom"/>
            <w:gridSpan w:val="3"/>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144,009</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473</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9.66%</w:t>
            </w:r>
          </w:p>
        </w:tc>
        <w:tc>
          <w:tcPr>
            <w:tcW w:w="0" w:type="dxa"/>
            <w:vAlign w:val="bottom"/>
          </w:tcPr>
          <w:p>
            <w:pPr>
              <w:spacing w:after="0"/>
              <w:rPr>
                <w:sz w:val="1"/>
                <w:szCs w:val="1"/>
                <w:color w:val="auto"/>
              </w:rPr>
            </w:pPr>
          </w:p>
        </w:tc>
      </w:tr>
      <w:tr>
        <w:trPr>
          <w:trHeight w:val="415"/>
        </w:trPr>
        <w:tc>
          <w:tcPr>
            <w:tcW w:w="2680" w:type="dxa"/>
            <w:vAlign w:val="bottom"/>
            <w:gridSpan w:val="2"/>
          </w:tcPr>
          <w:p>
            <w:pPr>
              <w:spacing w:after="0"/>
              <w:rPr>
                <w:sz w:val="20"/>
                <w:szCs w:val="20"/>
                <w:color w:val="auto"/>
              </w:rPr>
            </w:pPr>
            <w:r>
              <w:rPr>
                <w:rFonts w:ascii="Arial" w:cs="Arial" w:eastAsia="Arial" w:hAnsi="Arial"/>
                <w:sz w:val="13"/>
                <w:szCs w:val="13"/>
                <w:color w:val="auto"/>
              </w:rPr>
              <w:t>Preferred Equity</w:t>
            </w: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3"/>
                <w:szCs w:val="13"/>
                <w:color w:val="auto"/>
              </w:rPr>
              <w:t>37,867</w:t>
            </w:r>
          </w:p>
        </w:tc>
        <w:tc>
          <w:tcPr>
            <w:tcW w:w="2020" w:type="dxa"/>
            <w:vAlign w:val="bottom"/>
            <w:gridSpan w:val="3"/>
          </w:tcPr>
          <w:p>
            <w:pPr>
              <w:jc w:val="center"/>
              <w:spacing w:after="0"/>
              <w:rPr>
                <w:sz w:val="20"/>
                <w:szCs w:val="20"/>
                <w:color w:val="auto"/>
              </w:rPr>
            </w:pPr>
            <w:r>
              <w:rPr>
                <w:rFonts w:ascii="Arial" w:cs="Arial" w:eastAsia="Arial" w:hAnsi="Arial"/>
                <w:sz w:val="13"/>
                <w:szCs w:val="13"/>
                <w:color w:val="auto"/>
                <w:w w:val="99"/>
              </w:rPr>
              <w:t>Office</w:t>
            </w:r>
          </w:p>
        </w:tc>
        <w:tc>
          <w:tcPr>
            <w:tcW w:w="1420" w:type="dxa"/>
            <w:vAlign w:val="bottom"/>
            <w:gridSpan w:val="3"/>
          </w:tcPr>
          <w:p>
            <w:pPr>
              <w:jc w:val="center"/>
              <w:ind w:right="360"/>
              <w:spacing w:after="0"/>
              <w:rPr>
                <w:sz w:val="20"/>
                <w:szCs w:val="20"/>
                <w:color w:val="auto"/>
              </w:rPr>
            </w:pPr>
            <w:r>
              <w:rPr>
                <w:rFonts w:ascii="Arial" w:cs="Arial" w:eastAsia="Arial" w:hAnsi="Arial"/>
                <w:sz w:val="13"/>
                <w:szCs w:val="13"/>
                <w:color w:val="auto"/>
              </w:rPr>
              <w:t>Manhattan</w:t>
            </w:r>
          </w:p>
        </w:tc>
        <w:tc>
          <w:tcPr>
            <w:tcW w:w="140" w:type="dxa"/>
            <w:vAlign w:val="bottom"/>
          </w:tcPr>
          <w:p>
            <w:pPr>
              <w:spacing w:after="0"/>
              <w:rPr>
                <w:sz w:val="24"/>
                <w:szCs w:val="2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59,034</w:t>
            </w:r>
          </w:p>
        </w:tc>
        <w:tc>
          <w:tcPr>
            <w:tcW w:w="5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471</w:t>
            </w:r>
          </w:p>
        </w:tc>
        <w:tc>
          <w:tcPr>
            <w:tcW w:w="720" w:type="dxa"/>
            <w:vAlign w:val="bottom"/>
            <w:gridSpan w:val="3"/>
          </w:tcPr>
          <w:p>
            <w:pPr>
              <w:jc w:val="center"/>
              <w:ind w:left="175"/>
              <w:spacing w:after="0"/>
              <w:rPr>
                <w:sz w:val="20"/>
                <w:szCs w:val="20"/>
                <w:color w:val="auto"/>
              </w:rPr>
            </w:pPr>
            <w:r>
              <w:rPr>
                <w:rFonts w:ascii="Arial" w:cs="Arial" w:eastAsia="Arial" w:hAnsi="Arial"/>
                <w:sz w:val="13"/>
                <w:szCs w:val="13"/>
                <w:color w:val="auto"/>
                <w:w w:val="97"/>
              </w:rPr>
              <w:t>6.85%</w:t>
            </w:r>
          </w:p>
        </w:tc>
        <w:tc>
          <w:tcPr>
            <w:tcW w:w="0" w:type="dxa"/>
            <w:vAlign w:val="bottom"/>
          </w:tcPr>
          <w:p>
            <w:pPr>
              <w:spacing w:after="0"/>
              <w:rPr>
                <w:sz w:val="1"/>
                <w:szCs w:val="1"/>
                <w:color w:val="auto"/>
              </w:rPr>
            </w:pPr>
          </w:p>
        </w:tc>
      </w:tr>
      <w:tr>
        <w:trPr>
          <w:trHeight w:val="224"/>
        </w:trPr>
        <w:tc>
          <w:tcPr>
            <w:tcW w:w="10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1020" w:type="dxa"/>
            <w:vAlign w:val="bottom"/>
          </w:tcPr>
          <w:p>
            <w:pPr>
              <w:spacing w:after="0"/>
              <w:rPr>
                <w:sz w:val="15"/>
                <w:szCs w:val="15"/>
                <w:color w:val="auto"/>
              </w:rPr>
            </w:pPr>
          </w:p>
        </w:tc>
        <w:tc>
          <w:tcPr>
            <w:tcW w:w="1660" w:type="dxa"/>
            <w:vAlign w:val="bottom"/>
          </w:tcPr>
          <w:p>
            <w:pPr>
              <w:ind w:left="760"/>
              <w:spacing w:after="0"/>
              <w:rPr>
                <w:sz w:val="20"/>
                <w:szCs w:val="20"/>
                <w:color w:val="auto"/>
              </w:rPr>
            </w:pPr>
            <w:r>
              <w:rPr>
                <w:rFonts w:ascii="Arial" w:cs="Arial" w:eastAsia="Arial" w:hAnsi="Arial"/>
                <w:sz w:val="13"/>
                <w:szCs w:val="13"/>
                <w:b w:val="1"/>
                <w:bCs w:val="1"/>
                <w:color w:val="auto"/>
              </w:rPr>
              <w:t>Total</w:t>
            </w: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3"/>
                <w:szCs w:val="13"/>
                <w:b w:val="1"/>
                <w:bCs w:val="1"/>
                <w:color w:val="auto"/>
              </w:rPr>
              <w:t>869,237</w:t>
            </w:r>
          </w:p>
        </w:tc>
        <w:tc>
          <w:tcPr>
            <w:tcW w:w="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2,758,024</w:t>
            </w: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gridSpan w:val="3"/>
          </w:tcPr>
          <w:p>
            <w:pPr>
              <w:jc w:val="center"/>
              <w:ind w:left="175"/>
              <w:spacing w:after="0"/>
              <w:rPr>
                <w:sz w:val="20"/>
                <w:szCs w:val="20"/>
                <w:color w:val="auto"/>
              </w:rPr>
            </w:pPr>
            <w:r>
              <w:rPr>
                <w:rFonts w:ascii="Arial" w:cs="Arial" w:eastAsia="Arial" w:hAnsi="Arial"/>
                <w:sz w:val="13"/>
                <w:szCs w:val="13"/>
                <w:b w:val="1"/>
                <w:bCs w:val="1"/>
                <w:color w:val="auto"/>
                <w:w w:val="97"/>
              </w:rPr>
              <w:t>9.16%</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00" w:right="180" w:hanging="179"/>
        <w:spacing w:after="0" w:line="319" w:lineRule="auto"/>
        <w:tabs>
          <w:tab w:leader="none" w:pos="183" w:val="left"/>
        </w:tabs>
        <w:numPr>
          <w:ilvl w:val="0"/>
          <w:numId w:val="22"/>
        </w:numPr>
        <w:rPr>
          <w:rFonts w:ascii="Arial" w:cs="Arial" w:eastAsia="Arial" w:hAnsi="Arial"/>
          <w:sz w:val="10"/>
          <w:szCs w:val="10"/>
          <w:color w:val="auto"/>
        </w:rPr>
      </w:pPr>
      <w:r>
        <w:rPr>
          <w:rFonts w:ascii="Arial" w:cs="Arial" w:eastAsia="Arial" w:hAnsi="Arial"/>
          <w:sz w:val="10"/>
          <w:szCs w:val="10"/>
          <w:color w:val="auto"/>
        </w:rPr>
        <w:t>Net of unamortized fees, discounts, and premiums. Excludes debt and preferred equity investments totaling $338.0 million with a weighted average current yield of 7.84% which are included in other balance sheet line items.</w:t>
      </w:r>
    </w:p>
    <w:p>
      <w:pPr>
        <w:ind w:left="180" w:hanging="159"/>
        <w:spacing w:after="0"/>
        <w:tabs>
          <w:tab w:leader="none" w:pos="180" w:val="left"/>
        </w:tabs>
        <w:numPr>
          <w:ilvl w:val="0"/>
          <w:numId w:val="22"/>
        </w:numPr>
        <w:rPr>
          <w:rFonts w:ascii="Arial" w:cs="Arial" w:eastAsia="Arial" w:hAnsi="Arial"/>
          <w:sz w:val="10"/>
          <w:szCs w:val="10"/>
          <w:color w:val="auto"/>
        </w:rPr>
      </w:pPr>
      <w:r>
        <w:rPr>
          <w:rFonts w:ascii="Arial" w:cs="Arial" w:eastAsia="Arial" w:hAnsi="Arial"/>
          <w:sz w:val="10"/>
          <w:szCs w:val="10"/>
          <w:color w:val="auto"/>
        </w:rPr>
        <w:t>Reflects the last dollar of exposure to the Company's most junior position.</w:t>
      </w:r>
    </w:p>
    <w:p>
      <w:pPr>
        <w:spacing w:after="0" w:line="38" w:lineRule="exact"/>
        <w:rPr>
          <w:rFonts w:ascii="Arial" w:cs="Arial" w:eastAsia="Arial" w:hAnsi="Arial"/>
          <w:sz w:val="10"/>
          <w:szCs w:val="10"/>
          <w:color w:val="auto"/>
        </w:rPr>
      </w:pPr>
    </w:p>
    <w:p>
      <w:pPr>
        <w:ind w:left="200" w:right="380" w:hanging="179"/>
        <w:spacing w:after="0" w:line="334" w:lineRule="auto"/>
        <w:tabs>
          <w:tab w:leader="none" w:pos="183" w:val="left"/>
        </w:tabs>
        <w:numPr>
          <w:ilvl w:val="0"/>
          <w:numId w:val="22"/>
        </w:numPr>
        <w:rPr>
          <w:rFonts w:ascii="Arial" w:cs="Arial" w:eastAsia="Arial" w:hAnsi="Arial"/>
          <w:sz w:val="10"/>
          <w:szCs w:val="10"/>
          <w:color w:val="auto"/>
        </w:rPr>
      </w:pPr>
      <w:r>
        <w:rPr>
          <w:rFonts w:ascii="Arial" w:cs="Arial" w:eastAsia="Arial" w:hAnsi="Arial"/>
          <w:sz w:val="10"/>
          <w:szCs w:val="10"/>
          <w:color w:val="auto"/>
        </w:rPr>
        <w:t>Calculated based on accounting income, which includes cash interest, paid-in-kind interest, fee accrual and amortization of discounts, recognized in the last month of the quarter, excluding accelerated fee income resulting from early repayment.</w:t>
      </w:r>
    </w:p>
    <w:p>
      <w:pPr>
        <w:spacing w:after="0" w:line="200" w:lineRule="exact"/>
        <w:rPr>
          <w:sz w:val="20"/>
          <w:szCs w:val="20"/>
          <w:color w:val="auto"/>
        </w:rPr>
      </w:pPr>
    </w:p>
    <w:p>
      <w:pPr>
        <w:spacing w:after="0" w:line="267"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32</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sectPr>
      </w:pPr>
    </w:p>
    <w:bookmarkStart w:id="48" w:name="page49"/>
    <w:bookmarkEnd w:id="4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158115</wp:posOffset>
            </wp:positionH>
            <wp:positionV relativeFrom="page">
              <wp:posOffset>172085</wp:posOffset>
            </wp:positionV>
            <wp:extent cx="6412230"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5925185</wp:posOffset>
            </wp:positionH>
            <wp:positionV relativeFrom="paragraph">
              <wp:posOffset>-48895</wp:posOffset>
            </wp:positionV>
            <wp:extent cx="1263015" cy="3606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 Operating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20955</wp:posOffset>
            </wp:positionV>
            <wp:extent cx="641223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690" w:type="dxa"/>
        <w:tblCellMar>
          <w:top w:w="0" w:type="dxa"/>
          <w:left w:w="0" w:type="dxa"/>
          <w:bottom w:w="0" w:type="dxa"/>
          <w:right w:w="0" w:type="dxa"/>
        </w:tblCellMar>
      </w:tblPr>
      <w:tr>
        <w:trPr>
          <w:trHeight w:val="80"/>
        </w:trPr>
        <w:tc>
          <w:tcPr>
            <w:tcW w:w="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gridSpan w:val="5"/>
          </w:tcPr>
          <w:p>
            <w:pPr>
              <w:jc w:val="right"/>
              <w:ind w:right="200"/>
              <w:spacing w:after="0"/>
              <w:rPr>
                <w:sz w:val="20"/>
                <w:szCs w:val="20"/>
                <w:color w:val="auto"/>
              </w:rPr>
            </w:pPr>
            <w:r>
              <w:rPr>
                <w:rFonts w:ascii="Arial" w:cs="Arial" w:eastAsia="Arial" w:hAnsi="Arial"/>
                <w:sz w:val="7"/>
                <w:szCs w:val="7"/>
                <w:b w:val="1"/>
                <w:bCs w:val="1"/>
                <w:color w:val="auto"/>
              </w:rPr>
              <w:t>% of</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gridSpan w:val="2"/>
          </w:tcPr>
          <w:p>
            <w:pPr>
              <w:ind w:left="20"/>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7"/>
                <w:szCs w:val="7"/>
                <w:b w:val="1"/>
                <w:bCs w:val="1"/>
                <w:color w:val="auto"/>
              </w:rPr>
              <w:t># of</w:t>
            </w:r>
          </w:p>
        </w:tc>
        <w:tc>
          <w:tcPr>
            <w:tcW w:w="140" w:type="dxa"/>
            <w:vAlign w:val="bottom"/>
          </w:tcPr>
          <w:p>
            <w:pPr>
              <w:spacing w:after="0"/>
              <w:rPr>
                <w:sz w:val="8"/>
                <w:szCs w:val="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Usable</w:t>
            </w:r>
          </w:p>
        </w:tc>
        <w:tc>
          <w:tcPr>
            <w:tcW w:w="400" w:type="dxa"/>
            <w:vAlign w:val="bottom"/>
            <w:gridSpan w:val="5"/>
          </w:tcPr>
          <w:p>
            <w:pPr>
              <w:jc w:val="right"/>
              <w:ind w:right="200"/>
              <w:spacing w:after="0"/>
              <w:rPr>
                <w:sz w:val="20"/>
                <w:szCs w:val="20"/>
                <w:color w:val="auto"/>
              </w:rPr>
            </w:pPr>
            <w:r>
              <w:rPr>
                <w:rFonts w:ascii="Arial" w:cs="Arial" w:eastAsia="Arial" w:hAnsi="Arial"/>
                <w:sz w:val="7"/>
                <w:szCs w:val="7"/>
                <w:b w:val="1"/>
                <w:bCs w:val="1"/>
                <w:color w:val="auto"/>
              </w:rPr>
              <w:t>Total</w:t>
            </w: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3"/>
          </w:tcPr>
          <w:p>
            <w:pPr>
              <w:ind w:left="60"/>
              <w:spacing w:after="0"/>
              <w:rPr>
                <w:sz w:val="20"/>
                <w:szCs w:val="20"/>
                <w:color w:val="auto"/>
              </w:rPr>
            </w:pPr>
            <w:r>
              <w:rPr>
                <w:rFonts w:ascii="Arial" w:cs="Arial" w:eastAsia="Arial" w:hAnsi="Arial"/>
                <w:sz w:val="7"/>
                <w:szCs w:val="7"/>
                <w:b w:val="1"/>
                <w:bCs w:val="1"/>
                <w:color w:val="auto"/>
              </w:rPr>
              <w:t>Occupancy (%)</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ind w:right="144"/>
              <w:spacing w:after="0"/>
              <w:rPr>
                <w:sz w:val="20"/>
                <w:szCs w:val="20"/>
                <w:color w:val="auto"/>
              </w:rPr>
            </w:pPr>
            <w:r>
              <w:rPr>
                <w:rFonts w:ascii="Arial" w:cs="Arial" w:eastAsia="Arial" w:hAnsi="Arial"/>
                <w:sz w:val="7"/>
                <w:szCs w:val="7"/>
                <w:b w:val="1"/>
                <w:bCs w:val="1"/>
                <w:color w:val="auto"/>
              </w:rPr>
              <w:t>Annualized</w:t>
            </w:r>
          </w:p>
        </w:tc>
        <w:tc>
          <w:tcPr>
            <w:tcW w:w="1120" w:type="dxa"/>
            <w:vAlign w:val="bottom"/>
            <w:tcBorders>
              <w:bottom w:val="single" w:sz="8" w:color="auto"/>
            </w:tcBorders>
            <w:gridSpan w:val="2"/>
          </w:tcPr>
          <w:p>
            <w:pPr>
              <w:jc w:val="right"/>
              <w:ind w:right="124"/>
              <w:spacing w:after="0"/>
              <w:rPr>
                <w:sz w:val="20"/>
                <w:szCs w:val="20"/>
                <w:color w:val="auto"/>
              </w:rPr>
            </w:pPr>
            <w:r>
              <w:rPr>
                <w:rFonts w:ascii="Arial" w:cs="Arial" w:eastAsia="Arial" w:hAnsi="Arial"/>
                <w:sz w:val="7"/>
                <w:szCs w:val="7"/>
                <w:b w:val="1"/>
                <w:bCs w:val="1"/>
                <w:color w:val="auto"/>
              </w:rPr>
              <w:t>Annualized Cash Rent</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1000" w:type="dxa"/>
            <w:vAlign w:val="bottom"/>
            <w:gridSpan w:val="3"/>
          </w:tcPr>
          <w:p>
            <w:pPr>
              <w:ind w:left="20"/>
              <w:spacing w:after="0" w:line="68" w:lineRule="exact"/>
              <w:rPr>
                <w:sz w:val="20"/>
                <w:szCs w:val="20"/>
                <w:color w:val="auto"/>
              </w:rPr>
            </w:pPr>
            <w:r>
              <w:rPr>
                <w:rFonts w:ascii="Arial" w:cs="Arial" w:eastAsia="Arial" w:hAnsi="Arial"/>
                <w:sz w:val="7"/>
                <w:szCs w:val="7"/>
                <w:b w:val="1"/>
                <w:bCs w:val="1"/>
                <w:color w:val="auto"/>
              </w:rPr>
              <w:t>Properties</w:t>
            </w:r>
          </w:p>
        </w:tc>
        <w:tc>
          <w:tcPr>
            <w:tcW w:w="1080" w:type="dxa"/>
            <w:vAlign w:val="bottom"/>
            <w:gridSpan w:val="3"/>
          </w:tcPr>
          <w:p>
            <w:pPr>
              <w:ind w:left="560"/>
              <w:spacing w:after="0" w:line="68" w:lineRule="exact"/>
              <w:rPr>
                <w:sz w:val="20"/>
                <w:szCs w:val="20"/>
                <w:color w:val="auto"/>
              </w:rPr>
            </w:pPr>
            <w:r>
              <w:rPr>
                <w:rFonts w:ascii="Arial" w:cs="Arial" w:eastAsia="Arial" w:hAnsi="Arial"/>
                <w:sz w:val="7"/>
                <w:szCs w:val="7"/>
                <w:b w:val="1"/>
                <w:bCs w:val="1"/>
                <w:color w:val="auto"/>
              </w:rPr>
              <w:t>Interest (%)</w:t>
            </w:r>
          </w:p>
        </w:tc>
        <w:tc>
          <w:tcPr>
            <w:tcW w:w="96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SubMarket</w:t>
            </w:r>
          </w:p>
        </w:tc>
        <w:tc>
          <w:tcPr>
            <w:tcW w:w="80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Ownership</w:t>
            </w:r>
          </w:p>
        </w:tc>
        <w:tc>
          <w:tcPr>
            <w:tcW w:w="100" w:type="dxa"/>
            <w:vAlign w:val="bottom"/>
          </w:tcPr>
          <w:p>
            <w:pPr>
              <w:spacing w:after="0"/>
              <w:rPr>
                <w:sz w:val="7"/>
                <w:szCs w:val="7"/>
                <w:color w:val="auto"/>
              </w:rPr>
            </w:pPr>
          </w:p>
        </w:tc>
        <w:tc>
          <w:tcPr>
            <w:tcW w:w="300" w:type="dxa"/>
            <w:vAlign w:val="bottom"/>
            <w:gridSpan w:val="2"/>
          </w:tcPr>
          <w:p>
            <w:pPr>
              <w:jc w:val="right"/>
              <w:ind w:right="60"/>
              <w:spacing w:after="0" w:line="68" w:lineRule="exact"/>
              <w:rPr>
                <w:sz w:val="20"/>
                <w:szCs w:val="20"/>
                <w:color w:val="auto"/>
              </w:rPr>
            </w:pPr>
            <w:r>
              <w:rPr>
                <w:rFonts w:ascii="Arial" w:cs="Arial" w:eastAsia="Arial" w:hAnsi="Arial"/>
                <w:sz w:val="7"/>
                <w:szCs w:val="7"/>
                <w:b w:val="1"/>
                <w:bCs w:val="1"/>
                <w:color w:val="auto"/>
              </w:rPr>
              <w:t>Bldgs</w:t>
            </w:r>
          </w:p>
        </w:tc>
        <w:tc>
          <w:tcPr>
            <w:tcW w:w="140" w:type="dxa"/>
            <w:vAlign w:val="bottom"/>
          </w:tcPr>
          <w:p>
            <w:pPr>
              <w:spacing w:after="0"/>
              <w:rPr>
                <w:sz w:val="7"/>
                <w:szCs w:val="7"/>
                <w:color w:val="auto"/>
              </w:rPr>
            </w:pPr>
          </w:p>
        </w:tc>
        <w:tc>
          <w:tcPr>
            <w:tcW w:w="420" w:type="dxa"/>
            <w:vAlign w:val="bottom"/>
            <w:gridSpan w:val="3"/>
          </w:tcPr>
          <w:p>
            <w:pPr>
              <w:jc w:val="right"/>
              <w:ind w:right="120"/>
              <w:spacing w:after="0" w:line="68" w:lineRule="exact"/>
              <w:rPr>
                <w:sz w:val="20"/>
                <w:szCs w:val="20"/>
                <w:color w:val="auto"/>
              </w:rPr>
            </w:pPr>
            <w:r>
              <w:rPr>
                <w:rFonts w:ascii="Arial" w:cs="Arial" w:eastAsia="Arial" w:hAnsi="Arial"/>
                <w:sz w:val="7"/>
                <w:szCs w:val="7"/>
                <w:b w:val="1"/>
                <w:bCs w:val="1"/>
                <w:color w:val="auto"/>
              </w:rPr>
              <w:t>Sq. Feet</w:t>
            </w: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320" w:type="dxa"/>
            <w:vAlign w:val="bottom"/>
            <w:gridSpan w:val="3"/>
          </w:tcPr>
          <w:p>
            <w:pPr>
              <w:jc w:val="right"/>
              <w:ind w:right="200"/>
              <w:spacing w:after="0" w:line="68" w:lineRule="exact"/>
              <w:rPr>
                <w:sz w:val="20"/>
                <w:szCs w:val="20"/>
                <w:color w:val="auto"/>
              </w:rPr>
            </w:pPr>
            <w:r>
              <w:rPr>
                <w:rFonts w:ascii="Arial" w:cs="Arial" w:eastAsia="Arial" w:hAnsi="Arial"/>
                <w:sz w:val="7"/>
                <w:szCs w:val="7"/>
                <w:b w:val="1"/>
                <w:bCs w:val="1"/>
                <w:color w:val="auto"/>
                <w:w w:val="91"/>
              </w:rPr>
              <w:t>Sq.</w:t>
            </w:r>
          </w:p>
        </w:tc>
        <w:tc>
          <w:tcPr>
            <w:tcW w:w="52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Sep-16</w:t>
            </w:r>
          </w:p>
        </w:tc>
        <w:tc>
          <w:tcPr>
            <w:tcW w:w="40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Jun-16</w:t>
            </w:r>
          </w:p>
        </w:tc>
        <w:tc>
          <w:tcPr>
            <w:tcW w:w="100" w:type="dxa"/>
            <w:vAlign w:val="bottom"/>
          </w:tcPr>
          <w:p>
            <w:pPr>
              <w:spacing w:after="0"/>
              <w:rPr>
                <w:sz w:val="7"/>
                <w:szCs w:val="7"/>
                <w:color w:val="auto"/>
              </w:rPr>
            </w:pP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Mar-16</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Sep-15</w:t>
            </w:r>
          </w:p>
        </w:tc>
        <w:tc>
          <w:tcPr>
            <w:tcW w:w="760" w:type="dxa"/>
            <w:vAlign w:val="bottom"/>
          </w:tcPr>
          <w:p>
            <w:pPr>
              <w:jc w:val="right"/>
              <w:ind w:right="84"/>
              <w:spacing w:after="0" w:line="68" w:lineRule="exact"/>
              <w:rPr>
                <w:sz w:val="20"/>
                <w:szCs w:val="20"/>
                <w:color w:val="auto"/>
              </w:rPr>
            </w:pPr>
            <w:r>
              <w:rPr>
                <w:rFonts w:ascii="Arial" w:cs="Arial" w:eastAsia="Arial" w:hAnsi="Arial"/>
                <w:sz w:val="7"/>
                <w:szCs w:val="7"/>
                <w:b w:val="1"/>
                <w:bCs w:val="1"/>
                <w:color w:val="auto"/>
              </w:rPr>
              <w:t>Cash Rent ($'s)</w:t>
            </w:r>
          </w:p>
        </w:tc>
        <w:tc>
          <w:tcPr>
            <w:tcW w:w="660" w:type="dxa"/>
            <w:vAlign w:val="bottom"/>
          </w:tcPr>
          <w:p>
            <w:pPr>
              <w:jc w:val="right"/>
              <w:ind w:right="124"/>
              <w:spacing w:after="0" w:line="68" w:lineRule="exact"/>
              <w:rPr>
                <w:sz w:val="20"/>
                <w:szCs w:val="20"/>
                <w:color w:val="auto"/>
              </w:rPr>
            </w:pPr>
            <w:r>
              <w:rPr>
                <w:rFonts w:ascii="Arial" w:cs="Arial" w:eastAsia="Arial" w:hAnsi="Arial"/>
                <w:sz w:val="7"/>
                <w:szCs w:val="7"/>
                <w:b w:val="1"/>
                <w:bCs w:val="1"/>
                <w:color w:val="auto"/>
              </w:rPr>
              <w:t>100%</w:t>
            </w:r>
          </w:p>
        </w:tc>
        <w:tc>
          <w:tcPr>
            <w:tcW w:w="46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SLG%</w:t>
            </w:r>
          </w:p>
        </w:tc>
        <w:tc>
          <w:tcPr>
            <w:tcW w:w="48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56"/>
        </w:trPr>
        <w:tc>
          <w:tcPr>
            <w:tcW w:w="160" w:type="dxa"/>
            <w:vAlign w:val="bottom"/>
            <w:tcBorders>
              <w:top w:val="single" w:sz="8" w:color="auto"/>
            </w:tcBorders>
          </w:tcPr>
          <w:p>
            <w:pPr>
              <w:spacing w:after="0"/>
              <w:rPr>
                <w:sz w:val="4"/>
                <w:szCs w:val="4"/>
                <w:color w:val="auto"/>
              </w:rPr>
            </w:pPr>
          </w:p>
        </w:tc>
        <w:tc>
          <w:tcPr>
            <w:tcW w:w="220" w:type="dxa"/>
            <w:vAlign w:val="bottom"/>
            <w:tcBorders>
              <w:top w:val="single" w:sz="8" w:color="auto"/>
            </w:tcBorders>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380" w:type="dxa"/>
            <w:vAlign w:val="bottom"/>
            <w:tcBorders>
              <w:top w:val="single" w:sz="8" w:color="auto"/>
            </w:tcBorders>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jc w:val="right"/>
              <w:spacing w:after="0" w:line="57" w:lineRule="exact"/>
              <w:rPr>
                <w:sz w:val="20"/>
                <w:szCs w:val="20"/>
                <w:color w:val="auto"/>
              </w:rPr>
            </w:pPr>
            <w:r>
              <w:rPr>
                <w:rFonts w:ascii="Arial" w:cs="Arial" w:eastAsia="Arial" w:hAnsi="Arial"/>
                <w:sz w:val="6"/>
                <w:szCs w:val="6"/>
                <w:b w:val="1"/>
                <w:bCs w:val="1"/>
                <w:color w:val="auto"/>
                <w:w w:val="80"/>
              </w:rPr>
              <w:t>Feet</w:t>
            </w:r>
          </w:p>
        </w:tc>
        <w:tc>
          <w:tcPr>
            <w:tcW w:w="200" w:type="dxa"/>
            <w:vAlign w:val="bottom"/>
            <w:gridSpan w:val="2"/>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
        </w:trPr>
        <w:tc>
          <w:tcPr>
            <w:tcW w:w="2080" w:type="dxa"/>
            <w:vAlign w:val="bottom"/>
            <w:gridSpan w:val="6"/>
            <w:vMerge w:val="restart"/>
          </w:tcPr>
          <w:p>
            <w:pPr>
              <w:ind w:left="20"/>
              <w:spacing w:after="0"/>
              <w:rPr>
                <w:sz w:val="20"/>
                <w:szCs w:val="20"/>
                <w:color w:val="auto"/>
              </w:rPr>
            </w:pPr>
            <w:r>
              <w:rPr>
                <w:rFonts w:ascii="Arial" w:cs="Arial" w:eastAsia="Arial" w:hAnsi="Arial"/>
                <w:sz w:val="7"/>
                <w:szCs w:val="7"/>
                <w:b w:val="1"/>
                <w:bCs w:val="1"/>
                <w:color w:val="auto"/>
              </w:rPr>
              <w:t>CONSOLIDATED PROPERTIES</w:t>
            </w:r>
          </w:p>
        </w:tc>
        <w:tc>
          <w:tcPr>
            <w:tcW w:w="3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080" w:type="dxa"/>
            <w:vAlign w:val="bottom"/>
            <w:gridSpan w:val="6"/>
            <w:vMerge w:val="continue"/>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"Same Store"</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0" w:type="dxa"/>
            <w:vAlign w:val="bottom"/>
          </w:tcPr>
          <w:p>
            <w:pPr>
              <w:ind w:left="20"/>
              <w:spacing w:after="0"/>
              <w:rPr>
                <w:sz w:val="20"/>
                <w:szCs w:val="20"/>
                <w:color w:val="auto"/>
              </w:rPr>
            </w:pPr>
            <w:r>
              <w:rPr>
                <w:rFonts w:ascii="Arial" w:cs="Arial" w:eastAsia="Arial" w:hAnsi="Arial"/>
                <w:sz w:val="7"/>
                <w:szCs w:val="7"/>
                <w:color w:val="auto"/>
              </w:rPr>
              <w:t>100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Church Street</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Downtown</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7"/>
                <w:szCs w:val="17"/>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1,047,500</w:t>
            </w:r>
          </w:p>
        </w:tc>
        <w:tc>
          <w:tcPr>
            <w:tcW w:w="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99.5</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99.5</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$41,639</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4.2</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3.2</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19</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110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215,400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91.8</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10,462</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1.0</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0.8</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125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604,245</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98.7</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98.7</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40,497</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4.1</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3.1</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25</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220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1,135,000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79.5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88.1</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90.8</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90.9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91.6</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44,109</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4.4</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3.4</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29</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304</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 South</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215,000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99.1</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83.8</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75.7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90.9</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14,832</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1.5</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1.1</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13</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420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Lexington Ave (Graybar)</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80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1,188,000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4.3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98.6</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98.1</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97.1</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79,514</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8.0</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6.0</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211</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461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Midtown</w:t>
            </w:r>
          </w:p>
        </w:tc>
        <w:tc>
          <w:tcPr>
            <w:tcW w:w="800" w:type="dxa"/>
            <w:vAlign w:val="bottom"/>
            <w:gridSpan w:val="2"/>
          </w:tcPr>
          <w:p>
            <w:pPr>
              <w:spacing w:after="0"/>
              <w:rPr>
                <w:sz w:val="20"/>
                <w:szCs w:val="20"/>
                <w:color w:val="auto"/>
              </w:rPr>
            </w:pPr>
            <w:r>
              <w:rPr>
                <w:rFonts w:ascii="Arial" w:cs="Arial" w:eastAsia="Arial" w:hAnsi="Arial"/>
                <w:sz w:val="7"/>
                <w:szCs w:val="7"/>
                <w:color w:val="auto"/>
              </w:rPr>
              <w:t xml:space="preserve">Leasehold Interest </w:t>
            </w:r>
            <w:r>
              <w:rPr>
                <w:rFonts w:ascii="Arial" w:cs="Arial" w:eastAsia="Arial" w:hAnsi="Arial"/>
                <w:sz w:val="6"/>
                <w:szCs w:val="6"/>
                <w:color w:val="auto"/>
              </w:rPr>
              <w:t>(1)</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200,000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18,508</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1.9</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1.4</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11</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485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921,000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96.6</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98.1</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98.1</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60,938</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6.1</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4.6</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555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West 57th Street</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Midtown West</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941,000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3.4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99.9</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99.7</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40,497</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4.1</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3.1</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609</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160,000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76.6</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76.1</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76.1</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76.1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75.6</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15,359</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1.5</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1.2</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13</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625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0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563,000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98.8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98.2</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97.2</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97.1</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58,838</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5.9</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4.5</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24</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635</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104,000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8,979</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0.9</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0.7</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641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163,000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13,406</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1.3</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1.0</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711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960" w:type="dxa"/>
            <w:vAlign w:val="bottom"/>
            <w:gridSpan w:val="2"/>
          </w:tcPr>
          <w:p>
            <w:pPr>
              <w:ind w:left="660"/>
              <w:spacing w:after="0"/>
              <w:rPr>
                <w:sz w:val="20"/>
                <w:szCs w:val="20"/>
                <w:color w:val="auto"/>
              </w:rPr>
            </w:pPr>
            <w:r>
              <w:rPr>
                <w:rFonts w:ascii="Arial" w:cs="Arial" w:eastAsia="Arial" w:hAnsi="Arial"/>
                <w:sz w:val="7"/>
                <w:szCs w:val="7"/>
                <w:color w:val="auto"/>
              </w:rPr>
              <w:t xml:space="preserve">100.0 </w:t>
            </w:r>
            <w:r>
              <w:rPr>
                <w:rFonts w:ascii="Arial" w:cs="Arial" w:eastAsia="Arial" w:hAnsi="Arial"/>
                <w:sz w:val="6"/>
                <w:szCs w:val="6"/>
                <w:color w:val="auto"/>
              </w:rPr>
              <w:t>(2)</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80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524,000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2.3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88.7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68.3</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66.4</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65.8</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84.1</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26,390</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2.6</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2.0</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17</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750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780,000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2.9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97.5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97.5</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96.0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97.5</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46,836</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4.7</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3.6</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32</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810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692,000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94.1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94.1</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92.4</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93.0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92.6</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45,228</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4.5</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3.4</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48</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919</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51.0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1,454,000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5.3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95,412</w:t>
            </w:r>
          </w:p>
        </w:tc>
        <w:tc>
          <w:tcPr>
            <w:tcW w:w="660" w:type="dxa"/>
            <w:vAlign w:val="bottom"/>
          </w:tcPr>
          <w:p>
            <w:pPr>
              <w:spacing w:after="0"/>
              <w:rPr>
                <w:sz w:val="19"/>
                <w:szCs w:val="19"/>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3.7</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1185 Avenue of the Americas</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80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1,062,000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3.9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94.3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89,933</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9.0</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6.8</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16</w:t>
            </w:r>
          </w:p>
        </w:tc>
        <w:tc>
          <w:tcPr>
            <w:tcW w:w="0" w:type="dxa"/>
            <w:vAlign w:val="bottom"/>
          </w:tcPr>
          <w:p>
            <w:pPr>
              <w:spacing w:after="0"/>
              <w:rPr>
                <w:sz w:val="1"/>
                <w:szCs w:val="1"/>
                <w:color w:val="auto"/>
              </w:rPr>
            </w:pPr>
          </w:p>
        </w:tc>
      </w:tr>
      <w:tr>
        <w:trPr>
          <w:trHeight w:val="219"/>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1350 Avenue of the Americas</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562,000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98.8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98.5</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99.6</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99.4</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41,989</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4.2</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3.2</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34</w:t>
            </w:r>
          </w:p>
        </w:tc>
        <w:tc>
          <w:tcPr>
            <w:tcW w:w="0" w:type="dxa"/>
            <w:vAlign w:val="bottom"/>
          </w:tcPr>
          <w:p>
            <w:pPr>
              <w:spacing w:after="0"/>
              <w:rPr>
                <w:sz w:val="1"/>
                <w:szCs w:val="1"/>
                <w:color w:val="auto"/>
              </w:rPr>
            </w:pPr>
          </w:p>
        </w:tc>
      </w:tr>
      <w:tr>
        <w:trPr>
          <w:trHeight w:val="219"/>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1515 Broadway</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1,750,000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6.4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97.3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98.4</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98.4</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117,148</w:t>
            </w:r>
          </w:p>
        </w:tc>
        <w:tc>
          <w:tcPr>
            <w:tcW w:w="660" w:type="dxa"/>
            <w:vAlign w:val="bottom"/>
          </w:tcPr>
          <w:p>
            <w:pPr>
              <w:jc w:val="right"/>
              <w:ind w:right="184"/>
              <w:spacing w:after="0"/>
              <w:rPr>
                <w:sz w:val="20"/>
                <w:szCs w:val="20"/>
                <w:color w:val="auto"/>
              </w:rPr>
            </w:pPr>
            <w:r>
              <w:rPr>
                <w:rFonts w:ascii="Arial" w:cs="Arial" w:eastAsia="Arial" w:hAnsi="Arial"/>
                <w:sz w:val="7"/>
                <w:szCs w:val="7"/>
                <w:color w:val="auto"/>
              </w:rPr>
              <w:t>11.7</w:t>
            </w: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8.9</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11</w:t>
            </w:r>
          </w:p>
        </w:tc>
        <w:tc>
          <w:tcPr>
            <w:tcW w:w="0" w:type="dxa"/>
            <w:vAlign w:val="bottom"/>
          </w:tcPr>
          <w:p>
            <w:pPr>
              <w:spacing w:after="0"/>
              <w:rPr>
                <w:sz w:val="1"/>
                <w:szCs w:val="1"/>
                <w:color w:val="auto"/>
              </w:rPr>
            </w:pPr>
          </w:p>
        </w:tc>
      </w:tr>
      <w:tr>
        <w:trPr>
          <w:trHeight w:val="225"/>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 Madison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1,176,900</w:t>
            </w:r>
          </w:p>
        </w:tc>
        <w:tc>
          <w:tcPr>
            <w:tcW w:w="80" w:type="dxa"/>
            <w:vAlign w:val="bottom"/>
          </w:tcPr>
          <w:p>
            <w:pPr>
              <w:spacing w:after="0"/>
              <w:rPr>
                <w:sz w:val="19"/>
                <w:szCs w:val="19"/>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4.3</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68,376</w:t>
            </w:r>
          </w:p>
        </w:tc>
        <w:tc>
          <w:tcPr>
            <w:tcW w:w="6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6.8</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5.2</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7"/>
                <w:szCs w:val="7"/>
                <w:b w:val="1"/>
                <w:bCs w:val="1"/>
                <w:color w:val="auto"/>
              </w:rPr>
              <w:t>Subtotal / Weighted Average</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21</w:t>
            </w:r>
          </w:p>
        </w:tc>
        <w:tc>
          <w:tcPr>
            <w:tcW w:w="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15,458,045</w:t>
            </w:r>
          </w:p>
        </w:tc>
        <w:tc>
          <w:tcPr>
            <w:tcW w:w="8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56.5%</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96.3%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96.6%</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96.3%</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96.5%</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97.0%</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$978,891</w:t>
            </w:r>
          </w:p>
        </w:tc>
        <w:tc>
          <w:tcPr>
            <w:tcW w:w="660" w:type="dxa"/>
            <w:vAlign w:val="bottom"/>
          </w:tcPr>
          <w:p>
            <w:pPr>
              <w:jc w:val="right"/>
              <w:ind w:right="124"/>
              <w:spacing w:after="0"/>
              <w:rPr>
                <w:sz w:val="20"/>
                <w:szCs w:val="20"/>
                <w:color w:val="auto"/>
              </w:rPr>
            </w:pPr>
            <w:r>
              <w:rPr>
                <w:rFonts w:ascii="Arial" w:cs="Arial" w:eastAsia="Arial" w:hAnsi="Arial"/>
                <w:sz w:val="7"/>
                <w:szCs w:val="7"/>
                <w:b w:val="1"/>
                <w:bCs w:val="1"/>
                <w:color w:val="auto"/>
              </w:rPr>
              <w:t>88.4%</w:t>
            </w: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70.9%</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578</w:t>
            </w:r>
          </w:p>
        </w:tc>
        <w:tc>
          <w:tcPr>
            <w:tcW w:w="0" w:type="dxa"/>
            <w:vAlign w:val="bottom"/>
          </w:tcPr>
          <w:p>
            <w:pPr>
              <w:spacing w:after="0"/>
              <w:rPr>
                <w:sz w:val="1"/>
                <w:szCs w:val="1"/>
                <w:color w:val="auto"/>
              </w:rPr>
            </w:pPr>
          </w:p>
        </w:tc>
      </w:tr>
      <w:tr>
        <w:trPr>
          <w:trHeight w:val="323"/>
        </w:trPr>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"Non Same Store"</w:t>
            </w: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30 East 40th Street</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60.0</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80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7"/>
                <w:szCs w:val="17"/>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69,446</w:t>
            </w:r>
          </w:p>
        </w:tc>
        <w:tc>
          <w:tcPr>
            <w:tcW w:w="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96.3</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99.2</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99.2</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$4,493</w:t>
            </w:r>
          </w:p>
        </w:tc>
        <w:tc>
          <w:tcPr>
            <w:tcW w:w="66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0.2</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61</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110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90.0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Soho</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223,600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0.8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74.7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77.3</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80.3</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78.1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84.0</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10,226</w:t>
            </w:r>
          </w:p>
        </w:tc>
        <w:tc>
          <w:tcPr>
            <w:tcW w:w="660" w:type="dxa"/>
            <w:vAlign w:val="bottom"/>
          </w:tcPr>
          <w:p>
            <w:pPr>
              <w:spacing w:after="0"/>
              <w:rPr>
                <w:sz w:val="19"/>
                <w:szCs w:val="19"/>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0.7</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56</w:t>
            </w:r>
          </w:p>
        </w:tc>
        <w:tc>
          <w:tcPr>
            <w:tcW w:w="0" w:type="dxa"/>
            <w:vAlign w:val="bottom"/>
          </w:tcPr>
          <w:p>
            <w:pPr>
              <w:spacing w:after="0"/>
              <w:rPr>
                <w:sz w:val="1"/>
                <w:szCs w:val="1"/>
                <w:color w:val="auto"/>
              </w:rPr>
            </w:pPr>
          </w:p>
        </w:tc>
      </w:tr>
      <w:tr>
        <w:trPr>
          <w:trHeight w:val="225"/>
        </w:trPr>
        <w:tc>
          <w:tcPr>
            <w:tcW w:w="160" w:type="dxa"/>
            <w:vAlign w:val="bottom"/>
          </w:tcPr>
          <w:p>
            <w:pPr>
              <w:ind w:left="20"/>
              <w:spacing w:after="0"/>
              <w:rPr>
                <w:sz w:val="20"/>
                <w:szCs w:val="20"/>
                <w:color w:val="auto"/>
              </w:rPr>
            </w:pPr>
            <w:r>
              <w:rPr>
                <w:rFonts w:ascii="Arial" w:cs="Arial" w:eastAsia="Arial" w:hAnsi="Arial"/>
                <w:sz w:val="7"/>
                <w:szCs w:val="7"/>
                <w:color w:val="auto"/>
              </w:rPr>
              <w:t>600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Lexington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100.0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303,515</w:t>
            </w:r>
          </w:p>
        </w:tc>
        <w:tc>
          <w:tcPr>
            <w:tcW w:w="80" w:type="dxa"/>
            <w:vAlign w:val="bottom"/>
          </w:tcPr>
          <w:p>
            <w:pPr>
              <w:spacing w:after="0"/>
              <w:rPr>
                <w:sz w:val="19"/>
                <w:szCs w:val="19"/>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1.1</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90.2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92.5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95.3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91.1</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21,694</w:t>
            </w:r>
          </w:p>
        </w:tc>
        <w:tc>
          <w:tcPr>
            <w:tcW w:w="6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2.2</w:t>
            </w: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1.6</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33</w:t>
            </w: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7"/>
                <w:szCs w:val="7"/>
                <w:b w:val="1"/>
                <w:bCs w:val="1"/>
                <w:color w:val="auto"/>
              </w:rPr>
              <w:t>Subtotal / Weighted Average</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3</w:t>
            </w:r>
          </w:p>
        </w:tc>
        <w:tc>
          <w:tcPr>
            <w:tcW w:w="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596,561</w:t>
            </w:r>
          </w:p>
        </w:tc>
        <w:tc>
          <w:tcPr>
            <w:tcW w:w="8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2.2%</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85.1%</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87.6%</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90.1%</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89.5%</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89.5%</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$36,414</w:t>
            </w:r>
          </w:p>
        </w:tc>
        <w:tc>
          <w:tcPr>
            <w:tcW w:w="660" w:type="dxa"/>
            <w:vAlign w:val="bottom"/>
          </w:tcPr>
          <w:p>
            <w:pPr>
              <w:jc w:val="right"/>
              <w:ind w:right="124"/>
              <w:spacing w:after="0"/>
              <w:rPr>
                <w:sz w:val="20"/>
                <w:szCs w:val="20"/>
                <w:color w:val="auto"/>
              </w:rPr>
            </w:pPr>
            <w:r>
              <w:rPr>
                <w:rFonts w:ascii="Arial" w:cs="Arial" w:eastAsia="Arial" w:hAnsi="Arial"/>
                <w:sz w:val="7"/>
                <w:szCs w:val="7"/>
                <w:b w:val="1"/>
                <w:bCs w:val="1"/>
                <w:color w:val="auto"/>
              </w:rPr>
              <w:t>2.2%</w:t>
            </w: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2.6%</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150</w:t>
            </w:r>
          </w:p>
        </w:tc>
        <w:tc>
          <w:tcPr>
            <w:tcW w:w="0" w:type="dxa"/>
            <w:vAlign w:val="bottom"/>
          </w:tcPr>
          <w:p>
            <w:pPr>
              <w:spacing w:after="0"/>
              <w:rPr>
                <w:sz w:val="1"/>
                <w:szCs w:val="1"/>
                <w:color w:val="auto"/>
              </w:rPr>
            </w:pPr>
          </w:p>
        </w:tc>
      </w:tr>
      <w:tr>
        <w:trPr>
          <w:trHeight w:val="317"/>
        </w:trPr>
        <w:tc>
          <w:tcPr>
            <w:tcW w:w="2080" w:type="dxa"/>
            <w:vAlign w:val="bottom"/>
            <w:gridSpan w:val="6"/>
          </w:tcPr>
          <w:p>
            <w:pPr>
              <w:ind w:left="20"/>
              <w:spacing w:after="0"/>
              <w:rPr>
                <w:sz w:val="20"/>
                <w:szCs w:val="20"/>
                <w:color w:val="auto"/>
              </w:rPr>
            </w:pPr>
            <w:r>
              <w:rPr>
                <w:rFonts w:ascii="Arial" w:cs="Arial" w:eastAsia="Arial" w:hAnsi="Arial"/>
                <w:sz w:val="7"/>
                <w:szCs w:val="7"/>
                <w:b w:val="1"/>
                <w:bCs w:val="1"/>
                <w:color w:val="auto"/>
              </w:rPr>
              <w:t>Total / Weighted Average Consolidated Properties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24</w:t>
            </w:r>
          </w:p>
        </w:tc>
        <w:tc>
          <w:tcPr>
            <w:tcW w:w="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16,054,606</w:t>
            </w:r>
          </w:p>
        </w:tc>
        <w:tc>
          <w:tcPr>
            <w:tcW w:w="8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58.7%</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95.9%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96.2%</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96.1%</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96.2%</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96.7%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$1,015,305</w:t>
            </w:r>
          </w:p>
        </w:tc>
        <w:tc>
          <w:tcPr>
            <w:tcW w:w="660" w:type="dxa"/>
            <w:vAlign w:val="bottom"/>
          </w:tcPr>
          <w:p>
            <w:pPr>
              <w:jc w:val="right"/>
              <w:ind w:right="124"/>
              <w:spacing w:after="0"/>
              <w:rPr>
                <w:sz w:val="20"/>
                <w:szCs w:val="20"/>
                <w:color w:val="auto"/>
              </w:rPr>
            </w:pPr>
            <w:r>
              <w:rPr>
                <w:rFonts w:ascii="Arial" w:cs="Arial" w:eastAsia="Arial" w:hAnsi="Arial"/>
                <w:sz w:val="7"/>
                <w:szCs w:val="7"/>
                <w:b w:val="1"/>
                <w:bCs w:val="1"/>
                <w:color w:val="auto"/>
              </w:rPr>
              <w:t>90.6%</w:t>
            </w: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73.4%</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728</w:t>
            </w:r>
          </w:p>
        </w:tc>
        <w:tc>
          <w:tcPr>
            <w:tcW w:w="0" w:type="dxa"/>
            <w:vAlign w:val="bottom"/>
          </w:tcPr>
          <w:p>
            <w:pPr>
              <w:spacing w:after="0"/>
              <w:rPr>
                <w:sz w:val="1"/>
                <w:szCs w:val="1"/>
                <w:color w:val="auto"/>
              </w:rPr>
            </w:pPr>
          </w:p>
        </w:tc>
      </w:tr>
      <w:tr>
        <w:trPr>
          <w:trHeight w:val="111"/>
        </w:trPr>
        <w:tc>
          <w:tcPr>
            <w:tcW w:w="380" w:type="dxa"/>
            <w:vAlign w:val="bottom"/>
            <w:tcBorders>
              <w:bottom w:val="single" w:sz="8" w:color="auto"/>
            </w:tcBorders>
            <w:gridSpan w:val="2"/>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080" w:type="dxa"/>
            <w:vAlign w:val="bottom"/>
            <w:gridSpan w:val="6"/>
          </w:tcPr>
          <w:p>
            <w:pPr>
              <w:ind w:left="20"/>
              <w:spacing w:after="0"/>
              <w:rPr>
                <w:sz w:val="20"/>
                <w:szCs w:val="20"/>
                <w:color w:val="auto"/>
              </w:rPr>
            </w:pPr>
            <w:r>
              <w:rPr>
                <w:rFonts w:ascii="Arial" w:cs="Arial" w:eastAsia="Arial" w:hAnsi="Arial"/>
                <w:sz w:val="7"/>
                <w:szCs w:val="7"/>
                <w:b w:val="1"/>
                <w:bCs w:val="1"/>
                <w:color w:val="auto"/>
              </w:rPr>
              <w:t>UNCONSOLIDATED PROPERTIES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"Same Store"</w:t>
            </w:r>
          </w:p>
        </w:tc>
        <w:tc>
          <w:tcPr>
            <w:tcW w:w="5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3 Columbus Circle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48.9</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Columbus Circle</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7"/>
                <w:szCs w:val="17"/>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530,981</w:t>
            </w:r>
          </w:p>
        </w:tc>
        <w:tc>
          <w:tcPr>
            <w:tcW w:w="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96.2</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96.4</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95.5</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86.8</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86.8</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$47,934</w:t>
            </w:r>
          </w:p>
        </w:tc>
        <w:tc>
          <w:tcPr>
            <w:tcW w:w="66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1.8</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32</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100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50.0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834,000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3.0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96.4</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97.7</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96.6</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96.6</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63,759</w:t>
            </w:r>
          </w:p>
        </w:tc>
        <w:tc>
          <w:tcPr>
            <w:tcW w:w="660" w:type="dxa"/>
            <w:vAlign w:val="bottom"/>
          </w:tcPr>
          <w:p>
            <w:pPr>
              <w:spacing w:after="0"/>
              <w:rPr>
                <w:sz w:val="19"/>
                <w:szCs w:val="19"/>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2.4</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40</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521</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50.5</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460,000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89.2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86.8</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87.3</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28,046</w:t>
            </w:r>
          </w:p>
        </w:tc>
        <w:tc>
          <w:tcPr>
            <w:tcW w:w="660" w:type="dxa"/>
            <w:vAlign w:val="bottom"/>
          </w:tcPr>
          <w:p>
            <w:pPr>
              <w:spacing w:after="0"/>
              <w:rPr>
                <w:sz w:val="19"/>
                <w:szCs w:val="19"/>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1.1</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42</w:t>
            </w:r>
          </w:p>
        </w:tc>
        <w:tc>
          <w:tcPr>
            <w:tcW w:w="0" w:type="dxa"/>
            <w:vAlign w:val="bottom"/>
          </w:tcPr>
          <w:p>
            <w:pPr>
              <w:spacing w:after="0"/>
              <w:rPr>
                <w:sz w:val="1"/>
                <w:szCs w:val="1"/>
                <w:color w:val="auto"/>
              </w:rPr>
            </w:pPr>
          </w:p>
        </w:tc>
      </w:tr>
      <w:tr>
        <w:trPr>
          <w:trHeight w:val="219"/>
        </w:trPr>
        <w:tc>
          <w:tcPr>
            <w:tcW w:w="160" w:type="dxa"/>
            <w:vAlign w:val="bottom"/>
          </w:tcPr>
          <w:p>
            <w:pPr>
              <w:ind w:left="20"/>
              <w:spacing w:after="0"/>
              <w:rPr>
                <w:sz w:val="20"/>
                <w:szCs w:val="20"/>
                <w:color w:val="auto"/>
              </w:rPr>
            </w:pPr>
            <w:r>
              <w:rPr>
                <w:rFonts w:ascii="Arial" w:cs="Arial" w:eastAsia="Arial" w:hAnsi="Arial"/>
                <w:sz w:val="7"/>
                <w:szCs w:val="7"/>
                <w:color w:val="auto"/>
              </w:rPr>
              <w:t>800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60.5</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526,000</w:t>
            </w:r>
          </w:p>
        </w:tc>
        <w:tc>
          <w:tcPr>
            <w:tcW w:w="80" w:type="dxa"/>
            <w:vAlign w:val="bottom"/>
          </w:tcPr>
          <w:p>
            <w:pPr>
              <w:spacing w:after="0"/>
              <w:rPr>
                <w:sz w:val="19"/>
                <w:szCs w:val="19"/>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1.9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97.1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96.2</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95.6</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97.2</w:t>
            </w:r>
          </w:p>
        </w:tc>
        <w:tc>
          <w:tcPr>
            <w:tcW w:w="80" w:type="dxa"/>
            <w:vAlign w:val="bottom"/>
          </w:tcPr>
          <w:p>
            <w:pPr>
              <w:spacing w:after="0"/>
              <w:rPr>
                <w:sz w:val="19"/>
                <w:szCs w:val="19"/>
                <w:color w:val="auto"/>
              </w:rPr>
            </w:pPr>
          </w:p>
        </w:tc>
        <w:tc>
          <w:tcPr>
            <w:tcW w:w="760" w:type="dxa"/>
            <w:vAlign w:val="bottom"/>
          </w:tcPr>
          <w:p>
            <w:pPr>
              <w:jc w:val="right"/>
              <w:ind w:right="4"/>
              <w:spacing w:after="0"/>
              <w:rPr>
                <w:sz w:val="20"/>
                <w:szCs w:val="20"/>
                <w:color w:val="auto"/>
              </w:rPr>
            </w:pPr>
            <w:r>
              <w:rPr>
                <w:rFonts w:ascii="Arial" w:cs="Arial" w:eastAsia="Arial" w:hAnsi="Arial"/>
                <w:sz w:val="7"/>
                <w:szCs w:val="7"/>
                <w:color w:val="auto"/>
              </w:rPr>
              <w:t>34,446</w:t>
            </w:r>
          </w:p>
        </w:tc>
        <w:tc>
          <w:tcPr>
            <w:tcW w:w="660" w:type="dxa"/>
            <w:vAlign w:val="bottom"/>
          </w:tcPr>
          <w:p>
            <w:pPr>
              <w:spacing w:after="0"/>
              <w:rPr>
                <w:sz w:val="19"/>
                <w:szCs w:val="19"/>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1.6</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42</w:t>
            </w:r>
          </w:p>
        </w:tc>
        <w:tc>
          <w:tcPr>
            <w:tcW w:w="0" w:type="dxa"/>
            <w:vAlign w:val="bottom"/>
          </w:tcPr>
          <w:p>
            <w:pPr>
              <w:spacing w:after="0"/>
              <w:rPr>
                <w:sz w:val="1"/>
                <w:szCs w:val="1"/>
                <w:color w:val="auto"/>
              </w:rPr>
            </w:pPr>
          </w:p>
        </w:tc>
      </w:tr>
      <w:tr>
        <w:trPr>
          <w:trHeight w:val="225"/>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1745 Broadway</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56.9</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Midtown</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674,000</w:t>
            </w:r>
          </w:p>
        </w:tc>
        <w:tc>
          <w:tcPr>
            <w:tcW w:w="80" w:type="dxa"/>
            <w:vAlign w:val="bottom"/>
          </w:tcPr>
          <w:p>
            <w:pPr>
              <w:spacing w:after="0"/>
              <w:rPr>
                <w:sz w:val="19"/>
                <w:szCs w:val="19"/>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2.5</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43,512</w:t>
            </w: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1.9</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7"/>
                <w:szCs w:val="7"/>
                <w:b w:val="1"/>
                <w:bCs w:val="1"/>
                <w:color w:val="auto"/>
              </w:rPr>
              <w:t>Subtotal / Weighted Average</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5</w:t>
            </w:r>
          </w:p>
        </w:tc>
        <w:tc>
          <w:tcPr>
            <w:tcW w:w="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3,024,981</w:t>
            </w:r>
          </w:p>
        </w:tc>
        <w:tc>
          <w:tcPr>
            <w:tcW w:w="8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11.1%</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96.2%</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95.6%</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94.5%</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94.7%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$217,697</w:t>
            </w:r>
          </w:p>
        </w:tc>
        <w:tc>
          <w:tcPr>
            <w:tcW w:w="6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8.7%</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157</w:t>
            </w:r>
          </w:p>
        </w:tc>
        <w:tc>
          <w:tcPr>
            <w:tcW w:w="0" w:type="dxa"/>
            <w:vAlign w:val="bottom"/>
          </w:tcPr>
          <w:p>
            <w:pPr>
              <w:spacing w:after="0"/>
              <w:rPr>
                <w:sz w:val="1"/>
                <w:szCs w:val="1"/>
                <w:color w:val="auto"/>
              </w:rPr>
            </w:pPr>
          </w:p>
        </w:tc>
      </w:tr>
      <w:tr>
        <w:trPr>
          <w:trHeight w:val="323"/>
        </w:trPr>
        <w:tc>
          <w:tcPr>
            <w:tcW w:w="100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"Non Same Store"</w:t>
            </w:r>
          </w:p>
        </w:tc>
        <w:tc>
          <w:tcPr>
            <w:tcW w:w="5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gridSpan w:val="3"/>
          </w:tcPr>
          <w:p>
            <w:pPr>
              <w:ind w:left="20"/>
              <w:spacing w:after="0"/>
              <w:rPr>
                <w:sz w:val="20"/>
                <w:szCs w:val="20"/>
                <w:color w:val="auto"/>
              </w:rPr>
            </w:pPr>
            <w:r>
              <w:rPr>
                <w:rFonts w:ascii="Arial" w:cs="Arial" w:eastAsia="Arial" w:hAnsi="Arial"/>
                <w:sz w:val="7"/>
                <w:szCs w:val="7"/>
                <w:color w:val="auto"/>
              </w:rPr>
              <w:t>11 Madison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60.0</w:t>
            </w: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Pr>
          <w:p>
            <w:pPr>
              <w:spacing w:after="0"/>
              <w:rPr>
                <w:sz w:val="17"/>
                <w:szCs w:val="17"/>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color w:val="auto"/>
              </w:rPr>
              <w:t>2,314,000</w:t>
            </w:r>
          </w:p>
        </w:tc>
        <w:tc>
          <w:tcPr>
            <w:tcW w:w="80" w:type="dxa"/>
            <w:vAlign w:val="bottom"/>
          </w:tcPr>
          <w:p>
            <w:pPr>
              <w:spacing w:after="0"/>
              <w:rPr>
                <w:sz w:val="17"/>
                <w:szCs w:val="17"/>
                <w:color w:val="auto"/>
              </w:rPr>
            </w:pPr>
          </w:p>
        </w:tc>
        <w:tc>
          <w:tcPr>
            <w:tcW w:w="200" w:type="dxa"/>
            <w:vAlign w:val="bottom"/>
            <w:gridSpan w:val="3"/>
          </w:tcPr>
          <w:p>
            <w:pPr>
              <w:jc w:val="right"/>
              <w:spacing w:after="0"/>
              <w:rPr>
                <w:sz w:val="20"/>
                <w:szCs w:val="20"/>
                <w:color w:val="auto"/>
              </w:rPr>
            </w:pPr>
            <w:r>
              <w:rPr>
                <w:rFonts w:ascii="Arial" w:cs="Arial" w:eastAsia="Arial" w:hAnsi="Arial"/>
                <w:sz w:val="7"/>
                <w:szCs w:val="7"/>
                <w:color w:val="auto"/>
              </w:rPr>
              <w:t>8.5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98.0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98.0</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73.0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71.6</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$134,677</w:t>
            </w:r>
          </w:p>
        </w:tc>
        <w:tc>
          <w:tcPr>
            <w:tcW w:w="660" w:type="dxa"/>
            <w:vAlign w:val="bottom"/>
          </w:tcPr>
          <w:p>
            <w:pPr>
              <w:spacing w:after="0"/>
              <w:rPr>
                <w:sz w:val="17"/>
                <w:szCs w:val="17"/>
                <w:color w:val="auto"/>
              </w:rPr>
            </w:pPr>
          </w:p>
        </w:tc>
        <w:tc>
          <w:tcPr>
            <w:tcW w:w="460" w:type="dxa"/>
            <w:vAlign w:val="bottom"/>
          </w:tcPr>
          <w:p>
            <w:pPr>
              <w:jc w:val="right"/>
              <w:ind w:right="44"/>
              <w:spacing w:after="0"/>
              <w:rPr>
                <w:sz w:val="20"/>
                <w:szCs w:val="20"/>
                <w:color w:val="auto"/>
              </w:rPr>
            </w:pPr>
            <w:r>
              <w:rPr>
                <w:rFonts w:ascii="Arial" w:cs="Arial" w:eastAsia="Arial" w:hAnsi="Arial"/>
                <w:sz w:val="7"/>
                <w:szCs w:val="7"/>
                <w:color w:val="auto"/>
              </w:rPr>
              <w:t>6.1</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25"/>
        </w:trPr>
        <w:tc>
          <w:tcPr>
            <w:tcW w:w="160" w:type="dxa"/>
            <w:vAlign w:val="bottom"/>
          </w:tcPr>
          <w:p>
            <w:pPr>
              <w:ind w:left="20"/>
              <w:spacing w:after="0"/>
              <w:rPr>
                <w:sz w:val="20"/>
                <w:szCs w:val="20"/>
                <w:color w:val="auto"/>
              </w:rPr>
            </w:pPr>
            <w:r>
              <w:rPr>
                <w:rFonts w:ascii="Arial" w:cs="Arial" w:eastAsia="Arial" w:hAnsi="Arial"/>
                <w:sz w:val="7"/>
                <w:szCs w:val="7"/>
                <w:color w:val="auto"/>
              </w:rPr>
              <w:t>280</w:t>
            </w:r>
          </w:p>
        </w:tc>
        <w:tc>
          <w:tcPr>
            <w:tcW w:w="84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960" w:type="dxa"/>
            <w:vAlign w:val="bottom"/>
            <w:gridSpan w:val="2"/>
          </w:tcPr>
          <w:p>
            <w:pPr>
              <w:jc w:val="center"/>
              <w:ind w:left="544"/>
              <w:spacing w:after="0"/>
              <w:rPr>
                <w:sz w:val="20"/>
                <w:szCs w:val="20"/>
                <w:color w:val="auto"/>
              </w:rPr>
            </w:pPr>
            <w:r>
              <w:rPr>
                <w:rFonts w:ascii="Arial" w:cs="Arial" w:eastAsia="Arial" w:hAnsi="Arial"/>
                <w:sz w:val="7"/>
                <w:szCs w:val="7"/>
                <w:color w:val="auto"/>
              </w:rPr>
              <w:t>50.0</w:t>
            </w:r>
          </w:p>
        </w:tc>
        <w:tc>
          <w:tcPr>
            <w:tcW w:w="120" w:type="dxa"/>
            <w:vAlign w:val="bottom"/>
          </w:tcPr>
          <w:p>
            <w:pPr>
              <w:spacing w:after="0"/>
              <w:rPr>
                <w:sz w:val="19"/>
                <w:szCs w:val="19"/>
                <w:color w:val="auto"/>
              </w:rPr>
            </w:pPr>
          </w:p>
        </w:tc>
        <w:tc>
          <w:tcPr>
            <w:tcW w:w="96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8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1,219,158</w:t>
            </w:r>
          </w:p>
        </w:tc>
        <w:tc>
          <w:tcPr>
            <w:tcW w:w="80" w:type="dxa"/>
            <w:vAlign w:val="bottom"/>
          </w:tcPr>
          <w:p>
            <w:pPr>
              <w:spacing w:after="0"/>
              <w:rPr>
                <w:sz w:val="19"/>
                <w:szCs w:val="19"/>
                <w:color w:val="auto"/>
              </w:rPr>
            </w:pPr>
          </w:p>
        </w:tc>
        <w:tc>
          <w:tcPr>
            <w:tcW w:w="20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4.5</w:t>
            </w:r>
          </w:p>
        </w:tc>
        <w:tc>
          <w:tcPr>
            <w:tcW w:w="1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82.3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81.7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81.0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80.7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72.9</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102,296</w:t>
            </w:r>
          </w:p>
        </w:tc>
        <w:tc>
          <w:tcPr>
            <w:tcW w:w="6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3.9</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30</w:t>
            </w:r>
          </w:p>
        </w:tc>
        <w:tc>
          <w:tcPr>
            <w:tcW w:w="0" w:type="dxa"/>
            <w:vAlign w:val="bottom"/>
          </w:tcPr>
          <w:p>
            <w:pPr>
              <w:spacing w:after="0"/>
              <w:rPr>
                <w:sz w:val="1"/>
                <w:szCs w:val="1"/>
                <w:color w:val="auto"/>
              </w:rPr>
            </w:pPr>
          </w:p>
        </w:tc>
      </w:tr>
      <w:tr>
        <w:trPr>
          <w:trHeight w:val="301"/>
        </w:trPr>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80" w:type="dxa"/>
            <w:vAlign w:val="bottom"/>
            <w:gridSpan w:val="3"/>
          </w:tcPr>
          <w:p>
            <w:pPr>
              <w:ind w:left="20"/>
              <w:spacing w:after="0"/>
              <w:rPr>
                <w:sz w:val="20"/>
                <w:szCs w:val="20"/>
                <w:color w:val="auto"/>
              </w:rPr>
            </w:pPr>
            <w:r>
              <w:rPr>
                <w:rFonts w:ascii="Arial" w:cs="Arial" w:eastAsia="Arial" w:hAnsi="Arial"/>
                <w:sz w:val="7"/>
                <w:szCs w:val="7"/>
                <w:b w:val="1"/>
                <w:bCs w:val="1"/>
                <w:color w:val="auto"/>
              </w:rPr>
              <w:t>Subtotal / Weighted Average</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w:t>
            </w:r>
          </w:p>
        </w:tc>
        <w:tc>
          <w:tcPr>
            <w:tcW w:w="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3,533,158</w:t>
            </w:r>
          </w:p>
        </w:tc>
        <w:tc>
          <w:tcPr>
            <w:tcW w:w="8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12.9%</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92.6%</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92.4%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92.1%</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75.7%</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72.1%</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$236,973</w:t>
            </w:r>
          </w:p>
        </w:tc>
        <w:tc>
          <w:tcPr>
            <w:tcW w:w="6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10.0%</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39</w:t>
            </w:r>
          </w:p>
        </w:tc>
        <w:tc>
          <w:tcPr>
            <w:tcW w:w="0" w:type="dxa"/>
            <w:vAlign w:val="bottom"/>
          </w:tcPr>
          <w:p>
            <w:pPr>
              <w:spacing w:after="0"/>
              <w:rPr>
                <w:sz w:val="1"/>
                <w:szCs w:val="1"/>
                <w:color w:val="auto"/>
              </w:rPr>
            </w:pPr>
          </w:p>
        </w:tc>
      </w:tr>
      <w:tr>
        <w:trPr>
          <w:trHeight w:val="317"/>
        </w:trPr>
        <w:tc>
          <w:tcPr>
            <w:tcW w:w="2080" w:type="dxa"/>
            <w:vAlign w:val="bottom"/>
            <w:gridSpan w:val="6"/>
          </w:tcPr>
          <w:p>
            <w:pPr>
              <w:ind w:left="20"/>
              <w:spacing w:after="0"/>
              <w:rPr>
                <w:sz w:val="20"/>
                <w:szCs w:val="20"/>
                <w:color w:val="auto"/>
              </w:rPr>
            </w:pPr>
            <w:r>
              <w:rPr>
                <w:rFonts w:ascii="Arial" w:cs="Arial" w:eastAsia="Arial" w:hAnsi="Arial"/>
                <w:sz w:val="7"/>
                <w:szCs w:val="7"/>
                <w:b w:val="1"/>
                <w:bCs w:val="1"/>
                <w:color w:val="auto"/>
              </w:rPr>
              <w:t>Total / Weighted Average Unconsolidated Properties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7</w:t>
            </w:r>
          </w:p>
        </w:tc>
        <w:tc>
          <w:tcPr>
            <w:tcW w:w="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6,558,139</w:t>
            </w:r>
          </w:p>
        </w:tc>
        <w:tc>
          <w:tcPr>
            <w:tcW w:w="8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24.0%</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94.3%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94.1%</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93.7%</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84.4%</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82.7%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$454,670</w:t>
            </w:r>
          </w:p>
        </w:tc>
        <w:tc>
          <w:tcPr>
            <w:tcW w:w="6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18.8%</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196</w:t>
            </w:r>
          </w:p>
        </w:tc>
        <w:tc>
          <w:tcPr>
            <w:tcW w:w="0" w:type="dxa"/>
            <w:vAlign w:val="bottom"/>
          </w:tcPr>
          <w:p>
            <w:pPr>
              <w:spacing w:after="0"/>
              <w:rPr>
                <w:sz w:val="1"/>
                <w:szCs w:val="1"/>
                <w:color w:val="auto"/>
              </w:rPr>
            </w:pPr>
          </w:p>
        </w:tc>
      </w:tr>
      <w:tr>
        <w:trPr>
          <w:trHeight w:val="111"/>
        </w:trPr>
        <w:tc>
          <w:tcPr>
            <w:tcW w:w="380" w:type="dxa"/>
            <w:vAlign w:val="bottom"/>
            <w:tcBorders>
              <w:bottom w:val="single" w:sz="8" w:color="auto"/>
            </w:tcBorders>
            <w:gridSpan w:val="2"/>
          </w:tcPr>
          <w:p>
            <w:pPr>
              <w:spacing w:after="0"/>
              <w:rPr>
                <w:sz w:val="9"/>
                <w:szCs w:val="9"/>
                <w:color w:val="auto"/>
              </w:rPr>
            </w:pPr>
          </w:p>
        </w:tc>
        <w:tc>
          <w:tcPr>
            <w:tcW w:w="1180" w:type="dxa"/>
            <w:vAlign w:val="bottom"/>
            <w:tcBorders>
              <w:bottom w:val="single" w:sz="8" w:color="auto"/>
            </w:tcBorders>
            <w:gridSpan w:val="2"/>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2"/>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3040" w:type="dxa"/>
            <w:vAlign w:val="bottom"/>
            <w:tcBorders>
              <w:left w:val="single" w:sz="8" w:color="auto"/>
            </w:tcBorders>
            <w:gridSpan w:val="8"/>
          </w:tcPr>
          <w:p>
            <w:pPr>
              <w:ind w:left="40"/>
              <w:spacing w:after="0"/>
              <w:rPr>
                <w:sz w:val="20"/>
                <w:szCs w:val="20"/>
                <w:color w:val="auto"/>
              </w:rPr>
            </w:pPr>
            <w:r>
              <w:rPr>
                <w:rFonts w:ascii="Arial" w:cs="Arial" w:eastAsia="Arial" w:hAnsi="Arial"/>
                <w:sz w:val="7"/>
                <w:szCs w:val="7"/>
                <w:b w:val="1"/>
                <w:bCs w:val="1"/>
                <w:color w:val="auto"/>
              </w:rPr>
              <w:t>Manhattan Operating Properties Grand Total / Weighted Average</w:t>
            </w: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31</w:t>
            </w:r>
          </w:p>
        </w:tc>
        <w:tc>
          <w:tcPr>
            <w:tcW w:w="60" w:type="dxa"/>
            <w:vAlign w:val="bottom"/>
          </w:tcPr>
          <w:p>
            <w:pPr>
              <w:spacing w:after="0"/>
              <w:rPr>
                <w:sz w:val="24"/>
                <w:szCs w:val="24"/>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22,612,745</w:t>
            </w:r>
          </w:p>
        </w:tc>
        <w:tc>
          <w:tcPr>
            <w:tcW w:w="80" w:type="dxa"/>
            <w:vAlign w:val="bottom"/>
          </w:tcPr>
          <w:p>
            <w:pPr>
              <w:spacing w:after="0"/>
              <w:rPr>
                <w:sz w:val="24"/>
                <w:szCs w:val="24"/>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82.6%</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95.4%</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95.6%</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95.4%</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92.8%</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92.6%</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$1,469,976</w:t>
            </w: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924</w:t>
            </w:r>
          </w:p>
        </w:tc>
        <w:tc>
          <w:tcPr>
            <w:tcW w:w="0" w:type="dxa"/>
            <w:vAlign w:val="bottom"/>
          </w:tcPr>
          <w:p>
            <w:pPr>
              <w:spacing w:after="0"/>
              <w:rPr>
                <w:sz w:val="1"/>
                <w:szCs w:val="1"/>
                <w:color w:val="auto"/>
              </w:rPr>
            </w:pPr>
          </w:p>
        </w:tc>
      </w:tr>
      <w:tr>
        <w:trPr>
          <w:trHeight w:val="219"/>
        </w:trPr>
        <w:tc>
          <w:tcPr>
            <w:tcW w:w="3040" w:type="dxa"/>
            <w:vAlign w:val="bottom"/>
            <w:tcBorders>
              <w:left w:val="single" w:sz="8" w:color="auto"/>
            </w:tcBorders>
            <w:gridSpan w:val="8"/>
          </w:tcPr>
          <w:p>
            <w:pPr>
              <w:ind w:left="40"/>
              <w:spacing w:after="0"/>
              <w:rPr>
                <w:sz w:val="20"/>
                <w:szCs w:val="20"/>
                <w:color w:val="auto"/>
              </w:rPr>
            </w:pPr>
            <w:r>
              <w:rPr>
                <w:rFonts w:ascii="Arial" w:cs="Arial" w:eastAsia="Arial" w:hAnsi="Arial"/>
                <w:sz w:val="7"/>
                <w:szCs w:val="7"/>
                <w:b w:val="1"/>
                <w:bCs w:val="1"/>
                <w:color w:val="auto"/>
              </w:rPr>
              <w:t>Manhattan Operating Properties Grand Total - SLG share of Annualized Rent</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$1,212,760</w:t>
            </w: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7"/>
                <w:szCs w:val="7"/>
                <w:b w:val="1"/>
                <w:bCs w:val="1"/>
                <w:color w:val="auto"/>
              </w:rPr>
              <w:t>92.2%</w:t>
            </w:r>
          </w:p>
        </w:tc>
        <w:tc>
          <w:tcPr>
            <w:tcW w:w="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80" w:type="dxa"/>
            <w:vAlign w:val="bottom"/>
            <w:tcBorders>
              <w:left w:val="single" w:sz="8" w:color="auto"/>
            </w:tcBorders>
            <w:gridSpan w:val="6"/>
          </w:tcPr>
          <w:p>
            <w:pPr>
              <w:ind w:left="40"/>
              <w:spacing w:after="0"/>
              <w:rPr>
                <w:sz w:val="20"/>
                <w:szCs w:val="20"/>
                <w:color w:val="auto"/>
              </w:rPr>
            </w:pPr>
            <w:r>
              <w:rPr>
                <w:rFonts w:ascii="Arial" w:cs="Arial" w:eastAsia="Arial" w:hAnsi="Arial"/>
                <w:sz w:val="7"/>
                <w:szCs w:val="7"/>
                <w:b w:val="1"/>
                <w:bCs w:val="1"/>
                <w:color w:val="auto"/>
              </w:rPr>
              <w:t>Manhattan Operating Properties Same Store Occupancy %</w:t>
            </w:r>
          </w:p>
        </w:tc>
        <w:tc>
          <w:tcPr>
            <w:tcW w:w="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18,483,026</w:t>
            </w:r>
          </w:p>
        </w:tc>
        <w:tc>
          <w:tcPr>
            <w:tcW w:w="80" w:type="dxa"/>
            <w:vAlign w:val="bottom"/>
          </w:tcPr>
          <w:p>
            <w:pPr>
              <w:spacing w:after="0"/>
              <w:rPr>
                <w:sz w:val="19"/>
                <w:szCs w:val="19"/>
                <w:color w:val="auto"/>
              </w:rPr>
            </w:pPr>
          </w:p>
        </w:tc>
        <w:tc>
          <w:tcPr>
            <w:tcW w:w="320" w:type="dxa"/>
            <w:vAlign w:val="bottom"/>
            <w:gridSpan w:val="4"/>
          </w:tcPr>
          <w:p>
            <w:pPr>
              <w:jc w:val="right"/>
              <w:ind w:right="60"/>
              <w:spacing w:after="0"/>
              <w:rPr>
                <w:sz w:val="20"/>
                <w:szCs w:val="20"/>
                <w:color w:val="auto"/>
              </w:rPr>
            </w:pPr>
            <w:r>
              <w:rPr>
                <w:rFonts w:ascii="Arial" w:cs="Arial" w:eastAsia="Arial" w:hAnsi="Arial"/>
                <w:sz w:val="7"/>
                <w:szCs w:val="7"/>
                <w:b w:val="1"/>
                <w:bCs w:val="1"/>
                <w:color w:val="auto"/>
              </w:rPr>
              <w:t>81.7%</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96.3%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96.5%</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96.2%</w:t>
            </w:r>
          </w:p>
        </w:tc>
        <w:tc>
          <w:tcPr>
            <w:tcW w:w="100" w:type="dxa"/>
            <w:vAlign w:val="bottom"/>
          </w:tcPr>
          <w:p>
            <w:pPr>
              <w:spacing w:after="0"/>
              <w:rPr>
                <w:sz w:val="19"/>
                <w:szCs w:val="19"/>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96.7%</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tcBorders>
              <w:left w:val="single" w:sz="8" w:color="auto"/>
            </w:tcBorders>
            <w:gridSpan w:val="8"/>
          </w:tcPr>
          <w:p>
            <w:pPr>
              <w:ind w:left="40"/>
              <w:spacing w:after="0"/>
              <w:rPr>
                <w:sz w:val="20"/>
                <w:szCs w:val="20"/>
                <w:color w:val="auto"/>
              </w:rPr>
            </w:pPr>
            <w:r>
              <w:rPr>
                <w:rFonts w:ascii="Arial" w:cs="Arial" w:eastAsia="Arial" w:hAnsi="Arial"/>
                <w:sz w:val="7"/>
                <w:szCs w:val="7"/>
                <w:b w:val="1"/>
                <w:bCs w:val="1"/>
                <w:color w:val="auto"/>
              </w:rPr>
              <w:t>Manhattan Operating Properties Same Store Leased Occupancy %</w:t>
            </w: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97.5%</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97.4%</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97.4%</w:t>
            </w:r>
          </w:p>
        </w:tc>
        <w:tc>
          <w:tcPr>
            <w:tcW w:w="100" w:type="dxa"/>
            <w:vAlign w:val="bottom"/>
          </w:tcPr>
          <w:p>
            <w:pPr>
              <w:spacing w:after="0"/>
              <w:rPr>
                <w:sz w:val="19"/>
                <w:szCs w:val="19"/>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97.2%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97.3%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160" w:type="dxa"/>
            <w:vAlign w:val="bottom"/>
            <w:tcBorders>
              <w:left w:val="single" w:sz="8" w:color="auto"/>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820" w:hanging="111"/>
        <w:spacing w:after="0"/>
        <w:tabs>
          <w:tab w:leader="none" w:pos="820" w:val="left"/>
        </w:tabs>
        <w:numPr>
          <w:ilvl w:val="0"/>
          <w:numId w:val="23"/>
        </w:numPr>
        <w:rPr>
          <w:rFonts w:ascii="Arial" w:cs="Arial" w:eastAsia="Arial" w:hAnsi="Arial"/>
          <w:sz w:val="7"/>
          <w:szCs w:val="7"/>
          <w:color w:val="auto"/>
        </w:rPr>
      </w:pPr>
      <w:r>
        <w:rPr>
          <w:rFonts w:ascii="Arial" w:cs="Arial" w:eastAsia="Arial" w:hAnsi="Arial"/>
          <w:sz w:val="7"/>
          <w:szCs w:val="7"/>
          <w:color w:val="auto"/>
        </w:rPr>
        <w:t>The Company has an option to acquire the fee interest for a fixed price on a specific date.</w:t>
      </w:r>
    </w:p>
    <w:p>
      <w:pPr>
        <w:spacing w:after="0" w:line="39" w:lineRule="exact"/>
        <w:rPr>
          <w:rFonts w:ascii="Arial" w:cs="Arial" w:eastAsia="Arial" w:hAnsi="Arial"/>
          <w:sz w:val="7"/>
          <w:szCs w:val="7"/>
          <w:color w:val="auto"/>
        </w:rPr>
      </w:pPr>
    </w:p>
    <w:p>
      <w:pPr>
        <w:ind w:left="820" w:hanging="111"/>
        <w:spacing w:after="0"/>
        <w:tabs>
          <w:tab w:leader="none" w:pos="820" w:val="left"/>
        </w:tabs>
        <w:numPr>
          <w:ilvl w:val="0"/>
          <w:numId w:val="23"/>
        </w:numPr>
        <w:rPr>
          <w:rFonts w:ascii="Arial" w:cs="Arial" w:eastAsia="Arial" w:hAnsi="Arial"/>
          <w:sz w:val="7"/>
          <w:szCs w:val="7"/>
          <w:color w:val="auto"/>
        </w:rPr>
      </w:pPr>
      <w:r>
        <w:rPr>
          <w:rFonts w:ascii="Arial" w:cs="Arial" w:eastAsia="Arial" w:hAnsi="Arial"/>
          <w:sz w:val="7"/>
          <w:szCs w:val="7"/>
          <w:color w:val="auto"/>
        </w:rPr>
        <w:t>The Company owns 50% of the fee interest.</w:t>
      </w:r>
    </w:p>
    <w:p>
      <w:pPr>
        <w:sectPr>
          <w:pgSz w:w="11900" w:h="16838" w:orient="portrait"/>
          <w:cols w:equalWidth="0" w:num="1">
            <w:col w:w="10760"/>
          </w:cols>
          <w:pgMar w:left="240" w:top="338" w:right="899" w:bottom="1440" w:gutter="0" w:footer="0" w:header="0"/>
        </w:sectPr>
      </w:pPr>
    </w:p>
    <w:p>
      <w:pPr>
        <w:spacing w:after="0" w:line="341" w:lineRule="exact"/>
        <w:rPr>
          <w:sz w:val="20"/>
          <w:szCs w:val="20"/>
          <w:color w:val="auto"/>
        </w:rPr>
      </w:pPr>
    </w:p>
    <w:p>
      <w:pPr>
        <w:ind w:left="700"/>
        <w:spacing w:after="0"/>
        <w:tabs>
          <w:tab w:leader="none" w:pos="5620" w:val="left"/>
          <w:tab w:leader="none" w:pos="986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33</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760"/>
          </w:cols>
          <w:pgMar w:left="240" w:top="338" w:right="89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Suburban Operating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80"/>
        </w:trPr>
        <w:tc>
          <w:tcPr>
            <w:tcW w:w="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 of</w:t>
            </w: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rPr>
              <w:t># of</w:t>
            </w:r>
          </w:p>
        </w:tc>
        <w:tc>
          <w:tcPr>
            <w:tcW w:w="120" w:type="dxa"/>
            <w:vAlign w:val="bottom"/>
          </w:tcPr>
          <w:p>
            <w:pPr>
              <w:spacing w:after="0"/>
              <w:rPr>
                <w:sz w:val="8"/>
                <w:szCs w:val="8"/>
                <w:color w:val="auto"/>
              </w:rPr>
            </w:pPr>
          </w:p>
        </w:tc>
        <w:tc>
          <w:tcPr>
            <w:tcW w:w="42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Usable</w:t>
            </w:r>
          </w:p>
        </w:tc>
        <w:tc>
          <w:tcPr>
            <w:tcW w:w="60" w:type="dxa"/>
            <w:vAlign w:val="bottom"/>
          </w:tcPr>
          <w:p>
            <w:pPr>
              <w:spacing w:after="0"/>
              <w:rPr>
                <w:sz w:val="8"/>
                <w:szCs w:val="8"/>
                <w:color w:val="auto"/>
              </w:rPr>
            </w:pPr>
          </w:p>
        </w:tc>
        <w:tc>
          <w:tcPr>
            <w:tcW w:w="460" w:type="dxa"/>
            <w:vAlign w:val="bottom"/>
            <w:gridSpan w:val="3"/>
          </w:tcPr>
          <w:p>
            <w:pPr>
              <w:jc w:val="right"/>
              <w:ind w:right="160"/>
              <w:spacing w:after="0"/>
              <w:rPr>
                <w:sz w:val="20"/>
                <w:szCs w:val="20"/>
                <w:color w:val="auto"/>
              </w:rPr>
            </w:pPr>
            <w:r>
              <w:rPr>
                <w:rFonts w:ascii="Arial" w:cs="Arial" w:eastAsia="Arial" w:hAnsi="Arial"/>
                <w:sz w:val="7"/>
                <w:szCs w:val="7"/>
                <w:b w:val="1"/>
                <w:bCs w:val="1"/>
                <w:color w:val="auto"/>
              </w:rPr>
              <w:t>Total</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ind w:left="40"/>
              <w:spacing w:after="0"/>
              <w:rPr>
                <w:sz w:val="20"/>
                <w:szCs w:val="20"/>
                <w:color w:val="auto"/>
              </w:rPr>
            </w:pPr>
            <w:r>
              <w:rPr>
                <w:rFonts w:ascii="Arial" w:cs="Arial" w:eastAsia="Arial" w:hAnsi="Arial"/>
                <w:sz w:val="7"/>
                <w:szCs w:val="7"/>
                <w:b w:val="1"/>
                <w:bCs w:val="1"/>
                <w:color w:val="auto"/>
              </w:rPr>
              <w:t>Occupancy (%)</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jc w:val="right"/>
              <w:ind w:right="144"/>
              <w:spacing w:after="0"/>
              <w:rPr>
                <w:sz w:val="20"/>
                <w:szCs w:val="20"/>
                <w:color w:val="auto"/>
              </w:rPr>
            </w:pPr>
            <w:r>
              <w:rPr>
                <w:rFonts w:ascii="Arial" w:cs="Arial" w:eastAsia="Arial" w:hAnsi="Arial"/>
                <w:sz w:val="7"/>
                <w:szCs w:val="7"/>
                <w:b w:val="1"/>
                <w:bCs w:val="1"/>
                <w:color w:val="auto"/>
              </w:rPr>
              <w:t>Annualized</w:t>
            </w: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7"/>
                <w:szCs w:val="7"/>
                <w:b w:val="1"/>
                <w:bCs w:val="1"/>
                <w:color w:val="auto"/>
              </w:rPr>
              <w:t>Annualized Cash Rent</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54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Properties</w:t>
            </w:r>
          </w:p>
        </w:tc>
        <w:tc>
          <w:tcPr>
            <w:tcW w:w="44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Interest (%)</w:t>
            </w:r>
          </w:p>
        </w:tc>
        <w:tc>
          <w:tcPr>
            <w:tcW w:w="1020" w:type="dxa"/>
            <w:vAlign w:val="bottom"/>
            <w:gridSpan w:val="3"/>
          </w:tcPr>
          <w:p>
            <w:pPr>
              <w:ind w:left="60"/>
              <w:spacing w:after="0" w:line="68" w:lineRule="exact"/>
              <w:rPr>
                <w:sz w:val="20"/>
                <w:szCs w:val="20"/>
                <w:color w:val="auto"/>
              </w:rPr>
            </w:pPr>
            <w:r>
              <w:rPr>
                <w:rFonts w:ascii="Arial" w:cs="Arial" w:eastAsia="Arial" w:hAnsi="Arial"/>
                <w:sz w:val="7"/>
                <w:szCs w:val="7"/>
                <w:b w:val="1"/>
                <w:bCs w:val="1"/>
                <w:color w:val="auto"/>
              </w:rPr>
              <w:t>SubMarket</w:t>
            </w:r>
          </w:p>
        </w:tc>
        <w:tc>
          <w:tcPr>
            <w:tcW w:w="78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Ownership</w:t>
            </w:r>
          </w:p>
        </w:tc>
        <w:tc>
          <w:tcPr>
            <w:tcW w:w="120" w:type="dxa"/>
            <w:vAlign w:val="bottom"/>
          </w:tcPr>
          <w:p>
            <w:pPr>
              <w:spacing w:after="0"/>
              <w:rPr>
                <w:sz w:val="7"/>
                <w:szCs w:val="7"/>
                <w:color w:val="auto"/>
              </w:rPr>
            </w:pPr>
          </w:p>
        </w:tc>
        <w:tc>
          <w:tcPr>
            <w:tcW w:w="320" w:type="dxa"/>
            <w:vAlign w:val="bottom"/>
            <w:gridSpan w:val="2"/>
          </w:tcPr>
          <w:p>
            <w:pPr>
              <w:jc w:val="right"/>
              <w:ind w:right="100"/>
              <w:spacing w:after="0" w:line="68" w:lineRule="exact"/>
              <w:rPr>
                <w:sz w:val="20"/>
                <w:szCs w:val="20"/>
                <w:color w:val="auto"/>
              </w:rPr>
            </w:pPr>
            <w:r>
              <w:rPr>
                <w:rFonts w:ascii="Arial" w:cs="Arial" w:eastAsia="Arial" w:hAnsi="Arial"/>
                <w:sz w:val="7"/>
                <w:szCs w:val="7"/>
                <w:b w:val="1"/>
                <w:bCs w:val="1"/>
                <w:color w:val="auto"/>
              </w:rPr>
              <w:t>Bldgs</w:t>
            </w:r>
          </w:p>
        </w:tc>
        <w:tc>
          <w:tcPr>
            <w:tcW w:w="120" w:type="dxa"/>
            <w:vAlign w:val="bottom"/>
          </w:tcPr>
          <w:p>
            <w:pPr>
              <w:spacing w:after="0"/>
              <w:rPr>
                <w:sz w:val="7"/>
                <w:szCs w:val="7"/>
                <w:color w:val="auto"/>
              </w:rPr>
            </w:pPr>
          </w:p>
        </w:tc>
        <w:tc>
          <w:tcPr>
            <w:tcW w:w="420" w:type="dxa"/>
            <w:vAlign w:val="bottom"/>
            <w:gridSpan w:val="3"/>
          </w:tcPr>
          <w:p>
            <w:pPr>
              <w:jc w:val="right"/>
              <w:ind w:right="120"/>
              <w:spacing w:after="0" w:line="68" w:lineRule="exact"/>
              <w:rPr>
                <w:sz w:val="20"/>
                <w:szCs w:val="20"/>
                <w:color w:val="auto"/>
              </w:rPr>
            </w:pPr>
            <w:r>
              <w:rPr>
                <w:rFonts w:ascii="Arial" w:cs="Arial" w:eastAsia="Arial" w:hAnsi="Arial"/>
                <w:sz w:val="7"/>
                <w:szCs w:val="7"/>
                <w:b w:val="1"/>
                <w:bCs w:val="1"/>
                <w:color w:val="auto"/>
              </w:rPr>
              <w:t>Sq. Feet</w:t>
            </w:r>
          </w:p>
        </w:tc>
        <w:tc>
          <w:tcPr>
            <w:tcW w:w="60" w:type="dxa"/>
            <w:vAlign w:val="bottom"/>
          </w:tcPr>
          <w:p>
            <w:pPr>
              <w:spacing w:after="0"/>
              <w:rPr>
                <w:sz w:val="7"/>
                <w:szCs w:val="7"/>
                <w:color w:val="auto"/>
              </w:rPr>
            </w:pPr>
          </w:p>
        </w:tc>
        <w:tc>
          <w:tcPr>
            <w:tcW w:w="460" w:type="dxa"/>
            <w:vAlign w:val="bottom"/>
            <w:gridSpan w:val="3"/>
          </w:tcPr>
          <w:p>
            <w:pPr>
              <w:jc w:val="right"/>
              <w:ind w:right="160"/>
              <w:spacing w:after="0" w:line="68" w:lineRule="exact"/>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Sep 16</w:t>
            </w:r>
          </w:p>
        </w:tc>
        <w:tc>
          <w:tcPr>
            <w:tcW w:w="40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Jun-16</w:t>
            </w:r>
          </w:p>
        </w:tc>
        <w:tc>
          <w:tcPr>
            <w:tcW w:w="100" w:type="dxa"/>
            <w:vAlign w:val="bottom"/>
          </w:tcPr>
          <w:p>
            <w:pPr>
              <w:spacing w:after="0"/>
              <w:rPr>
                <w:sz w:val="7"/>
                <w:szCs w:val="7"/>
                <w:color w:val="auto"/>
              </w:rPr>
            </w:pPr>
          </w:p>
        </w:tc>
        <w:tc>
          <w:tcPr>
            <w:tcW w:w="48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Mar-16</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Dec-15</w:t>
            </w:r>
          </w:p>
        </w:tc>
        <w:tc>
          <w:tcPr>
            <w:tcW w:w="48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Sep-15</w:t>
            </w:r>
          </w:p>
        </w:tc>
        <w:tc>
          <w:tcPr>
            <w:tcW w:w="760" w:type="dxa"/>
            <w:vAlign w:val="bottom"/>
          </w:tcPr>
          <w:p>
            <w:pPr>
              <w:jc w:val="right"/>
              <w:ind w:right="84"/>
              <w:spacing w:after="0" w:line="68" w:lineRule="exact"/>
              <w:rPr>
                <w:sz w:val="20"/>
                <w:szCs w:val="20"/>
                <w:color w:val="auto"/>
              </w:rPr>
            </w:pPr>
            <w:r>
              <w:rPr>
                <w:rFonts w:ascii="Arial" w:cs="Arial" w:eastAsia="Arial" w:hAnsi="Arial"/>
                <w:sz w:val="7"/>
                <w:szCs w:val="7"/>
                <w:b w:val="1"/>
                <w:bCs w:val="1"/>
                <w:color w:val="auto"/>
              </w:rPr>
              <w:t>Cash Rent ($'s)</w:t>
            </w:r>
          </w:p>
        </w:tc>
        <w:tc>
          <w:tcPr>
            <w:tcW w:w="640" w:type="dxa"/>
            <w:vAlign w:val="bottom"/>
          </w:tcPr>
          <w:p>
            <w:pPr>
              <w:jc w:val="right"/>
              <w:ind w:right="124"/>
              <w:spacing w:after="0" w:line="68" w:lineRule="exact"/>
              <w:rPr>
                <w:sz w:val="20"/>
                <w:szCs w:val="20"/>
                <w:color w:val="auto"/>
              </w:rPr>
            </w:pPr>
            <w:r>
              <w:rPr>
                <w:rFonts w:ascii="Arial" w:cs="Arial" w:eastAsia="Arial" w:hAnsi="Arial"/>
                <w:sz w:val="7"/>
                <w:szCs w:val="7"/>
                <w:b w:val="1"/>
                <w:bCs w:val="1"/>
                <w:color w:val="auto"/>
              </w:rPr>
              <w:t>100%</w:t>
            </w:r>
          </w:p>
        </w:tc>
        <w:tc>
          <w:tcPr>
            <w:tcW w:w="460" w:type="dxa"/>
            <w:vAlign w:val="bottom"/>
          </w:tcPr>
          <w:p>
            <w:pPr>
              <w:ind w:left="160"/>
              <w:spacing w:after="0" w:line="68" w:lineRule="exact"/>
              <w:rPr>
                <w:sz w:val="20"/>
                <w:szCs w:val="20"/>
                <w:color w:val="auto"/>
              </w:rPr>
            </w:pPr>
            <w:r>
              <w:rPr>
                <w:rFonts w:ascii="Arial" w:cs="Arial" w:eastAsia="Arial" w:hAnsi="Arial"/>
                <w:sz w:val="7"/>
                <w:szCs w:val="7"/>
                <w:b w:val="1"/>
                <w:bCs w:val="1"/>
                <w:color w:val="auto"/>
              </w:rPr>
              <w:t>SLG%</w:t>
            </w:r>
          </w:p>
        </w:tc>
        <w:tc>
          <w:tcPr>
            <w:tcW w:w="46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54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CONSOLIDATED PROPERTIES</w:t>
            </w:r>
          </w:p>
        </w:tc>
        <w:tc>
          <w:tcPr>
            <w:tcW w:w="4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540" w:type="dxa"/>
            <w:vAlign w:val="bottom"/>
            <w:gridSpan w:val="2"/>
            <w:vMerge w:val="continue"/>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Westchester, New York</w:t>
            </w: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- 1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7"/>
                <w:szCs w:val="17"/>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74.8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74.8</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$1,862</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- 2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59.2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59.2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30.3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1,381</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- 3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52.2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21.7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1,040</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- 4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2,145</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- 5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91.3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2,006</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1100 King Street - 6 Int'l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Rye Brook,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56.7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56.7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1,573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520 White Plains Road</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Tarrytown,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180,000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98.3</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4,309</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0.4</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115-117 Stevens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178,000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49.5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49.5</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78.7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75.1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1,608</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100 Summit Lake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250,000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52.2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47.1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72.9</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3,438</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200 Summit Lake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245,000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95.8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94.5</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94.5</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82.7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81.2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5,878</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0.6</w:t>
            </w:r>
          </w:p>
        </w:tc>
        <w:tc>
          <w:tcPr>
            <w:tcW w:w="460" w:type="dxa"/>
            <w:vAlign w:val="bottom"/>
          </w:tcPr>
          <w:p>
            <w:pPr>
              <w:ind w:left="260"/>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500 Summit Lake Drive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Valhalla,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228,000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5,359</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0.5</w:t>
            </w:r>
          </w:p>
        </w:tc>
        <w:tc>
          <w:tcPr>
            <w:tcW w:w="460" w:type="dxa"/>
            <w:vAlign w:val="bottom"/>
          </w:tcPr>
          <w:p>
            <w:pPr>
              <w:ind w:left="260"/>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360 Hamilton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White Plains,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384,000</w:t>
            </w:r>
          </w:p>
        </w:tc>
        <w:tc>
          <w:tcPr>
            <w:tcW w:w="100" w:type="dxa"/>
            <w:vAlign w:val="bottom"/>
          </w:tcPr>
          <w:p>
            <w:pPr>
              <w:spacing w:after="0"/>
              <w:rPr>
                <w:sz w:val="19"/>
                <w:szCs w:val="19"/>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94.7</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14,464</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1.4</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1.1</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6"/>
          </w:tcPr>
          <w:p>
            <w:pPr>
              <w:ind w:left="280"/>
              <w:spacing w:after="0"/>
              <w:rPr>
                <w:sz w:val="20"/>
                <w:szCs w:val="20"/>
                <w:color w:val="auto"/>
              </w:rPr>
            </w:pPr>
            <w:r>
              <w:rPr>
                <w:rFonts w:ascii="Arial" w:cs="Arial" w:eastAsia="Arial" w:hAnsi="Arial"/>
                <w:sz w:val="7"/>
                <w:szCs w:val="7"/>
                <w:b w:val="1"/>
                <w:bCs w:val="1"/>
                <w:color w:val="auto"/>
              </w:rPr>
              <w:t>"Same Store" Westchester, New York Subtotal/Weighted Average</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12</w:t>
            </w:r>
          </w:p>
        </w:tc>
        <w:tc>
          <w:tcPr>
            <w:tcW w:w="1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7"/>
                <w:szCs w:val="7"/>
                <w:b w:val="1"/>
                <w:bCs w:val="1"/>
                <w:color w:val="auto"/>
              </w:rPr>
              <w:t>2,005,000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8.3%</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80.0%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79.5%</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82.5%</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77.5%</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79.7%</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$45,063</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4.5%</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3.4%</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100</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Connecticut</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7"/>
                <w:szCs w:val="17"/>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312,000</w:t>
            </w:r>
          </w:p>
        </w:tc>
        <w:tc>
          <w:tcPr>
            <w:tcW w:w="100" w:type="dxa"/>
            <w:vAlign w:val="bottom"/>
          </w:tcPr>
          <w:p>
            <w:pPr>
              <w:spacing w:after="0"/>
              <w:rPr>
                <w:sz w:val="17"/>
                <w:szCs w:val="17"/>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1.1</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88.8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88.2</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92.5</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94.6</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98.3</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$8,868</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0.9</w:t>
            </w:r>
          </w:p>
        </w:tc>
        <w:tc>
          <w:tcPr>
            <w:tcW w:w="460" w:type="dxa"/>
            <w:vAlign w:val="bottom"/>
          </w:tcPr>
          <w:p>
            <w:pPr>
              <w:ind w:left="260"/>
              <w:spacing w:after="0"/>
              <w:rPr>
                <w:sz w:val="20"/>
                <w:szCs w:val="20"/>
                <w:color w:val="auto"/>
              </w:rPr>
            </w:pPr>
            <w:r>
              <w:rPr>
                <w:rFonts w:ascii="Arial" w:cs="Arial" w:eastAsia="Arial" w:hAnsi="Arial"/>
                <w:sz w:val="7"/>
                <w:szCs w:val="7"/>
                <w:color w:val="auto"/>
              </w:rPr>
              <w:t>0.7</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2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46,000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68.4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73.9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73.9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76.5</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669</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3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130,000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76.4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76.4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69.1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59.0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3,305</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4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105,000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92.4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92.4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92.4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86.5</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3,203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5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61,000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1,055</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6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172,000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93.7</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91.9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86.0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4,073</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0.4</w:t>
            </w: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7 Landmark Square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36,800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732</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60" w:type="dxa"/>
            <w:vAlign w:val="bottom"/>
          </w:tcPr>
          <w:p>
            <w:pPr>
              <w:ind w:left="260"/>
              <w:spacing w:after="0"/>
              <w:rPr>
                <w:sz w:val="20"/>
                <w:szCs w:val="20"/>
                <w:color w:val="auto"/>
              </w:rPr>
            </w:pPr>
            <w:r>
              <w:rPr>
                <w:rFonts w:ascii="Arial" w:cs="Arial" w:eastAsia="Arial" w:hAnsi="Arial"/>
                <w:sz w:val="7"/>
                <w:szCs w:val="7"/>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680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51.0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133,000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87.6</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88.9</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5,197</w:t>
            </w:r>
          </w:p>
        </w:tc>
        <w:tc>
          <w:tcPr>
            <w:tcW w:w="64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7"/>
                <w:szCs w:val="7"/>
                <w:color w:val="auto"/>
              </w:rPr>
              <w:t>0.2</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750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51.0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192,000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96.4</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97.9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99.1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7,986</w:t>
            </w:r>
          </w:p>
        </w:tc>
        <w:tc>
          <w:tcPr>
            <w:tcW w:w="64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7"/>
                <w:szCs w:val="7"/>
                <w:color w:val="auto"/>
              </w:rPr>
              <w:t>0.3</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1055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34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color w:val="auto"/>
              </w:rPr>
              <w:t>182,000</w:t>
            </w:r>
          </w:p>
        </w:tc>
        <w:tc>
          <w:tcPr>
            <w:tcW w:w="10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76.9</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79.6</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75.6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74.7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80.4</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5,235</w:t>
            </w:r>
          </w:p>
        </w:tc>
        <w:tc>
          <w:tcPr>
            <w:tcW w:w="640" w:type="dxa"/>
            <w:vAlign w:val="bottom"/>
          </w:tcPr>
          <w:p>
            <w:pPr>
              <w:jc w:val="right"/>
              <w:ind w:right="184"/>
              <w:spacing w:after="0"/>
              <w:rPr>
                <w:sz w:val="20"/>
                <w:szCs w:val="20"/>
                <w:color w:val="auto"/>
              </w:rPr>
            </w:pPr>
            <w:r>
              <w:rPr>
                <w:rFonts w:ascii="Arial" w:cs="Arial" w:eastAsia="Arial" w:hAnsi="Arial"/>
                <w:sz w:val="7"/>
                <w:szCs w:val="7"/>
                <w:color w:val="auto"/>
              </w:rPr>
              <w:t>0.5</w:t>
            </w:r>
          </w:p>
        </w:tc>
        <w:tc>
          <w:tcPr>
            <w:tcW w:w="460" w:type="dxa"/>
            <w:vAlign w:val="bottom"/>
          </w:tcPr>
          <w:p>
            <w:pPr>
              <w:ind w:left="260"/>
              <w:spacing w:after="0"/>
              <w:rPr>
                <w:sz w:val="20"/>
                <w:szCs w:val="20"/>
                <w:color w:val="auto"/>
              </w:rPr>
            </w:pPr>
            <w:r>
              <w:rPr>
                <w:rFonts w:ascii="Arial" w:cs="Arial" w:eastAsia="Arial" w:hAnsi="Arial"/>
                <w:sz w:val="7"/>
                <w:szCs w:val="7"/>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1010 Washington Boulevard</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Stamford, Connecticut</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143,400</w:t>
            </w:r>
          </w:p>
        </w:tc>
        <w:tc>
          <w:tcPr>
            <w:tcW w:w="100" w:type="dxa"/>
            <w:vAlign w:val="bottom"/>
          </w:tcPr>
          <w:p>
            <w:pPr>
              <w:spacing w:after="0"/>
              <w:rPr>
                <w:sz w:val="19"/>
                <w:szCs w:val="19"/>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88.2</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79.3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76.9</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75.3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73.8</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4,193</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0.4</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0.3</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6"/>
          </w:tcPr>
          <w:p>
            <w:pPr>
              <w:ind w:left="260"/>
              <w:spacing w:after="0"/>
              <w:rPr>
                <w:sz w:val="20"/>
                <w:szCs w:val="20"/>
                <w:color w:val="auto"/>
              </w:rPr>
            </w:pPr>
            <w:r>
              <w:rPr>
                <w:rFonts w:ascii="Arial" w:cs="Arial" w:eastAsia="Arial" w:hAnsi="Arial"/>
                <w:sz w:val="7"/>
                <w:szCs w:val="7"/>
                <w:b w:val="1"/>
                <w:bCs w:val="1"/>
                <w:color w:val="auto"/>
              </w:rPr>
              <w:t>"Same Store" Connecticut Subtotal/Weighted Average</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11</w:t>
            </w:r>
          </w:p>
        </w:tc>
        <w:tc>
          <w:tcPr>
            <w:tcW w:w="100" w:type="dxa"/>
            <w:vAlign w:val="bottom"/>
          </w:tcPr>
          <w:p>
            <w:pPr>
              <w:spacing w:after="0"/>
              <w:rPr>
                <w:sz w:val="16"/>
                <w:szCs w:val="16"/>
                <w:color w:val="auto"/>
              </w:rPr>
            </w:pPr>
          </w:p>
        </w:tc>
        <w:tc>
          <w:tcPr>
            <w:tcW w:w="420" w:type="dxa"/>
            <w:vAlign w:val="bottom"/>
            <w:gridSpan w:val="2"/>
          </w:tcPr>
          <w:p>
            <w:pPr>
              <w:jc w:val="right"/>
              <w:spacing w:after="0"/>
              <w:rPr>
                <w:sz w:val="20"/>
                <w:szCs w:val="20"/>
                <w:color w:val="auto"/>
              </w:rPr>
            </w:pPr>
            <w:r>
              <w:rPr>
                <w:rFonts w:ascii="Arial" w:cs="Arial" w:eastAsia="Arial" w:hAnsi="Arial"/>
                <w:sz w:val="7"/>
                <w:szCs w:val="7"/>
                <w:b w:val="1"/>
                <w:bCs w:val="1"/>
                <w:color w:val="auto"/>
              </w:rPr>
              <w:t>1,513,200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4.5%</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87.9%</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87.5%</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87.3%</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86.5%</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86.8%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$44,516</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3.1%</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2.9%</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188</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New Jersey</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125 Chubb Way</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Lyndhurst, New Jersey</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278,000</w:t>
            </w:r>
          </w:p>
        </w:tc>
        <w:tc>
          <w:tcPr>
            <w:tcW w:w="100" w:type="dxa"/>
            <w:vAlign w:val="bottom"/>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73.3</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$4,783</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0.5</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0.4</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6"/>
          </w:tcPr>
          <w:p>
            <w:pPr>
              <w:ind w:left="260"/>
              <w:spacing w:after="0"/>
              <w:rPr>
                <w:sz w:val="20"/>
                <w:szCs w:val="20"/>
                <w:color w:val="auto"/>
              </w:rPr>
            </w:pPr>
            <w:r>
              <w:rPr>
                <w:rFonts w:ascii="Arial" w:cs="Arial" w:eastAsia="Arial" w:hAnsi="Arial"/>
                <w:sz w:val="7"/>
                <w:szCs w:val="7"/>
                <w:b w:val="1"/>
                <w:bCs w:val="1"/>
                <w:color w:val="auto"/>
              </w:rPr>
              <w:t>"Same Store" New Jersey Subtotal/Weighted Average</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278,000</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73.3%</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66.2%</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66.2%</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$4,783</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0.5%</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0.4%</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7</w:t>
            </w: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"Same Store" Brooklyn, New York</w:t>
            </w: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16 Court Street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Brooklyn,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317,600</w:t>
            </w:r>
          </w:p>
        </w:tc>
        <w:tc>
          <w:tcPr>
            <w:tcW w:w="100" w:type="dxa"/>
            <w:vAlign w:val="bottom"/>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95.9</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97.3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95.5</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$12,896</w:t>
            </w:r>
          </w:p>
        </w:tc>
        <w:tc>
          <w:tcPr>
            <w:tcW w:w="64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1.3</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1.0</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40" w:type="dxa"/>
            <w:vAlign w:val="bottom"/>
            <w:gridSpan w:val="6"/>
          </w:tcPr>
          <w:p>
            <w:pPr>
              <w:ind w:left="260"/>
              <w:spacing w:after="0"/>
              <w:rPr>
                <w:sz w:val="20"/>
                <w:szCs w:val="20"/>
                <w:color w:val="auto"/>
              </w:rPr>
            </w:pPr>
            <w:r>
              <w:rPr>
                <w:rFonts w:ascii="Arial" w:cs="Arial" w:eastAsia="Arial" w:hAnsi="Arial"/>
                <w:sz w:val="7"/>
                <w:szCs w:val="7"/>
                <w:b w:val="1"/>
                <w:bCs w:val="1"/>
                <w:color w:val="auto"/>
              </w:rPr>
              <w:t>"Same Store" Brooklyn, New York Subtotal/Weighted Average</w:t>
            </w: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1</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317,600</w:t>
            </w:r>
          </w:p>
        </w:tc>
        <w:tc>
          <w:tcPr>
            <w:tcW w:w="100" w:type="dxa"/>
            <w:vAlign w:val="bottom"/>
          </w:tcPr>
          <w:p>
            <w:pPr>
              <w:spacing w:after="0"/>
              <w:rPr>
                <w:sz w:val="16"/>
                <w:szCs w:val="16"/>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1.2%</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95.9%</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97.3%</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96.4%</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95.5%</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94.6%</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$12,896</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1.1%</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1.0%</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68</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980" w:type="dxa"/>
            <w:vAlign w:val="bottom"/>
            <w:gridSpan w:val="4"/>
          </w:tcPr>
          <w:p>
            <w:pPr>
              <w:spacing w:after="0"/>
              <w:rPr>
                <w:sz w:val="20"/>
                <w:szCs w:val="20"/>
                <w:color w:val="auto"/>
              </w:rPr>
            </w:pPr>
            <w:r>
              <w:rPr>
                <w:rFonts w:ascii="Arial" w:cs="Arial" w:eastAsia="Arial" w:hAnsi="Arial"/>
                <w:sz w:val="7"/>
                <w:szCs w:val="7"/>
                <w:b w:val="1"/>
                <w:bCs w:val="1"/>
                <w:color w:val="auto"/>
              </w:rPr>
              <w:t>Total / Weighted Average Consolidated Properties</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25</w:t>
            </w: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7"/>
                <w:szCs w:val="7"/>
                <w:b w:val="1"/>
                <w:bCs w:val="1"/>
                <w:color w:val="auto"/>
              </w:rPr>
              <w:t>4,113,800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15.0%</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83.7%</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82.9%</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84.3%</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81.4%</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82.6%</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$107,257</w:t>
            </w:r>
          </w:p>
        </w:tc>
        <w:tc>
          <w:tcPr>
            <w:tcW w:w="640" w:type="dxa"/>
            <w:vAlign w:val="bottom"/>
          </w:tcPr>
          <w:p>
            <w:pPr>
              <w:jc w:val="right"/>
              <w:ind w:right="124"/>
              <w:spacing w:after="0"/>
              <w:rPr>
                <w:sz w:val="20"/>
                <w:szCs w:val="20"/>
                <w:color w:val="auto"/>
              </w:rPr>
            </w:pPr>
            <w:r>
              <w:rPr>
                <w:rFonts w:ascii="Arial" w:cs="Arial" w:eastAsia="Arial" w:hAnsi="Arial"/>
                <w:sz w:val="7"/>
                <w:szCs w:val="7"/>
                <w:b w:val="1"/>
                <w:bCs w:val="1"/>
                <w:color w:val="auto"/>
              </w:rPr>
              <w:t>9.4%</w:t>
            </w: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7.7%</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363</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1540" w:type="dxa"/>
            <w:vAlign w:val="bottom"/>
            <w:gridSpan w:val="2"/>
          </w:tcPr>
          <w:p>
            <w:pPr>
              <w:spacing w:after="0"/>
              <w:rPr>
                <w:sz w:val="20"/>
                <w:szCs w:val="20"/>
                <w:color w:val="auto"/>
              </w:rPr>
            </w:pPr>
            <w:r>
              <w:rPr>
                <w:rFonts w:ascii="Arial" w:cs="Arial" w:eastAsia="Arial" w:hAnsi="Arial"/>
                <w:sz w:val="7"/>
                <w:szCs w:val="7"/>
                <w:b w:val="1"/>
                <w:bCs w:val="1"/>
                <w:color w:val="auto"/>
              </w:rPr>
              <w:t>UNCONSOLIDATED PROPERTIES</w:t>
            </w: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7"/>
                <w:szCs w:val="7"/>
                <w:b w:val="1"/>
                <w:bCs w:val="1"/>
                <w:color w:val="auto"/>
              </w:rPr>
              <w:t>"Non Same Store"</w:t>
            </w:r>
          </w:p>
        </w:tc>
        <w:tc>
          <w:tcPr>
            <w:tcW w:w="4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Arial" w:cs="Arial" w:eastAsia="Arial" w:hAnsi="Arial"/>
                <w:sz w:val="7"/>
                <w:szCs w:val="7"/>
                <w:color w:val="auto"/>
              </w:rPr>
              <w:t>Jericho Plaza</w:t>
            </w:r>
          </w:p>
        </w:tc>
        <w:tc>
          <w:tcPr>
            <w:tcW w:w="400" w:type="dxa"/>
            <w:vAlign w:val="bottom"/>
          </w:tcPr>
          <w:p>
            <w:pPr>
              <w:jc w:val="center"/>
              <w:spacing w:after="0"/>
              <w:rPr>
                <w:sz w:val="20"/>
                <w:szCs w:val="20"/>
                <w:color w:val="auto"/>
              </w:rPr>
            </w:pPr>
            <w:r>
              <w:rPr>
                <w:rFonts w:ascii="Arial" w:cs="Arial" w:eastAsia="Arial" w:hAnsi="Arial"/>
                <w:sz w:val="7"/>
                <w:szCs w:val="7"/>
                <w:color w:val="auto"/>
              </w:rPr>
              <w:t>11.7</w:t>
            </w:r>
          </w:p>
        </w:tc>
        <w:tc>
          <w:tcPr>
            <w:tcW w:w="40" w:type="dxa"/>
            <w:vAlign w:val="bottom"/>
          </w:tcPr>
          <w:p>
            <w:pPr>
              <w:spacing w:after="0"/>
              <w:rPr>
                <w:sz w:val="18"/>
                <w:szCs w:val="18"/>
                <w:color w:val="auto"/>
              </w:rPr>
            </w:pPr>
          </w:p>
        </w:tc>
        <w:tc>
          <w:tcPr>
            <w:tcW w:w="1020" w:type="dxa"/>
            <w:vAlign w:val="bottom"/>
            <w:gridSpan w:val="3"/>
          </w:tcPr>
          <w:p>
            <w:pPr>
              <w:ind w:left="60"/>
              <w:spacing w:after="0"/>
              <w:rPr>
                <w:sz w:val="20"/>
                <w:szCs w:val="20"/>
                <w:color w:val="auto"/>
              </w:rPr>
            </w:pPr>
            <w:r>
              <w:rPr>
                <w:rFonts w:ascii="Arial" w:cs="Arial" w:eastAsia="Arial" w:hAnsi="Arial"/>
                <w:sz w:val="7"/>
                <w:szCs w:val="7"/>
                <w:color w:val="auto"/>
              </w:rPr>
              <w:t>Jericho, New York</w:t>
            </w:r>
          </w:p>
        </w:tc>
        <w:tc>
          <w:tcPr>
            <w:tcW w:w="78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2</w:t>
            </w: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640,000</w:t>
            </w:r>
          </w:p>
        </w:tc>
        <w:tc>
          <w:tcPr>
            <w:tcW w:w="100" w:type="dxa"/>
            <w:vAlign w:val="bottom"/>
          </w:tcPr>
          <w:p>
            <w:pPr>
              <w:spacing w:after="0"/>
              <w:rPr>
                <w:sz w:val="18"/>
                <w:szCs w:val="18"/>
                <w:color w:val="auto"/>
              </w:rPr>
            </w:pPr>
          </w:p>
        </w:tc>
        <w:tc>
          <w:tcPr>
            <w:tcW w:w="4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2.3</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71.0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71.0</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71.0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66.8</w:t>
            </w:r>
          </w:p>
        </w:tc>
        <w:tc>
          <w:tcPr>
            <w:tcW w:w="8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$15,744</w:t>
            </w:r>
          </w:p>
        </w:tc>
        <w:tc>
          <w:tcPr>
            <w:tcW w:w="6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7"/>
                <w:szCs w:val="7"/>
                <w:color w:val="auto"/>
              </w:rPr>
              <w:t>0.1%</w:t>
            </w:r>
          </w:p>
        </w:tc>
        <w:tc>
          <w:tcPr>
            <w:tcW w:w="4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40" w:type="dxa"/>
            <w:vAlign w:val="bottom"/>
            <w:gridSpan w:val="6"/>
          </w:tcPr>
          <w:p>
            <w:pPr>
              <w:ind w:left="260"/>
              <w:spacing w:after="0"/>
              <w:rPr>
                <w:sz w:val="20"/>
                <w:szCs w:val="20"/>
                <w:color w:val="auto"/>
              </w:rPr>
            </w:pPr>
            <w:r>
              <w:rPr>
                <w:rFonts w:ascii="Arial" w:cs="Arial" w:eastAsia="Arial" w:hAnsi="Arial"/>
                <w:sz w:val="7"/>
                <w:szCs w:val="7"/>
                <w:b w:val="1"/>
                <w:bCs w:val="1"/>
                <w:color w:val="auto"/>
              </w:rPr>
              <w:t>"Non Same Store" Subtotal/Weighted Average</w:t>
            </w: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w:t>
            </w:r>
          </w:p>
        </w:tc>
        <w:tc>
          <w:tcPr>
            <w:tcW w:w="10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640,000</w:t>
            </w:r>
          </w:p>
        </w:tc>
        <w:tc>
          <w:tcPr>
            <w:tcW w:w="100" w:type="dxa"/>
            <w:vAlign w:val="bottom"/>
          </w:tcPr>
          <w:p>
            <w:pPr>
              <w:spacing w:after="0"/>
              <w:rPr>
                <w:sz w:val="17"/>
                <w:szCs w:val="17"/>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2.3%</w:t>
            </w:r>
          </w:p>
        </w:tc>
        <w:tc>
          <w:tcPr>
            <w:tcW w:w="80" w:type="dxa"/>
            <w:vAlign w:val="bottom"/>
          </w:tcPr>
          <w:p>
            <w:pPr>
              <w:spacing w:after="0"/>
              <w:rPr>
                <w:sz w:val="17"/>
                <w:szCs w:val="17"/>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71.0%</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71.0%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71.0%</w:t>
            </w:r>
          </w:p>
        </w:tc>
        <w:tc>
          <w:tcPr>
            <w:tcW w:w="8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66.9%</w:t>
            </w:r>
          </w:p>
        </w:tc>
        <w:tc>
          <w:tcPr>
            <w:tcW w:w="1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66.8%</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$15,744</w:t>
            </w:r>
          </w:p>
        </w:tc>
        <w:tc>
          <w:tcPr>
            <w:tcW w:w="640" w:type="dxa"/>
            <w:vAlign w:val="bottom"/>
          </w:tcPr>
          <w:p>
            <w:pPr>
              <w:spacing w:after="0"/>
              <w:rPr>
                <w:sz w:val="17"/>
                <w:szCs w:val="17"/>
                <w:color w:val="auto"/>
              </w:rPr>
            </w:pP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34</w:t>
            </w: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40" w:type="dxa"/>
            <w:vAlign w:val="bottom"/>
            <w:gridSpan w:val="6"/>
          </w:tcPr>
          <w:p>
            <w:pPr>
              <w:ind w:left="220"/>
              <w:spacing w:after="0"/>
              <w:rPr>
                <w:sz w:val="20"/>
                <w:szCs w:val="20"/>
                <w:color w:val="auto"/>
              </w:rPr>
            </w:pPr>
            <w:r>
              <w:rPr>
                <w:rFonts w:ascii="Arial" w:cs="Arial" w:eastAsia="Arial" w:hAnsi="Arial"/>
                <w:sz w:val="7"/>
                <w:szCs w:val="7"/>
                <w:b w:val="1"/>
                <w:bCs w:val="1"/>
                <w:color w:val="auto"/>
              </w:rPr>
              <w:t>Total / Weighted Average Unconsolidated Properties</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w:t>
            </w: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640,000</w:t>
            </w: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2.3%</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71.0%</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71.0%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71.0%</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68.9%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68.9%</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$15,744</w:t>
            </w:r>
          </w:p>
        </w:tc>
        <w:tc>
          <w:tcPr>
            <w:tcW w:w="640" w:type="dxa"/>
            <w:vAlign w:val="bottom"/>
          </w:tcPr>
          <w:p>
            <w:pPr>
              <w:spacing w:after="0"/>
              <w:rPr>
                <w:sz w:val="24"/>
                <w:szCs w:val="24"/>
                <w:color w:val="auto"/>
              </w:rPr>
            </w:pP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0.1%</w:t>
            </w:r>
          </w:p>
        </w:tc>
        <w:tc>
          <w:tcPr>
            <w:tcW w:w="460" w:type="dxa"/>
            <w:vAlign w:val="bottom"/>
          </w:tcPr>
          <w:p>
            <w:pPr>
              <w:jc w:val="right"/>
              <w:ind w:right="4"/>
              <w:spacing w:after="0"/>
              <w:rPr>
                <w:sz w:val="20"/>
                <w:szCs w:val="20"/>
                <w:color w:val="auto"/>
              </w:rPr>
            </w:pPr>
            <w:r>
              <w:rPr>
                <w:rFonts w:ascii="Arial" w:cs="Arial" w:eastAsia="Arial" w:hAnsi="Arial"/>
                <w:sz w:val="7"/>
                <w:szCs w:val="7"/>
                <w:b w:val="1"/>
                <w:bCs w:val="1"/>
                <w:color w:val="auto"/>
              </w:rPr>
              <w:t>34</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gridSpan w:val="2"/>
          </w:tcPr>
          <w:p>
            <w:pPr>
              <w:spacing w:after="0"/>
              <w:rPr>
                <w:sz w:val="9"/>
                <w:szCs w:val="9"/>
                <w:color w:val="auto"/>
              </w:rPr>
            </w:pPr>
          </w:p>
        </w:tc>
        <w:tc>
          <w:tcPr>
            <w:tcW w:w="100" w:type="dxa"/>
            <w:vAlign w:val="bottom"/>
            <w:tcBorders>
              <w:bottom w:val="single" w:sz="8" w:color="auto"/>
            </w:tcBorders>
            <w:gridSpan w:val="2"/>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5"/>
        </w:trPr>
        <w:tc>
          <w:tcPr>
            <w:tcW w:w="20" w:type="dxa"/>
            <w:vAlign w:val="bottom"/>
            <w:shd w:val="clear" w:color="auto" w:fill="000000"/>
          </w:tcPr>
          <w:p>
            <w:pPr>
              <w:spacing w:after="0"/>
              <w:rPr>
                <w:sz w:val="24"/>
                <w:szCs w:val="24"/>
                <w:color w:val="auto"/>
              </w:rPr>
            </w:pPr>
          </w:p>
        </w:tc>
        <w:tc>
          <w:tcPr>
            <w:tcW w:w="3000" w:type="dxa"/>
            <w:vAlign w:val="bottom"/>
            <w:gridSpan w:val="7"/>
          </w:tcPr>
          <w:p>
            <w:pPr>
              <w:ind w:left="20"/>
              <w:spacing w:after="0"/>
              <w:rPr>
                <w:sz w:val="20"/>
                <w:szCs w:val="20"/>
                <w:color w:val="auto"/>
              </w:rPr>
            </w:pPr>
            <w:r>
              <w:rPr>
                <w:rFonts w:ascii="Arial" w:cs="Arial" w:eastAsia="Arial" w:hAnsi="Arial"/>
                <w:sz w:val="7"/>
                <w:szCs w:val="7"/>
                <w:b w:val="1"/>
                <w:bCs w:val="1"/>
                <w:color w:val="auto"/>
              </w:rPr>
              <w:t>Suburban Operating Properties Grand Total / Weighted Average</w:t>
            </w: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gridSpan w:val="2"/>
          </w:tcPr>
          <w:p>
            <w:pPr>
              <w:jc w:val="center"/>
              <w:spacing w:after="0"/>
              <w:rPr>
                <w:sz w:val="20"/>
                <w:szCs w:val="20"/>
                <w:color w:val="auto"/>
              </w:rPr>
            </w:pPr>
            <w:r>
              <w:rPr>
                <w:rFonts w:ascii="Arial" w:cs="Arial" w:eastAsia="Arial" w:hAnsi="Arial"/>
                <w:sz w:val="7"/>
                <w:szCs w:val="7"/>
                <w:b w:val="1"/>
                <w:bCs w:val="1"/>
                <w:color w:val="auto"/>
              </w:rPr>
              <w:t>27</w:t>
            </w:r>
          </w:p>
        </w:tc>
        <w:tc>
          <w:tcPr>
            <w:tcW w:w="10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7"/>
                <w:szCs w:val="7"/>
                <w:b w:val="1"/>
                <w:bCs w:val="1"/>
                <w:color w:val="auto"/>
              </w:rPr>
              <w:t>4,753,800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17.4%</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82.0%</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81.3%</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82.5%</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79.5%</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80.4%</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$123,002</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6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397</w:t>
            </w: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3000" w:type="dxa"/>
            <w:vAlign w:val="bottom"/>
            <w:gridSpan w:val="7"/>
          </w:tcPr>
          <w:p>
            <w:pPr>
              <w:ind w:left="20"/>
              <w:spacing w:after="0"/>
              <w:rPr>
                <w:sz w:val="20"/>
                <w:szCs w:val="20"/>
                <w:color w:val="auto"/>
              </w:rPr>
            </w:pPr>
            <w:r>
              <w:rPr>
                <w:rFonts w:ascii="Arial" w:cs="Arial" w:eastAsia="Arial" w:hAnsi="Arial"/>
                <w:sz w:val="7"/>
                <w:szCs w:val="7"/>
                <w:b w:val="1"/>
                <w:bCs w:val="1"/>
                <w:color w:val="auto"/>
              </w:rPr>
              <w:t>Suburban Operating Properties Grand Total - SLG share of Annualized Rent</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$102,635</w:t>
            </w:r>
          </w:p>
        </w:tc>
        <w:tc>
          <w:tcPr>
            <w:tcW w:w="640" w:type="dxa"/>
            <w:vAlign w:val="bottom"/>
          </w:tcPr>
          <w:p>
            <w:pPr>
              <w:spacing w:after="0"/>
              <w:rPr>
                <w:sz w:val="19"/>
                <w:szCs w:val="19"/>
                <w:color w:val="auto"/>
              </w:rPr>
            </w:pPr>
          </w:p>
        </w:tc>
        <w:tc>
          <w:tcPr>
            <w:tcW w:w="460" w:type="dxa"/>
            <w:vAlign w:val="bottom"/>
          </w:tcPr>
          <w:p>
            <w:pPr>
              <w:ind w:left="260"/>
              <w:spacing w:after="0"/>
              <w:rPr>
                <w:sz w:val="20"/>
                <w:szCs w:val="20"/>
                <w:color w:val="auto"/>
              </w:rPr>
            </w:pPr>
            <w:r>
              <w:rPr>
                <w:rFonts w:ascii="Arial" w:cs="Arial" w:eastAsia="Arial" w:hAnsi="Arial"/>
                <w:sz w:val="7"/>
                <w:szCs w:val="7"/>
                <w:b w:val="1"/>
                <w:bCs w:val="1"/>
                <w:color w:val="auto"/>
              </w:rPr>
              <w:t>7.8%</w:t>
            </w: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3000" w:type="dxa"/>
            <w:vAlign w:val="bottom"/>
            <w:gridSpan w:val="7"/>
          </w:tcPr>
          <w:p>
            <w:pPr>
              <w:ind w:left="20"/>
              <w:spacing w:after="0"/>
              <w:rPr>
                <w:sz w:val="20"/>
                <w:szCs w:val="20"/>
                <w:color w:val="auto"/>
              </w:rPr>
            </w:pPr>
            <w:r>
              <w:rPr>
                <w:rFonts w:ascii="Arial" w:cs="Arial" w:eastAsia="Arial" w:hAnsi="Arial"/>
                <w:sz w:val="7"/>
                <w:szCs w:val="7"/>
                <w:b w:val="1"/>
                <w:bCs w:val="1"/>
                <w:color w:val="auto"/>
              </w:rPr>
              <w:t xml:space="preserve">Suburban Operating Properties Same Store Occupancy % </w:t>
            </w:r>
            <w:r>
              <w:rPr>
                <w:rFonts w:ascii="Arial" w:cs="Arial" w:eastAsia="Arial" w:hAnsi="Arial"/>
                <w:sz w:val="6"/>
                <w:szCs w:val="6"/>
                <w:b w:val="1"/>
                <w:bCs w:val="1"/>
                <w:color w:val="auto"/>
              </w:rPr>
              <w:t>(1)</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7"/>
                <w:szCs w:val="7"/>
                <w:b w:val="1"/>
                <w:bCs w:val="1"/>
                <w:color w:val="auto"/>
              </w:rPr>
              <w:t>4,113,800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86.5%</w:t>
            </w:r>
          </w:p>
        </w:tc>
        <w:tc>
          <w:tcPr>
            <w:tcW w:w="80" w:type="dxa"/>
            <w:vAlign w:val="bottom"/>
          </w:tcPr>
          <w:p>
            <w:pPr>
              <w:spacing w:after="0"/>
              <w:rPr>
                <w:sz w:val="19"/>
                <w:szCs w:val="19"/>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83.7%</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82.9%</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84.3%</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81.4%</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82.6%</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3000" w:type="dxa"/>
            <w:vAlign w:val="bottom"/>
            <w:gridSpan w:val="7"/>
          </w:tcPr>
          <w:p>
            <w:pPr>
              <w:ind w:left="20"/>
              <w:spacing w:after="0"/>
              <w:rPr>
                <w:sz w:val="20"/>
                <w:szCs w:val="20"/>
                <w:color w:val="auto"/>
              </w:rPr>
            </w:pPr>
            <w:r>
              <w:rPr>
                <w:rFonts w:ascii="Arial" w:cs="Arial" w:eastAsia="Arial" w:hAnsi="Arial"/>
                <w:sz w:val="7"/>
                <w:szCs w:val="7"/>
                <w:b w:val="1"/>
                <w:bCs w:val="1"/>
                <w:color w:val="auto"/>
              </w:rPr>
              <w:t>Suburban Operating Properties Same Store Leased Occupancy %</w:t>
            </w:r>
          </w:p>
        </w:tc>
        <w:tc>
          <w:tcPr>
            <w:tcW w:w="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85.4%</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83.9%</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84.9%</w:t>
            </w: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83.3%</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84.3%</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shd w:val="clear" w:color="auto" w:fill="000000"/>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1"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34</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sectPr>
      </w:pPr>
    </w:p>
    <w:bookmarkStart w:id="50" w:name="page51"/>
    <w:bookmarkEnd w:id="5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and Residential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rPr>
              <w:t>Ownership</w:t>
            </w: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7"/>
                <w:szCs w:val="7"/>
                <w:b w:val="1"/>
                <w:bCs w:val="1"/>
                <w:color w:val="auto"/>
              </w:rPr>
              <w:t># of</w:t>
            </w:r>
          </w:p>
        </w:tc>
        <w:tc>
          <w:tcPr>
            <w:tcW w:w="60" w:type="dxa"/>
            <w:vAlign w:val="bottom"/>
          </w:tcPr>
          <w:p>
            <w:pPr>
              <w:spacing w:after="0"/>
              <w:rPr>
                <w:sz w:val="8"/>
                <w:szCs w:val="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Usable</w:t>
            </w:r>
          </w:p>
        </w:tc>
        <w:tc>
          <w:tcPr>
            <w:tcW w:w="80" w:type="dxa"/>
            <w:vAlign w:val="bottom"/>
          </w:tcPr>
          <w:p>
            <w:pPr>
              <w:spacing w:after="0"/>
              <w:rPr>
                <w:sz w:val="8"/>
                <w:szCs w:val="8"/>
                <w:color w:val="auto"/>
              </w:rPr>
            </w:pPr>
          </w:p>
        </w:tc>
        <w:tc>
          <w:tcPr>
            <w:tcW w:w="54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4"/>
          </w:tcPr>
          <w:p>
            <w:pPr>
              <w:ind w:left="80"/>
              <w:spacing w:after="0"/>
              <w:rPr>
                <w:sz w:val="20"/>
                <w:szCs w:val="20"/>
                <w:color w:val="auto"/>
              </w:rPr>
            </w:pPr>
            <w:r>
              <w:rPr>
                <w:rFonts w:ascii="Arial" w:cs="Arial" w:eastAsia="Arial" w:hAnsi="Arial"/>
                <w:sz w:val="7"/>
                <w:szCs w:val="7"/>
                <w:b w:val="1"/>
                <w:bCs w:val="1"/>
                <w:color w:val="auto"/>
              </w:rPr>
              <w:t>Occupancy (%)</w:t>
            </w: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60" w:type="dxa"/>
            <w:vAlign w:val="bottom"/>
          </w:tcPr>
          <w:p>
            <w:pPr>
              <w:jc w:val="center"/>
              <w:spacing w:after="0"/>
              <w:rPr>
                <w:sz w:val="20"/>
                <w:szCs w:val="20"/>
                <w:color w:val="auto"/>
              </w:rPr>
            </w:pPr>
            <w:r>
              <w:rPr>
                <w:rFonts w:ascii="Arial" w:cs="Arial" w:eastAsia="Arial" w:hAnsi="Arial"/>
                <w:sz w:val="7"/>
                <w:szCs w:val="7"/>
                <w:b w:val="1"/>
                <w:bCs w:val="1"/>
                <w:color w:val="auto"/>
              </w:rPr>
              <w:t>Annualized</w:t>
            </w:r>
          </w:p>
        </w:tc>
        <w:tc>
          <w:tcPr>
            <w:tcW w:w="60" w:type="dxa"/>
            <w:vAlign w:val="bottom"/>
          </w:tcPr>
          <w:p>
            <w:pPr>
              <w:spacing w:after="0"/>
              <w:rPr>
                <w:sz w:val="8"/>
                <w:szCs w:val="8"/>
                <w:color w:val="auto"/>
              </w:rPr>
            </w:pPr>
          </w:p>
        </w:tc>
        <w:tc>
          <w:tcPr>
            <w:tcW w:w="740" w:type="dxa"/>
            <w:vAlign w:val="bottom"/>
          </w:tcPr>
          <w:p>
            <w:pPr>
              <w:jc w:val="center"/>
              <w:ind w:right="44"/>
              <w:spacing w:after="0"/>
              <w:rPr>
                <w:sz w:val="20"/>
                <w:szCs w:val="20"/>
                <w:color w:val="auto"/>
              </w:rPr>
            </w:pPr>
            <w:r>
              <w:rPr>
                <w:rFonts w:ascii="Arial" w:cs="Arial" w:eastAsia="Arial" w:hAnsi="Arial"/>
                <w:sz w:val="7"/>
                <w:szCs w:val="7"/>
                <w:b w:val="1"/>
                <w:bCs w:val="1"/>
                <w:color w:val="auto"/>
              </w:rPr>
              <w:t>Annualized</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Gross Total RE</w:t>
            </w:r>
          </w:p>
        </w:tc>
        <w:tc>
          <w:tcPr>
            <w:tcW w:w="760" w:type="dxa"/>
            <w:vAlign w:val="bottom"/>
            <w:gridSpan w:val="2"/>
          </w:tcPr>
          <w:p>
            <w:pPr>
              <w:jc w:val="right"/>
              <w:ind w:right="400"/>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0" w:type="dxa"/>
            <w:vAlign w:val="bottom"/>
            <w:gridSpan w:val="2"/>
          </w:tcPr>
          <w:p>
            <w:pPr>
              <w:spacing w:after="0" w:line="68" w:lineRule="exact"/>
              <w:rPr>
                <w:sz w:val="20"/>
                <w:szCs w:val="20"/>
                <w:color w:val="auto"/>
              </w:rPr>
            </w:pPr>
            <w:r>
              <w:rPr>
                <w:rFonts w:ascii="Arial" w:cs="Arial" w:eastAsia="Arial" w:hAnsi="Arial"/>
                <w:sz w:val="7"/>
                <w:szCs w:val="7"/>
                <w:b w:val="1"/>
                <w:bCs w:val="1"/>
                <w:color w:val="auto"/>
                <w:w w:val="98"/>
              </w:rPr>
              <w:t>Properties</w:t>
            </w:r>
          </w:p>
        </w:tc>
        <w:tc>
          <w:tcPr>
            <w:tcW w:w="840" w:type="dxa"/>
            <w:vAlign w:val="bottom"/>
          </w:tcPr>
          <w:p>
            <w:pPr>
              <w:spacing w:after="0"/>
              <w:rPr>
                <w:sz w:val="7"/>
                <w:szCs w:val="7"/>
                <w:color w:val="auto"/>
              </w:rPr>
            </w:pPr>
          </w:p>
        </w:tc>
        <w:tc>
          <w:tcPr>
            <w:tcW w:w="520" w:type="dxa"/>
            <w:vAlign w:val="bottom"/>
            <w:gridSpan w:val="3"/>
          </w:tcPr>
          <w:p>
            <w:pPr>
              <w:jc w:val="center"/>
              <w:ind w:left="24"/>
              <w:spacing w:after="0" w:line="68" w:lineRule="exact"/>
              <w:rPr>
                <w:sz w:val="20"/>
                <w:szCs w:val="20"/>
                <w:color w:val="auto"/>
              </w:rPr>
            </w:pPr>
            <w:r>
              <w:rPr>
                <w:rFonts w:ascii="Arial" w:cs="Arial" w:eastAsia="Arial" w:hAnsi="Arial"/>
                <w:sz w:val="7"/>
                <w:szCs w:val="7"/>
                <w:b w:val="1"/>
                <w:bCs w:val="1"/>
                <w:color w:val="auto"/>
                <w:w w:val="99"/>
              </w:rPr>
              <w:t>Interest (%)</w:t>
            </w:r>
          </w:p>
        </w:tc>
        <w:tc>
          <w:tcPr>
            <w:tcW w:w="980" w:type="dxa"/>
            <w:vAlign w:val="bottom"/>
            <w:gridSpan w:val="3"/>
          </w:tcPr>
          <w:p>
            <w:pPr>
              <w:ind w:left="40"/>
              <w:spacing w:after="0" w:line="68" w:lineRule="exact"/>
              <w:rPr>
                <w:sz w:val="20"/>
                <w:szCs w:val="20"/>
                <w:color w:val="auto"/>
              </w:rPr>
            </w:pPr>
            <w:r>
              <w:rPr>
                <w:rFonts w:ascii="Arial" w:cs="Arial" w:eastAsia="Arial" w:hAnsi="Arial"/>
                <w:sz w:val="7"/>
                <w:szCs w:val="7"/>
                <w:b w:val="1"/>
                <w:bCs w:val="1"/>
                <w:color w:val="auto"/>
              </w:rPr>
              <w:t>SubMarket</w:t>
            </w:r>
          </w:p>
        </w:tc>
        <w:tc>
          <w:tcPr>
            <w:tcW w:w="60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Ownership</w:t>
            </w:r>
          </w:p>
        </w:tc>
        <w:tc>
          <w:tcPr>
            <w:tcW w:w="340" w:type="dxa"/>
            <w:vAlign w:val="bottom"/>
            <w:gridSpan w:val="3"/>
          </w:tcPr>
          <w:p>
            <w:pPr>
              <w:jc w:val="right"/>
              <w:ind w:right="40"/>
              <w:spacing w:after="0" w:line="68" w:lineRule="exact"/>
              <w:rPr>
                <w:sz w:val="20"/>
                <w:szCs w:val="20"/>
                <w:color w:val="auto"/>
              </w:rPr>
            </w:pPr>
            <w:r>
              <w:rPr>
                <w:rFonts w:ascii="Arial" w:cs="Arial" w:eastAsia="Arial" w:hAnsi="Arial"/>
                <w:sz w:val="7"/>
                <w:szCs w:val="7"/>
                <w:b w:val="1"/>
                <w:bCs w:val="1"/>
                <w:color w:val="auto"/>
              </w:rPr>
              <w:t>Bldgs</w:t>
            </w:r>
          </w:p>
        </w:tc>
        <w:tc>
          <w:tcPr>
            <w:tcW w:w="60" w:type="dxa"/>
            <w:vAlign w:val="bottom"/>
          </w:tcPr>
          <w:p>
            <w:pPr>
              <w:spacing w:after="0"/>
              <w:rPr>
                <w:sz w:val="7"/>
                <w:szCs w:val="7"/>
                <w:color w:val="auto"/>
              </w:rPr>
            </w:pPr>
          </w:p>
        </w:tc>
        <w:tc>
          <w:tcPr>
            <w:tcW w:w="400" w:type="dxa"/>
            <w:vAlign w:val="bottom"/>
            <w:gridSpan w:val="3"/>
          </w:tcPr>
          <w:p>
            <w:pPr>
              <w:jc w:val="right"/>
              <w:ind w:right="100"/>
              <w:spacing w:after="0" w:line="68" w:lineRule="exact"/>
              <w:rPr>
                <w:sz w:val="20"/>
                <w:szCs w:val="20"/>
                <w:color w:val="auto"/>
              </w:rPr>
            </w:pPr>
            <w:r>
              <w:rPr>
                <w:rFonts w:ascii="Arial" w:cs="Arial" w:eastAsia="Arial" w:hAnsi="Arial"/>
                <w:sz w:val="7"/>
                <w:szCs w:val="7"/>
                <w:b w:val="1"/>
                <w:bCs w:val="1"/>
                <w:color w:val="auto"/>
              </w:rPr>
              <w:t>Sq. Feet</w:t>
            </w:r>
          </w:p>
        </w:tc>
        <w:tc>
          <w:tcPr>
            <w:tcW w:w="80" w:type="dxa"/>
            <w:vAlign w:val="bottom"/>
          </w:tcPr>
          <w:p>
            <w:pPr>
              <w:spacing w:after="0"/>
              <w:rPr>
                <w:sz w:val="7"/>
                <w:szCs w:val="7"/>
                <w:color w:val="auto"/>
              </w:rPr>
            </w:pPr>
          </w:p>
        </w:tc>
        <w:tc>
          <w:tcPr>
            <w:tcW w:w="540" w:type="dxa"/>
            <w:vAlign w:val="bottom"/>
            <w:gridSpan w:val="4"/>
          </w:tcPr>
          <w:p>
            <w:pPr>
              <w:jc w:val="right"/>
              <w:ind w:right="180"/>
              <w:spacing w:after="0" w:line="68" w:lineRule="exact"/>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Sep-16</w:t>
            </w:r>
          </w:p>
        </w:tc>
        <w:tc>
          <w:tcPr>
            <w:tcW w:w="400" w:type="dxa"/>
            <w:vAlign w:val="bottom"/>
          </w:tcPr>
          <w:p>
            <w:pPr>
              <w:jc w:val="right"/>
              <w:ind w:right="44"/>
              <w:spacing w:after="0" w:line="68" w:lineRule="exact"/>
              <w:rPr>
                <w:sz w:val="20"/>
                <w:szCs w:val="20"/>
                <w:color w:val="auto"/>
              </w:rPr>
            </w:pPr>
            <w:r>
              <w:rPr>
                <w:rFonts w:ascii="Arial" w:cs="Arial" w:eastAsia="Arial" w:hAnsi="Arial"/>
                <w:sz w:val="7"/>
                <w:szCs w:val="7"/>
                <w:b w:val="1"/>
                <w:bCs w:val="1"/>
                <w:color w:val="auto"/>
              </w:rPr>
              <w:t>Jun-16</w:t>
            </w:r>
          </w:p>
        </w:tc>
        <w:tc>
          <w:tcPr>
            <w:tcW w:w="80" w:type="dxa"/>
            <w:vAlign w:val="bottom"/>
          </w:tcPr>
          <w:p>
            <w:pPr>
              <w:spacing w:after="0"/>
              <w:rPr>
                <w:sz w:val="7"/>
                <w:szCs w:val="7"/>
                <w:color w:val="auto"/>
              </w:rPr>
            </w:pPr>
          </w:p>
        </w:tc>
        <w:tc>
          <w:tcPr>
            <w:tcW w:w="540" w:type="dxa"/>
            <w:vAlign w:val="bottom"/>
            <w:gridSpan w:val="3"/>
          </w:tcPr>
          <w:p>
            <w:pPr>
              <w:jc w:val="right"/>
              <w:ind w:right="220"/>
              <w:spacing w:after="0" w:line="68" w:lineRule="exact"/>
              <w:rPr>
                <w:sz w:val="20"/>
                <w:szCs w:val="20"/>
                <w:color w:val="auto"/>
              </w:rPr>
            </w:pPr>
            <w:r>
              <w:rPr>
                <w:rFonts w:ascii="Arial" w:cs="Arial" w:eastAsia="Arial" w:hAnsi="Arial"/>
                <w:sz w:val="7"/>
                <w:szCs w:val="7"/>
                <w:b w:val="1"/>
                <w:bCs w:val="1"/>
                <w:color w:val="auto"/>
              </w:rPr>
              <w:t>Mar-16</w:t>
            </w:r>
          </w:p>
        </w:tc>
        <w:tc>
          <w:tcPr>
            <w:tcW w:w="440" w:type="dxa"/>
            <w:vAlign w:val="bottom"/>
            <w:gridSpan w:val="2"/>
          </w:tcPr>
          <w:p>
            <w:pPr>
              <w:ind w:left="40"/>
              <w:spacing w:after="0" w:line="68" w:lineRule="exact"/>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Sep-15</w:t>
            </w:r>
          </w:p>
        </w:tc>
        <w:tc>
          <w:tcPr>
            <w:tcW w:w="760" w:type="dxa"/>
            <w:vAlign w:val="bottom"/>
          </w:tcPr>
          <w:p>
            <w:pPr>
              <w:jc w:val="center"/>
              <w:spacing w:after="0" w:line="68" w:lineRule="exact"/>
              <w:rPr>
                <w:sz w:val="20"/>
                <w:szCs w:val="20"/>
                <w:color w:val="auto"/>
              </w:rPr>
            </w:pPr>
            <w:r>
              <w:rPr>
                <w:rFonts w:ascii="Arial" w:cs="Arial" w:eastAsia="Arial" w:hAnsi="Arial"/>
                <w:sz w:val="7"/>
                <w:szCs w:val="7"/>
                <w:b w:val="1"/>
                <w:bCs w:val="1"/>
                <w:color w:val="auto"/>
              </w:rPr>
              <w:t>Cash Rent ($'s)</w:t>
            </w:r>
          </w:p>
        </w:tc>
        <w:tc>
          <w:tcPr>
            <w:tcW w:w="60" w:type="dxa"/>
            <w:vAlign w:val="bottom"/>
          </w:tcPr>
          <w:p>
            <w:pPr>
              <w:spacing w:after="0"/>
              <w:rPr>
                <w:sz w:val="7"/>
                <w:szCs w:val="7"/>
                <w:color w:val="auto"/>
              </w:rPr>
            </w:pPr>
          </w:p>
        </w:tc>
        <w:tc>
          <w:tcPr>
            <w:tcW w:w="740" w:type="dxa"/>
            <w:vAlign w:val="bottom"/>
          </w:tcPr>
          <w:p>
            <w:pPr>
              <w:jc w:val="center"/>
              <w:ind w:right="44"/>
              <w:spacing w:after="0" w:line="68" w:lineRule="exact"/>
              <w:rPr>
                <w:sz w:val="20"/>
                <w:szCs w:val="20"/>
                <w:color w:val="auto"/>
              </w:rPr>
            </w:pPr>
            <w:r>
              <w:rPr>
                <w:rFonts w:ascii="Arial" w:cs="Arial" w:eastAsia="Arial" w:hAnsi="Arial"/>
                <w:sz w:val="7"/>
                <w:szCs w:val="7"/>
                <w:b w:val="1"/>
                <w:bCs w:val="1"/>
                <w:color w:val="auto"/>
              </w:rPr>
              <w:t>Cash Rent (SLG%)</w:t>
            </w:r>
          </w:p>
        </w:tc>
        <w:tc>
          <w:tcPr>
            <w:tcW w:w="56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Book Value</w:t>
            </w:r>
          </w:p>
        </w:tc>
        <w:tc>
          <w:tcPr>
            <w:tcW w:w="760" w:type="dxa"/>
            <w:vAlign w:val="bottom"/>
            <w:gridSpan w:val="2"/>
          </w:tcPr>
          <w:p>
            <w:pPr>
              <w:jc w:val="right"/>
              <w:ind w:right="400"/>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0" w:type="dxa"/>
            <w:vAlign w:val="bottom"/>
          </w:tcPr>
          <w:p>
            <w:pPr>
              <w:spacing w:after="0"/>
              <w:rPr>
                <w:sz w:val="9"/>
                <w:szCs w:val="9"/>
                <w:color w:val="auto"/>
              </w:rPr>
            </w:pPr>
          </w:p>
        </w:tc>
        <w:tc>
          <w:tcPr>
            <w:tcW w:w="120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"Same Store" Retail</w:t>
            </w: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Herald Square/Penn</w:t>
            </w:r>
          </w:p>
        </w:tc>
        <w:tc>
          <w:tcPr>
            <w:tcW w:w="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11 West 34th Street</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30.0</w:t>
            </w:r>
          </w:p>
        </w:tc>
        <w:tc>
          <w:tcPr>
            <w:tcW w:w="40" w:type="dxa"/>
            <w:vAlign w:val="bottom"/>
          </w:tcPr>
          <w:p>
            <w:pPr>
              <w:spacing w:after="0"/>
              <w:rPr>
                <w:sz w:val="7"/>
                <w:szCs w:val="7"/>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Station</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7"/>
                <w:szCs w:val="7"/>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17,150</w:t>
            </w:r>
          </w:p>
        </w:tc>
        <w:tc>
          <w:tcPr>
            <w:tcW w:w="80" w:type="dxa"/>
            <w:vAlign w:val="bottom"/>
          </w:tcPr>
          <w:p>
            <w:pPr>
              <w:spacing w:after="0"/>
              <w:rPr>
                <w:sz w:val="7"/>
                <w:szCs w:val="7"/>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7"/>
                <w:szCs w:val="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7"/>
                <w:szCs w:val="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$2,648</w:t>
            </w:r>
          </w:p>
        </w:tc>
        <w:tc>
          <w:tcPr>
            <w:tcW w:w="60" w:type="dxa"/>
            <w:vAlign w:val="bottom"/>
          </w:tcPr>
          <w:p>
            <w:pPr>
              <w:spacing w:after="0"/>
              <w:rPr>
                <w:sz w:val="7"/>
                <w:szCs w:val="7"/>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1.1</w:t>
            </w:r>
          </w:p>
        </w:tc>
        <w:tc>
          <w:tcPr>
            <w:tcW w:w="560" w:type="dxa"/>
            <w:vAlign w:val="bottom"/>
          </w:tcPr>
          <w:p>
            <w:pPr>
              <w:jc w:val="right"/>
              <w:spacing w:after="0"/>
              <w:rPr>
                <w:sz w:val="20"/>
                <w:szCs w:val="20"/>
                <w:color w:val="auto"/>
              </w:rPr>
            </w:pPr>
            <w:r>
              <w:rPr>
                <w:rFonts w:ascii="Arial" w:cs="Arial" w:eastAsia="Arial" w:hAnsi="Arial"/>
                <w:sz w:val="7"/>
                <w:szCs w:val="7"/>
                <w:color w:val="auto"/>
              </w:rPr>
              <w:t>$15,482</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 xml:space="preserve">19-21 East 65th Street </w:t>
            </w:r>
            <w:r>
              <w:rPr>
                <w:rFonts w:ascii="Arial" w:cs="Arial" w:eastAsia="Arial" w:hAnsi="Arial"/>
                <w:sz w:val="6"/>
                <w:szCs w:val="6"/>
                <w:color w:val="auto"/>
              </w:rPr>
              <w:t>(1)</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90.0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2</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23,610</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77.5</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77.5</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77.5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60.5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66.0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1,080</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1.3</w:t>
            </w:r>
          </w:p>
        </w:tc>
        <w:tc>
          <w:tcPr>
            <w:tcW w:w="560" w:type="dxa"/>
            <w:vAlign w:val="bottom"/>
          </w:tcPr>
          <w:p>
            <w:pPr>
              <w:jc w:val="right"/>
              <w:spacing w:after="0"/>
              <w:rPr>
                <w:sz w:val="20"/>
                <w:szCs w:val="20"/>
                <w:color w:val="auto"/>
              </w:rPr>
            </w:pPr>
            <w:r>
              <w:rPr>
                <w:rFonts w:ascii="Arial" w:cs="Arial" w:eastAsia="Arial" w:hAnsi="Arial"/>
                <w:sz w:val="7"/>
                <w:szCs w:val="7"/>
                <w:color w:val="auto"/>
              </w:rPr>
              <w:t>7,556</w:t>
            </w:r>
          </w:p>
        </w:tc>
        <w:tc>
          <w:tcPr>
            <w:tcW w:w="380" w:type="dxa"/>
            <w:vAlign w:val="bottom"/>
          </w:tcPr>
          <w:p>
            <w:pPr>
              <w:jc w:val="right"/>
              <w:spacing w:after="0"/>
              <w:rPr>
                <w:sz w:val="20"/>
                <w:szCs w:val="20"/>
                <w:color w:val="auto"/>
              </w:rPr>
            </w:pPr>
            <w:r>
              <w:rPr>
                <w:rFonts w:ascii="Arial" w:cs="Arial" w:eastAsia="Arial" w:hAnsi="Arial"/>
                <w:sz w:val="7"/>
                <w:szCs w:val="7"/>
                <w:color w:val="auto"/>
              </w:rPr>
              <w:t>12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21 East 66th Street</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32.3</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13,069</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3,728</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1.7</w:t>
            </w:r>
          </w:p>
        </w:tc>
        <w:tc>
          <w:tcPr>
            <w:tcW w:w="560" w:type="dxa"/>
            <w:vAlign w:val="bottom"/>
          </w:tcPr>
          <w:p>
            <w:pPr>
              <w:jc w:val="right"/>
              <w:spacing w:after="0"/>
              <w:rPr>
                <w:sz w:val="20"/>
                <w:szCs w:val="20"/>
                <w:color w:val="auto"/>
              </w:rPr>
            </w:pPr>
            <w:r>
              <w:rPr>
                <w:rFonts w:ascii="Arial" w:cs="Arial" w:eastAsia="Arial" w:hAnsi="Arial"/>
                <w:sz w:val="7"/>
                <w:szCs w:val="7"/>
                <w:color w:val="auto"/>
              </w:rPr>
              <w:t>81,647</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121</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50.0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Soho</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7"/>
                <w:szCs w:val="7"/>
                <w:color w:val="auto"/>
              </w:rPr>
              <w:t>7,131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1,459</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1.0</w:t>
            </w:r>
          </w:p>
        </w:tc>
        <w:tc>
          <w:tcPr>
            <w:tcW w:w="560" w:type="dxa"/>
            <w:vAlign w:val="bottom"/>
          </w:tcPr>
          <w:p>
            <w:pPr>
              <w:jc w:val="right"/>
              <w:spacing w:after="0"/>
              <w:rPr>
                <w:sz w:val="20"/>
                <w:szCs w:val="20"/>
                <w:color w:val="auto"/>
              </w:rPr>
            </w:pPr>
            <w:r>
              <w:rPr>
                <w:rFonts w:ascii="Arial" w:cs="Arial" w:eastAsia="Arial" w:hAnsi="Arial"/>
                <w:sz w:val="7"/>
                <w:szCs w:val="7"/>
                <w:color w:val="auto"/>
              </w:rPr>
              <w:t>28,255</w:t>
            </w:r>
          </w:p>
        </w:tc>
        <w:tc>
          <w:tcPr>
            <w:tcW w:w="380" w:type="dxa"/>
            <w:vAlign w:val="bottom"/>
          </w:tcPr>
          <w:p>
            <w:pPr>
              <w:jc w:val="right"/>
              <w:spacing w:after="0"/>
              <w:rPr>
                <w:sz w:val="20"/>
                <w:szCs w:val="20"/>
                <w:color w:val="auto"/>
              </w:rPr>
            </w:pPr>
            <w:r>
              <w:rPr>
                <w:rFonts w:ascii="Arial" w:cs="Arial" w:eastAsia="Arial" w:hAnsi="Arial"/>
                <w:sz w:val="7"/>
                <w:szCs w:val="7"/>
                <w:color w:val="auto"/>
              </w:rPr>
              <w:t>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315</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West 33rd Street - The Olivia</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Penn Station</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270,132</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33.0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14,904</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20.5</w:t>
            </w:r>
          </w:p>
        </w:tc>
        <w:tc>
          <w:tcPr>
            <w:tcW w:w="560" w:type="dxa"/>
            <w:vAlign w:val="bottom"/>
          </w:tcPr>
          <w:p>
            <w:pPr>
              <w:jc w:val="right"/>
              <w:spacing w:after="0"/>
              <w:rPr>
                <w:sz w:val="20"/>
                <w:szCs w:val="20"/>
                <w:color w:val="auto"/>
              </w:rPr>
            </w:pPr>
            <w:r>
              <w:rPr>
                <w:rFonts w:ascii="Arial" w:cs="Arial" w:eastAsia="Arial" w:hAnsi="Arial"/>
                <w:sz w:val="7"/>
                <w:szCs w:val="7"/>
                <w:color w:val="auto"/>
              </w:rPr>
              <w:t>216,116</w:t>
            </w:r>
          </w:p>
        </w:tc>
        <w:tc>
          <w:tcPr>
            <w:tcW w:w="380" w:type="dxa"/>
            <w:vAlign w:val="bottom"/>
          </w:tcPr>
          <w:p>
            <w:pPr>
              <w:jc w:val="right"/>
              <w:spacing w:after="0"/>
              <w:rPr>
                <w:sz w:val="20"/>
                <w:szCs w:val="20"/>
                <w:color w:val="auto"/>
              </w:rPr>
            </w:pPr>
            <w:r>
              <w:rPr>
                <w:rFonts w:ascii="Arial" w:cs="Arial" w:eastAsia="Arial" w:hAnsi="Arial"/>
                <w:sz w:val="7"/>
                <w:szCs w:val="7"/>
                <w:color w:val="auto"/>
              </w:rPr>
              <w:t>10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717</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10.9</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Midtown/Plaza District</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119,550</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15.0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81.1</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81.1</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85.0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42,383</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6.4</w:t>
            </w:r>
          </w:p>
        </w:tc>
        <w:tc>
          <w:tcPr>
            <w:tcW w:w="560" w:type="dxa"/>
            <w:vAlign w:val="bottom"/>
          </w:tcPr>
          <w:p>
            <w:pPr>
              <w:jc w:val="right"/>
              <w:spacing w:after="0"/>
              <w:rPr>
                <w:sz w:val="20"/>
                <w:szCs w:val="20"/>
                <w:color w:val="auto"/>
              </w:rPr>
            </w:pPr>
            <w:r>
              <w:rPr>
                <w:rFonts w:ascii="Arial" w:cs="Arial" w:eastAsia="Arial" w:hAnsi="Arial"/>
                <w:sz w:val="7"/>
                <w:szCs w:val="7"/>
                <w:color w:val="auto"/>
              </w:rPr>
              <w:t>279,917</w:t>
            </w:r>
          </w:p>
        </w:tc>
        <w:tc>
          <w:tcPr>
            <w:tcW w:w="380" w:type="dxa"/>
            <w:vAlign w:val="bottom"/>
          </w:tcPr>
          <w:p>
            <w:pPr>
              <w:jc w:val="right"/>
              <w:spacing w:after="0"/>
              <w:rPr>
                <w:sz w:val="20"/>
                <w:szCs w:val="20"/>
                <w:color w:val="auto"/>
              </w:rPr>
            </w:pPr>
            <w:r>
              <w:rPr>
                <w:rFonts w:ascii="Arial" w:cs="Arial" w:eastAsia="Arial" w:hAnsi="Arial"/>
                <w:sz w:val="7"/>
                <w:szCs w:val="7"/>
                <w:color w:val="auto"/>
              </w:rPr>
              <w:t>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724</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50.0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65,010</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8.0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90.1</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83.1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24,111</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16.6</w:t>
            </w:r>
          </w:p>
        </w:tc>
        <w:tc>
          <w:tcPr>
            <w:tcW w:w="560" w:type="dxa"/>
            <w:vAlign w:val="bottom"/>
          </w:tcPr>
          <w:p>
            <w:pPr>
              <w:jc w:val="right"/>
              <w:spacing w:after="0"/>
              <w:rPr>
                <w:sz w:val="20"/>
                <w:szCs w:val="20"/>
                <w:color w:val="auto"/>
              </w:rPr>
            </w:pPr>
            <w:r>
              <w:rPr>
                <w:rFonts w:ascii="Arial" w:cs="Arial" w:eastAsia="Arial" w:hAnsi="Arial"/>
                <w:sz w:val="7"/>
                <w:szCs w:val="7"/>
                <w:color w:val="auto"/>
              </w:rPr>
              <w:t>226,661</w:t>
            </w:r>
          </w:p>
        </w:tc>
        <w:tc>
          <w:tcPr>
            <w:tcW w:w="380" w:type="dxa"/>
            <w:vAlign w:val="bottom"/>
          </w:tcPr>
          <w:p>
            <w:pPr>
              <w:jc w:val="right"/>
              <w:spacing w:after="0"/>
              <w:rPr>
                <w:sz w:val="20"/>
                <w:szCs w:val="20"/>
                <w:color w:val="auto"/>
              </w:rPr>
            </w:pPr>
            <w:r>
              <w:rPr>
                <w:rFonts w:ascii="Arial" w:cs="Arial" w:eastAsia="Arial" w:hAnsi="Arial"/>
                <w:sz w:val="7"/>
                <w:szCs w:val="7"/>
                <w:color w:val="auto"/>
              </w:rPr>
              <w:t>10</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752-760 Madison Avenue</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21,124</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13,597</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18.7</w:t>
            </w:r>
          </w:p>
        </w:tc>
        <w:tc>
          <w:tcPr>
            <w:tcW w:w="560" w:type="dxa"/>
            <w:vAlign w:val="bottom"/>
          </w:tcPr>
          <w:p>
            <w:pPr>
              <w:jc w:val="right"/>
              <w:spacing w:after="0"/>
              <w:rPr>
                <w:sz w:val="20"/>
                <w:szCs w:val="20"/>
                <w:color w:val="auto"/>
              </w:rPr>
            </w:pPr>
            <w:r>
              <w:rPr>
                <w:rFonts w:ascii="Arial" w:cs="Arial" w:eastAsia="Arial" w:hAnsi="Arial"/>
                <w:sz w:val="7"/>
                <w:szCs w:val="7"/>
                <w:color w:val="auto"/>
              </w:rPr>
              <w:t>295,427</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762</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 xml:space="preserve">Madison Avenue </w:t>
            </w:r>
            <w:r>
              <w:rPr>
                <w:rFonts w:ascii="Arial" w:cs="Arial" w:eastAsia="Arial" w:hAnsi="Arial"/>
                <w:sz w:val="6"/>
                <w:szCs w:val="6"/>
                <w:color w:val="auto"/>
              </w:rPr>
              <w:t>(1)</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90.0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7"/>
                <w:szCs w:val="7"/>
                <w:color w:val="auto"/>
              </w:rPr>
              <w:t>6,109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1,787</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2.2</w:t>
            </w:r>
          </w:p>
        </w:tc>
        <w:tc>
          <w:tcPr>
            <w:tcW w:w="560" w:type="dxa"/>
            <w:vAlign w:val="bottom"/>
          </w:tcPr>
          <w:p>
            <w:pPr>
              <w:jc w:val="right"/>
              <w:spacing w:after="0"/>
              <w:rPr>
                <w:sz w:val="20"/>
                <w:szCs w:val="20"/>
                <w:color w:val="auto"/>
              </w:rPr>
            </w:pPr>
            <w:r>
              <w:rPr>
                <w:rFonts w:ascii="Arial" w:cs="Arial" w:eastAsia="Arial" w:hAnsi="Arial"/>
                <w:sz w:val="7"/>
                <w:szCs w:val="7"/>
                <w:color w:val="auto"/>
              </w:rPr>
              <w:t>16,705</w:t>
            </w:r>
          </w:p>
        </w:tc>
        <w:tc>
          <w:tcPr>
            <w:tcW w:w="380" w:type="dxa"/>
            <w:vAlign w:val="bottom"/>
          </w:tcPr>
          <w:p>
            <w:pPr>
              <w:jc w:val="right"/>
              <w:spacing w:after="0"/>
              <w:rPr>
                <w:sz w:val="20"/>
                <w:szCs w:val="20"/>
                <w:color w:val="auto"/>
              </w:rPr>
            </w:pPr>
            <w:r>
              <w:rPr>
                <w:rFonts w:ascii="Arial" w:cs="Arial" w:eastAsia="Arial" w:hAnsi="Arial"/>
                <w:sz w:val="7"/>
                <w:szCs w:val="7"/>
                <w:color w:val="auto"/>
              </w:rPr>
              <w:t>5</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Williamsburg Terrace</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Brooklyn, New York</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52,000</w:t>
            </w:r>
          </w:p>
        </w:tc>
        <w:tc>
          <w:tcPr>
            <w:tcW w:w="80" w:type="dxa"/>
            <w:vAlign w:val="bottom"/>
          </w:tcPr>
          <w:p>
            <w:pPr>
              <w:spacing w:after="0"/>
              <w:rPr>
                <w:sz w:val="19"/>
                <w:szCs w:val="19"/>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6.0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1,786</w:t>
            </w: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16,358</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4"/>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gridSpan w:val="2"/>
          </w:tcPr>
          <w:p>
            <w:pPr>
              <w:jc w:val="center"/>
              <w:spacing w:after="0"/>
              <w:rPr>
                <w:sz w:val="20"/>
                <w:szCs w:val="20"/>
                <w:color w:val="auto"/>
              </w:rPr>
            </w:pPr>
            <w:r>
              <w:rPr>
                <w:rFonts w:ascii="Arial" w:cs="Arial" w:eastAsia="Arial" w:hAnsi="Arial"/>
                <w:sz w:val="7"/>
                <w:szCs w:val="7"/>
                <w:b w:val="1"/>
                <w:bCs w:val="1"/>
                <w:color w:val="auto"/>
              </w:rPr>
              <w:t>11</w:t>
            </w:r>
          </w:p>
        </w:tc>
        <w:tc>
          <w:tcPr>
            <w:tcW w:w="40" w:type="dxa"/>
            <w:vAlign w:val="bottom"/>
          </w:tcPr>
          <w:p>
            <w:pPr>
              <w:spacing w:after="0"/>
              <w:rPr>
                <w:sz w:val="16"/>
                <w:szCs w:val="16"/>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594,885</w:t>
            </w:r>
          </w:p>
        </w:tc>
        <w:tc>
          <w:tcPr>
            <w:tcW w:w="80" w:type="dxa"/>
            <w:vAlign w:val="bottom"/>
          </w:tcPr>
          <w:p>
            <w:pPr>
              <w:spacing w:after="0"/>
              <w:rPr>
                <w:sz w:val="16"/>
                <w:szCs w:val="16"/>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7"/>
                <w:szCs w:val="7"/>
                <w:b w:val="1"/>
                <w:bCs w:val="1"/>
                <w:color w:val="auto"/>
              </w:rPr>
              <w:t>73.0%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95.0%</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94.2%</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94.3%</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93.6%</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93.8%</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$107,483</w:t>
            </w:r>
          </w:p>
        </w:tc>
        <w:tc>
          <w:tcPr>
            <w:tcW w:w="6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b w:val="1"/>
                <w:bCs w:val="1"/>
                <w:color w:val="auto"/>
              </w:rPr>
              <w:t>72.0%</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$1,184,123</w:t>
            </w: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50</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"Non Same Store" Retail</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183-187 Broadway, 5-7 Dey Street</w:t>
            </w:r>
          </w:p>
        </w:tc>
        <w:tc>
          <w:tcPr>
            <w:tcW w:w="480" w:type="dxa"/>
            <w:vAlign w:val="bottom"/>
            <w:gridSpan w:val="2"/>
            <w:vMerge w:val="restart"/>
          </w:tcPr>
          <w:p>
            <w:pPr>
              <w:jc w:val="center"/>
              <w:ind w:left="64"/>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1"/>
                <w:szCs w:val="11"/>
                <w:color w:val="auto"/>
              </w:rPr>
            </w:pPr>
          </w:p>
        </w:tc>
        <w:tc>
          <w:tcPr>
            <w:tcW w:w="980" w:type="dxa"/>
            <w:vAlign w:val="bottom"/>
            <w:gridSpan w:val="3"/>
            <w:vMerge w:val="restart"/>
          </w:tcPr>
          <w:p>
            <w:pPr>
              <w:ind w:left="40"/>
              <w:spacing w:after="0"/>
              <w:rPr>
                <w:sz w:val="20"/>
                <w:szCs w:val="20"/>
                <w:color w:val="auto"/>
              </w:rPr>
            </w:pPr>
            <w:r>
              <w:rPr>
                <w:rFonts w:ascii="Arial" w:cs="Arial" w:eastAsia="Arial" w:hAnsi="Arial"/>
                <w:sz w:val="7"/>
                <w:szCs w:val="7"/>
                <w:color w:val="auto"/>
              </w:rPr>
              <w:t>Lower Manhattan</w:t>
            </w:r>
          </w:p>
        </w:tc>
        <w:tc>
          <w:tcPr>
            <w:tcW w:w="600" w:type="dxa"/>
            <w:vAlign w:val="bottom"/>
            <w:gridSpan w:val="2"/>
            <w:vMerge w:val="restart"/>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vMerge w:val="restart"/>
          </w:tcPr>
          <w:p>
            <w:pPr>
              <w:jc w:val="center"/>
              <w:spacing w:after="0"/>
              <w:rPr>
                <w:sz w:val="20"/>
                <w:szCs w:val="20"/>
                <w:color w:val="auto"/>
              </w:rPr>
            </w:pPr>
            <w:r>
              <w:rPr>
                <w:rFonts w:ascii="Arial" w:cs="Arial" w:eastAsia="Arial" w:hAnsi="Arial"/>
                <w:sz w:val="7"/>
                <w:szCs w:val="7"/>
                <w:color w:val="auto"/>
              </w:rPr>
              <w:t>3</w:t>
            </w:r>
          </w:p>
        </w:tc>
        <w:tc>
          <w:tcPr>
            <w:tcW w:w="40" w:type="dxa"/>
            <w:vAlign w:val="bottom"/>
          </w:tcPr>
          <w:p>
            <w:pPr>
              <w:spacing w:after="0"/>
              <w:rPr>
                <w:sz w:val="11"/>
                <w:szCs w:val="11"/>
                <w:color w:val="auto"/>
              </w:rPr>
            </w:pPr>
          </w:p>
        </w:tc>
        <w:tc>
          <w:tcPr>
            <w:tcW w:w="380" w:type="dxa"/>
            <w:vAlign w:val="bottom"/>
            <w:gridSpan w:val="3"/>
            <w:vMerge w:val="restart"/>
          </w:tcPr>
          <w:p>
            <w:pPr>
              <w:jc w:val="right"/>
              <w:ind w:right="20"/>
              <w:spacing w:after="0"/>
              <w:rPr>
                <w:sz w:val="20"/>
                <w:szCs w:val="20"/>
                <w:color w:val="auto"/>
              </w:rPr>
            </w:pPr>
            <w:r>
              <w:rPr>
                <w:rFonts w:ascii="Arial" w:cs="Arial" w:eastAsia="Arial" w:hAnsi="Arial"/>
                <w:sz w:val="7"/>
                <w:szCs w:val="7"/>
                <w:color w:val="auto"/>
              </w:rPr>
              <w:t>82,700</w:t>
            </w:r>
          </w:p>
        </w:tc>
        <w:tc>
          <w:tcPr>
            <w:tcW w:w="80" w:type="dxa"/>
            <w:vAlign w:val="bottom"/>
          </w:tcPr>
          <w:p>
            <w:pPr>
              <w:spacing w:after="0"/>
              <w:rPr>
                <w:sz w:val="11"/>
                <w:szCs w:val="11"/>
                <w:color w:val="auto"/>
              </w:rPr>
            </w:pPr>
          </w:p>
        </w:tc>
        <w:tc>
          <w:tcPr>
            <w:tcW w:w="540" w:type="dxa"/>
            <w:vAlign w:val="bottom"/>
            <w:gridSpan w:val="4"/>
            <w:vMerge w:val="restart"/>
          </w:tcPr>
          <w:p>
            <w:pPr>
              <w:jc w:val="right"/>
              <w:ind w:right="100"/>
              <w:spacing w:after="0"/>
              <w:rPr>
                <w:sz w:val="20"/>
                <w:szCs w:val="20"/>
                <w:color w:val="auto"/>
              </w:rPr>
            </w:pPr>
            <w:r>
              <w:rPr>
                <w:rFonts w:ascii="Arial" w:cs="Arial" w:eastAsia="Arial" w:hAnsi="Arial"/>
                <w:sz w:val="7"/>
                <w:szCs w:val="7"/>
                <w:color w:val="auto"/>
              </w:rPr>
              <w:t>10.0</w:t>
            </w:r>
          </w:p>
        </w:tc>
        <w:tc>
          <w:tcPr>
            <w:tcW w:w="80" w:type="dxa"/>
            <w:vAlign w:val="bottom"/>
          </w:tcPr>
          <w:p>
            <w:pPr>
              <w:spacing w:after="0"/>
              <w:rPr>
                <w:sz w:val="11"/>
                <w:szCs w:val="11"/>
                <w:color w:val="auto"/>
              </w:rPr>
            </w:pPr>
          </w:p>
        </w:tc>
        <w:tc>
          <w:tcPr>
            <w:tcW w:w="400" w:type="dxa"/>
            <w:vAlign w:val="bottom"/>
            <w:vMerge w:val="restart"/>
          </w:tcPr>
          <w:p>
            <w:pPr>
              <w:jc w:val="right"/>
              <w:ind w:right="44"/>
              <w:spacing w:after="0"/>
              <w:rPr>
                <w:sz w:val="20"/>
                <w:szCs w:val="20"/>
                <w:color w:val="auto"/>
              </w:rPr>
            </w:pPr>
            <w:r>
              <w:rPr>
                <w:rFonts w:ascii="Arial" w:cs="Arial" w:eastAsia="Arial" w:hAnsi="Arial"/>
                <w:sz w:val="7"/>
                <w:szCs w:val="7"/>
                <w:color w:val="auto"/>
              </w:rPr>
              <w:t>54.1</w:t>
            </w:r>
          </w:p>
        </w:tc>
        <w:tc>
          <w:tcPr>
            <w:tcW w:w="100" w:type="dxa"/>
            <w:vAlign w:val="bottom"/>
          </w:tcPr>
          <w:p>
            <w:pPr>
              <w:spacing w:after="0"/>
              <w:rPr>
                <w:sz w:val="11"/>
                <w:szCs w:val="11"/>
                <w:color w:val="auto"/>
              </w:rPr>
            </w:pPr>
          </w:p>
        </w:tc>
        <w:tc>
          <w:tcPr>
            <w:tcW w:w="400" w:type="dxa"/>
            <w:vAlign w:val="bottom"/>
            <w:vMerge w:val="restart"/>
          </w:tcPr>
          <w:p>
            <w:pPr>
              <w:jc w:val="right"/>
              <w:ind w:right="64"/>
              <w:spacing w:after="0"/>
              <w:rPr>
                <w:sz w:val="20"/>
                <w:szCs w:val="20"/>
                <w:color w:val="auto"/>
              </w:rPr>
            </w:pPr>
            <w:r>
              <w:rPr>
                <w:rFonts w:ascii="Arial" w:cs="Arial" w:eastAsia="Arial" w:hAnsi="Arial"/>
                <w:sz w:val="7"/>
                <w:szCs w:val="7"/>
                <w:color w:val="auto"/>
              </w:rPr>
              <w:t>61.1</w:t>
            </w:r>
          </w:p>
        </w:tc>
        <w:tc>
          <w:tcPr>
            <w:tcW w:w="480" w:type="dxa"/>
            <w:vAlign w:val="bottom"/>
            <w:gridSpan w:val="2"/>
            <w:vMerge w:val="restart"/>
          </w:tcPr>
          <w:p>
            <w:pPr>
              <w:jc w:val="right"/>
              <w:ind w:right="44"/>
              <w:spacing w:after="0"/>
              <w:rPr>
                <w:sz w:val="20"/>
                <w:szCs w:val="20"/>
                <w:color w:val="auto"/>
              </w:rPr>
            </w:pPr>
            <w:r>
              <w:rPr>
                <w:rFonts w:ascii="Arial" w:cs="Arial" w:eastAsia="Arial" w:hAnsi="Arial"/>
                <w:sz w:val="7"/>
                <w:szCs w:val="7"/>
                <w:color w:val="auto"/>
              </w:rPr>
              <w:t>69.7</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vMerge w:val="restart"/>
          </w:tcPr>
          <w:p>
            <w:pPr>
              <w:jc w:val="right"/>
              <w:ind w:right="44"/>
              <w:spacing w:after="0"/>
              <w:rPr>
                <w:sz w:val="20"/>
                <w:szCs w:val="20"/>
                <w:color w:val="auto"/>
              </w:rPr>
            </w:pPr>
            <w:r>
              <w:rPr>
                <w:rFonts w:ascii="Arial" w:cs="Arial" w:eastAsia="Arial" w:hAnsi="Arial"/>
                <w:sz w:val="7"/>
                <w:szCs w:val="7"/>
                <w:color w:val="auto"/>
              </w:rPr>
              <w:t>76.6</w:t>
            </w:r>
          </w:p>
        </w:tc>
        <w:tc>
          <w:tcPr>
            <w:tcW w:w="80" w:type="dxa"/>
            <w:vAlign w:val="bottom"/>
          </w:tcPr>
          <w:p>
            <w:pPr>
              <w:spacing w:after="0"/>
              <w:rPr>
                <w:sz w:val="11"/>
                <w:szCs w:val="11"/>
                <w:color w:val="auto"/>
              </w:rPr>
            </w:pPr>
          </w:p>
        </w:tc>
        <w:tc>
          <w:tcPr>
            <w:tcW w:w="420" w:type="dxa"/>
            <w:vAlign w:val="bottom"/>
            <w:vMerge w:val="restart"/>
          </w:tcPr>
          <w:p>
            <w:pPr>
              <w:jc w:val="right"/>
              <w:ind w:right="64"/>
              <w:spacing w:after="0"/>
              <w:rPr>
                <w:sz w:val="20"/>
                <w:szCs w:val="20"/>
                <w:color w:val="auto"/>
              </w:rPr>
            </w:pPr>
            <w:r>
              <w:rPr>
                <w:rFonts w:ascii="Arial" w:cs="Arial" w:eastAsia="Arial" w:hAnsi="Arial"/>
                <w:sz w:val="7"/>
                <w:szCs w:val="7"/>
                <w:color w:val="auto"/>
              </w:rPr>
              <w:t>90.5</w:t>
            </w:r>
          </w:p>
        </w:tc>
        <w:tc>
          <w:tcPr>
            <w:tcW w:w="8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7"/>
                <w:szCs w:val="7"/>
                <w:color w:val="auto"/>
              </w:rPr>
              <w:t>$2,636</w:t>
            </w:r>
          </w:p>
        </w:tc>
        <w:tc>
          <w:tcPr>
            <w:tcW w:w="60" w:type="dxa"/>
            <w:vAlign w:val="bottom"/>
          </w:tcPr>
          <w:p>
            <w:pPr>
              <w:spacing w:after="0"/>
              <w:rPr>
                <w:sz w:val="11"/>
                <w:szCs w:val="11"/>
                <w:color w:val="auto"/>
              </w:rPr>
            </w:pPr>
          </w:p>
        </w:tc>
        <w:tc>
          <w:tcPr>
            <w:tcW w:w="740" w:type="dxa"/>
            <w:vAlign w:val="bottom"/>
            <w:vMerge w:val="restart"/>
          </w:tcPr>
          <w:p>
            <w:pPr>
              <w:jc w:val="right"/>
              <w:ind w:right="64"/>
              <w:spacing w:after="0"/>
              <w:rPr>
                <w:sz w:val="20"/>
                <w:szCs w:val="20"/>
                <w:color w:val="auto"/>
              </w:rPr>
            </w:pPr>
            <w:r>
              <w:rPr>
                <w:rFonts w:ascii="Arial" w:cs="Arial" w:eastAsia="Arial" w:hAnsi="Arial"/>
                <w:sz w:val="7"/>
                <w:szCs w:val="7"/>
                <w:color w:val="auto"/>
              </w:rPr>
              <w:t>3.6</w:t>
            </w:r>
          </w:p>
        </w:tc>
        <w:tc>
          <w:tcPr>
            <w:tcW w:w="560" w:type="dxa"/>
            <w:vAlign w:val="bottom"/>
            <w:vMerge w:val="restart"/>
          </w:tcPr>
          <w:p>
            <w:pPr>
              <w:jc w:val="right"/>
              <w:spacing w:after="0"/>
              <w:rPr>
                <w:sz w:val="20"/>
                <w:szCs w:val="20"/>
                <w:color w:val="auto"/>
              </w:rPr>
            </w:pPr>
            <w:r>
              <w:rPr>
                <w:rFonts w:ascii="Arial" w:cs="Arial" w:eastAsia="Arial" w:hAnsi="Arial"/>
                <w:sz w:val="7"/>
                <w:szCs w:val="7"/>
                <w:color w:val="auto"/>
              </w:rPr>
              <w:t>$93,233</w:t>
            </w:r>
          </w:p>
        </w:tc>
        <w:tc>
          <w:tcPr>
            <w:tcW w:w="380" w:type="dxa"/>
            <w:vAlign w:val="bottom"/>
            <w:vMerge w:val="restart"/>
          </w:tcPr>
          <w:p>
            <w:pPr>
              <w:jc w:val="right"/>
              <w:spacing w:after="0"/>
              <w:rPr>
                <w:sz w:val="20"/>
                <w:szCs w:val="20"/>
                <w:color w:val="auto"/>
              </w:rPr>
            </w:pPr>
            <w:r>
              <w:rPr>
                <w:rFonts w:ascii="Arial" w:cs="Arial" w:eastAsia="Arial" w:hAnsi="Arial"/>
                <w:sz w:val="7"/>
                <w:szCs w:val="7"/>
                <w:color w:val="auto"/>
              </w:rPr>
              <w:t>23</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980" w:type="dxa"/>
            <w:vAlign w:val="bottom"/>
            <w:gridSpan w:val="3"/>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300" w:type="dxa"/>
            <w:vAlign w:val="bottom"/>
            <w:gridSpan w:val="2"/>
            <w:vMerge w:val="continue"/>
          </w:tcPr>
          <w:p>
            <w:pPr>
              <w:spacing w:after="0"/>
              <w:rPr>
                <w:sz w:val="6"/>
                <w:szCs w:val="6"/>
                <w:color w:val="auto"/>
              </w:rPr>
            </w:pPr>
          </w:p>
        </w:tc>
        <w:tc>
          <w:tcPr>
            <w:tcW w:w="40" w:type="dxa"/>
            <w:vAlign w:val="bottom"/>
          </w:tcPr>
          <w:p>
            <w:pPr>
              <w:spacing w:after="0"/>
              <w:rPr>
                <w:sz w:val="6"/>
                <w:szCs w:val="6"/>
                <w:color w:val="auto"/>
              </w:rPr>
            </w:pPr>
          </w:p>
        </w:tc>
        <w:tc>
          <w:tcPr>
            <w:tcW w:w="3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vMerge w:val="continue"/>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102</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Soho</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7"/>
                <w:szCs w:val="7"/>
                <w:color w:val="auto"/>
              </w:rPr>
              <w:t>9,200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360</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0.5</w:t>
            </w:r>
          </w:p>
        </w:tc>
        <w:tc>
          <w:tcPr>
            <w:tcW w:w="560" w:type="dxa"/>
            <w:vAlign w:val="bottom"/>
          </w:tcPr>
          <w:p>
            <w:pPr>
              <w:jc w:val="right"/>
              <w:spacing w:after="0"/>
              <w:rPr>
                <w:sz w:val="20"/>
                <w:szCs w:val="20"/>
                <w:color w:val="auto"/>
              </w:rPr>
            </w:pPr>
            <w:r>
              <w:rPr>
                <w:rFonts w:ascii="Arial" w:cs="Arial" w:eastAsia="Arial" w:hAnsi="Arial"/>
                <w:sz w:val="7"/>
                <w:szCs w:val="7"/>
                <w:color w:val="auto"/>
              </w:rPr>
              <w:t>35,062</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115</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Spring Street</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Soho</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7"/>
                <w:szCs w:val="7"/>
                <w:color w:val="auto"/>
              </w:rPr>
              <w:t>5,218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2,800</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3.9</w:t>
            </w:r>
          </w:p>
        </w:tc>
        <w:tc>
          <w:tcPr>
            <w:tcW w:w="560" w:type="dxa"/>
            <w:vAlign w:val="bottom"/>
          </w:tcPr>
          <w:p>
            <w:pPr>
              <w:jc w:val="right"/>
              <w:spacing w:after="0"/>
              <w:rPr>
                <w:sz w:val="20"/>
                <w:szCs w:val="20"/>
                <w:color w:val="auto"/>
              </w:rPr>
            </w:pPr>
            <w:r>
              <w:rPr>
                <w:rFonts w:ascii="Arial" w:cs="Arial" w:eastAsia="Arial" w:hAnsi="Arial"/>
                <w:sz w:val="7"/>
                <w:szCs w:val="7"/>
                <w:color w:val="auto"/>
              </w:rPr>
              <w:t>54,034</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131-137 Spring Street</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20.0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Soho</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2</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68,342</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8.0</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12,024</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3.3</w:t>
            </w:r>
          </w:p>
        </w:tc>
        <w:tc>
          <w:tcPr>
            <w:tcW w:w="560" w:type="dxa"/>
            <w:vAlign w:val="bottom"/>
          </w:tcPr>
          <w:p>
            <w:pPr>
              <w:jc w:val="right"/>
              <w:spacing w:after="0"/>
              <w:rPr>
                <w:sz w:val="20"/>
                <w:szCs w:val="20"/>
                <w:color w:val="auto"/>
              </w:rPr>
            </w:pPr>
            <w:r>
              <w:rPr>
                <w:rFonts w:ascii="Arial" w:cs="Arial" w:eastAsia="Arial" w:hAnsi="Arial"/>
                <w:sz w:val="7"/>
                <w:szCs w:val="7"/>
                <w:color w:val="auto"/>
              </w:rPr>
              <w:t>277,814</w:t>
            </w:r>
          </w:p>
        </w:tc>
        <w:tc>
          <w:tcPr>
            <w:tcW w:w="380" w:type="dxa"/>
            <w:vAlign w:val="bottom"/>
          </w:tcPr>
          <w:p>
            <w:pPr>
              <w:jc w:val="right"/>
              <w:spacing w:after="0"/>
              <w:rPr>
                <w:sz w:val="20"/>
                <w:szCs w:val="20"/>
                <w:color w:val="auto"/>
              </w:rPr>
            </w:pPr>
            <w:r>
              <w:rPr>
                <w:rFonts w:ascii="Arial" w:cs="Arial" w:eastAsia="Arial" w:hAnsi="Arial"/>
                <w:sz w:val="7"/>
                <w:szCs w:val="7"/>
                <w:color w:val="auto"/>
              </w:rPr>
              <w:t>9</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1552-1560 Broadway</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50.0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Times Square</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2</w:t>
            </w:r>
          </w:p>
        </w:tc>
        <w:tc>
          <w:tcPr>
            <w:tcW w:w="4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57,718</w:t>
            </w:r>
          </w:p>
        </w:tc>
        <w:tc>
          <w:tcPr>
            <w:tcW w:w="80" w:type="dxa"/>
            <w:vAlign w:val="bottom"/>
          </w:tcPr>
          <w:p>
            <w:pPr>
              <w:spacing w:after="0"/>
              <w:rPr>
                <w:sz w:val="19"/>
                <w:szCs w:val="19"/>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7.0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24,324</w:t>
            </w: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16.7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254,827</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4"/>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gridSpan w:val="2"/>
          </w:tcPr>
          <w:p>
            <w:pPr>
              <w:jc w:val="center"/>
              <w:spacing w:after="0"/>
              <w:rPr>
                <w:sz w:val="20"/>
                <w:szCs w:val="20"/>
                <w:color w:val="auto"/>
              </w:rPr>
            </w:pPr>
            <w:r>
              <w:rPr>
                <w:rFonts w:ascii="Arial" w:cs="Arial" w:eastAsia="Arial" w:hAnsi="Arial"/>
                <w:sz w:val="7"/>
                <w:szCs w:val="7"/>
                <w:b w:val="1"/>
                <w:bCs w:val="1"/>
                <w:color w:val="auto"/>
              </w:rPr>
              <w:t>9</w:t>
            </w:r>
          </w:p>
        </w:tc>
        <w:tc>
          <w:tcPr>
            <w:tcW w:w="40" w:type="dxa"/>
            <w:vAlign w:val="bottom"/>
          </w:tcPr>
          <w:p>
            <w:pPr>
              <w:spacing w:after="0"/>
              <w:rPr>
                <w:sz w:val="16"/>
                <w:szCs w:val="16"/>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223,178</w:t>
            </w:r>
          </w:p>
        </w:tc>
        <w:tc>
          <w:tcPr>
            <w:tcW w:w="80" w:type="dxa"/>
            <w:vAlign w:val="bottom"/>
          </w:tcPr>
          <w:p>
            <w:pPr>
              <w:spacing w:after="0"/>
              <w:rPr>
                <w:sz w:val="16"/>
                <w:szCs w:val="16"/>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7"/>
                <w:szCs w:val="7"/>
                <w:b w:val="1"/>
                <w:bCs w:val="1"/>
                <w:color w:val="auto"/>
              </w:rPr>
              <w:t>27.0%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70.8%</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73.4%</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74.4%</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79.3%</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86.0%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$42,144</w:t>
            </w:r>
          </w:p>
        </w:tc>
        <w:tc>
          <w:tcPr>
            <w:tcW w:w="6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b w:val="1"/>
                <w:bCs w:val="1"/>
                <w:color w:val="auto"/>
              </w:rPr>
              <w:t>28.0%</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$714,969</w:t>
            </w: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36</w:t>
            </w: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72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Retail Properties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7"/>
                <w:szCs w:val="7"/>
                <w:b w:val="1"/>
                <w:bCs w:val="1"/>
                <w:color w:val="auto"/>
              </w:rPr>
              <w:t>20</w:t>
            </w:r>
          </w:p>
        </w:tc>
        <w:tc>
          <w:tcPr>
            <w:tcW w:w="40" w:type="dxa"/>
            <w:vAlign w:val="bottom"/>
          </w:tcPr>
          <w:p>
            <w:pPr>
              <w:spacing w:after="0"/>
              <w:rPr>
                <w:sz w:val="24"/>
                <w:szCs w:val="24"/>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818,063</w:t>
            </w:r>
          </w:p>
        </w:tc>
        <w:tc>
          <w:tcPr>
            <w:tcW w:w="80" w:type="dxa"/>
            <w:vAlign w:val="bottom"/>
          </w:tcPr>
          <w:p>
            <w:pPr>
              <w:spacing w:after="0"/>
              <w:rPr>
                <w:sz w:val="24"/>
                <w:szCs w:val="24"/>
                <w:color w:val="auto"/>
              </w:rPr>
            </w:pPr>
          </w:p>
        </w:tc>
        <w:tc>
          <w:tcPr>
            <w:tcW w:w="540" w:type="dxa"/>
            <w:vAlign w:val="bottom"/>
            <w:gridSpan w:val="4"/>
          </w:tcPr>
          <w:p>
            <w:pPr>
              <w:jc w:val="right"/>
              <w:ind w:right="4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88.4%</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88.6%</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88.8%</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89.8%</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91.7%</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$149,626</w:t>
            </w:r>
          </w:p>
        </w:tc>
        <w:tc>
          <w:tcPr>
            <w:tcW w:w="6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b w:val="1"/>
                <w:bCs w:val="1"/>
                <w:color w:val="auto"/>
              </w:rPr>
              <w:t>100.0%</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$1,899,092</w:t>
            </w: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86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360" w:type="dxa"/>
            <w:vAlign w:val="bottom"/>
            <w:gridSpan w:val="2"/>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shd w:val="clear" w:color="auto" w:fill="00497F"/>
          </w:tcPr>
          <w:p>
            <w:pPr>
              <w:spacing w:after="0"/>
              <w:rPr>
                <w:sz w:val="8"/>
                <w:szCs w:val="8"/>
                <w:color w:val="auto"/>
              </w:rPr>
            </w:pPr>
          </w:p>
        </w:tc>
        <w:tc>
          <w:tcPr>
            <w:tcW w:w="360" w:type="dxa"/>
            <w:vAlign w:val="bottom"/>
            <w:gridSpan w:val="2"/>
            <w:shd w:val="clear" w:color="auto" w:fill="00497F"/>
          </w:tcPr>
          <w:p>
            <w:pPr>
              <w:spacing w:after="0"/>
              <w:rPr>
                <w:sz w:val="8"/>
                <w:szCs w:val="8"/>
                <w:color w:val="auto"/>
              </w:rPr>
            </w:pPr>
          </w:p>
        </w:tc>
        <w:tc>
          <w:tcPr>
            <w:tcW w:w="84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360" w:type="dxa"/>
            <w:vAlign w:val="bottom"/>
            <w:shd w:val="clear" w:color="auto" w:fill="00497F"/>
          </w:tcPr>
          <w:p>
            <w:pPr>
              <w:spacing w:after="0"/>
              <w:rPr>
                <w:sz w:val="8"/>
                <w:szCs w:val="8"/>
                <w:color w:val="auto"/>
              </w:rPr>
            </w:pPr>
          </w:p>
        </w:tc>
        <w:tc>
          <w:tcPr>
            <w:tcW w:w="58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22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20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300" w:type="dxa"/>
            <w:vAlign w:val="bottom"/>
            <w:shd w:val="clear" w:color="auto" w:fill="00497F"/>
          </w:tcPr>
          <w:p>
            <w:pPr>
              <w:spacing w:after="0"/>
              <w:rPr>
                <w:sz w:val="8"/>
                <w:szCs w:val="8"/>
                <w:color w:val="auto"/>
              </w:rPr>
            </w:pPr>
          </w:p>
        </w:tc>
        <w:tc>
          <w:tcPr>
            <w:tcW w:w="2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2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36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2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76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740" w:type="dxa"/>
            <w:vAlign w:val="bottom"/>
            <w:shd w:val="clear" w:color="auto" w:fill="00497F"/>
          </w:tcPr>
          <w:p>
            <w:pPr>
              <w:spacing w:after="0"/>
              <w:rPr>
                <w:sz w:val="8"/>
                <w:szCs w:val="8"/>
                <w:color w:val="auto"/>
              </w:rPr>
            </w:pPr>
          </w:p>
        </w:tc>
        <w:tc>
          <w:tcPr>
            <w:tcW w:w="56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0" w:type="dxa"/>
            <w:vAlign w:val="bottom"/>
          </w:tcPr>
          <w:p>
            <w:pPr>
              <w:spacing w:after="0"/>
              <w:rPr>
                <w:sz w:val="1"/>
                <w:szCs w:val="1"/>
                <w:color w:val="auto"/>
              </w:rPr>
            </w:pPr>
          </w:p>
        </w:tc>
      </w:tr>
      <w:tr>
        <w:trPr>
          <w:trHeight w:val="311"/>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Residential Properties</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7"/>
                <w:szCs w:val="7"/>
                <w:b w:val="1"/>
                <w:bCs w:val="1"/>
                <w:color w:val="auto"/>
              </w:rPr>
              <w:t>Ownership</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Arial" w:cs="Arial" w:eastAsia="Arial" w:hAnsi="Arial"/>
                <w:sz w:val="7"/>
                <w:szCs w:val="7"/>
                <w:b w:val="1"/>
                <w:bCs w:val="1"/>
                <w:color w:val="auto"/>
              </w:rPr>
              <w:t># of</w:t>
            </w:r>
          </w:p>
        </w:tc>
        <w:tc>
          <w:tcPr>
            <w:tcW w:w="60" w:type="dxa"/>
            <w:vAlign w:val="bottom"/>
          </w:tcPr>
          <w:p>
            <w:pPr>
              <w:spacing w:after="0"/>
              <w:rPr>
                <w:sz w:val="18"/>
                <w:szCs w:val="18"/>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Useable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4"/>
          </w:tcPr>
          <w:p>
            <w:pPr>
              <w:ind w:left="40"/>
              <w:spacing w:after="0"/>
              <w:rPr>
                <w:sz w:val="20"/>
                <w:szCs w:val="20"/>
                <w:color w:val="auto"/>
              </w:rPr>
            </w:pPr>
            <w:r>
              <w:rPr>
                <w:rFonts w:ascii="Arial" w:cs="Arial" w:eastAsia="Arial" w:hAnsi="Arial"/>
                <w:sz w:val="7"/>
                <w:szCs w:val="7"/>
                <w:b w:val="1"/>
                <w:bCs w:val="1"/>
                <w:color w:val="auto"/>
              </w:rPr>
              <w:t>Occupancy (%)</w:t>
            </w: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 xml:space="preserve">Average Monthly </w:t>
            </w:r>
            <w:r>
              <w:rPr>
                <w:rFonts w:ascii="Arial" w:cs="Arial" w:eastAsia="Arial" w:hAnsi="Arial"/>
                <w:sz w:val="6"/>
                <w:szCs w:val="6"/>
                <w:b w:val="1"/>
                <w:bCs w:val="1"/>
                <w:color w:val="auto"/>
              </w:rPr>
              <w:t>(2)</w:t>
            </w:r>
          </w:p>
        </w:tc>
        <w:tc>
          <w:tcPr>
            <w:tcW w:w="60" w:type="dxa"/>
            <w:vAlign w:val="bottom"/>
          </w:tcPr>
          <w:p>
            <w:pPr>
              <w:spacing w:after="0"/>
              <w:rPr>
                <w:sz w:val="18"/>
                <w:szCs w:val="18"/>
                <w:color w:val="auto"/>
              </w:rPr>
            </w:pPr>
          </w:p>
        </w:tc>
        <w:tc>
          <w:tcPr>
            <w:tcW w:w="740" w:type="dxa"/>
            <w:vAlign w:val="bottom"/>
          </w:tcPr>
          <w:p>
            <w:pPr>
              <w:jc w:val="center"/>
              <w:ind w:right="44"/>
              <w:spacing w:after="0"/>
              <w:rPr>
                <w:sz w:val="20"/>
                <w:szCs w:val="20"/>
                <w:color w:val="auto"/>
              </w:rPr>
            </w:pPr>
            <w:r>
              <w:rPr>
                <w:rFonts w:ascii="Arial" w:cs="Arial" w:eastAsia="Arial" w:hAnsi="Arial"/>
                <w:sz w:val="7"/>
                <w:szCs w:val="7"/>
                <w:b w:val="1"/>
                <w:bCs w:val="1"/>
                <w:color w:val="auto"/>
              </w:rPr>
              <w:t>Annualized</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Gross Total RE</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gridSpan w:val="2"/>
          </w:tcPr>
          <w:p>
            <w:pPr>
              <w:ind w:left="80"/>
              <w:spacing w:after="0"/>
              <w:rPr>
                <w:sz w:val="20"/>
                <w:szCs w:val="20"/>
                <w:color w:val="auto"/>
              </w:rPr>
            </w:pPr>
            <w:r>
              <w:rPr>
                <w:rFonts w:ascii="Arial" w:cs="Arial" w:eastAsia="Arial" w:hAnsi="Arial"/>
                <w:sz w:val="7"/>
                <w:szCs w:val="7"/>
                <w:b w:val="1"/>
                <w:bCs w:val="1"/>
                <w:color w:val="auto"/>
              </w:rPr>
              <w:t>Sep-16</w:t>
            </w:r>
          </w:p>
        </w:tc>
        <w:tc>
          <w:tcPr>
            <w:tcW w:w="400" w:type="dxa"/>
            <w:vAlign w:val="bottom"/>
          </w:tcPr>
          <w:p>
            <w:pPr>
              <w:jc w:val="right"/>
              <w:ind w:right="44"/>
              <w:spacing w:after="0"/>
              <w:rPr>
                <w:sz w:val="20"/>
                <w:szCs w:val="20"/>
                <w:color w:val="auto"/>
              </w:rPr>
            </w:pPr>
            <w:r>
              <w:rPr>
                <w:rFonts w:ascii="Arial" w:cs="Arial" w:eastAsia="Arial" w:hAnsi="Arial"/>
                <w:sz w:val="7"/>
                <w:szCs w:val="7"/>
                <w:b w:val="1"/>
                <w:bCs w:val="1"/>
                <w:color w:val="auto"/>
              </w:rPr>
              <w:t>Jun-16</w:t>
            </w:r>
          </w:p>
        </w:tc>
        <w:tc>
          <w:tcPr>
            <w:tcW w:w="80" w:type="dxa"/>
            <w:vAlign w:val="bottom"/>
          </w:tcPr>
          <w:p>
            <w:pPr>
              <w:spacing w:after="0"/>
              <w:rPr>
                <w:sz w:val="9"/>
                <w:szCs w:val="9"/>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7"/>
                <w:szCs w:val="7"/>
                <w:b w:val="1"/>
                <w:bCs w:val="1"/>
                <w:color w:val="auto"/>
              </w:rPr>
              <w:t>Mar-16</w:t>
            </w:r>
          </w:p>
        </w:tc>
        <w:tc>
          <w:tcPr>
            <w:tcW w:w="440" w:type="dxa"/>
            <w:vAlign w:val="bottom"/>
            <w:gridSpan w:val="2"/>
          </w:tcPr>
          <w:p>
            <w:pPr>
              <w:ind w:left="40"/>
              <w:spacing w:after="0"/>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rPr>
                <w:sz w:val="20"/>
                <w:szCs w:val="20"/>
                <w:color w:val="auto"/>
              </w:rPr>
            </w:pPr>
            <w:r>
              <w:rPr>
                <w:rFonts w:ascii="Arial" w:cs="Arial" w:eastAsia="Arial" w:hAnsi="Arial"/>
                <w:sz w:val="7"/>
                <w:szCs w:val="7"/>
                <w:b w:val="1"/>
                <w:bCs w:val="1"/>
                <w:color w:val="auto"/>
              </w:rPr>
              <w:t>Sep-15</w:t>
            </w: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0" w:type="dxa"/>
            <w:vAlign w:val="bottom"/>
            <w:gridSpan w:val="2"/>
          </w:tcPr>
          <w:p>
            <w:pPr>
              <w:spacing w:after="0"/>
              <w:rPr>
                <w:sz w:val="20"/>
                <w:szCs w:val="20"/>
                <w:color w:val="auto"/>
              </w:rPr>
            </w:pPr>
            <w:r>
              <w:rPr>
                <w:rFonts w:ascii="Arial" w:cs="Arial" w:eastAsia="Arial" w:hAnsi="Arial"/>
                <w:sz w:val="7"/>
                <w:szCs w:val="7"/>
                <w:b w:val="1"/>
                <w:bCs w:val="1"/>
                <w:color w:val="auto"/>
                <w:w w:val="98"/>
              </w:rPr>
              <w:t>Properties</w:t>
            </w:r>
          </w:p>
        </w:tc>
        <w:tc>
          <w:tcPr>
            <w:tcW w:w="840" w:type="dxa"/>
            <w:vAlign w:val="bottom"/>
          </w:tcPr>
          <w:p>
            <w:pPr>
              <w:spacing w:after="0"/>
              <w:rPr>
                <w:sz w:val="7"/>
                <w:szCs w:val="7"/>
                <w:color w:val="auto"/>
              </w:rPr>
            </w:pPr>
          </w:p>
        </w:tc>
        <w:tc>
          <w:tcPr>
            <w:tcW w:w="520" w:type="dxa"/>
            <w:vAlign w:val="bottom"/>
            <w:gridSpan w:val="3"/>
          </w:tcPr>
          <w:p>
            <w:pPr>
              <w:jc w:val="center"/>
              <w:ind w:left="24"/>
              <w:spacing w:after="0"/>
              <w:rPr>
                <w:sz w:val="20"/>
                <w:szCs w:val="20"/>
                <w:color w:val="auto"/>
              </w:rPr>
            </w:pPr>
            <w:r>
              <w:rPr>
                <w:rFonts w:ascii="Arial" w:cs="Arial" w:eastAsia="Arial" w:hAnsi="Arial"/>
                <w:sz w:val="7"/>
                <w:szCs w:val="7"/>
                <w:b w:val="1"/>
                <w:bCs w:val="1"/>
                <w:color w:val="auto"/>
                <w:w w:val="99"/>
              </w:rPr>
              <w:t>Interest (%)</w:t>
            </w:r>
          </w:p>
        </w:tc>
        <w:tc>
          <w:tcPr>
            <w:tcW w:w="980" w:type="dxa"/>
            <w:vAlign w:val="bottom"/>
            <w:gridSpan w:val="3"/>
          </w:tcPr>
          <w:p>
            <w:pPr>
              <w:ind w:left="40"/>
              <w:spacing w:after="0"/>
              <w:rPr>
                <w:sz w:val="20"/>
                <w:szCs w:val="20"/>
                <w:color w:val="auto"/>
              </w:rPr>
            </w:pPr>
            <w:r>
              <w:rPr>
                <w:rFonts w:ascii="Arial" w:cs="Arial" w:eastAsia="Arial" w:hAnsi="Arial"/>
                <w:sz w:val="7"/>
                <w:szCs w:val="7"/>
                <w:b w:val="1"/>
                <w:bCs w:val="1"/>
                <w:color w:val="auto"/>
              </w:rPr>
              <w:t>SubMarket</w:t>
            </w:r>
          </w:p>
        </w:tc>
        <w:tc>
          <w:tcPr>
            <w:tcW w:w="60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Bldgs</w:t>
            </w:r>
          </w:p>
        </w:tc>
        <w:tc>
          <w:tcPr>
            <w:tcW w:w="60" w:type="dxa"/>
            <w:vAlign w:val="bottom"/>
          </w:tcPr>
          <w:p>
            <w:pPr>
              <w:spacing w:after="0"/>
              <w:rPr>
                <w:sz w:val="7"/>
                <w:szCs w:val="7"/>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b w:val="1"/>
                <w:bCs w:val="1"/>
                <w:color w:val="auto"/>
              </w:rPr>
              <w:t>Sq. Feet</w:t>
            </w:r>
          </w:p>
        </w:tc>
        <w:tc>
          <w:tcPr>
            <w:tcW w:w="620" w:type="dxa"/>
            <w:vAlign w:val="bottom"/>
            <w:gridSpan w:val="5"/>
          </w:tcPr>
          <w:p>
            <w:pPr>
              <w:jc w:val="right"/>
              <w:ind w:right="180"/>
              <w:spacing w:after="0"/>
              <w:rPr>
                <w:sz w:val="20"/>
                <w:szCs w:val="20"/>
                <w:color w:val="auto"/>
              </w:rPr>
            </w:pPr>
            <w:r>
              <w:rPr>
                <w:rFonts w:ascii="Arial" w:cs="Arial" w:eastAsia="Arial" w:hAnsi="Arial"/>
                <w:sz w:val="7"/>
                <w:szCs w:val="7"/>
                <w:b w:val="1"/>
                <w:bCs w:val="1"/>
                <w:color w:val="auto"/>
              </w:rPr>
              <w:t>Total Units</w:t>
            </w: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jc w:val="center"/>
              <w:spacing w:after="0"/>
              <w:rPr>
                <w:sz w:val="20"/>
                <w:szCs w:val="20"/>
                <w:color w:val="auto"/>
              </w:rPr>
            </w:pPr>
            <w:r>
              <w:rPr>
                <w:rFonts w:ascii="Arial" w:cs="Arial" w:eastAsia="Arial" w:hAnsi="Arial"/>
                <w:sz w:val="7"/>
                <w:szCs w:val="7"/>
                <w:b w:val="1"/>
                <w:bCs w:val="1"/>
                <w:color w:val="auto"/>
              </w:rPr>
              <w:t>Rent Per Unit ($'s)</w:t>
            </w:r>
          </w:p>
        </w:tc>
        <w:tc>
          <w:tcPr>
            <w:tcW w:w="60" w:type="dxa"/>
            <w:vAlign w:val="bottom"/>
          </w:tcPr>
          <w:p>
            <w:pPr>
              <w:spacing w:after="0"/>
              <w:rPr>
                <w:sz w:val="7"/>
                <w:szCs w:val="7"/>
                <w:color w:val="auto"/>
              </w:rPr>
            </w:pPr>
          </w:p>
        </w:tc>
        <w:tc>
          <w:tcPr>
            <w:tcW w:w="740" w:type="dxa"/>
            <w:vAlign w:val="bottom"/>
          </w:tcPr>
          <w:p>
            <w:pPr>
              <w:jc w:val="center"/>
              <w:ind w:right="44"/>
              <w:spacing w:after="0"/>
              <w:rPr>
                <w:sz w:val="20"/>
                <w:szCs w:val="20"/>
                <w:color w:val="auto"/>
              </w:rPr>
            </w:pPr>
            <w:r>
              <w:rPr>
                <w:rFonts w:ascii="Arial" w:cs="Arial" w:eastAsia="Arial" w:hAnsi="Arial"/>
                <w:sz w:val="7"/>
                <w:szCs w:val="7"/>
                <w:b w:val="1"/>
                <w:bCs w:val="1"/>
                <w:color w:val="auto"/>
              </w:rPr>
              <w:t>Cash Rent ($'s)</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Book Value</w:t>
            </w:r>
          </w:p>
        </w:tc>
        <w:tc>
          <w:tcPr>
            <w:tcW w:w="380" w:type="dxa"/>
            <w:vAlign w:val="bottom"/>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gridSpan w:val="3"/>
            <w:vMerge w:val="restart"/>
          </w:tcPr>
          <w:p>
            <w:pPr>
              <w:spacing w:after="0"/>
              <w:rPr>
                <w:sz w:val="20"/>
                <w:szCs w:val="20"/>
                <w:color w:val="auto"/>
              </w:rPr>
            </w:pPr>
            <w:r>
              <w:rPr>
                <w:rFonts w:ascii="Arial" w:cs="Arial" w:eastAsia="Arial" w:hAnsi="Arial"/>
                <w:sz w:val="7"/>
                <w:szCs w:val="7"/>
                <w:b w:val="1"/>
                <w:bCs w:val="1"/>
                <w:color w:val="auto"/>
              </w:rPr>
              <w:t>"Same Store" Residential</w:t>
            </w: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315</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West 33rd Street - The Olivia</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100.0</w:t>
            </w:r>
          </w:p>
        </w:tc>
        <w:tc>
          <w:tcPr>
            <w:tcW w:w="4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Penn Station</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222,855</w:t>
            </w:r>
          </w:p>
        </w:tc>
        <w:tc>
          <w:tcPr>
            <w:tcW w:w="80" w:type="dxa"/>
            <w:vAlign w:val="bottom"/>
          </w:tcPr>
          <w:p>
            <w:pPr>
              <w:spacing w:after="0"/>
              <w:rPr>
                <w:sz w:val="17"/>
                <w:szCs w:val="17"/>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333</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94.0</w:t>
            </w:r>
          </w:p>
        </w:tc>
        <w:tc>
          <w:tcPr>
            <w:tcW w:w="10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92.8</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95.2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89.5</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91.0</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$4,113</w:t>
            </w:r>
          </w:p>
        </w:tc>
        <w:tc>
          <w:tcPr>
            <w:tcW w:w="60" w:type="dxa"/>
            <w:vAlign w:val="bottom"/>
          </w:tcPr>
          <w:p>
            <w:pPr>
              <w:jc w:val="right"/>
              <w:spacing w:after="0"/>
              <w:rPr>
                <w:sz w:val="20"/>
                <w:szCs w:val="20"/>
                <w:color w:val="auto"/>
              </w:rPr>
            </w:pPr>
            <w:r>
              <w:rPr>
                <w:rFonts w:ascii="Arial" w:cs="Arial" w:eastAsia="Arial" w:hAnsi="Arial"/>
                <w:sz w:val="7"/>
                <w:szCs w:val="7"/>
                <w:color w:val="auto"/>
              </w:rPr>
              <w:t>$</w:t>
            </w: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15,399</w:t>
            </w:r>
          </w:p>
        </w:tc>
        <w:tc>
          <w:tcPr>
            <w:tcW w:w="560" w:type="dxa"/>
            <w:vAlign w:val="bottom"/>
          </w:tcPr>
          <w:p>
            <w:pPr>
              <w:jc w:val="right"/>
              <w:spacing w:after="0"/>
              <w:rPr>
                <w:sz w:val="20"/>
                <w:szCs w:val="20"/>
                <w:color w:val="auto"/>
              </w:rPr>
            </w:pPr>
            <w:r>
              <w:rPr>
                <w:rFonts w:ascii="Arial" w:cs="Arial" w:eastAsia="Arial" w:hAnsi="Arial"/>
                <w:sz w:val="7"/>
                <w:szCs w:val="7"/>
                <w:color w:val="auto"/>
              </w:rPr>
              <w:t>$178,292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400</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 xml:space="preserve">East 57th Street </w:t>
            </w:r>
            <w:r>
              <w:rPr>
                <w:rFonts w:ascii="Arial" w:cs="Arial" w:eastAsia="Arial" w:hAnsi="Arial"/>
                <w:sz w:val="6"/>
                <w:szCs w:val="6"/>
                <w:color w:val="auto"/>
              </w:rPr>
              <w:t>(1)</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90.0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Upper East Side</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290,482</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261</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91.6</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93.5</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92.7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92.3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3,362</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10,983</w:t>
            </w:r>
          </w:p>
        </w:tc>
        <w:tc>
          <w:tcPr>
            <w:tcW w:w="560" w:type="dxa"/>
            <w:vAlign w:val="bottom"/>
          </w:tcPr>
          <w:p>
            <w:pPr>
              <w:jc w:val="right"/>
              <w:spacing w:after="0"/>
              <w:rPr>
                <w:sz w:val="20"/>
                <w:szCs w:val="20"/>
                <w:color w:val="auto"/>
              </w:rPr>
            </w:pPr>
            <w:r>
              <w:rPr>
                <w:rFonts w:ascii="Arial" w:cs="Arial" w:eastAsia="Arial" w:hAnsi="Arial"/>
                <w:sz w:val="7"/>
                <w:szCs w:val="7"/>
                <w:color w:val="auto"/>
              </w:rPr>
              <w:t>125,554</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400</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 xml:space="preserve">East 58th Street </w:t>
            </w:r>
            <w:r>
              <w:rPr>
                <w:rFonts w:ascii="Arial" w:cs="Arial" w:eastAsia="Arial" w:hAnsi="Arial"/>
                <w:sz w:val="6"/>
                <w:szCs w:val="6"/>
                <w:color w:val="auto"/>
              </w:rPr>
              <w:t>(1)</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90.0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Upper East Side</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140,000</w:t>
            </w:r>
          </w:p>
        </w:tc>
        <w:tc>
          <w:tcPr>
            <w:tcW w:w="80" w:type="dxa"/>
            <w:vAlign w:val="bottom"/>
          </w:tcPr>
          <w:p>
            <w:pPr>
              <w:spacing w:after="0"/>
              <w:rPr>
                <w:sz w:val="19"/>
                <w:szCs w:val="19"/>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126</w:t>
            </w: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91.3</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92.9</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92.8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95.2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95.2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3,301</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5,059</w:t>
            </w:r>
          </w:p>
        </w:tc>
        <w:tc>
          <w:tcPr>
            <w:tcW w:w="560" w:type="dxa"/>
            <w:vAlign w:val="bottom"/>
          </w:tcPr>
          <w:p>
            <w:pPr>
              <w:jc w:val="right"/>
              <w:spacing w:after="0"/>
              <w:rPr>
                <w:sz w:val="20"/>
                <w:szCs w:val="20"/>
                <w:color w:val="auto"/>
              </w:rPr>
            </w:pPr>
            <w:r>
              <w:rPr>
                <w:rFonts w:ascii="Arial" w:cs="Arial" w:eastAsia="Arial" w:hAnsi="Arial"/>
                <w:sz w:val="7"/>
                <w:szCs w:val="7"/>
                <w:color w:val="auto"/>
              </w:rPr>
              <w:t>55,163</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gridSpan w:val="2"/>
          </w:tcPr>
          <w:p>
            <w:pPr>
              <w:spacing w:after="0"/>
              <w:rPr>
                <w:sz w:val="20"/>
                <w:szCs w:val="20"/>
                <w:color w:val="auto"/>
              </w:rPr>
            </w:pPr>
            <w:r>
              <w:rPr>
                <w:rFonts w:ascii="Arial" w:cs="Arial" w:eastAsia="Arial" w:hAnsi="Arial"/>
                <w:sz w:val="7"/>
                <w:szCs w:val="7"/>
                <w:color w:val="auto"/>
              </w:rPr>
              <w:t>Leasehold</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 xml:space="preserve">1080 Amsterdam </w:t>
            </w:r>
            <w:r>
              <w:rPr>
                <w:rFonts w:ascii="Arial" w:cs="Arial" w:eastAsia="Arial" w:hAnsi="Arial"/>
                <w:sz w:val="6"/>
                <w:szCs w:val="6"/>
                <w:color w:val="auto"/>
              </w:rPr>
              <w:t>(1)</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92.5</w:t>
            </w:r>
          </w:p>
        </w:tc>
        <w:tc>
          <w:tcPr>
            <w:tcW w:w="40" w:type="dxa"/>
            <w:vAlign w:val="bottom"/>
          </w:tcPr>
          <w:p>
            <w:pPr>
              <w:spacing w:after="0"/>
              <w:rPr>
                <w:sz w:val="8"/>
                <w:szCs w:val="8"/>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Upper West Side</w:t>
            </w:r>
          </w:p>
        </w:tc>
        <w:tc>
          <w:tcPr>
            <w:tcW w:w="600" w:type="dxa"/>
            <w:vAlign w:val="bottom"/>
            <w:gridSpan w:val="2"/>
          </w:tcPr>
          <w:p>
            <w:pPr>
              <w:spacing w:after="0"/>
              <w:rPr>
                <w:sz w:val="20"/>
                <w:szCs w:val="20"/>
                <w:color w:val="auto"/>
              </w:rPr>
            </w:pPr>
            <w:r>
              <w:rPr>
                <w:rFonts w:ascii="Arial" w:cs="Arial" w:eastAsia="Arial" w:hAnsi="Arial"/>
                <w:sz w:val="7"/>
                <w:szCs w:val="7"/>
                <w:color w:val="auto"/>
              </w:rPr>
              <w:t>Interest</w:t>
            </w: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82,250</w:t>
            </w:r>
          </w:p>
        </w:tc>
        <w:tc>
          <w:tcPr>
            <w:tcW w:w="80" w:type="dxa"/>
            <w:vAlign w:val="bottom"/>
          </w:tcPr>
          <w:p>
            <w:pPr>
              <w:spacing w:after="0"/>
              <w:rPr>
                <w:sz w:val="8"/>
                <w:szCs w:val="8"/>
                <w:color w:val="auto"/>
              </w:rPr>
            </w:pPr>
          </w:p>
        </w:tc>
        <w:tc>
          <w:tcPr>
            <w:tcW w:w="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96</w:t>
            </w:r>
          </w:p>
        </w:tc>
        <w:tc>
          <w:tcPr>
            <w:tcW w:w="80" w:type="dxa"/>
            <w:vAlign w:val="bottom"/>
          </w:tcPr>
          <w:p>
            <w:pPr>
              <w:spacing w:after="0"/>
              <w:rPr>
                <w:sz w:val="8"/>
                <w:szCs w:val="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88.5</w:t>
            </w:r>
          </w:p>
        </w:tc>
        <w:tc>
          <w:tcPr>
            <w:tcW w:w="100" w:type="dxa"/>
            <w:vAlign w:val="bottom"/>
          </w:tcPr>
          <w:p>
            <w:pPr>
              <w:spacing w:after="0"/>
              <w:rPr>
                <w:sz w:val="8"/>
                <w:szCs w:val="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91.7</w:t>
            </w:r>
          </w:p>
        </w:tc>
        <w:tc>
          <w:tcPr>
            <w:tcW w:w="80" w:type="dxa"/>
            <w:vAlign w:val="bottom"/>
          </w:tcPr>
          <w:p>
            <w:pPr>
              <w:spacing w:after="0"/>
              <w:rPr>
                <w:sz w:val="8"/>
                <w:szCs w:val="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96.9</w:t>
            </w: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96.9</w:t>
            </w:r>
          </w:p>
        </w:tc>
        <w:tc>
          <w:tcPr>
            <w:tcW w:w="80" w:type="dxa"/>
            <w:vAlign w:val="bottom"/>
          </w:tcPr>
          <w:p>
            <w:pPr>
              <w:spacing w:after="0"/>
              <w:rPr>
                <w:sz w:val="8"/>
                <w:szCs w:val="8"/>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96.9</w:t>
            </w:r>
          </w:p>
        </w:tc>
        <w:tc>
          <w:tcPr>
            <w:tcW w:w="80" w:type="dxa"/>
            <w:vAlign w:val="bottom"/>
          </w:tcPr>
          <w:p>
            <w:pPr>
              <w:spacing w:after="0"/>
              <w:rPr>
                <w:sz w:val="8"/>
                <w:szCs w:val="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3,895</w:t>
            </w: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4,225</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46,640</w:t>
            </w: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4"/>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gridSpan w:val="2"/>
          </w:tcPr>
          <w:p>
            <w:pPr>
              <w:jc w:val="center"/>
              <w:spacing w:after="0"/>
              <w:rPr>
                <w:sz w:val="20"/>
                <w:szCs w:val="20"/>
                <w:color w:val="auto"/>
              </w:rPr>
            </w:pPr>
            <w:r>
              <w:rPr>
                <w:rFonts w:ascii="Arial" w:cs="Arial" w:eastAsia="Arial" w:hAnsi="Arial"/>
                <w:sz w:val="7"/>
                <w:szCs w:val="7"/>
                <w:b w:val="1"/>
                <w:bCs w:val="1"/>
                <w:color w:val="auto"/>
              </w:rPr>
              <w:t>3</w:t>
            </w:r>
          </w:p>
        </w:tc>
        <w:tc>
          <w:tcPr>
            <w:tcW w:w="40" w:type="dxa"/>
            <w:vAlign w:val="bottom"/>
          </w:tcPr>
          <w:p>
            <w:pPr>
              <w:spacing w:after="0"/>
              <w:rPr>
                <w:sz w:val="16"/>
                <w:szCs w:val="16"/>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735,587</w:t>
            </w:r>
          </w:p>
        </w:tc>
        <w:tc>
          <w:tcPr>
            <w:tcW w:w="80" w:type="dxa"/>
            <w:vAlign w:val="bottom"/>
          </w:tcPr>
          <w:p>
            <w:pPr>
              <w:spacing w:after="0"/>
              <w:rPr>
                <w:sz w:val="16"/>
                <w:szCs w:val="16"/>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b w:val="1"/>
                <w:bCs w:val="1"/>
                <w:color w:val="auto"/>
              </w:rPr>
              <w:t>816</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92.2%</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92.9%</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94.2%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92.2%</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93.5%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$3,725</w:t>
            </w:r>
          </w:p>
        </w:tc>
        <w:tc>
          <w:tcPr>
            <w:tcW w:w="6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b w:val="1"/>
                <w:bCs w:val="1"/>
                <w:color w:val="auto"/>
              </w:rPr>
              <w:t>$35,666</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$405,649</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2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spacing w:after="0"/>
              <w:rPr>
                <w:sz w:val="20"/>
                <w:szCs w:val="20"/>
                <w:color w:val="auto"/>
              </w:rPr>
            </w:pPr>
            <w:r>
              <w:rPr>
                <w:rFonts w:ascii="Arial" w:cs="Arial" w:eastAsia="Arial" w:hAnsi="Arial"/>
                <w:sz w:val="7"/>
                <w:szCs w:val="7"/>
                <w:b w:val="1"/>
                <w:bCs w:val="1"/>
                <w:color w:val="auto"/>
              </w:rPr>
              <w:t>"Non Same Store" Residential</w:t>
            </w: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Upper East Side Residential</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95.1</w:t>
            </w:r>
          </w:p>
        </w:tc>
        <w:tc>
          <w:tcPr>
            <w:tcW w:w="40" w:type="dxa"/>
            <w:vAlign w:val="bottom"/>
          </w:tcPr>
          <w:p>
            <w:pPr>
              <w:spacing w:after="0"/>
              <w:rPr>
                <w:sz w:val="17"/>
                <w:szCs w:val="17"/>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Upper East Side</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7"/>
                <w:szCs w:val="17"/>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27,000</w:t>
            </w:r>
          </w:p>
        </w:tc>
        <w:tc>
          <w:tcPr>
            <w:tcW w:w="80" w:type="dxa"/>
            <w:vAlign w:val="bottom"/>
          </w:tcPr>
          <w:p>
            <w:pPr>
              <w:spacing w:after="0"/>
              <w:rPr>
                <w:sz w:val="17"/>
                <w:szCs w:val="17"/>
                <w:color w:val="auto"/>
              </w:rPr>
            </w:pPr>
          </w:p>
        </w:tc>
        <w:tc>
          <w:tcPr>
            <w:tcW w:w="540" w:type="dxa"/>
            <w:vAlign w:val="bottom"/>
            <w:gridSpan w:val="4"/>
          </w:tcPr>
          <w:p>
            <w:pPr>
              <w:jc w:val="right"/>
              <w:ind w:right="100"/>
              <w:spacing w:after="0"/>
              <w:rPr>
                <w:sz w:val="20"/>
                <w:szCs w:val="20"/>
                <w:color w:val="auto"/>
              </w:rPr>
            </w:pPr>
            <w:r>
              <w:rPr>
                <w:rFonts w:ascii="Arial" w:cs="Arial" w:eastAsia="Arial" w:hAnsi="Arial"/>
                <w:sz w:val="7"/>
                <w:szCs w:val="7"/>
                <w:color w:val="auto"/>
              </w:rPr>
              <w:t>28</w:t>
            </w:r>
          </w:p>
        </w:tc>
        <w:tc>
          <w:tcPr>
            <w:tcW w:w="8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42.9</w:t>
            </w:r>
          </w:p>
        </w:tc>
        <w:tc>
          <w:tcPr>
            <w:tcW w:w="10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42.9</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42.9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85.7</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85.7</w:t>
            </w: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$1,381</w:t>
            </w:r>
          </w:p>
        </w:tc>
        <w:tc>
          <w:tcPr>
            <w:tcW w:w="6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$650</w:t>
            </w:r>
          </w:p>
        </w:tc>
        <w:tc>
          <w:tcPr>
            <w:tcW w:w="560" w:type="dxa"/>
            <w:vAlign w:val="bottom"/>
          </w:tcPr>
          <w:p>
            <w:pPr>
              <w:jc w:val="right"/>
              <w:spacing w:after="0"/>
              <w:rPr>
                <w:sz w:val="20"/>
                <w:szCs w:val="20"/>
                <w:color w:val="auto"/>
              </w:rPr>
            </w:pPr>
            <w:r>
              <w:rPr>
                <w:rFonts w:ascii="Arial" w:cs="Arial" w:eastAsia="Arial" w:hAnsi="Arial"/>
                <w:sz w:val="7"/>
                <w:szCs w:val="7"/>
                <w:color w:val="auto"/>
              </w:rPr>
              <w:t>$48,152</w:t>
            </w: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605</w:t>
            </w:r>
          </w:p>
        </w:tc>
        <w:tc>
          <w:tcPr>
            <w:tcW w:w="1080" w:type="dxa"/>
            <w:vAlign w:val="bottom"/>
            <w:gridSpan w:val="2"/>
          </w:tcPr>
          <w:p>
            <w:pPr>
              <w:ind w:left="20"/>
              <w:spacing w:after="0"/>
              <w:rPr>
                <w:sz w:val="20"/>
                <w:szCs w:val="20"/>
                <w:color w:val="auto"/>
              </w:rPr>
            </w:pPr>
            <w:r>
              <w:rPr>
                <w:rFonts w:ascii="Arial" w:cs="Arial" w:eastAsia="Arial" w:hAnsi="Arial"/>
                <w:sz w:val="7"/>
                <w:szCs w:val="7"/>
                <w:color w:val="auto"/>
              </w:rPr>
              <w:t>West 42nd Street</w:t>
            </w:r>
          </w:p>
        </w:tc>
        <w:tc>
          <w:tcPr>
            <w:tcW w:w="480" w:type="dxa"/>
            <w:vAlign w:val="bottom"/>
            <w:gridSpan w:val="2"/>
          </w:tcPr>
          <w:p>
            <w:pPr>
              <w:jc w:val="center"/>
              <w:ind w:left="64"/>
              <w:spacing w:after="0"/>
              <w:rPr>
                <w:sz w:val="20"/>
                <w:szCs w:val="20"/>
                <w:color w:val="auto"/>
              </w:rPr>
            </w:pPr>
            <w:r>
              <w:rPr>
                <w:rFonts w:ascii="Arial" w:cs="Arial" w:eastAsia="Arial" w:hAnsi="Arial"/>
                <w:sz w:val="7"/>
                <w:szCs w:val="7"/>
                <w:color w:val="auto"/>
              </w:rPr>
              <w:t>20.0</w:t>
            </w:r>
          </w:p>
        </w:tc>
        <w:tc>
          <w:tcPr>
            <w:tcW w:w="40" w:type="dxa"/>
            <w:vAlign w:val="bottom"/>
          </w:tcPr>
          <w:p>
            <w:pPr>
              <w:spacing w:after="0"/>
              <w:rPr>
                <w:sz w:val="19"/>
                <w:szCs w:val="19"/>
                <w:color w:val="auto"/>
              </w:rPr>
            </w:pPr>
          </w:p>
        </w:tc>
        <w:tc>
          <w:tcPr>
            <w:tcW w:w="980" w:type="dxa"/>
            <w:vAlign w:val="bottom"/>
            <w:gridSpan w:val="3"/>
          </w:tcPr>
          <w:p>
            <w:pPr>
              <w:ind w:left="40"/>
              <w:spacing w:after="0"/>
              <w:rPr>
                <w:sz w:val="20"/>
                <w:szCs w:val="20"/>
                <w:color w:val="auto"/>
              </w:rPr>
            </w:pPr>
            <w:r>
              <w:rPr>
                <w:rFonts w:ascii="Arial" w:cs="Arial" w:eastAsia="Arial" w:hAnsi="Arial"/>
                <w:sz w:val="7"/>
                <w:szCs w:val="7"/>
                <w:color w:val="auto"/>
              </w:rPr>
              <w:t>Midtown West</w:t>
            </w: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center"/>
              <w:spacing w:after="0"/>
              <w:rPr>
                <w:sz w:val="20"/>
                <w:szCs w:val="20"/>
                <w:color w:val="auto"/>
              </w:rPr>
            </w:pPr>
            <w:r>
              <w:rPr>
                <w:rFonts w:ascii="Arial" w:cs="Arial" w:eastAsia="Arial" w:hAnsi="Arial"/>
                <w:sz w:val="7"/>
                <w:szCs w:val="7"/>
                <w:color w:val="auto"/>
              </w:rPr>
              <w:t>1</w:t>
            </w:r>
          </w:p>
        </w:tc>
        <w:tc>
          <w:tcPr>
            <w:tcW w:w="40" w:type="dxa"/>
            <w:vAlign w:val="bottom"/>
          </w:tcPr>
          <w:p>
            <w:pPr>
              <w:spacing w:after="0"/>
              <w:rPr>
                <w:sz w:val="19"/>
                <w:szCs w:val="19"/>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7"/>
                <w:szCs w:val="7"/>
                <w:color w:val="auto"/>
              </w:rPr>
              <w:t>927,358</w:t>
            </w:r>
          </w:p>
        </w:tc>
        <w:tc>
          <w:tcPr>
            <w:tcW w:w="80" w:type="dxa"/>
            <w:vAlign w:val="bottom"/>
          </w:tcPr>
          <w:p>
            <w:pPr>
              <w:spacing w:after="0"/>
              <w:rPr>
                <w:sz w:val="19"/>
                <w:szCs w:val="19"/>
                <w:color w:val="auto"/>
              </w:rPr>
            </w:pPr>
          </w:p>
        </w:tc>
        <w:tc>
          <w:tcPr>
            <w:tcW w:w="440" w:type="dxa"/>
            <w:vAlign w:val="bottom"/>
            <w:gridSpan w:val="3"/>
          </w:tcPr>
          <w:p>
            <w:pPr>
              <w:jc w:val="right"/>
              <w:spacing w:after="0"/>
              <w:rPr>
                <w:sz w:val="20"/>
                <w:szCs w:val="20"/>
                <w:color w:val="auto"/>
              </w:rPr>
            </w:pPr>
            <w:r>
              <w:rPr>
                <w:rFonts w:ascii="Arial" w:cs="Arial" w:eastAsia="Arial" w:hAnsi="Arial"/>
                <w:sz w:val="7"/>
                <w:szCs w:val="7"/>
                <w:color w:val="auto"/>
              </w:rPr>
              <w:t>1,180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55.0</w:t>
            </w:r>
          </w:p>
        </w:tc>
        <w:tc>
          <w:tcPr>
            <w:tcW w:w="10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7"/>
                <w:szCs w:val="7"/>
                <w:color w:val="auto"/>
              </w:rPr>
              <w:t>N/A</w:t>
            </w:r>
          </w:p>
        </w:tc>
        <w:tc>
          <w:tcPr>
            <w:tcW w:w="440" w:type="dxa"/>
            <w:vAlign w:val="bottom"/>
            <w:gridSpan w:val="2"/>
          </w:tcPr>
          <w:p>
            <w:pPr>
              <w:ind w:left="160"/>
              <w:spacing w:after="0"/>
              <w:rPr>
                <w:sz w:val="20"/>
                <w:szCs w:val="20"/>
                <w:color w:val="auto"/>
              </w:rPr>
            </w:pPr>
            <w:r>
              <w:rPr>
                <w:rFonts w:ascii="Arial" w:cs="Arial" w:eastAsia="Arial" w:hAnsi="Arial"/>
                <w:sz w:val="7"/>
                <w:szCs w:val="7"/>
                <w:color w:val="auto"/>
              </w:rPr>
              <w:t>N/A</w:t>
            </w:r>
          </w:p>
        </w:tc>
        <w:tc>
          <w:tcPr>
            <w:tcW w:w="500" w:type="dxa"/>
            <w:vAlign w:val="bottom"/>
            <w:gridSpan w:val="2"/>
          </w:tcPr>
          <w:p>
            <w:pPr>
              <w:ind w:left="200"/>
              <w:spacing w:after="0"/>
              <w:rPr>
                <w:sz w:val="20"/>
                <w:szCs w:val="20"/>
                <w:color w:val="auto"/>
              </w:rPr>
            </w:pPr>
            <w:r>
              <w:rPr>
                <w:rFonts w:ascii="Arial" w:cs="Arial" w:eastAsia="Arial" w:hAnsi="Arial"/>
                <w:sz w:val="7"/>
                <w:szCs w:val="7"/>
                <w:color w:val="auto"/>
              </w:rPr>
              <w:t>N/A</w:t>
            </w:r>
          </w:p>
        </w:tc>
        <w:tc>
          <w:tcPr>
            <w:tcW w:w="760" w:type="dxa"/>
            <w:vAlign w:val="bottom"/>
          </w:tcPr>
          <w:p>
            <w:pPr>
              <w:jc w:val="right"/>
              <w:spacing w:after="0"/>
              <w:rPr>
                <w:sz w:val="20"/>
                <w:szCs w:val="20"/>
                <w:color w:val="auto"/>
              </w:rPr>
            </w:pPr>
            <w:r>
              <w:rPr>
                <w:rFonts w:ascii="Arial" w:cs="Arial" w:eastAsia="Arial" w:hAnsi="Arial"/>
                <w:sz w:val="7"/>
                <w:szCs w:val="7"/>
                <w:color w:val="auto"/>
              </w:rPr>
              <w:t>4,200</w:t>
            </w:r>
          </w:p>
        </w:tc>
        <w:tc>
          <w:tcPr>
            <w:tcW w:w="60" w:type="dxa"/>
            <w:vAlign w:val="bottom"/>
          </w:tcPr>
          <w:p>
            <w:pPr>
              <w:spacing w:after="0"/>
              <w:rPr>
                <w:sz w:val="19"/>
                <w:szCs w:val="19"/>
                <w:color w:val="auto"/>
              </w:rPr>
            </w:pPr>
          </w:p>
        </w:tc>
        <w:tc>
          <w:tcPr>
            <w:tcW w:w="740" w:type="dxa"/>
            <w:vAlign w:val="bottom"/>
          </w:tcPr>
          <w:p>
            <w:pPr>
              <w:jc w:val="right"/>
              <w:ind w:right="64"/>
              <w:spacing w:after="0"/>
              <w:rPr>
                <w:sz w:val="20"/>
                <w:szCs w:val="20"/>
                <w:color w:val="auto"/>
              </w:rPr>
            </w:pPr>
            <w:r>
              <w:rPr>
                <w:rFonts w:ascii="Arial" w:cs="Arial" w:eastAsia="Arial" w:hAnsi="Arial"/>
                <w:sz w:val="7"/>
                <w:szCs w:val="7"/>
                <w:color w:val="auto"/>
              </w:rPr>
              <w:t>32,707</w:t>
            </w:r>
          </w:p>
        </w:tc>
        <w:tc>
          <w:tcPr>
            <w:tcW w:w="560" w:type="dxa"/>
            <w:vAlign w:val="bottom"/>
          </w:tcPr>
          <w:p>
            <w:pPr>
              <w:jc w:val="right"/>
              <w:spacing w:after="0"/>
              <w:rPr>
                <w:sz w:val="20"/>
                <w:szCs w:val="20"/>
                <w:color w:val="auto"/>
              </w:rPr>
            </w:pPr>
            <w:r>
              <w:rPr>
                <w:rFonts w:ascii="Arial" w:cs="Arial" w:eastAsia="Arial" w:hAnsi="Arial"/>
                <w:sz w:val="7"/>
                <w:szCs w:val="7"/>
                <w:color w:val="auto"/>
              </w:rPr>
              <w:t>629,719</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200" w:type="dxa"/>
            <w:vAlign w:val="bottom"/>
            <w:gridSpan w:val="3"/>
          </w:tcPr>
          <w:p>
            <w:pPr>
              <w:spacing w:after="0"/>
              <w:rPr>
                <w:sz w:val="20"/>
                <w:szCs w:val="20"/>
                <w:color w:val="auto"/>
              </w:rPr>
            </w:pPr>
            <w:r>
              <w:rPr>
                <w:rFonts w:ascii="Arial" w:cs="Arial" w:eastAsia="Arial" w:hAnsi="Arial"/>
                <w:sz w:val="7"/>
                <w:szCs w:val="7"/>
                <w:color w:val="auto"/>
              </w:rPr>
              <w:t>Stonehenge Portfolio</w:t>
            </w:r>
          </w:p>
        </w:tc>
        <w:tc>
          <w:tcPr>
            <w:tcW w:w="100" w:type="dxa"/>
            <w:vAlign w:val="bottom"/>
          </w:tcPr>
          <w:p>
            <w:pPr>
              <w:spacing w:after="0"/>
              <w:rPr>
                <w:sz w:val="19"/>
                <w:szCs w:val="19"/>
                <w:color w:val="auto"/>
              </w:rPr>
            </w:pPr>
          </w:p>
        </w:tc>
        <w:tc>
          <w:tcPr>
            <w:tcW w:w="420" w:type="dxa"/>
            <w:vAlign w:val="bottom"/>
            <w:gridSpan w:val="2"/>
          </w:tcPr>
          <w:p>
            <w:pPr>
              <w:jc w:val="center"/>
              <w:ind w:right="40"/>
              <w:spacing w:after="0"/>
              <w:rPr>
                <w:sz w:val="20"/>
                <w:szCs w:val="20"/>
                <w:color w:val="auto"/>
              </w:rPr>
            </w:pPr>
            <w:r>
              <w:rPr>
                <w:rFonts w:ascii="Arial" w:cs="Arial" w:eastAsia="Arial" w:hAnsi="Arial"/>
                <w:sz w:val="7"/>
                <w:szCs w:val="7"/>
                <w:color w:val="auto"/>
              </w:rPr>
              <w:t>Various</w:t>
            </w: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300" w:type="dxa"/>
            <w:vAlign w:val="bottom"/>
            <w:tcBorders>
              <w:bottom w:val="single" w:sz="8" w:color="auto"/>
            </w:tcBorders>
            <w:gridSpan w:val="2"/>
          </w:tcPr>
          <w:p>
            <w:pPr>
              <w:jc w:val="center"/>
              <w:spacing w:after="0"/>
              <w:rPr>
                <w:sz w:val="20"/>
                <w:szCs w:val="20"/>
                <w:color w:val="auto"/>
              </w:rPr>
            </w:pPr>
            <w:r>
              <w:rPr>
                <w:rFonts w:ascii="Arial" w:cs="Arial" w:eastAsia="Arial" w:hAnsi="Arial"/>
                <w:sz w:val="7"/>
                <w:szCs w:val="7"/>
                <w:color w:val="auto"/>
              </w:rPr>
              <w:t>16</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7"/>
                <w:szCs w:val="7"/>
                <w:color w:val="auto"/>
              </w:rPr>
              <w:t>2,029,924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7"/>
                <w:szCs w:val="7"/>
                <w:color w:val="auto"/>
              </w:rPr>
              <w:t>2,190</w:t>
            </w:r>
          </w:p>
        </w:tc>
        <w:tc>
          <w:tcPr>
            <w:tcW w:w="1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94.8</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94.3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3,857</w:t>
            </w:r>
          </w:p>
        </w:tc>
        <w:tc>
          <w:tcPr>
            <w:tcW w:w="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102,466</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975,615</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4"/>
          </w:tcPr>
          <w:p>
            <w:pPr>
              <w:ind w:left="260"/>
              <w:spacing w:after="0"/>
              <w:rPr>
                <w:sz w:val="20"/>
                <w:szCs w:val="20"/>
                <w:color w:val="auto"/>
              </w:rPr>
            </w:pPr>
            <w:r>
              <w:rPr>
                <w:rFonts w:ascii="Arial" w:cs="Arial" w:eastAsia="Arial" w:hAnsi="Arial"/>
                <w:sz w:val="7"/>
                <w:szCs w:val="7"/>
                <w:b w:val="1"/>
                <w:bCs w:val="1"/>
                <w:color w:val="auto"/>
              </w:rPr>
              <w:t>Subtotal/Weighted Average</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gridSpan w:val="2"/>
          </w:tcPr>
          <w:p>
            <w:pPr>
              <w:jc w:val="center"/>
              <w:spacing w:after="0"/>
              <w:rPr>
                <w:sz w:val="20"/>
                <w:szCs w:val="20"/>
                <w:color w:val="auto"/>
              </w:rPr>
            </w:pPr>
            <w:r>
              <w:rPr>
                <w:rFonts w:ascii="Arial" w:cs="Arial" w:eastAsia="Arial" w:hAnsi="Arial"/>
                <w:sz w:val="7"/>
                <w:szCs w:val="7"/>
                <w:b w:val="1"/>
                <w:bCs w:val="1"/>
                <w:color w:val="auto"/>
              </w:rPr>
              <w:t>18</w:t>
            </w:r>
          </w:p>
        </w:tc>
        <w:tc>
          <w:tcPr>
            <w:tcW w:w="40" w:type="dxa"/>
            <w:vAlign w:val="bottom"/>
          </w:tcPr>
          <w:p>
            <w:pPr>
              <w:spacing w:after="0"/>
              <w:rPr>
                <w:sz w:val="16"/>
                <w:szCs w:val="16"/>
                <w:color w:val="auto"/>
              </w:rPr>
            </w:pPr>
          </w:p>
        </w:tc>
        <w:tc>
          <w:tcPr>
            <w:tcW w:w="360" w:type="dxa"/>
            <w:vAlign w:val="bottom"/>
            <w:gridSpan w:val="2"/>
          </w:tcPr>
          <w:p>
            <w:pPr>
              <w:jc w:val="right"/>
              <w:spacing w:after="0"/>
              <w:rPr>
                <w:sz w:val="20"/>
                <w:szCs w:val="20"/>
                <w:color w:val="auto"/>
              </w:rPr>
            </w:pPr>
            <w:r>
              <w:rPr>
                <w:rFonts w:ascii="Arial" w:cs="Arial" w:eastAsia="Arial" w:hAnsi="Arial"/>
                <w:sz w:val="7"/>
                <w:szCs w:val="7"/>
                <w:b w:val="1"/>
                <w:bCs w:val="1"/>
                <w:color w:val="auto"/>
              </w:rPr>
              <w:t>2,984,282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gridSpan w:val="3"/>
          </w:tcPr>
          <w:p>
            <w:pPr>
              <w:jc w:val="right"/>
              <w:spacing w:after="0"/>
              <w:rPr>
                <w:sz w:val="20"/>
                <w:szCs w:val="20"/>
                <w:color w:val="auto"/>
              </w:rPr>
            </w:pPr>
            <w:r>
              <w:rPr>
                <w:rFonts w:ascii="Arial" w:cs="Arial" w:eastAsia="Arial" w:hAnsi="Arial"/>
                <w:sz w:val="7"/>
                <w:szCs w:val="7"/>
                <w:b w:val="1"/>
                <w:bCs w:val="1"/>
                <w:color w:val="auto"/>
              </w:rPr>
              <w:t>3,398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78.9%</w:t>
            </w:r>
          </w:p>
        </w:tc>
        <w:tc>
          <w:tcPr>
            <w:tcW w:w="10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61.3%</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94.1%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94.2%</w:t>
            </w:r>
          </w:p>
        </w:tc>
        <w:tc>
          <w:tcPr>
            <w:tcW w:w="8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94.5%</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$3,929</w:t>
            </w:r>
          </w:p>
        </w:tc>
        <w:tc>
          <w:tcPr>
            <w:tcW w:w="60" w:type="dxa"/>
            <w:vAlign w:val="bottom"/>
          </w:tcPr>
          <w:p>
            <w:pPr>
              <w:spacing w:after="0"/>
              <w:rPr>
                <w:sz w:val="16"/>
                <w:szCs w:val="16"/>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b w:val="1"/>
                <w:bCs w:val="1"/>
                <w:color w:val="auto"/>
              </w:rPr>
              <w:t>$135,823</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$1,653,486</w:t>
            </w: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1720" w:type="dxa"/>
            <w:vAlign w:val="bottom"/>
            <w:gridSpan w:val="6"/>
          </w:tcPr>
          <w:p>
            <w:pPr>
              <w:spacing w:after="0"/>
              <w:rPr>
                <w:sz w:val="20"/>
                <w:szCs w:val="20"/>
                <w:color w:val="auto"/>
              </w:rPr>
            </w:pPr>
            <w:r>
              <w:rPr>
                <w:rFonts w:ascii="Arial" w:cs="Arial" w:eastAsia="Arial" w:hAnsi="Arial"/>
                <w:sz w:val="7"/>
                <w:szCs w:val="7"/>
                <w:b w:val="1"/>
                <w:bCs w:val="1"/>
                <w:color w:val="auto"/>
              </w:rPr>
              <w:t>Total / Weighted Average Residential Properties</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gridSpan w:val="2"/>
          </w:tcPr>
          <w:p>
            <w:pPr>
              <w:jc w:val="center"/>
              <w:spacing w:after="0"/>
              <w:rPr>
                <w:sz w:val="20"/>
                <w:szCs w:val="20"/>
                <w:color w:val="auto"/>
              </w:rPr>
            </w:pPr>
            <w:r>
              <w:rPr>
                <w:rFonts w:ascii="Arial" w:cs="Arial" w:eastAsia="Arial" w:hAnsi="Arial"/>
                <w:sz w:val="7"/>
                <w:szCs w:val="7"/>
                <w:b w:val="1"/>
                <w:bCs w:val="1"/>
                <w:color w:val="auto"/>
              </w:rPr>
              <w:t>21</w:t>
            </w:r>
          </w:p>
        </w:tc>
        <w:tc>
          <w:tcPr>
            <w:tcW w:w="40" w:type="dxa"/>
            <w:vAlign w:val="bottom"/>
          </w:tcPr>
          <w:p>
            <w:pPr>
              <w:spacing w:after="0"/>
              <w:rPr>
                <w:sz w:val="24"/>
                <w:szCs w:val="24"/>
                <w:color w:val="auto"/>
              </w:rPr>
            </w:pPr>
          </w:p>
        </w:tc>
        <w:tc>
          <w:tcPr>
            <w:tcW w:w="360" w:type="dxa"/>
            <w:vAlign w:val="bottom"/>
            <w:gridSpan w:val="2"/>
          </w:tcPr>
          <w:p>
            <w:pPr>
              <w:jc w:val="right"/>
              <w:spacing w:after="0"/>
              <w:rPr>
                <w:sz w:val="20"/>
                <w:szCs w:val="20"/>
                <w:color w:val="auto"/>
              </w:rPr>
            </w:pPr>
            <w:r>
              <w:rPr>
                <w:rFonts w:ascii="Arial" w:cs="Arial" w:eastAsia="Arial" w:hAnsi="Arial"/>
                <w:sz w:val="7"/>
                <w:szCs w:val="7"/>
                <w:b w:val="1"/>
                <w:bCs w:val="1"/>
                <w:color w:val="auto"/>
              </w:rPr>
              <w:t>3,719,869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gridSpan w:val="3"/>
          </w:tcPr>
          <w:p>
            <w:pPr>
              <w:jc w:val="right"/>
              <w:spacing w:after="0"/>
              <w:rPr>
                <w:sz w:val="20"/>
                <w:szCs w:val="20"/>
                <w:color w:val="auto"/>
              </w:rPr>
            </w:pPr>
            <w:r>
              <w:rPr>
                <w:rFonts w:ascii="Arial" w:cs="Arial" w:eastAsia="Arial" w:hAnsi="Arial"/>
                <w:sz w:val="7"/>
                <w:szCs w:val="7"/>
                <w:b w:val="1"/>
                <w:bCs w:val="1"/>
                <w:color w:val="auto"/>
              </w:rPr>
              <w:t>4,214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81.4%</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67.4%</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94.2%</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93.6%</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94.2%</w:t>
            </w:r>
          </w:p>
        </w:tc>
        <w:tc>
          <w:tcPr>
            <w:tcW w:w="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$3,884</w:t>
            </w:r>
          </w:p>
        </w:tc>
        <w:tc>
          <w:tcPr>
            <w:tcW w:w="60" w:type="dxa"/>
            <w:vAlign w:val="bottom"/>
          </w:tcPr>
          <w:p>
            <w:pPr>
              <w:spacing w:after="0"/>
              <w:rPr>
                <w:sz w:val="24"/>
                <w:szCs w:val="24"/>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b w:val="1"/>
                <w:bCs w:val="1"/>
                <w:color w:val="auto"/>
              </w:rPr>
              <w:t>$171,489</w:t>
            </w:r>
          </w:p>
        </w:tc>
        <w:tc>
          <w:tcPr>
            <w:tcW w:w="560" w:type="dxa"/>
            <w:vAlign w:val="bottom"/>
          </w:tcPr>
          <w:p>
            <w:pPr>
              <w:jc w:val="right"/>
              <w:spacing w:after="0"/>
              <w:rPr>
                <w:sz w:val="20"/>
                <w:szCs w:val="20"/>
                <w:color w:val="auto"/>
              </w:rPr>
            </w:pPr>
            <w:r>
              <w:rPr>
                <w:rFonts w:ascii="Arial" w:cs="Arial" w:eastAsia="Arial" w:hAnsi="Arial"/>
                <w:sz w:val="7"/>
                <w:szCs w:val="7"/>
                <w:b w:val="1"/>
                <w:bCs w:val="1"/>
                <w:color w:val="auto"/>
              </w:rPr>
              <w:t>$2,059,135</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140" w:hanging="102"/>
        <w:spacing w:after="0"/>
        <w:tabs>
          <w:tab w:leader="none" w:pos="140" w:val="left"/>
        </w:tabs>
        <w:numPr>
          <w:ilvl w:val="0"/>
          <w:numId w:val="24"/>
        </w:numPr>
        <w:rPr>
          <w:rFonts w:ascii="Arial" w:cs="Arial" w:eastAsia="Arial" w:hAnsi="Arial"/>
          <w:sz w:val="7"/>
          <w:szCs w:val="7"/>
          <w:color w:val="auto"/>
        </w:rPr>
      </w:pPr>
      <w:r>
        <w:rPr>
          <w:rFonts w:ascii="Arial" w:cs="Arial" w:eastAsia="Arial" w:hAnsi="Arial"/>
          <w:sz w:val="7"/>
          <w:szCs w:val="7"/>
          <w:color w:val="auto"/>
        </w:rPr>
        <w:t>Stonehenge Portfolio Property.</w:t>
      </w:r>
    </w:p>
    <w:p>
      <w:pPr>
        <w:spacing w:after="0" w:line="138" w:lineRule="exact"/>
        <w:rPr>
          <w:rFonts w:ascii="Arial" w:cs="Arial" w:eastAsia="Arial" w:hAnsi="Arial"/>
          <w:sz w:val="7"/>
          <w:szCs w:val="7"/>
          <w:color w:val="auto"/>
        </w:rPr>
      </w:pPr>
    </w:p>
    <w:p>
      <w:pPr>
        <w:ind w:left="140" w:hanging="102"/>
        <w:spacing w:after="0"/>
        <w:tabs>
          <w:tab w:leader="none" w:pos="140" w:val="left"/>
        </w:tabs>
        <w:numPr>
          <w:ilvl w:val="0"/>
          <w:numId w:val="24"/>
        </w:numPr>
        <w:rPr>
          <w:rFonts w:ascii="Arial" w:cs="Arial" w:eastAsia="Arial" w:hAnsi="Arial"/>
          <w:sz w:val="7"/>
          <w:szCs w:val="7"/>
          <w:color w:val="auto"/>
        </w:rPr>
      </w:pPr>
      <w:r>
        <w:rPr>
          <w:rFonts w:ascii="Arial" w:cs="Arial" w:eastAsia="Arial" w:hAnsi="Arial"/>
          <w:sz w:val="7"/>
          <w:szCs w:val="7"/>
          <w:color w:val="auto"/>
        </w:rPr>
        <w:t>Calculated based on occupied units. Amounts in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35</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sectPr>
      </w:pPr>
    </w:p>
    <w:bookmarkStart w:id="51" w:name="page52"/>
    <w:bookmarkEnd w:id="5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Development / Redevelopment and Land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-88900</wp:posOffset>
            </wp:positionV>
            <wp:extent cx="1263015" cy="3606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641223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98"/>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960" w:type="dxa"/>
            <w:vAlign w:val="bottom"/>
          </w:tcPr>
          <w:p>
            <w:pPr>
              <w:spacing w:after="0"/>
              <w:rPr>
                <w:sz w:val="8"/>
                <w:szCs w:val="8"/>
                <w:color w:val="auto"/>
              </w:rPr>
            </w:pPr>
          </w:p>
        </w:tc>
        <w:tc>
          <w:tcPr>
            <w:tcW w:w="50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7"/>
                <w:szCs w:val="7"/>
                <w:b w:val="1"/>
                <w:bCs w:val="1"/>
                <w:color w:val="auto"/>
              </w:rPr>
              <w:t># of</w:t>
            </w:r>
          </w:p>
        </w:tc>
        <w:tc>
          <w:tcPr>
            <w:tcW w:w="40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600" w:type="dxa"/>
            <w:vAlign w:val="bottom"/>
            <w:gridSpan w:val="4"/>
          </w:tcPr>
          <w:p>
            <w:pPr>
              <w:ind w:left="80"/>
              <w:spacing w:after="0"/>
              <w:rPr>
                <w:sz w:val="20"/>
                <w:szCs w:val="20"/>
                <w:color w:val="auto"/>
              </w:rPr>
            </w:pPr>
            <w:r>
              <w:rPr>
                <w:rFonts w:ascii="Arial" w:cs="Arial" w:eastAsia="Arial" w:hAnsi="Arial"/>
                <w:sz w:val="7"/>
                <w:szCs w:val="7"/>
                <w:b w:val="1"/>
                <w:bCs w:val="1"/>
                <w:color w:val="auto"/>
              </w:rPr>
              <w:t>% of Total</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gridSpan w:val="4"/>
          </w:tcPr>
          <w:p>
            <w:pPr>
              <w:ind w:left="80"/>
              <w:spacing w:after="0"/>
              <w:rPr>
                <w:sz w:val="20"/>
                <w:szCs w:val="20"/>
                <w:color w:val="auto"/>
              </w:rPr>
            </w:pPr>
            <w:r>
              <w:rPr>
                <w:rFonts w:ascii="Arial" w:cs="Arial" w:eastAsia="Arial" w:hAnsi="Arial"/>
                <w:sz w:val="7"/>
                <w:szCs w:val="7"/>
                <w:b w:val="1"/>
                <w:bCs w:val="1"/>
                <w:color w:val="auto"/>
              </w:rPr>
              <w:t>Occupancy (%)</w:t>
            </w:r>
          </w:p>
        </w:tc>
        <w:tc>
          <w:tcPr>
            <w:tcW w:w="3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0" w:type="dxa"/>
            <w:vAlign w:val="bottom"/>
          </w:tcPr>
          <w:p>
            <w:pPr>
              <w:jc w:val="right"/>
              <w:ind w:right="204"/>
              <w:spacing w:after="0"/>
              <w:rPr>
                <w:sz w:val="20"/>
                <w:szCs w:val="20"/>
                <w:color w:val="auto"/>
              </w:rPr>
            </w:pPr>
            <w:r>
              <w:rPr>
                <w:rFonts w:ascii="Arial" w:cs="Arial" w:eastAsia="Arial" w:hAnsi="Arial"/>
                <w:sz w:val="7"/>
                <w:szCs w:val="7"/>
                <w:b w:val="1"/>
                <w:bCs w:val="1"/>
                <w:color w:val="auto"/>
              </w:rPr>
              <w:t>Annualized</w:t>
            </w:r>
          </w:p>
        </w:tc>
        <w:tc>
          <w:tcPr>
            <w:tcW w:w="880" w:type="dxa"/>
            <w:vAlign w:val="bottom"/>
          </w:tcPr>
          <w:p>
            <w:pPr>
              <w:jc w:val="right"/>
              <w:ind w:right="264"/>
              <w:spacing w:after="0"/>
              <w:rPr>
                <w:sz w:val="20"/>
                <w:szCs w:val="20"/>
                <w:color w:val="auto"/>
              </w:rPr>
            </w:pPr>
            <w:r>
              <w:rPr>
                <w:rFonts w:ascii="Arial" w:cs="Arial" w:eastAsia="Arial" w:hAnsi="Arial"/>
                <w:sz w:val="7"/>
                <w:szCs w:val="7"/>
                <w:b w:val="1"/>
                <w:bCs w:val="1"/>
                <w:color w:val="auto"/>
              </w:rPr>
              <w:t>Annualized</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Gross Total RE</w:t>
            </w: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87"/>
        </w:trPr>
        <w:tc>
          <w:tcPr>
            <w:tcW w:w="1340" w:type="dxa"/>
            <w:vAlign w:val="bottom"/>
            <w:gridSpan w:val="4"/>
          </w:tcPr>
          <w:p>
            <w:pPr>
              <w:ind w:left="20"/>
              <w:spacing w:after="0" w:line="68" w:lineRule="exact"/>
              <w:rPr>
                <w:sz w:val="20"/>
                <w:szCs w:val="20"/>
                <w:color w:val="auto"/>
              </w:rPr>
            </w:pPr>
            <w:r>
              <w:rPr>
                <w:rFonts w:ascii="Arial" w:cs="Arial" w:eastAsia="Arial" w:hAnsi="Arial"/>
                <w:sz w:val="7"/>
                <w:szCs w:val="7"/>
                <w:b w:val="1"/>
                <w:bCs w:val="1"/>
                <w:color w:val="auto"/>
              </w:rPr>
              <w:t>Properties</w:t>
            </w:r>
          </w:p>
        </w:tc>
        <w:tc>
          <w:tcPr>
            <w:tcW w:w="50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Interest (%)</w:t>
            </w:r>
          </w:p>
        </w:tc>
        <w:tc>
          <w:tcPr>
            <w:tcW w:w="68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SubMarket</w:t>
            </w:r>
          </w:p>
        </w:tc>
        <w:tc>
          <w:tcPr>
            <w:tcW w:w="820" w:type="dxa"/>
            <w:vAlign w:val="bottom"/>
            <w:gridSpan w:val="3"/>
          </w:tcPr>
          <w:p>
            <w:pPr>
              <w:ind w:left="40"/>
              <w:spacing w:after="0" w:line="68" w:lineRule="exact"/>
              <w:rPr>
                <w:sz w:val="20"/>
                <w:szCs w:val="20"/>
                <w:color w:val="auto"/>
              </w:rPr>
            </w:pPr>
            <w:r>
              <w:rPr>
                <w:rFonts w:ascii="Arial" w:cs="Arial" w:eastAsia="Arial" w:hAnsi="Arial"/>
                <w:sz w:val="7"/>
                <w:szCs w:val="7"/>
                <w:b w:val="1"/>
                <w:bCs w:val="1"/>
                <w:color w:val="auto"/>
              </w:rPr>
              <w:t>Ownership</w:t>
            </w:r>
          </w:p>
        </w:tc>
        <w:tc>
          <w:tcPr>
            <w:tcW w:w="100" w:type="dxa"/>
            <w:vAlign w:val="bottom"/>
          </w:tcPr>
          <w:p>
            <w:pPr>
              <w:spacing w:after="0"/>
              <w:rPr>
                <w:sz w:val="7"/>
                <w:szCs w:val="7"/>
                <w:color w:val="auto"/>
              </w:rPr>
            </w:pPr>
          </w:p>
        </w:tc>
        <w:tc>
          <w:tcPr>
            <w:tcW w:w="360" w:type="dxa"/>
            <w:vAlign w:val="bottom"/>
            <w:gridSpan w:val="2"/>
          </w:tcPr>
          <w:p>
            <w:pPr>
              <w:jc w:val="right"/>
              <w:ind w:right="160"/>
              <w:spacing w:after="0" w:line="68" w:lineRule="exact"/>
              <w:rPr>
                <w:sz w:val="20"/>
                <w:szCs w:val="20"/>
                <w:color w:val="auto"/>
              </w:rPr>
            </w:pPr>
            <w:r>
              <w:rPr>
                <w:rFonts w:ascii="Arial" w:cs="Arial" w:eastAsia="Arial" w:hAnsi="Arial"/>
                <w:sz w:val="7"/>
                <w:szCs w:val="7"/>
                <w:b w:val="1"/>
                <w:bCs w:val="1"/>
                <w:color w:val="auto"/>
                <w:w w:val="92"/>
              </w:rPr>
              <w:t>Bldgs</w:t>
            </w:r>
          </w:p>
        </w:tc>
        <w:tc>
          <w:tcPr>
            <w:tcW w:w="400" w:type="dxa"/>
            <w:vAlign w:val="bottom"/>
            <w:gridSpan w:val="3"/>
          </w:tcPr>
          <w:p>
            <w:pPr>
              <w:ind w:left="20"/>
              <w:spacing w:after="0" w:line="68" w:lineRule="exact"/>
              <w:rPr>
                <w:sz w:val="20"/>
                <w:szCs w:val="20"/>
                <w:color w:val="auto"/>
              </w:rPr>
            </w:pPr>
            <w:r>
              <w:rPr>
                <w:rFonts w:ascii="Arial" w:cs="Arial" w:eastAsia="Arial" w:hAnsi="Arial"/>
                <w:sz w:val="7"/>
                <w:szCs w:val="7"/>
                <w:b w:val="1"/>
                <w:bCs w:val="1"/>
                <w:color w:val="auto"/>
              </w:rPr>
              <w:t>Sq. Feet</w:t>
            </w:r>
          </w:p>
        </w:tc>
        <w:tc>
          <w:tcPr>
            <w:tcW w:w="140" w:type="dxa"/>
            <w:vAlign w:val="bottom"/>
          </w:tcPr>
          <w:p>
            <w:pPr>
              <w:spacing w:after="0"/>
              <w:rPr>
                <w:sz w:val="7"/>
                <w:szCs w:val="7"/>
                <w:color w:val="auto"/>
              </w:rPr>
            </w:pPr>
          </w:p>
        </w:tc>
        <w:tc>
          <w:tcPr>
            <w:tcW w:w="460" w:type="dxa"/>
            <w:vAlign w:val="bottom"/>
            <w:gridSpan w:val="3"/>
          </w:tcPr>
          <w:p>
            <w:pPr>
              <w:spacing w:after="0" w:line="68" w:lineRule="exact"/>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Sep-16</w:t>
            </w:r>
          </w:p>
        </w:tc>
        <w:tc>
          <w:tcPr>
            <w:tcW w:w="420" w:type="dxa"/>
            <w:vAlign w:val="bottom"/>
          </w:tcPr>
          <w:p>
            <w:pPr>
              <w:jc w:val="right"/>
              <w:ind w:right="64"/>
              <w:spacing w:after="0" w:line="68" w:lineRule="exact"/>
              <w:rPr>
                <w:sz w:val="20"/>
                <w:szCs w:val="20"/>
                <w:color w:val="auto"/>
              </w:rPr>
            </w:pPr>
            <w:r>
              <w:rPr>
                <w:rFonts w:ascii="Arial" w:cs="Arial" w:eastAsia="Arial" w:hAnsi="Arial"/>
                <w:sz w:val="7"/>
                <w:szCs w:val="7"/>
                <w:b w:val="1"/>
                <w:bCs w:val="1"/>
                <w:color w:val="auto"/>
              </w:rPr>
              <w:t>Jun-16</w:t>
            </w:r>
          </w:p>
        </w:tc>
        <w:tc>
          <w:tcPr>
            <w:tcW w:w="80" w:type="dxa"/>
            <w:vAlign w:val="bottom"/>
          </w:tcPr>
          <w:p>
            <w:pPr>
              <w:spacing w:after="0"/>
              <w:rPr>
                <w:sz w:val="7"/>
                <w:szCs w:val="7"/>
                <w:color w:val="auto"/>
              </w:rPr>
            </w:pPr>
          </w:p>
        </w:tc>
        <w:tc>
          <w:tcPr>
            <w:tcW w:w="560" w:type="dxa"/>
            <w:vAlign w:val="bottom"/>
            <w:gridSpan w:val="3"/>
          </w:tcPr>
          <w:p>
            <w:pPr>
              <w:jc w:val="right"/>
              <w:ind w:right="240"/>
              <w:spacing w:after="0" w:line="68" w:lineRule="exact"/>
              <w:rPr>
                <w:sz w:val="20"/>
                <w:szCs w:val="20"/>
                <w:color w:val="auto"/>
              </w:rPr>
            </w:pPr>
            <w:r>
              <w:rPr>
                <w:rFonts w:ascii="Arial" w:cs="Arial" w:eastAsia="Arial" w:hAnsi="Arial"/>
                <w:sz w:val="7"/>
                <w:szCs w:val="7"/>
                <w:b w:val="1"/>
                <w:bCs w:val="1"/>
                <w:color w:val="auto"/>
              </w:rPr>
              <w:t>Mar-16</w:t>
            </w:r>
          </w:p>
        </w:tc>
        <w:tc>
          <w:tcPr>
            <w:tcW w:w="440" w:type="dxa"/>
            <w:vAlign w:val="bottom"/>
            <w:gridSpan w:val="2"/>
          </w:tcPr>
          <w:p>
            <w:pPr>
              <w:jc w:val="right"/>
              <w:ind w:right="160"/>
              <w:spacing w:after="0" w:line="68" w:lineRule="exact"/>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jc w:val="right"/>
              <w:ind w:right="160"/>
              <w:spacing w:after="0" w:line="68" w:lineRule="exact"/>
              <w:rPr>
                <w:sz w:val="20"/>
                <w:szCs w:val="20"/>
                <w:color w:val="auto"/>
              </w:rPr>
            </w:pPr>
            <w:r>
              <w:rPr>
                <w:rFonts w:ascii="Arial" w:cs="Arial" w:eastAsia="Arial" w:hAnsi="Arial"/>
                <w:sz w:val="7"/>
                <w:szCs w:val="7"/>
                <w:b w:val="1"/>
                <w:bCs w:val="1"/>
                <w:color w:val="auto"/>
              </w:rPr>
              <w:t>Sep-15</w:t>
            </w:r>
          </w:p>
        </w:tc>
        <w:tc>
          <w:tcPr>
            <w:tcW w:w="800" w:type="dxa"/>
            <w:vAlign w:val="bottom"/>
          </w:tcPr>
          <w:p>
            <w:pPr>
              <w:jc w:val="right"/>
              <w:ind w:right="124"/>
              <w:spacing w:after="0" w:line="68" w:lineRule="exact"/>
              <w:rPr>
                <w:sz w:val="20"/>
                <w:szCs w:val="20"/>
                <w:color w:val="auto"/>
              </w:rPr>
            </w:pPr>
            <w:r>
              <w:rPr>
                <w:rFonts w:ascii="Arial" w:cs="Arial" w:eastAsia="Arial" w:hAnsi="Arial"/>
                <w:sz w:val="7"/>
                <w:szCs w:val="7"/>
                <w:b w:val="1"/>
                <w:bCs w:val="1"/>
                <w:color w:val="auto"/>
              </w:rPr>
              <w:t>Cash Rent ($'s)</w:t>
            </w:r>
          </w:p>
        </w:tc>
        <w:tc>
          <w:tcPr>
            <w:tcW w:w="880" w:type="dxa"/>
            <w:vAlign w:val="bottom"/>
          </w:tcPr>
          <w:p>
            <w:pPr>
              <w:jc w:val="right"/>
              <w:ind w:right="144"/>
              <w:spacing w:after="0" w:line="68" w:lineRule="exact"/>
              <w:rPr>
                <w:sz w:val="20"/>
                <w:szCs w:val="20"/>
                <w:color w:val="auto"/>
              </w:rPr>
            </w:pPr>
            <w:r>
              <w:rPr>
                <w:rFonts w:ascii="Arial" w:cs="Arial" w:eastAsia="Arial" w:hAnsi="Arial"/>
                <w:sz w:val="7"/>
                <w:szCs w:val="7"/>
                <w:b w:val="1"/>
                <w:bCs w:val="1"/>
                <w:color w:val="auto"/>
              </w:rPr>
              <w:t>Cash Rent (SLG%)</w:t>
            </w:r>
          </w:p>
        </w:tc>
        <w:tc>
          <w:tcPr>
            <w:tcW w:w="640" w:type="dxa"/>
            <w:vAlign w:val="bottom"/>
          </w:tcPr>
          <w:p>
            <w:pPr>
              <w:jc w:val="right"/>
              <w:spacing w:after="0" w:line="68" w:lineRule="exact"/>
              <w:rPr>
                <w:sz w:val="20"/>
                <w:szCs w:val="20"/>
                <w:color w:val="auto"/>
              </w:rPr>
            </w:pPr>
            <w:r>
              <w:rPr>
                <w:rFonts w:ascii="Arial" w:cs="Arial" w:eastAsia="Arial" w:hAnsi="Arial"/>
                <w:sz w:val="7"/>
                <w:szCs w:val="7"/>
                <w:b w:val="1"/>
                <w:bCs w:val="1"/>
                <w:color w:val="auto"/>
              </w:rPr>
              <w:t>Book Value</w:t>
            </w:r>
          </w:p>
        </w:tc>
        <w:tc>
          <w:tcPr>
            <w:tcW w:w="42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1340" w:type="dxa"/>
            <w:vAlign w:val="bottom"/>
            <w:gridSpan w:val="4"/>
            <w:vMerge w:val="restart"/>
          </w:tcPr>
          <w:p>
            <w:pPr>
              <w:ind w:left="20"/>
              <w:spacing w:after="0"/>
              <w:rPr>
                <w:sz w:val="20"/>
                <w:szCs w:val="20"/>
                <w:color w:val="auto"/>
              </w:rPr>
            </w:pPr>
            <w:r>
              <w:rPr>
                <w:rFonts w:ascii="Arial" w:cs="Arial" w:eastAsia="Arial" w:hAnsi="Arial"/>
                <w:sz w:val="7"/>
                <w:szCs w:val="7"/>
                <w:b w:val="1"/>
                <w:bCs w:val="1"/>
                <w:color w:val="auto"/>
              </w:rPr>
              <w:t>Development / Redevelopment</w:t>
            </w: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1"/>
        </w:trPr>
        <w:tc>
          <w:tcPr>
            <w:tcW w:w="1340" w:type="dxa"/>
            <w:vAlign w:val="bottom"/>
            <w:tcBorders>
              <w:bottom w:val="single" w:sz="8" w:color="auto"/>
            </w:tcBorders>
            <w:gridSpan w:val="4"/>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340" w:type="dxa"/>
            <w:vAlign w:val="bottom"/>
            <w:gridSpan w:val="4"/>
          </w:tcPr>
          <w:p>
            <w:pPr>
              <w:ind w:left="20"/>
              <w:spacing w:after="0"/>
              <w:rPr>
                <w:sz w:val="20"/>
                <w:szCs w:val="20"/>
                <w:color w:val="auto"/>
              </w:rPr>
            </w:pPr>
            <w:r>
              <w:rPr>
                <w:rFonts w:ascii="Arial" w:cs="Arial" w:eastAsia="Arial" w:hAnsi="Arial"/>
                <w:sz w:val="7"/>
                <w:szCs w:val="7"/>
                <w:color w:val="auto"/>
              </w:rPr>
              <w:t>One Vanderbilt</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7"/>
                <w:szCs w:val="17"/>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7"/>
                <w:szCs w:val="17"/>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$0</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$330,339</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9"/>
        </w:trPr>
        <w:tc>
          <w:tcPr>
            <w:tcW w:w="1340" w:type="dxa"/>
            <w:vAlign w:val="bottom"/>
            <w:gridSpan w:val="4"/>
          </w:tcPr>
          <w:p>
            <w:pPr>
              <w:ind w:left="20"/>
              <w:spacing w:after="0"/>
              <w:rPr>
                <w:sz w:val="20"/>
                <w:szCs w:val="20"/>
                <w:color w:val="auto"/>
              </w:rPr>
            </w:pPr>
            <w:r>
              <w:rPr>
                <w:rFonts w:ascii="Arial" w:cs="Arial" w:eastAsia="Arial" w:hAnsi="Arial"/>
                <w:sz w:val="7"/>
                <w:szCs w:val="7"/>
                <w:color w:val="auto"/>
              </w:rPr>
              <w:t>10 East 53rd Street</w:t>
            </w:r>
          </w:p>
        </w:tc>
        <w:tc>
          <w:tcPr>
            <w:tcW w:w="400" w:type="dxa"/>
            <w:vAlign w:val="bottom"/>
          </w:tcPr>
          <w:p>
            <w:pPr>
              <w:jc w:val="center"/>
              <w:spacing w:after="0"/>
              <w:rPr>
                <w:sz w:val="20"/>
                <w:szCs w:val="20"/>
                <w:color w:val="auto"/>
              </w:rPr>
            </w:pPr>
            <w:r>
              <w:rPr>
                <w:rFonts w:ascii="Arial" w:cs="Arial" w:eastAsia="Arial" w:hAnsi="Arial"/>
                <w:sz w:val="7"/>
                <w:szCs w:val="7"/>
                <w:color w:val="auto"/>
              </w:rPr>
              <w:t>55.0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354,300</w:t>
            </w:r>
          </w:p>
        </w:tc>
        <w:tc>
          <w:tcPr>
            <w:tcW w:w="8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7"/>
                <w:szCs w:val="7"/>
                <w:color w:val="auto"/>
              </w:rPr>
              <w:t>46.0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48.1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46.1</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45.9</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41.6</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43.9</w:t>
            </w:r>
          </w:p>
        </w:tc>
        <w:tc>
          <w:tcPr>
            <w:tcW w:w="80" w:type="dxa"/>
            <w:vAlign w:val="bottom"/>
          </w:tcPr>
          <w:p>
            <w:pPr>
              <w:spacing w:after="0"/>
              <w:rPr>
                <w:sz w:val="19"/>
                <w:szCs w:val="19"/>
                <w:color w:val="auto"/>
              </w:rPr>
            </w:pP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15,791</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70.4</w:t>
            </w:r>
          </w:p>
        </w:tc>
        <w:tc>
          <w:tcPr>
            <w:tcW w:w="640" w:type="dxa"/>
            <w:vAlign w:val="bottom"/>
          </w:tcPr>
          <w:p>
            <w:pPr>
              <w:jc w:val="right"/>
              <w:spacing w:after="0"/>
              <w:rPr>
                <w:sz w:val="20"/>
                <w:szCs w:val="20"/>
                <w:color w:val="auto"/>
              </w:rPr>
            </w:pPr>
            <w:r>
              <w:rPr>
                <w:rFonts w:ascii="Arial" w:cs="Arial" w:eastAsia="Arial" w:hAnsi="Arial"/>
                <w:sz w:val="7"/>
                <w:szCs w:val="7"/>
                <w:color w:val="auto"/>
              </w:rPr>
              <w:t>340,936</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19</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562</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42,635</w:t>
            </w:r>
          </w:p>
        </w:tc>
        <w:tc>
          <w:tcPr>
            <w:tcW w:w="8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7"/>
                <w:szCs w:val="7"/>
                <w:color w:val="auto"/>
              </w:rPr>
              <w:t>5.0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2,100</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17.0</w:t>
            </w:r>
          </w:p>
        </w:tc>
        <w:tc>
          <w:tcPr>
            <w:tcW w:w="640" w:type="dxa"/>
            <w:vAlign w:val="bottom"/>
          </w:tcPr>
          <w:p>
            <w:pPr>
              <w:jc w:val="right"/>
              <w:spacing w:after="0"/>
              <w:rPr>
                <w:sz w:val="20"/>
                <w:szCs w:val="20"/>
                <w:color w:val="auto"/>
              </w:rPr>
            </w:pPr>
            <w:r>
              <w:rPr>
                <w:rFonts w:ascii="Arial" w:cs="Arial" w:eastAsia="Arial" w:hAnsi="Arial"/>
                <w:sz w:val="7"/>
                <w:szCs w:val="7"/>
                <w:color w:val="auto"/>
              </w:rPr>
              <w:t>68,754</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650</w:t>
            </w:r>
          </w:p>
        </w:tc>
        <w:tc>
          <w:tcPr>
            <w:tcW w:w="1180" w:type="dxa"/>
            <w:vAlign w:val="bottom"/>
            <w:gridSpan w:val="2"/>
          </w:tcPr>
          <w:p>
            <w:pPr>
              <w:spacing w:after="0"/>
              <w:rPr>
                <w:sz w:val="20"/>
                <w:szCs w:val="20"/>
                <w:color w:val="auto"/>
              </w:rPr>
            </w:pPr>
            <w:r>
              <w:rPr>
                <w:rFonts w:ascii="Arial" w:cs="Arial" w:eastAsia="Arial" w:hAnsi="Arial"/>
                <w:sz w:val="7"/>
                <w:szCs w:val="7"/>
                <w:color w:val="auto"/>
              </w:rPr>
              <w:t>Fifth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Leasehold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32,324</w:t>
            </w:r>
          </w:p>
        </w:tc>
        <w:tc>
          <w:tcPr>
            <w:tcW w:w="8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7"/>
                <w:szCs w:val="7"/>
                <w:color w:val="auto"/>
              </w:rPr>
              <w:t>4.0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10.5</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1,352</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5.5</w:t>
            </w:r>
          </w:p>
        </w:tc>
        <w:tc>
          <w:tcPr>
            <w:tcW w:w="640" w:type="dxa"/>
            <w:vAlign w:val="bottom"/>
          </w:tcPr>
          <w:p>
            <w:pPr>
              <w:jc w:val="right"/>
              <w:spacing w:after="0"/>
              <w:rPr>
                <w:sz w:val="20"/>
                <w:szCs w:val="20"/>
                <w:color w:val="auto"/>
              </w:rPr>
            </w:pPr>
            <w:r>
              <w:rPr>
                <w:rFonts w:ascii="Arial" w:cs="Arial" w:eastAsia="Arial" w:hAnsi="Arial"/>
                <w:sz w:val="7"/>
                <w:szCs w:val="7"/>
                <w:color w:val="auto"/>
              </w:rPr>
              <w:t>302,364</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1340" w:type="dxa"/>
            <w:vAlign w:val="bottom"/>
            <w:gridSpan w:val="4"/>
          </w:tcPr>
          <w:p>
            <w:pPr>
              <w:ind w:left="20"/>
              <w:spacing w:after="0"/>
              <w:rPr>
                <w:sz w:val="20"/>
                <w:szCs w:val="20"/>
                <w:color w:val="auto"/>
              </w:rPr>
            </w:pPr>
            <w:r>
              <w:rPr>
                <w:rFonts w:ascii="Arial" w:cs="Arial" w:eastAsia="Arial" w:hAnsi="Arial"/>
                <w:sz w:val="7"/>
                <w:szCs w:val="7"/>
                <w:color w:val="auto"/>
              </w:rPr>
              <w:t>719 Seventh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75.0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59,637</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9"/>
        </w:trPr>
        <w:tc>
          <w:tcPr>
            <w:tcW w:w="1340" w:type="dxa"/>
            <w:vAlign w:val="bottom"/>
            <w:gridSpan w:val="4"/>
          </w:tcPr>
          <w:p>
            <w:pPr>
              <w:ind w:left="20"/>
              <w:spacing w:after="0"/>
              <w:rPr>
                <w:sz w:val="20"/>
                <w:szCs w:val="20"/>
                <w:color w:val="auto"/>
              </w:rPr>
            </w:pPr>
            <w:r>
              <w:rPr>
                <w:rFonts w:ascii="Arial" w:cs="Arial" w:eastAsia="Arial" w:hAnsi="Arial"/>
                <w:sz w:val="7"/>
                <w:szCs w:val="7"/>
                <w:color w:val="auto"/>
              </w:rPr>
              <w:t>175-225 Third Street</w:t>
            </w:r>
          </w:p>
        </w:tc>
        <w:tc>
          <w:tcPr>
            <w:tcW w:w="400" w:type="dxa"/>
            <w:vAlign w:val="bottom"/>
          </w:tcPr>
          <w:p>
            <w:pPr>
              <w:jc w:val="center"/>
              <w:spacing w:after="0"/>
              <w:rPr>
                <w:sz w:val="20"/>
                <w:szCs w:val="20"/>
                <w:color w:val="auto"/>
              </w:rPr>
            </w:pPr>
            <w:r>
              <w:rPr>
                <w:rFonts w:ascii="Arial" w:cs="Arial" w:eastAsia="Arial" w:hAnsi="Arial"/>
                <w:sz w:val="7"/>
                <w:szCs w:val="7"/>
                <w:color w:val="auto"/>
              </w:rPr>
              <w:t>95.0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9"/>
                <w:szCs w:val="19"/>
                <w:color w:val="auto"/>
              </w:rPr>
            </w:pPr>
          </w:p>
        </w:tc>
        <w:tc>
          <w:tcPr>
            <w:tcW w:w="400" w:type="dxa"/>
            <w:vAlign w:val="bottom"/>
            <w:gridSpan w:val="3"/>
          </w:tcPr>
          <w:p>
            <w:pPr>
              <w:jc w:val="right"/>
              <w:ind w:right="100"/>
              <w:spacing w:after="0"/>
              <w:rPr>
                <w:sz w:val="20"/>
                <w:szCs w:val="20"/>
                <w:color w:val="auto"/>
              </w:rPr>
            </w:pPr>
            <w:r>
              <w:rPr>
                <w:rFonts w:ascii="Arial" w:cs="Arial" w:eastAsia="Arial" w:hAnsi="Arial"/>
                <w:sz w:val="7"/>
                <w:szCs w:val="7"/>
                <w:color w:val="auto"/>
              </w:rPr>
              <w:t>—</w:t>
            </w:r>
          </w:p>
        </w:tc>
        <w:tc>
          <w:tcPr>
            <w:tcW w:w="14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7"/>
                <w:szCs w:val="7"/>
                <w:color w:val="auto"/>
              </w:rPr>
              <w:t>—</w:t>
            </w:r>
          </w:p>
        </w:tc>
        <w:tc>
          <w:tcPr>
            <w:tcW w:w="4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78,469</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9"/>
        </w:trPr>
        <w:tc>
          <w:tcPr>
            <w:tcW w:w="1340" w:type="dxa"/>
            <w:vAlign w:val="bottom"/>
            <w:gridSpan w:val="4"/>
          </w:tcPr>
          <w:p>
            <w:pPr>
              <w:ind w:left="20"/>
              <w:spacing w:after="0"/>
              <w:rPr>
                <w:sz w:val="20"/>
                <w:szCs w:val="20"/>
                <w:color w:val="auto"/>
              </w:rPr>
            </w:pPr>
            <w:r>
              <w:rPr>
                <w:rFonts w:ascii="Arial" w:cs="Arial" w:eastAsia="Arial" w:hAnsi="Arial"/>
                <w:sz w:val="7"/>
                <w:szCs w:val="7"/>
                <w:color w:val="auto"/>
              </w:rPr>
              <w:t>55 West 46th Street</w:t>
            </w:r>
          </w:p>
        </w:tc>
        <w:tc>
          <w:tcPr>
            <w:tcW w:w="400" w:type="dxa"/>
            <w:vAlign w:val="bottom"/>
          </w:tcPr>
          <w:p>
            <w:pPr>
              <w:jc w:val="center"/>
              <w:spacing w:after="0"/>
              <w:rPr>
                <w:sz w:val="20"/>
                <w:szCs w:val="20"/>
                <w:color w:val="auto"/>
              </w:rPr>
            </w:pPr>
            <w:r>
              <w:rPr>
                <w:rFonts w:ascii="Arial" w:cs="Arial" w:eastAsia="Arial" w:hAnsi="Arial"/>
                <w:sz w:val="7"/>
                <w:szCs w:val="7"/>
                <w:color w:val="auto"/>
              </w:rPr>
              <w:t>25.0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Midtown</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9"/>
                <w:szCs w:val="19"/>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347,000</w:t>
            </w:r>
          </w:p>
        </w:tc>
        <w:tc>
          <w:tcPr>
            <w:tcW w:w="80" w:type="dxa"/>
            <w:vAlign w:val="bottom"/>
          </w:tcPr>
          <w:p>
            <w:pPr>
              <w:spacing w:after="0"/>
              <w:rPr>
                <w:sz w:val="19"/>
                <w:szCs w:val="19"/>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7"/>
                <w:szCs w:val="7"/>
                <w:color w:val="auto"/>
              </w:rPr>
              <w:t>45.0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17.1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17.1</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8.1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w:t>
            </w: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3,136</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6.4</w:t>
            </w:r>
          </w:p>
        </w:tc>
        <w:tc>
          <w:tcPr>
            <w:tcW w:w="640" w:type="dxa"/>
            <w:vAlign w:val="bottom"/>
          </w:tcPr>
          <w:p>
            <w:pPr>
              <w:jc w:val="right"/>
              <w:spacing w:after="0"/>
              <w:rPr>
                <w:sz w:val="20"/>
                <w:szCs w:val="20"/>
                <w:color w:val="auto"/>
              </w:rPr>
            </w:pPr>
            <w:r>
              <w:rPr>
                <w:rFonts w:ascii="Arial" w:cs="Arial" w:eastAsia="Arial" w:hAnsi="Arial"/>
                <w:sz w:val="7"/>
                <w:szCs w:val="7"/>
                <w:color w:val="auto"/>
              </w:rPr>
              <w:t>316,859</w:t>
            </w:r>
          </w:p>
        </w:tc>
        <w:tc>
          <w:tcPr>
            <w:tcW w:w="42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25"/>
        </w:trPr>
        <w:tc>
          <w:tcPr>
            <w:tcW w:w="1340" w:type="dxa"/>
            <w:vAlign w:val="bottom"/>
            <w:gridSpan w:val="4"/>
          </w:tcPr>
          <w:p>
            <w:pPr>
              <w:ind w:left="20"/>
              <w:spacing w:after="0"/>
              <w:rPr>
                <w:sz w:val="20"/>
                <w:szCs w:val="20"/>
                <w:color w:val="auto"/>
              </w:rPr>
            </w:pPr>
            <w:r>
              <w:rPr>
                <w:rFonts w:ascii="Arial" w:cs="Arial" w:eastAsia="Arial" w:hAnsi="Arial"/>
                <w:sz w:val="7"/>
                <w:szCs w:val="7"/>
                <w:color w:val="auto"/>
              </w:rPr>
              <w:t>1640 Flatbush Avenue</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85</w:t>
            </w: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0.7</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6,755</w:t>
            </w:r>
          </w:p>
        </w:tc>
        <w:tc>
          <w:tcPr>
            <w:tcW w:w="4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192"/>
        </w:trPr>
        <w:tc>
          <w:tcPr>
            <w:tcW w:w="2520" w:type="dxa"/>
            <w:vAlign w:val="bottom"/>
            <w:gridSpan w:val="8"/>
          </w:tcPr>
          <w:p>
            <w:pPr>
              <w:ind w:left="20"/>
              <w:spacing w:after="0"/>
              <w:rPr>
                <w:sz w:val="20"/>
                <w:szCs w:val="20"/>
                <w:color w:val="auto"/>
              </w:rPr>
            </w:pPr>
            <w:r>
              <w:rPr>
                <w:rFonts w:ascii="Arial" w:cs="Arial" w:eastAsia="Arial" w:hAnsi="Arial"/>
                <w:sz w:val="7"/>
                <w:szCs w:val="7"/>
                <w:b w:val="1"/>
                <w:bCs w:val="1"/>
                <w:color w:val="auto"/>
              </w:rPr>
              <w:t>Total / Weighted Average Development / Redevelopment Properties</w:t>
            </w: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tcPr>
          <w:p>
            <w:pPr>
              <w:jc w:val="right"/>
              <w:ind w:right="84"/>
              <w:spacing w:after="0"/>
              <w:rPr>
                <w:sz w:val="20"/>
                <w:szCs w:val="20"/>
                <w:color w:val="auto"/>
              </w:rPr>
            </w:pPr>
            <w:r>
              <w:rPr>
                <w:rFonts w:ascii="Arial" w:cs="Arial" w:eastAsia="Arial" w:hAnsi="Arial"/>
                <w:sz w:val="7"/>
                <w:szCs w:val="7"/>
                <w:b w:val="1"/>
                <w:bCs w:val="1"/>
                <w:color w:val="auto"/>
              </w:rPr>
              <w:t>8</w:t>
            </w:r>
          </w:p>
        </w:tc>
        <w:tc>
          <w:tcPr>
            <w:tcW w:w="16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777,259</w:t>
            </w:r>
          </w:p>
        </w:tc>
        <w:tc>
          <w:tcPr>
            <w:tcW w:w="8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35.6%</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34.7%</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30.6%</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25.0%</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26.1%</w:t>
            </w:r>
          </w:p>
        </w:tc>
        <w:tc>
          <w:tcPr>
            <w:tcW w:w="80" w:type="dxa"/>
            <w:vAlign w:val="bottom"/>
          </w:tcPr>
          <w:p>
            <w:pPr>
              <w:spacing w:after="0"/>
              <w:rPr>
                <w:sz w:val="16"/>
                <w:szCs w:val="16"/>
                <w:color w:val="auto"/>
              </w:rPr>
            </w:pPr>
          </w:p>
        </w:tc>
        <w:tc>
          <w:tcPr>
            <w:tcW w:w="800" w:type="dxa"/>
            <w:vAlign w:val="bottom"/>
          </w:tcPr>
          <w:p>
            <w:pPr>
              <w:jc w:val="right"/>
              <w:ind w:right="44"/>
              <w:spacing w:after="0"/>
              <w:rPr>
                <w:sz w:val="20"/>
                <w:szCs w:val="20"/>
                <w:color w:val="auto"/>
              </w:rPr>
            </w:pPr>
            <w:r>
              <w:rPr>
                <w:rFonts w:ascii="Arial" w:cs="Arial" w:eastAsia="Arial" w:hAnsi="Arial"/>
                <w:sz w:val="7"/>
                <w:szCs w:val="7"/>
                <w:b w:val="1"/>
                <w:bCs w:val="1"/>
                <w:color w:val="auto"/>
              </w:rPr>
              <w:t>$22,464</w:t>
            </w:r>
          </w:p>
        </w:tc>
        <w:tc>
          <w:tcPr>
            <w:tcW w:w="880" w:type="dxa"/>
            <w:vAlign w:val="bottom"/>
          </w:tcPr>
          <w:p>
            <w:pPr>
              <w:jc w:val="right"/>
              <w:ind w:right="44"/>
              <w:spacing w:after="0"/>
              <w:rPr>
                <w:sz w:val="20"/>
                <w:szCs w:val="20"/>
                <w:color w:val="auto"/>
              </w:rPr>
            </w:pPr>
            <w:r>
              <w:rPr>
                <w:rFonts w:ascii="Arial" w:cs="Arial" w:eastAsia="Arial" w:hAnsi="Arial"/>
                <w:sz w:val="7"/>
                <w:szCs w:val="7"/>
                <w:b w:val="1"/>
                <w:bCs w:val="1"/>
                <w:color w:val="auto"/>
              </w:rPr>
              <w:t>100.0%</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$1,504,113</w:t>
            </w: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26</w:t>
            </w:r>
          </w:p>
        </w:tc>
        <w:tc>
          <w:tcPr>
            <w:tcW w:w="0" w:type="dxa"/>
            <w:vAlign w:val="bottom"/>
          </w:tcPr>
          <w:p>
            <w:pPr>
              <w:spacing w:after="0"/>
              <w:rPr>
                <w:sz w:val="1"/>
                <w:szCs w:val="1"/>
                <w:color w:val="auto"/>
              </w:rPr>
            </w:pPr>
          </w:p>
        </w:tc>
      </w:tr>
      <w:tr>
        <w:trPr>
          <w:trHeight w:val="264"/>
        </w:trPr>
        <w:tc>
          <w:tcPr>
            <w:tcW w:w="2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gridSpan w:val="2"/>
          </w:tcPr>
          <w:p>
            <w:pPr>
              <w:spacing w:after="0"/>
              <w:rPr>
                <w:sz w:val="22"/>
                <w:szCs w:val="22"/>
                <w:color w:val="auto"/>
              </w:rPr>
            </w:pPr>
          </w:p>
        </w:tc>
        <w:tc>
          <w:tcPr>
            <w:tcW w:w="9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56"/>
        </w:trPr>
        <w:tc>
          <w:tcPr>
            <w:tcW w:w="134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rPr>
              <w:t>Land</w:t>
            </w: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333</w:t>
            </w:r>
          </w:p>
        </w:tc>
        <w:tc>
          <w:tcPr>
            <w:tcW w:w="1180" w:type="dxa"/>
            <w:vAlign w:val="bottom"/>
            <w:gridSpan w:val="2"/>
          </w:tcPr>
          <w:p>
            <w:pPr>
              <w:spacing w:after="0"/>
              <w:rPr>
                <w:sz w:val="20"/>
                <w:szCs w:val="20"/>
                <w:color w:val="auto"/>
              </w:rPr>
            </w:pPr>
            <w:r>
              <w:rPr>
                <w:rFonts w:ascii="Arial" w:cs="Arial" w:eastAsia="Arial" w:hAnsi="Arial"/>
                <w:sz w:val="7"/>
                <w:szCs w:val="7"/>
                <w:color w:val="auto"/>
              </w:rPr>
              <w:t>East 22nd Street</w:t>
            </w:r>
          </w:p>
        </w:tc>
        <w:tc>
          <w:tcPr>
            <w:tcW w:w="400" w:type="dxa"/>
            <w:vAlign w:val="bottom"/>
          </w:tcPr>
          <w:p>
            <w:pPr>
              <w:jc w:val="center"/>
              <w:spacing w:after="0"/>
              <w:rPr>
                <w:sz w:val="20"/>
                <w:szCs w:val="20"/>
                <w:color w:val="auto"/>
              </w:rPr>
            </w:pPr>
            <w:r>
              <w:rPr>
                <w:rFonts w:ascii="Arial" w:cs="Arial" w:eastAsia="Arial" w:hAnsi="Arial"/>
                <w:sz w:val="7"/>
                <w:szCs w:val="7"/>
                <w:color w:val="auto"/>
              </w:rPr>
              <w:t>33.3</w:t>
            </w:r>
          </w:p>
        </w:tc>
        <w:tc>
          <w:tcPr>
            <w:tcW w:w="100" w:type="dxa"/>
            <w:vAlign w:val="bottom"/>
          </w:tcPr>
          <w:p>
            <w:pPr>
              <w:spacing w:after="0"/>
              <w:rPr>
                <w:sz w:val="17"/>
                <w:szCs w:val="17"/>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Leasehold Interest</w:t>
            </w:r>
          </w:p>
        </w:tc>
        <w:tc>
          <w:tcPr>
            <w:tcW w:w="300" w:type="dxa"/>
            <w:vAlign w:val="bottom"/>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Pr>
          <w:p>
            <w:pPr>
              <w:spacing w:after="0"/>
              <w:rPr>
                <w:sz w:val="17"/>
                <w:szCs w:val="17"/>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26,926</w:t>
            </w:r>
          </w:p>
        </w:tc>
        <w:tc>
          <w:tcPr>
            <w:tcW w:w="80" w:type="dxa"/>
            <w:vAlign w:val="bottom"/>
          </w:tcPr>
          <w:p>
            <w:pPr>
              <w:spacing w:after="0"/>
              <w:rPr>
                <w:sz w:val="17"/>
                <w:szCs w:val="17"/>
                <w:color w:val="auto"/>
              </w:rPr>
            </w:pPr>
          </w:p>
        </w:tc>
        <w:tc>
          <w:tcPr>
            <w:tcW w:w="500" w:type="dxa"/>
            <w:vAlign w:val="bottom"/>
            <w:gridSpan w:val="3"/>
          </w:tcPr>
          <w:p>
            <w:pPr>
              <w:jc w:val="right"/>
              <w:ind w:right="80"/>
              <w:spacing w:after="0"/>
              <w:rPr>
                <w:sz w:val="20"/>
                <w:szCs w:val="20"/>
                <w:color w:val="auto"/>
              </w:rPr>
            </w:pPr>
            <w:r>
              <w:rPr>
                <w:rFonts w:ascii="Arial" w:cs="Arial" w:eastAsia="Arial" w:hAnsi="Arial"/>
                <w:sz w:val="7"/>
                <w:szCs w:val="7"/>
                <w:color w:val="auto"/>
              </w:rPr>
              <w:t>13.0</w:t>
            </w:r>
          </w:p>
        </w:tc>
        <w:tc>
          <w:tcPr>
            <w:tcW w:w="100" w:type="dxa"/>
            <w:vAlign w:val="bottom"/>
          </w:tcPr>
          <w:p>
            <w:pPr>
              <w:spacing w:after="0"/>
              <w:rPr>
                <w:sz w:val="17"/>
                <w:szCs w:val="17"/>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N/A</w:t>
            </w:r>
          </w:p>
        </w:tc>
        <w:tc>
          <w:tcPr>
            <w:tcW w:w="80" w:type="dxa"/>
            <w:vAlign w:val="bottom"/>
          </w:tcPr>
          <w:p>
            <w:pPr>
              <w:spacing w:after="0"/>
              <w:rPr>
                <w:sz w:val="17"/>
                <w:szCs w:val="17"/>
                <w:color w:val="auto"/>
              </w:rPr>
            </w:pPr>
          </w:p>
        </w:tc>
        <w:tc>
          <w:tcPr>
            <w:tcW w:w="560" w:type="dxa"/>
            <w:vAlign w:val="bottom"/>
            <w:gridSpan w:val="3"/>
          </w:tcPr>
          <w:p>
            <w:pPr>
              <w:jc w:val="right"/>
              <w:ind w:right="240"/>
              <w:spacing w:after="0"/>
              <w:rPr>
                <w:sz w:val="20"/>
                <w:szCs w:val="20"/>
                <w:color w:val="auto"/>
              </w:rPr>
            </w:pPr>
            <w:r>
              <w:rPr>
                <w:rFonts w:ascii="Arial" w:cs="Arial" w:eastAsia="Arial" w:hAnsi="Arial"/>
                <w:sz w:val="7"/>
                <w:szCs w:val="7"/>
                <w:color w:val="auto"/>
              </w:rPr>
              <w:t>N/A</w:t>
            </w:r>
          </w:p>
        </w:tc>
        <w:tc>
          <w:tcPr>
            <w:tcW w:w="440" w:type="dxa"/>
            <w:vAlign w:val="bottom"/>
            <w:gridSpan w:val="2"/>
          </w:tcPr>
          <w:p>
            <w:pPr>
              <w:jc w:val="right"/>
              <w:ind w:right="160"/>
              <w:spacing w:after="0"/>
              <w:rPr>
                <w:sz w:val="20"/>
                <w:szCs w:val="20"/>
                <w:color w:val="auto"/>
              </w:rPr>
            </w:pPr>
            <w:r>
              <w:rPr>
                <w:rFonts w:ascii="Arial" w:cs="Arial" w:eastAsia="Arial" w:hAnsi="Arial"/>
                <w:sz w:val="7"/>
                <w:szCs w:val="7"/>
                <w:color w:val="auto"/>
              </w:rPr>
              <w:t>N/A</w:t>
            </w:r>
          </w:p>
        </w:tc>
        <w:tc>
          <w:tcPr>
            <w:tcW w:w="500" w:type="dxa"/>
            <w:vAlign w:val="bottom"/>
            <w:gridSpan w:val="2"/>
          </w:tcPr>
          <w:p>
            <w:pPr>
              <w:jc w:val="right"/>
              <w:ind w:right="160"/>
              <w:spacing w:after="0"/>
              <w:rPr>
                <w:sz w:val="20"/>
                <w:szCs w:val="20"/>
                <w:color w:val="auto"/>
              </w:rPr>
            </w:pPr>
            <w:r>
              <w:rPr>
                <w:rFonts w:ascii="Arial" w:cs="Arial" w:eastAsia="Arial" w:hAnsi="Arial"/>
                <w:sz w:val="7"/>
                <w:szCs w:val="7"/>
                <w:color w:val="auto"/>
              </w:rPr>
              <w:t>N/A</w:t>
            </w:r>
          </w:p>
        </w:tc>
        <w:tc>
          <w:tcPr>
            <w:tcW w:w="800" w:type="dxa"/>
            <w:vAlign w:val="bottom"/>
          </w:tcPr>
          <w:p>
            <w:pPr>
              <w:jc w:val="right"/>
              <w:ind w:right="44"/>
              <w:spacing w:after="0"/>
              <w:rPr>
                <w:sz w:val="20"/>
                <w:szCs w:val="20"/>
                <w:color w:val="auto"/>
              </w:rPr>
            </w:pPr>
            <w:r>
              <w:rPr>
                <w:rFonts w:ascii="Arial" w:cs="Arial" w:eastAsia="Arial" w:hAnsi="Arial"/>
                <w:sz w:val="7"/>
                <w:szCs w:val="7"/>
                <w:color w:val="auto"/>
              </w:rPr>
              <w:t>$0</w:t>
            </w:r>
          </w:p>
        </w:tc>
        <w:tc>
          <w:tcPr>
            <w:tcW w:w="88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$0</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635</w:t>
            </w:r>
          </w:p>
        </w:tc>
        <w:tc>
          <w:tcPr>
            <w:tcW w:w="1180" w:type="dxa"/>
            <w:vAlign w:val="bottom"/>
            <w:gridSpan w:val="2"/>
          </w:tcPr>
          <w:p>
            <w:pPr>
              <w:spacing w:after="0"/>
              <w:rPr>
                <w:sz w:val="20"/>
                <w:szCs w:val="20"/>
                <w:color w:val="auto"/>
              </w:rPr>
            </w:pPr>
            <w:r>
              <w:rPr>
                <w:rFonts w:ascii="Arial" w:cs="Arial" w:eastAsia="Arial" w:hAnsi="Arial"/>
                <w:sz w:val="7"/>
                <w:szCs w:val="7"/>
                <w:color w:val="auto"/>
              </w:rPr>
              <w:t xml:space="preserve">Madison Avenue </w:t>
            </w:r>
            <w:r>
              <w:rPr>
                <w:rFonts w:ascii="Arial" w:cs="Arial" w:eastAsia="Arial" w:hAnsi="Arial"/>
                <w:sz w:val="6"/>
                <w:szCs w:val="6"/>
                <w:color w:val="auto"/>
              </w:rPr>
              <w:t>(1)</w:t>
            </w:r>
          </w:p>
        </w:tc>
        <w:tc>
          <w:tcPr>
            <w:tcW w:w="400" w:type="dxa"/>
            <w:vAlign w:val="bottom"/>
          </w:tcPr>
          <w:p>
            <w:pPr>
              <w:jc w:val="center"/>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82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30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7"/>
                <w:szCs w:val="7"/>
                <w:color w:val="auto"/>
              </w:rPr>
              <w:t>1</w:t>
            </w:r>
          </w:p>
        </w:tc>
        <w:tc>
          <w:tcPr>
            <w:tcW w:w="1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176,530</w:t>
            </w:r>
          </w:p>
        </w:tc>
        <w:tc>
          <w:tcPr>
            <w:tcW w:w="80" w:type="dxa"/>
            <w:vAlign w:val="bottom"/>
          </w:tcPr>
          <w:p>
            <w:pPr>
              <w:spacing w:after="0"/>
              <w:rPr>
                <w:sz w:val="19"/>
                <w:szCs w:val="19"/>
                <w:color w:val="auto"/>
              </w:rPr>
            </w:pPr>
          </w:p>
        </w:tc>
        <w:tc>
          <w:tcPr>
            <w:tcW w:w="5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87.0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3,678</w:t>
            </w:r>
          </w:p>
        </w:tc>
        <w:tc>
          <w:tcPr>
            <w:tcW w:w="88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color w:val="auto"/>
              </w:rPr>
              <w:t>100.0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153,745</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34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 Weighted Average Land</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gridSpan w:val="2"/>
          </w:tcPr>
          <w:p>
            <w:pPr>
              <w:jc w:val="right"/>
              <w:ind w:right="84"/>
              <w:spacing w:after="0"/>
              <w:rPr>
                <w:sz w:val="20"/>
                <w:szCs w:val="20"/>
                <w:color w:val="auto"/>
              </w:rPr>
            </w:pPr>
            <w:r>
              <w:rPr>
                <w:rFonts w:ascii="Arial" w:cs="Arial" w:eastAsia="Arial" w:hAnsi="Arial"/>
                <w:sz w:val="7"/>
                <w:szCs w:val="7"/>
                <w:b w:val="1"/>
                <w:bCs w:val="1"/>
                <w:color w:val="auto"/>
              </w:rPr>
              <w:t>2</w:t>
            </w:r>
          </w:p>
        </w:tc>
        <w:tc>
          <w:tcPr>
            <w:tcW w:w="160" w:type="dxa"/>
            <w:vAlign w:val="bottom"/>
          </w:tcPr>
          <w:p>
            <w:pPr>
              <w:spacing w:after="0"/>
              <w:rPr>
                <w:sz w:val="16"/>
                <w:szCs w:val="16"/>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203,456</w:t>
            </w:r>
          </w:p>
        </w:tc>
        <w:tc>
          <w:tcPr>
            <w:tcW w:w="80" w:type="dxa"/>
            <w:vAlign w:val="bottom"/>
          </w:tcPr>
          <w:p>
            <w:pPr>
              <w:spacing w:after="0"/>
              <w:rPr>
                <w:sz w:val="16"/>
                <w:szCs w:val="16"/>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86.8%</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800" w:type="dxa"/>
            <w:vAlign w:val="bottom"/>
          </w:tcPr>
          <w:p>
            <w:pPr>
              <w:jc w:val="right"/>
              <w:ind w:right="44"/>
              <w:spacing w:after="0"/>
              <w:rPr>
                <w:sz w:val="20"/>
                <w:szCs w:val="20"/>
                <w:color w:val="auto"/>
              </w:rPr>
            </w:pPr>
            <w:r>
              <w:rPr>
                <w:rFonts w:ascii="Arial" w:cs="Arial" w:eastAsia="Arial" w:hAnsi="Arial"/>
                <w:sz w:val="7"/>
                <w:szCs w:val="7"/>
                <w:b w:val="1"/>
                <w:bCs w:val="1"/>
                <w:color w:val="auto"/>
              </w:rPr>
              <w:t>$3,678</w:t>
            </w:r>
          </w:p>
        </w:tc>
        <w:tc>
          <w:tcPr>
            <w:tcW w:w="880" w:type="dxa"/>
            <w:vAlign w:val="bottom"/>
          </w:tcPr>
          <w:p>
            <w:pPr>
              <w:jc w:val="right"/>
              <w:ind w:right="44"/>
              <w:spacing w:after="0"/>
              <w:rPr>
                <w:sz w:val="20"/>
                <w:szCs w:val="20"/>
                <w:color w:val="auto"/>
              </w:rPr>
            </w:pPr>
            <w:r>
              <w:rPr>
                <w:rFonts w:ascii="Arial" w:cs="Arial" w:eastAsia="Arial" w:hAnsi="Arial"/>
                <w:sz w:val="7"/>
                <w:szCs w:val="7"/>
                <w:b w:val="1"/>
                <w:bCs w:val="1"/>
                <w:color w:val="auto"/>
              </w:rPr>
              <w:t>100.0%</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$153,745</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24130</wp:posOffset>
            </wp:positionH>
            <wp:positionV relativeFrom="paragraph">
              <wp:posOffset>167640</wp:posOffset>
            </wp:positionV>
            <wp:extent cx="637032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370320" cy="698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60"/>
        <w:spacing w:after="0"/>
        <w:rPr>
          <w:sz w:val="20"/>
          <w:szCs w:val="20"/>
          <w:color w:val="auto"/>
        </w:rPr>
      </w:pPr>
      <w:r>
        <w:rPr>
          <w:rFonts w:ascii="Arial" w:cs="Arial" w:eastAsia="Arial" w:hAnsi="Arial"/>
          <w:sz w:val="7"/>
          <w:szCs w:val="7"/>
          <w:color w:val="auto"/>
        </w:rPr>
        <w:t>(1) Subject to a long-term, third party net operating lease.</w:t>
      </w: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36</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7" w:right="919" w:bottom="1440" w:gutter="0" w:footer="0" w:header="0"/>
        </w:sectPr>
      </w:pPr>
    </w:p>
    <w:bookmarkStart w:id="52" w:name="page53"/>
    <w:bookmarkEnd w:id="5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 of</w:t>
            </w:r>
          </w:p>
        </w:tc>
        <w:tc>
          <w:tcPr>
            <w:tcW w:w="40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58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gridSpan w:val="3"/>
          </w:tcPr>
          <w:p>
            <w:pPr>
              <w:ind w:left="40"/>
              <w:spacing w:after="0"/>
              <w:rPr>
                <w:sz w:val="20"/>
                <w:szCs w:val="20"/>
                <w:color w:val="auto"/>
              </w:rPr>
            </w:pPr>
            <w:r>
              <w:rPr>
                <w:rFonts w:ascii="Arial" w:cs="Arial" w:eastAsia="Arial" w:hAnsi="Arial"/>
                <w:sz w:val="7"/>
                <w:szCs w:val="7"/>
                <w:b w:val="1"/>
                <w:bCs w:val="1"/>
                <w:color w:val="auto"/>
              </w:rPr>
              <w:t>Occupancy (%)</w:t>
            </w: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ind w:right="44"/>
              <w:spacing w:after="0"/>
              <w:rPr>
                <w:sz w:val="20"/>
                <w:szCs w:val="20"/>
                <w:color w:val="auto"/>
              </w:rPr>
            </w:pPr>
            <w:r>
              <w:rPr>
                <w:rFonts w:ascii="Arial" w:cs="Arial" w:eastAsia="Arial" w:hAnsi="Arial"/>
                <w:sz w:val="7"/>
                <w:szCs w:val="7"/>
                <w:b w:val="1"/>
                <w:bCs w:val="1"/>
                <w:color w:val="auto"/>
              </w:rPr>
              <w:t>Annualized Retail</w:t>
            </w:r>
          </w:p>
        </w:tc>
        <w:tc>
          <w:tcPr>
            <w:tcW w:w="1220" w:type="dxa"/>
            <w:vAlign w:val="bottom"/>
            <w:tcBorders>
              <w:bottom w:val="single" w:sz="8" w:color="auto"/>
            </w:tcBorders>
            <w:gridSpan w:val="2"/>
          </w:tcPr>
          <w:p>
            <w:pPr>
              <w:jc w:val="right"/>
              <w:ind w:right="84"/>
              <w:spacing w:after="0"/>
              <w:rPr>
                <w:sz w:val="20"/>
                <w:szCs w:val="20"/>
                <w:color w:val="auto"/>
              </w:rPr>
            </w:pPr>
            <w:r>
              <w:rPr>
                <w:rFonts w:ascii="Arial" w:cs="Arial" w:eastAsia="Arial" w:hAnsi="Arial"/>
                <w:sz w:val="7"/>
                <w:szCs w:val="7"/>
                <w:b w:val="1"/>
                <w:bCs w:val="1"/>
                <w:color w:val="auto"/>
              </w:rPr>
              <w:t>Annualized Retail Cash Rent</w:t>
            </w: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gridSpan w:val="2"/>
          </w:tcPr>
          <w:p>
            <w:pPr>
              <w:ind w:left="100"/>
              <w:spacing w:after="0"/>
              <w:rPr>
                <w:sz w:val="20"/>
                <w:szCs w:val="20"/>
                <w:color w:val="auto"/>
              </w:rPr>
            </w:pPr>
            <w:r>
              <w:rPr>
                <w:rFonts w:ascii="Arial" w:cs="Arial" w:eastAsia="Arial" w:hAnsi="Arial"/>
                <w:sz w:val="7"/>
                <w:szCs w:val="7"/>
                <w:b w:val="1"/>
                <w:bCs w:val="1"/>
                <w:color w:val="auto"/>
              </w:rPr>
              <w:t>Sep-16</w:t>
            </w:r>
          </w:p>
        </w:tc>
        <w:tc>
          <w:tcPr>
            <w:tcW w:w="400" w:type="dxa"/>
            <w:vAlign w:val="bottom"/>
          </w:tcPr>
          <w:p>
            <w:pPr>
              <w:jc w:val="right"/>
              <w:ind w:right="44"/>
              <w:spacing w:after="0"/>
              <w:rPr>
                <w:sz w:val="20"/>
                <w:szCs w:val="20"/>
                <w:color w:val="auto"/>
              </w:rPr>
            </w:pPr>
            <w:r>
              <w:rPr>
                <w:rFonts w:ascii="Arial" w:cs="Arial" w:eastAsia="Arial" w:hAnsi="Arial"/>
                <w:sz w:val="7"/>
                <w:szCs w:val="7"/>
                <w:b w:val="1"/>
                <w:bCs w:val="1"/>
                <w:color w:val="auto"/>
              </w:rPr>
              <w:t>Jun-16</w:t>
            </w:r>
          </w:p>
        </w:tc>
        <w:tc>
          <w:tcPr>
            <w:tcW w:w="100" w:type="dxa"/>
            <w:vAlign w:val="bottom"/>
          </w:tcPr>
          <w:p>
            <w:pPr>
              <w:spacing w:after="0"/>
              <w:rPr>
                <w:sz w:val="9"/>
                <w:szCs w:val="9"/>
                <w:color w:val="auto"/>
              </w:rPr>
            </w:pPr>
          </w:p>
        </w:tc>
        <w:tc>
          <w:tcPr>
            <w:tcW w:w="500" w:type="dxa"/>
            <w:vAlign w:val="bottom"/>
            <w:gridSpan w:val="2"/>
          </w:tcPr>
          <w:p>
            <w:pPr>
              <w:ind w:left="80"/>
              <w:spacing w:after="0"/>
              <w:rPr>
                <w:sz w:val="20"/>
                <w:szCs w:val="20"/>
                <w:color w:val="auto"/>
              </w:rPr>
            </w:pPr>
            <w:r>
              <w:rPr>
                <w:rFonts w:ascii="Arial" w:cs="Arial" w:eastAsia="Arial" w:hAnsi="Arial"/>
                <w:sz w:val="7"/>
                <w:szCs w:val="7"/>
                <w:b w:val="1"/>
                <w:bCs w:val="1"/>
                <w:color w:val="auto"/>
              </w:rPr>
              <w:t>Mar-16</w:t>
            </w:r>
          </w:p>
        </w:tc>
        <w:tc>
          <w:tcPr>
            <w:tcW w:w="500" w:type="dxa"/>
            <w:vAlign w:val="bottom"/>
            <w:gridSpan w:val="2"/>
          </w:tcPr>
          <w:p>
            <w:pPr>
              <w:ind w:left="80"/>
              <w:spacing w:after="0"/>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rPr>
                <w:sz w:val="20"/>
                <w:szCs w:val="20"/>
                <w:color w:val="auto"/>
              </w:rPr>
            </w:pPr>
            <w:r>
              <w:rPr>
                <w:rFonts w:ascii="Arial" w:cs="Arial" w:eastAsia="Arial" w:hAnsi="Arial"/>
                <w:sz w:val="7"/>
                <w:szCs w:val="7"/>
                <w:b w:val="1"/>
                <w:bCs w:val="1"/>
                <w:color w:val="auto"/>
              </w:rPr>
              <w:t>Sep-15</w:t>
            </w: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360" w:type="dxa"/>
            <w:vAlign w:val="bottom"/>
            <w:gridSpan w:val="2"/>
          </w:tcPr>
          <w:p>
            <w:pPr>
              <w:spacing w:after="0"/>
              <w:rPr>
                <w:sz w:val="20"/>
                <w:szCs w:val="20"/>
                <w:color w:val="auto"/>
              </w:rPr>
            </w:pPr>
            <w:r>
              <w:rPr>
                <w:rFonts w:ascii="Arial" w:cs="Arial" w:eastAsia="Arial" w:hAnsi="Arial"/>
                <w:sz w:val="7"/>
                <w:szCs w:val="7"/>
                <w:b w:val="1"/>
                <w:bCs w:val="1"/>
                <w:color w:val="auto"/>
                <w:w w:val="98"/>
              </w:rPr>
              <w:t>Properties</w:t>
            </w:r>
          </w:p>
        </w:tc>
        <w:tc>
          <w:tcPr>
            <w:tcW w:w="1100" w:type="dxa"/>
            <w:vAlign w:val="bottom"/>
          </w:tcPr>
          <w:p>
            <w:pPr>
              <w:spacing w:after="0"/>
              <w:rPr>
                <w:sz w:val="7"/>
                <w:szCs w:val="7"/>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Interest (%)</w:t>
            </w:r>
          </w:p>
        </w:tc>
        <w:tc>
          <w:tcPr>
            <w:tcW w:w="860" w:type="dxa"/>
            <w:vAlign w:val="bottom"/>
            <w:gridSpan w:val="3"/>
          </w:tcPr>
          <w:p>
            <w:pPr>
              <w:ind w:left="40"/>
              <w:spacing w:after="0"/>
              <w:rPr>
                <w:sz w:val="20"/>
                <w:szCs w:val="20"/>
                <w:color w:val="auto"/>
              </w:rPr>
            </w:pPr>
            <w:r>
              <w:rPr>
                <w:rFonts w:ascii="Arial" w:cs="Arial" w:eastAsia="Arial" w:hAnsi="Arial"/>
                <w:sz w:val="7"/>
                <w:szCs w:val="7"/>
                <w:b w:val="1"/>
                <w:bCs w:val="1"/>
                <w:color w:val="auto"/>
              </w:rPr>
              <w:t>SubMarket</w:t>
            </w:r>
          </w:p>
        </w:tc>
        <w:tc>
          <w:tcPr>
            <w:tcW w:w="920" w:type="dxa"/>
            <w:vAlign w:val="bottom"/>
            <w:gridSpan w:val="3"/>
          </w:tcPr>
          <w:p>
            <w:pPr>
              <w:ind w:left="180"/>
              <w:spacing w:after="0"/>
              <w:rPr>
                <w:sz w:val="20"/>
                <w:szCs w:val="20"/>
                <w:color w:val="auto"/>
              </w:rPr>
            </w:pPr>
            <w:r>
              <w:rPr>
                <w:rFonts w:ascii="Arial" w:cs="Arial" w:eastAsia="Arial" w:hAnsi="Arial"/>
                <w:sz w:val="7"/>
                <w:szCs w:val="7"/>
                <w:b w:val="1"/>
                <w:bCs w:val="1"/>
                <w:color w:val="auto"/>
              </w:rPr>
              <w:t>Ownership</w:t>
            </w:r>
          </w:p>
        </w:tc>
        <w:tc>
          <w:tcPr>
            <w:tcW w:w="100" w:type="dxa"/>
            <w:vAlign w:val="bottom"/>
          </w:tcPr>
          <w:p>
            <w:pPr>
              <w:spacing w:after="0"/>
              <w:rPr>
                <w:sz w:val="7"/>
                <w:szCs w:val="7"/>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7"/>
                <w:szCs w:val="7"/>
                <w:b w:val="1"/>
                <w:bCs w:val="1"/>
                <w:color w:val="auto"/>
              </w:rPr>
              <w:t>Bldgs</w:t>
            </w:r>
          </w:p>
        </w:tc>
        <w:tc>
          <w:tcPr>
            <w:tcW w:w="400" w:type="dxa"/>
            <w:vAlign w:val="bottom"/>
            <w:gridSpan w:val="3"/>
          </w:tcPr>
          <w:p>
            <w:pPr>
              <w:ind w:left="20"/>
              <w:spacing w:after="0"/>
              <w:rPr>
                <w:sz w:val="20"/>
                <w:szCs w:val="20"/>
                <w:color w:val="auto"/>
              </w:rPr>
            </w:pPr>
            <w:r>
              <w:rPr>
                <w:rFonts w:ascii="Arial" w:cs="Arial" w:eastAsia="Arial" w:hAnsi="Arial"/>
                <w:sz w:val="7"/>
                <w:szCs w:val="7"/>
                <w:b w:val="1"/>
                <w:bCs w:val="1"/>
                <w:color w:val="auto"/>
              </w:rPr>
              <w:t>Sq. Feet</w:t>
            </w:r>
          </w:p>
        </w:tc>
        <w:tc>
          <w:tcPr>
            <w:tcW w:w="120" w:type="dxa"/>
            <w:vAlign w:val="bottom"/>
          </w:tcPr>
          <w:p>
            <w:pPr>
              <w:spacing w:after="0"/>
              <w:rPr>
                <w:sz w:val="7"/>
                <w:szCs w:val="7"/>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b w:val="1"/>
                <w:bCs w:val="1"/>
                <w:color w:val="auto"/>
                <w:w w:val="95"/>
              </w:rPr>
              <w:t>Sq. Feet</w:t>
            </w:r>
          </w:p>
        </w:tc>
        <w:tc>
          <w:tcPr>
            <w:tcW w:w="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jc w:val="right"/>
              <w:ind w:right="84"/>
              <w:spacing w:after="0"/>
              <w:rPr>
                <w:sz w:val="20"/>
                <w:szCs w:val="20"/>
                <w:color w:val="auto"/>
              </w:rPr>
            </w:pPr>
            <w:r>
              <w:rPr>
                <w:rFonts w:ascii="Arial" w:cs="Arial" w:eastAsia="Arial" w:hAnsi="Arial"/>
                <w:sz w:val="7"/>
                <w:szCs w:val="7"/>
                <w:b w:val="1"/>
                <w:bCs w:val="1"/>
                <w:color w:val="auto"/>
              </w:rPr>
              <w:t>Cash Rent ($'s)</w:t>
            </w:r>
          </w:p>
        </w:tc>
        <w:tc>
          <w:tcPr>
            <w:tcW w:w="680" w:type="dxa"/>
            <w:vAlign w:val="bottom"/>
          </w:tcPr>
          <w:p>
            <w:pPr>
              <w:jc w:val="right"/>
              <w:ind w:right="264"/>
              <w:spacing w:after="0"/>
              <w:rPr>
                <w:sz w:val="20"/>
                <w:szCs w:val="20"/>
                <w:color w:val="auto"/>
              </w:rPr>
            </w:pPr>
            <w:r>
              <w:rPr>
                <w:rFonts w:ascii="Arial" w:cs="Arial" w:eastAsia="Arial" w:hAnsi="Arial"/>
                <w:sz w:val="7"/>
                <w:szCs w:val="7"/>
                <w:b w:val="1"/>
                <w:bCs w:val="1"/>
                <w:color w:val="auto"/>
              </w:rPr>
              <w:t>100%</w:t>
            </w:r>
          </w:p>
        </w:tc>
        <w:tc>
          <w:tcPr>
            <w:tcW w:w="540" w:type="dxa"/>
            <w:vAlign w:val="bottom"/>
          </w:tcPr>
          <w:p>
            <w:pPr>
              <w:jc w:val="right"/>
              <w:ind w:right="204"/>
              <w:spacing w:after="0"/>
              <w:rPr>
                <w:sz w:val="20"/>
                <w:szCs w:val="20"/>
                <w:color w:val="auto"/>
              </w:rPr>
            </w:pPr>
            <w:r>
              <w:rPr>
                <w:rFonts w:ascii="Arial" w:cs="Arial" w:eastAsia="Arial" w:hAnsi="Arial"/>
                <w:sz w:val="7"/>
                <w:szCs w:val="7"/>
                <w:b w:val="1"/>
                <w:bCs w:val="1"/>
                <w:color w:val="auto"/>
              </w:rPr>
              <w:t>SLG</w:t>
            </w: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900" w:type="dxa"/>
            <w:vAlign w:val="bottom"/>
            <w:gridSpan w:val="5"/>
            <w:vMerge w:val="restart"/>
          </w:tcPr>
          <w:p>
            <w:pPr>
              <w:spacing w:after="0"/>
              <w:rPr>
                <w:sz w:val="20"/>
                <w:szCs w:val="20"/>
                <w:color w:val="auto"/>
              </w:rPr>
            </w:pPr>
            <w:r>
              <w:rPr>
                <w:rFonts w:ascii="Arial" w:cs="Arial" w:eastAsia="Arial" w:hAnsi="Arial"/>
                <w:sz w:val="7"/>
                <w:szCs w:val="7"/>
                <w:b w:val="1"/>
                <w:bCs w:val="1"/>
                <w:color w:val="auto"/>
              </w:rPr>
              <w:t>HIGH STREET RETAIL - Consolidated Properties</w:t>
            </w: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vMerge w:val="continue"/>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183-187 Broadway, 5-7 Dey Street</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7"/>
                <w:szCs w:val="17"/>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Lower Manhattan</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3</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82,700</w:t>
            </w:r>
          </w:p>
        </w:tc>
        <w:tc>
          <w:tcPr>
            <w:tcW w:w="80" w:type="dxa"/>
            <w:vAlign w:val="bottom"/>
          </w:tcPr>
          <w:p>
            <w:pPr>
              <w:spacing w:after="0"/>
              <w:rPr>
                <w:sz w:val="17"/>
                <w:szCs w:val="17"/>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4.1</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54.1</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61.1</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69.7</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76.6</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90.5</w:t>
            </w:r>
          </w:p>
        </w:tc>
        <w:tc>
          <w:tcPr>
            <w:tcW w:w="80" w:type="dxa"/>
            <w:vAlign w:val="bottom"/>
          </w:tcPr>
          <w:p>
            <w:pPr>
              <w:spacing w:after="0"/>
              <w:rPr>
                <w:sz w:val="17"/>
                <w:szCs w:val="17"/>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$2,636</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1.3</w:t>
            </w:r>
          </w:p>
        </w:tc>
        <w:tc>
          <w:tcPr>
            <w:tcW w:w="380" w:type="dxa"/>
            <w:vAlign w:val="bottom"/>
          </w:tcPr>
          <w:p>
            <w:pPr>
              <w:jc w:val="right"/>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19-21 East 65th Street</w:t>
            </w:r>
          </w:p>
        </w:tc>
        <w:tc>
          <w:tcPr>
            <w:tcW w:w="380" w:type="dxa"/>
            <w:vAlign w:val="bottom"/>
          </w:tcPr>
          <w:p>
            <w:pPr>
              <w:jc w:val="center"/>
              <w:spacing w:after="0"/>
              <w:rPr>
                <w:sz w:val="20"/>
                <w:szCs w:val="20"/>
                <w:color w:val="auto"/>
              </w:rPr>
            </w:pPr>
            <w:r>
              <w:rPr>
                <w:rFonts w:ascii="Arial" w:cs="Arial" w:eastAsia="Arial" w:hAnsi="Arial"/>
                <w:sz w:val="7"/>
                <w:szCs w:val="7"/>
                <w:color w:val="auto"/>
              </w:rPr>
              <w:t>90.0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2</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23,610</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77.5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77.5</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77.5</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66.0</w:t>
            </w:r>
          </w:p>
        </w:tc>
        <w:tc>
          <w:tcPr>
            <w:tcW w:w="8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1,080</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0.4</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0.5</w:t>
            </w:r>
          </w:p>
        </w:tc>
        <w:tc>
          <w:tcPr>
            <w:tcW w:w="380" w:type="dxa"/>
            <w:vAlign w:val="bottom"/>
          </w:tcPr>
          <w:p>
            <w:pPr>
              <w:jc w:val="right"/>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102</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Soho</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9,200</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360</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0.1</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115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Spring Street</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Soho</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5,218</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2,800</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315</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West 33rd Street - The Olivia</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Penn Station</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217,519</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10.7</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12,083</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4.0</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6.2</w:t>
            </w:r>
          </w:p>
        </w:tc>
        <w:tc>
          <w:tcPr>
            <w:tcW w:w="380" w:type="dxa"/>
            <w:vAlign w:val="bottom"/>
          </w:tcPr>
          <w:p>
            <w:pPr>
              <w:jc w:val="right"/>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719 Seventh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75.0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Times Square</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1</w:t>
            </w:r>
          </w:p>
        </w:tc>
        <w:tc>
          <w:tcPr>
            <w:tcW w:w="400" w:type="dxa"/>
            <w:vAlign w:val="bottom"/>
            <w:gridSpan w:val="3"/>
          </w:tcPr>
          <w:p>
            <w:pPr>
              <w:jc w:val="right"/>
              <w:ind w:right="100"/>
              <w:spacing w:after="0"/>
              <w:rPr>
                <w:sz w:val="20"/>
                <w:szCs w:val="20"/>
                <w:color w:val="auto"/>
              </w:rPr>
            </w:pPr>
            <w:r>
              <w:rPr>
                <w:rFonts w:ascii="Arial" w:cs="Arial" w:eastAsia="Arial" w:hAnsi="Arial"/>
                <w:sz w:val="7"/>
                <w:szCs w:val="7"/>
                <w:color w:val="auto"/>
              </w:rPr>
              <w:t>—</w:t>
            </w:r>
          </w:p>
        </w:tc>
        <w:tc>
          <w:tcPr>
            <w:tcW w:w="12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color w:val="auto"/>
              </w:rPr>
              <w:t>—</w:t>
            </w: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w:t>
            </w:r>
          </w:p>
        </w:tc>
        <w:tc>
          <w:tcPr>
            <w:tcW w:w="380" w:type="dxa"/>
            <w:vAlign w:val="bottom"/>
          </w:tcPr>
          <w:p>
            <w:pPr>
              <w:jc w:val="right"/>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752-760 Madison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21,124</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13,597</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4.5</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7.0</w:t>
            </w:r>
          </w:p>
        </w:tc>
        <w:tc>
          <w:tcPr>
            <w:tcW w:w="380" w:type="dxa"/>
            <w:vAlign w:val="bottom"/>
          </w:tcPr>
          <w:p>
            <w:pPr>
              <w:jc w:val="right"/>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40" w:type="dxa"/>
            <w:vAlign w:val="bottom"/>
            <w:gridSpan w:val="2"/>
          </w:tcPr>
          <w:p>
            <w:pPr>
              <w:ind w:left="20"/>
              <w:spacing w:after="0"/>
              <w:rPr>
                <w:sz w:val="20"/>
                <w:szCs w:val="20"/>
                <w:color w:val="auto"/>
              </w:rPr>
            </w:pPr>
            <w:r>
              <w:rPr>
                <w:rFonts w:ascii="Arial" w:cs="Arial" w:eastAsia="Arial" w:hAnsi="Arial"/>
                <w:sz w:val="7"/>
                <w:szCs w:val="7"/>
                <w:color w:val="auto"/>
                <w:w w:val="85"/>
              </w:rPr>
              <w:t>762</w:t>
            </w:r>
          </w:p>
        </w:tc>
        <w:tc>
          <w:tcPr>
            <w:tcW w:w="134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380" w:type="dxa"/>
            <w:vAlign w:val="bottom"/>
          </w:tcPr>
          <w:p>
            <w:pPr>
              <w:jc w:val="center"/>
              <w:spacing w:after="0"/>
              <w:rPr>
                <w:sz w:val="20"/>
                <w:szCs w:val="20"/>
                <w:color w:val="auto"/>
              </w:rPr>
            </w:pPr>
            <w:r>
              <w:rPr>
                <w:rFonts w:ascii="Arial" w:cs="Arial" w:eastAsia="Arial" w:hAnsi="Arial"/>
                <w:sz w:val="7"/>
                <w:szCs w:val="7"/>
                <w:color w:val="auto"/>
              </w:rPr>
              <w:t>90.0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Plaza District</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6,109</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1,787</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0.6</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380" w:type="dxa"/>
            <w:vAlign w:val="bottom"/>
          </w:tcPr>
          <w:p>
            <w:pPr>
              <w:jc w:val="right"/>
              <w:spacing w:after="0"/>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Williamsburg Terrace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Brooklyn, New York</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180"/>
              <w:spacing w:after="0"/>
              <w:rPr>
                <w:sz w:val="20"/>
                <w:szCs w:val="20"/>
                <w:color w:val="auto"/>
              </w:rPr>
            </w:pPr>
            <w:r>
              <w:rPr>
                <w:rFonts w:ascii="Arial" w:cs="Arial" w:eastAsia="Arial" w:hAnsi="Arial"/>
                <w:sz w:val="7"/>
                <w:szCs w:val="7"/>
                <w:color w:val="auto"/>
              </w:rPr>
              <w:t>1</w:t>
            </w:r>
          </w:p>
        </w:tc>
        <w:tc>
          <w:tcPr>
            <w:tcW w:w="320" w:type="dxa"/>
            <w:vAlign w:val="bottom"/>
            <w:gridSpan w:val="2"/>
          </w:tcPr>
          <w:p>
            <w:pPr>
              <w:jc w:val="right"/>
              <w:ind w:right="20"/>
              <w:spacing w:after="0"/>
              <w:rPr>
                <w:sz w:val="20"/>
                <w:szCs w:val="20"/>
                <w:color w:val="auto"/>
              </w:rPr>
            </w:pPr>
            <w:r>
              <w:rPr>
                <w:rFonts w:ascii="Arial" w:cs="Arial" w:eastAsia="Arial" w:hAnsi="Arial"/>
                <w:sz w:val="7"/>
                <w:szCs w:val="7"/>
                <w:color w:val="auto"/>
              </w:rPr>
              <w:t>52,000</w:t>
            </w:r>
          </w:p>
        </w:tc>
        <w:tc>
          <w:tcPr>
            <w:tcW w:w="80" w:type="dxa"/>
            <w:vAlign w:val="bottom"/>
          </w:tcPr>
          <w:p>
            <w:pPr>
              <w:spacing w:after="0"/>
              <w:rPr>
                <w:sz w:val="19"/>
                <w:szCs w:val="19"/>
                <w:color w:val="auto"/>
              </w:rPr>
            </w:pPr>
          </w:p>
        </w:tc>
        <w:tc>
          <w:tcPr>
            <w:tcW w:w="500" w:type="dxa"/>
            <w:vAlign w:val="bottom"/>
            <w:gridSpan w:val="3"/>
          </w:tcPr>
          <w:p>
            <w:pPr>
              <w:jc w:val="right"/>
              <w:ind w:right="100"/>
              <w:spacing w:after="0"/>
              <w:rPr>
                <w:sz w:val="20"/>
                <w:szCs w:val="20"/>
                <w:color w:val="auto"/>
              </w:rPr>
            </w:pPr>
            <w:r>
              <w:rPr>
                <w:rFonts w:ascii="Arial" w:cs="Arial" w:eastAsia="Arial" w:hAnsi="Arial"/>
                <w:sz w:val="7"/>
                <w:szCs w:val="7"/>
                <w:color w:val="auto"/>
              </w:rPr>
              <w:t>2.6</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ind w:right="4"/>
              <w:spacing w:after="0"/>
              <w:rPr>
                <w:sz w:val="20"/>
                <w:szCs w:val="20"/>
                <w:color w:val="auto"/>
              </w:rPr>
            </w:pPr>
            <w:r>
              <w:rPr>
                <w:rFonts w:ascii="Arial" w:cs="Arial" w:eastAsia="Arial" w:hAnsi="Arial"/>
                <w:sz w:val="7"/>
                <w:szCs w:val="7"/>
                <w:color w:val="auto"/>
              </w:rPr>
              <w:t>1,786</w:t>
            </w:r>
          </w:p>
        </w:tc>
        <w:tc>
          <w:tcPr>
            <w:tcW w:w="680" w:type="dxa"/>
            <w:vAlign w:val="bottom"/>
          </w:tcPr>
          <w:p>
            <w:pPr>
              <w:jc w:val="right"/>
              <w:ind w:right="124"/>
              <w:spacing w:after="0"/>
              <w:rPr>
                <w:sz w:val="20"/>
                <w:szCs w:val="20"/>
                <w:color w:val="auto"/>
              </w:rPr>
            </w:pPr>
            <w:r>
              <w:rPr>
                <w:rFonts w:ascii="Arial" w:cs="Arial" w:eastAsia="Arial" w:hAnsi="Arial"/>
                <w:sz w:val="7"/>
                <w:szCs w:val="7"/>
                <w:color w:val="auto"/>
              </w:rPr>
              <w:t>0.6</w:t>
            </w:r>
          </w:p>
        </w:tc>
        <w:tc>
          <w:tcPr>
            <w:tcW w:w="540" w:type="dxa"/>
            <w:vAlign w:val="bottom"/>
          </w:tcPr>
          <w:p>
            <w:pPr>
              <w:jc w:val="right"/>
              <w:ind w:right="64"/>
              <w:spacing w:after="0"/>
              <w:rPr>
                <w:sz w:val="20"/>
                <w:szCs w:val="20"/>
                <w:color w:val="auto"/>
              </w:rPr>
            </w:pPr>
            <w:r>
              <w:rPr>
                <w:rFonts w:ascii="Arial" w:cs="Arial" w:eastAsia="Arial" w:hAnsi="Arial"/>
                <w:sz w:val="7"/>
                <w:szCs w:val="7"/>
                <w:color w:val="auto"/>
              </w:rPr>
              <w:t>0.9</w:t>
            </w:r>
          </w:p>
        </w:tc>
        <w:tc>
          <w:tcPr>
            <w:tcW w:w="380" w:type="dxa"/>
            <w:vAlign w:val="bottom"/>
          </w:tcPr>
          <w:p>
            <w:pPr>
              <w:jc w:val="right"/>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460" w:type="dxa"/>
            <w:vAlign w:val="bottom"/>
            <w:gridSpan w:val="3"/>
          </w:tcPr>
          <w:p>
            <w:pPr>
              <w:spacing w:after="0"/>
              <w:rPr>
                <w:sz w:val="20"/>
                <w:szCs w:val="20"/>
                <w:color w:val="auto"/>
              </w:rPr>
            </w:pPr>
            <w:r>
              <w:rPr>
                <w:rFonts w:ascii="Arial" w:cs="Arial" w:eastAsia="Arial" w:hAnsi="Arial"/>
                <w:sz w:val="7"/>
                <w:szCs w:val="7"/>
                <w:color w:val="auto"/>
              </w:rPr>
              <w:t>1640 Flatbush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60" w:type="dxa"/>
            <w:vAlign w:val="bottom"/>
            <w:gridSpan w:val="3"/>
          </w:tcPr>
          <w:p>
            <w:pPr>
              <w:ind w:left="40"/>
              <w:spacing w:after="0"/>
              <w:rPr>
                <w:sz w:val="20"/>
                <w:szCs w:val="20"/>
                <w:color w:val="auto"/>
              </w:rPr>
            </w:pPr>
            <w:r>
              <w:rPr>
                <w:rFonts w:ascii="Arial" w:cs="Arial" w:eastAsia="Arial" w:hAnsi="Arial"/>
                <w:sz w:val="7"/>
                <w:szCs w:val="7"/>
                <w:color w:val="auto"/>
              </w:rPr>
              <w:t>Brooklyn, New York</w:t>
            </w:r>
          </w:p>
        </w:tc>
        <w:tc>
          <w:tcPr>
            <w:tcW w:w="920" w:type="dxa"/>
            <w:vAlign w:val="bottom"/>
            <w:gridSpan w:val="3"/>
          </w:tcPr>
          <w:p>
            <w:pPr>
              <w:ind w:left="180"/>
              <w:spacing w:after="0"/>
              <w:rPr>
                <w:sz w:val="20"/>
                <w:szCs w:val="20"/>
                <w:color w:val="auto"/>
              </w:rPr>
            </w:pPr>
            <w:r>
              <w:rPr>
                <w:rFonts w:ascii="Arial" w:cs="Arial" w:eastAsia="Arial" w:hAnsi="Arial"/>
                <w:sz w:val="7"/>
                <w:szCs w:val="7"/>
                <w:color w:val="auto"/>
              </w:rPr>
              <w:t>Fee Interest</w:t>
            </w:r>
          </w:p>
        </w:tc>
        <w:tc>
          <w:tcPr>
            <w:tcW w:w="50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7"/>
                <w:szCs w:val="7"/>
                <w:color w:val="auto"/>
              </w:rPr>
              <w:t>1</w:t>
            </w:r>
          </w:p>
        </w:tc>
        <w:tc>
          <w:tcPr>
            <w:tcW w:w="3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7"/>
                <w:szCs w:val="7"/>
                <w:color w:val="auto"/>
              </w:rPr>
              <w:t>—</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85</w:t>
            </w:r>
          </w:p>
        </w:tc>
        <w:tc>
          <w:tcPr>
            <w:tcW w:w="680" w:type="dxa"/>
            <w:vAlign w:val="bottom"/>
            <w:tcBorders>
              <w:bottom w:val="single" w:sz="8" w:color="auto"/>
            </w:tcBorders>
          </w:tcPr>
          <w:p>
            <w:pPr>
              <w:jc w:val="right"/>
              <w:ind w:right="124"/>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bl>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94"/>
        </w:trPr>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980" w:type="dxa"/>
            <w:vAlign w:val="bottom"/>
          </w:tcPr>
          <w:p>
            <w:pPr>
              <w:spacing w:after="0"/>
              <w:rPr>
                <w:sz w:val="20"/>
                <w:szCs w:val="20"/>
                <w:color w:val="auto"/>
              </w:rPr>
            </w:pPr>
            <w:r>
              <w:rPr>
                <w:rFonts w:ascii="Arial" w:cs="Arial" w:eastAsia="Arial" w:hAnsi="Arial"/>
                <w:sz w:val="7"/>
                <w:szCs w:val="7"/>
                <w:b w:val="1"/>
                <w:bCs w:val="1"/>
                <w:color w:val="auto"/>
              </w:rPr>
              <w:t>Subtotal / Weighted Average</w:t>
            </w:r>
          </w:p>
        </w:tc>
        <w:tc>
          <w:tcPr>
            <w:tcW w:w="9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13</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418,480</w:t>
            </w:r>
          </w:p>
        </w:tc>
        <w:tc>
          <w:tcPr>
            <w:tcW w:w="80" w:type="dxa"/>
            <w:vAlign w:val="bottom"/>
          </w:tcPr>
          <w:p>
            <w:pPr>
              <w:spacing w:after="0"/>
              <w:rPr>
                <w:sz w:val="8"/>
                <w:szCs w:val="8"/>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20.6%</w:t>
            </w:r>
          </w:p>
        </w:tc>
        <w:tc>
          <w:tcPr>
            <w:tcW w:w="80" w:type="dxa"/>
            <w:vAlign w:val="bottom"/>
          </w:tcPr>
          <w:p>
            <w:pPr>
              <w:spacing w:after="0"/>
              <w:rPr>
                <w:sz w:val="8"/>
                <w:szCs w:val="8"/>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88.6%</w:t>
            </w:r>
          </w:p>
        </w:tc>
        <w:tc>
          <w:tcPr>
            <w:tcW w:w="1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90.0%</w:t>
            </w:r>
          </w:p>
        </w:tc>
        <w:tc>
          <w:tcPr>
            <w:tcW w:w="100" w:type="dxa"/>
            <w:vAlign w:val="bottom"/>
          </w:tcPr>
          <w:p>
            <w:pPr>
              <w:spacing w:after="0"/>
              <w:rPr>
                <w:sz w:val="8"/>
                <w:szCs w:val="8"/>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90.5%</w:t>
            </w:r>
          </w:p>
        </w:tc>
        <w:tc>
          <w:tcPr>
            <w:tcW w:w="100" w:type="dxa"/>
            <w:vAlign w:val="bottom"/>
          </w:tcPr>
          <w:p>
            <w:pPr>
              <w:spacing w:after="0"/>
              <w:rPr>
                <w:sz w:val="8"/>
                <w:szCs w:val="8"/>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92.5%</w:t>
            </w:r>
          </w:p>
        </w:tc>
        <w:tc>
          <w:tcPr>
            <w:tcW w:w="80" w:type="dxa"/>
            <w:vAlign w:val="bottom"/>
          </w:tcPr>
          <w:p>
            <w:pPr>
              <w:spacing w:after="0"/>
              <w:rPr>
                <w:sz w:val="8"/>
                <w:szCs w:val="8"/>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95.3%</w:t>
            </w:r>
          </w:p>
        </w:tc>
        <w:tc>
          <w:tcPr>
            <w:tcW w:w="80" w:type="dxa"/>
            <w:vAlign w:val="bottom"/>
          </w:tcPr>
          <w:p>
            <w:pPr>
              <w:spacing w:after="0"/>
              <w:rPr>
                <w:sz w:val="8"/>
                <w:szCs w:val="8"/>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b w:val="1"/>
                <w:bCs w:val="1"/>
                <w:color w:val="auto"/>
              </w:rPr>
              <w:t>$36,214</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11.9%</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18.4%</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56</w:t>
            </w:r>
          </w:p>
        </w:tc>
      </w:tr>
      <w:tr>
        <w:trPr>
          <w:trHeight w:val="323"/>
        </w:trPr>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HIGH STREET RETAIL - Unconsolidated Properties</w:t>
            </w: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3"/>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11 West 34th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30.0</w:t>
            </w:r>
          </w:p>
        </w:tc>
        <w:tc>
          <w:tcPr>
            <w:tcW w:w="960" w:type="dxa"/>
            <w:vAlign w:val="bottom"/>
          </w:tcPr>
          <w:p>
            <w:pPr>
              <w:spacing w:after="0"/>
              <w:rPr>
                <w:sz w:val="20"/>
                <w:szCs w:val="20"/>
                <w:color w:val="auto"/>
              </w:rPr>
            </w:pPr>
            <w:r>
              <w:rPr>
                <w:rFonts w:ascii="Arial" w:cs="Arial" w:eastAsia="Arial" w:hAnsi="Arial"/>
                <w:sz w:val="7"/>
                <w:szCs w:val="7"/>
                <w:color w:val="auto"/>
              </w:rPr>
              <w:t>Herald Square/Penn Station</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17,150</w:t>
            </w:r>
          </w:p>
        </w:tc>
        <w:tc>
          <w:tcPr>
            <w:tcW w:w="80" w:type="dxa"/>
            <w:vAlign w:val="bottom"/>
          </w:tcPr>
          <w:p>
            <w:pPr>
              <w:spacing w:after="0"/>
              <w:rPr>
                <w:sz w:val="17"/>
                <w:szCs w:val="17"/>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$2,648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0.4</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21 East 66th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32.3</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13,069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0.6</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3,728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0.6</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121</w:t>
            </w:r>
          </w:p>
        </w:tc>
        <w:tc>
          <w:tcPr>
            <w:tcW w:w="840" w:type="dxa"/>
            <w:vAlign w:val="bottom"/>
          </w:tcPr>
          <w:p>
            <w:pPr>
              <w:ind w:left="20"/>
              <w:spacing w:after="0"/>
              <w:rPr>
                <w:sz w:val="20"/>
                <w:szCs w:val="20"/>
                <w:color w:val="auto"/>
              </w:rPr>
            </w:pPr>
            <w:r>
              <w:rPr>
                <w:rFonts w:ascii="Arial" w:cs="Arial" w:eastAsia="Arial" w:hAnsi="Arial"/>
                <w:sz w:val="7"/>
                <w:szCs w:val="7"/>
                <w:color w:val="auto"/>
              </w:rPr>
              <w:t>Greene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Soho</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7,131</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0.4</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1,459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0.5</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0.4</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131-137 Spring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20.0</w:t>
            </w:r>
          </w:p>
        </w:tc>
        <w:tc>
          <w:tcPr>
            <w:tcW w:w="960" w:type="dxa"/>
            <w:vAlign w:val="bottom"/>
          </w:tcPr>
          <w:p>
            <w:pPr>
              <w:spacing w:after="0"/>
              <w:rPr>
                <w:sz w:val="20"/>
                <w:szCs w:val="20"/>
                <w:color w:val="auto"/>
              </w:rPr>
            </w:pPr>
            <w:r>
              <w:rPr>
                <w:rFonts w:ascii="Arial" w:cs="Arial" w:eastAsia="Arial" w:hAnsi="Arial"/>
                <w:sz w:val="7"/>
                <w:szCs w:val="7"/>
                <w:color w:val="auto"/>
              </w:rPr>
              <w:t>Soho</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2</w:t>
            </w:r>
          </w:p>
        </w:tc>
        <w:tc>
          <w:tcPr>
            <w:tcW w:w="400" w:type="dxa"/>
            <w:vAlign w:val="bottom"/>
          </w:tcPr>
          <w:p>
            <w:pPr>
              <w:jc w:val="right"/>
              <w:spacing w:after="0"/>
              <w:rPr>
                <w:sz w:val="20"/>
                <w:szCs w:val="20"/>
                <w:color w:val="auto"/>
              </w:rPr>
            </w:pPr>
            <w:r>
              <w:rPr>
                <w:rFonts w:ascii="Arial" w:cs="Arial" w:eastAsia="Arial" w:hAnsi="Arial"/>
                <w:sz w:val="7"/>
                <w:szCs w:val="7"/>
                <w:color w:val="auto"/>
              </w:rPr>
              <w:t>68,342</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3.4</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12,024</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4.0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1.2</w:t>
            </w:r>
          </w:p>
        </w:tc>
        <w:tc>
          <w:tcPr>
            <w:tcW w:w="280" w:type="dxa"/>
            <w:vAlign w:val="bottom"/>
          </w:tcPr>
          <w:p>
            <w:pPr>
              <w:jc w:val="right"/>
              <w:spacing w:after="0"/>
              <w:rPr>
                <w:sz w:val="20"/>
                <w:szCs w:val="20"/>
                <w:color w:val="auto"/>
              </w:rPr>
            </w:pPr>
            <w:r>
              <w:rPr>
                <w:rFonts w:ascii="Arial" w:cs="Arial" w:eastAsia="Arial" w:hAnsi="Arial"/>
                <w:sz w:val="7"/>
                <w:szCs w:val="7"/>
                <w:color w:val="auto"/>
              </w:rPr>
              <w:t>9</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650</w:t>
            </w:r>
          </w:p>
        </w:tc>
        <w:tc>
          <w:tcPr>
            <w:tcW w:w="84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32,324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1.6</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10.5</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1,352</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0.4</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0.3</w:t>
            </w:r>
          </w:p>
        </w:tc>
        <w:tc>
          <w:tcPr>
            <w:tcW w:w="280" w:type="dxa"/>
            <w:vAlign w:val="bottom"/>
          </w:tcPr>
          <w:p>
            <w:pPr>
              <w:jc w:val="right"/>
              <w:spacing w:after="0"/>
              <w:rPr>
                <w:sz w:val="20"/>
                <w:szCs w:val="20"/>
                <w:color w:val="auto"/>
              </w:rPr>
            </w:pPr>
            <w:r>
              <w:rPr>
                <w:rFonts w:ascii="Arial" w:cs="Arial" w:eastAsia="Arial" w:hAnsi="Arial"/>
                <w:sz w:val="7"/>
                <w:szCs w:val="7"/>
                <w:color w:val="auto"/>
              </w:rPr>
              <w:t>3</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717</w:t>
            </w:r>
          </w:p>
        </w:tc>
        <w:tc>
          <w:tcPr>
            <w:tcW w:w="84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10.9</w:t>
            </w:r>
          </w:p>
        </w:tc>
        <w:tc>
          <w:tcPr>
            <w:tcW w:w="960" w:type="dxa"/>
            <w:vAlign w:val="bottom"/>
          </w:tcPr>
          <w:p>
            <w:pPr>
              <w:spacing w:after="0"/>
              <w:rPr>
                <w:sz w:val="20"/>
                <w:szCs w:val="20"/>
                <w:color w:val="auto"/>
              </w:rPr>
            </w:pPr>
            <w:r>
              <w:rPr>
                <w:rFonts w:ascii="Arial" w:cs="Arial" w:eastAsia="Arial" w:hAnsi="Arial"/>
                <w:sz w:val="7"/>
                <w:szCs w:val="7"/>
                <w:color w:val="auto"/>
              </w:rPr>
              <w:t>Midtown/Plaza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119,550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5.9</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81.1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81.1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85.0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85.0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42,383</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14.0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2.4</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724</w:t>
            </w:r>
          </w:p>
        </w:tc>
        <w:tc>
          <w:tcPr>
            <w:tcW w:w="84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65,010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3.2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97.0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90.1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83.1</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83.1</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24,111</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7.9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6.2</w:t>
            </w:r>
          </w:p>
        </w:tc>
        <w:tc>
          <w:tcPr>
            <w:tcW w:w="28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225"/>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1552-1560 Broadway</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50.0</w:t>
            </w:r>
          </w:p>
        </w:tc>
        <w:tc>
          <w:tcPr>
            <w:tcW w:w="960" w:type="dxa"/>
            <w:vAlign w:val="bottom"/>
          </w:tcPr>
          <w:p>
            <w:pPr>
              <w:spacing w:after="0"/>
              <w:rPr>
                <w:sz w:val="20"/>
                <w:szCs w:val="20"/>
                <w:color w:val="auto"/>
              </w:rPr>
            </w:pPr>
            <w:r>
              <w:rPr>
                <w:rFonts w:ascii="Arial" w:cs="Arial" w:eastAsia="Arial" w:hAnsi="Arial"/>
                <w:sz w:val="7"/>
                <w:szCs w:val="7"/>
                <w:color w:val="auto"/>
              </w:rPr>
              <w:t>Times Square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57,718</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2.8</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67.5</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67.5</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24,324</w:t>
            </w: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7"/>
                <w:szCs w:val="7"/>
                <w:color w:val="auto"/>
              </w:rPr>
              <w:t>8.0</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w:t>
            </w:r>
          </w:p>
        </w:tc>
      </w:tr>
      <w:tr>
        <w:trPr>
          <w:trHeight w:val="301"/>
        </w:trPr>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7"/>
                <w:szCs w:val="7"/>
                <w:b w:val="1"/>
                <w:bCs w:val="1"/>
                <w:color w:val="auto"/>
              </w:rPr>
              <w:t>Subtotal / Weighted Average</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10</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380,294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18.7%</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79.9%</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78.7%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78.8%</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78.8%</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79.9%</w:t>
            </w:r>
          </w:p>
        </w:tc>
        <w:tc>
          <w:tcPr>
            <w:tcW w:w="80" w:type="dxa"/>
            <w:vAlign w:val="bottom"/>
          </w:tcPr>
          <w:p>
            <w:pPr>
              <w:spacing w:after="0"/>
              <w:rPr>
                <w:sz w:val="24"/>
                <w:szCs w:val="24"/>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b w:val="1"/>
                <w:bCs w:val="1"/>
                <w:color w:val="auto"/>
              </w:rPr>
              <w:t>$112,028</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36.9%</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17.7%</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33</w:t>
            </w:r>
          </w:p>
        </w:tc>
      </w:tr>
      <w:tr>
        <w:trPr>
          <w:trHeight w:val="317"/>
        </w:trPr>
        <w:tc>
          <w:tcPr>
            <w:tcW w:w="1960" w:type="dxa"/>
            <w:vAlign w:val="bottom"/>
            <w:gridSpan w:val="3"/>
          </w:tcPr>
          <w:p>
            <w:pPr>
              <w:ind w:left="20"/>
              <w:spacing w:after="0"/>
              <w:rPr>
                <w:sz w:val="20"/>
                <w:szCs w:val="20"/>
                <w:color w:val="auto"/>
              </w:rPr>
            </w:pPr>
            <w:r>
              <w:rPr>
                <w:rFonts w:ascii="Arial" w:cs="Arial" w:eastAsia="Arial" w:hAnsi="Arial"/>
                <w:sz w:val="7"/>
                <w:szCs w:val="7"/>
                <w:b w:val="1"/>
                <w:bCs w:val="1"/>
                <w:color w:val="auto"/>
              </w:rPr>
              <w:t>Total / Weighted Average Prime Retail</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23</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798,774</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39.3%</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84.5%</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84.7%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84.9%</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85.9%</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87.9%</w:t>
            </w:r>
          </w:p>
        </w:tc>
        <w:tc>
          <w:tcPr>
            <w:tcW w:w="80" w:type="dxa"/>
            <w:vAlign w:val="bottom"/>
          </w:tcPr>
          <w:p>
            <w:pPr>
              <w:spacing w:after="0"/>
              <w:rPr>
                <w:sz w:val="24"/>
                <w:szCs w:val="24"/>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b w:val="1"/>
                <w:bCs w:val="1"/>
                <w:color w:val="auto"/>
              </w:rPr>
              <w:t>$148,243</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48.9%</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36.1%</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89</w:t>
            </w:r>
          </w:p>
        </w:tc>
      </w:tr>
      <w:tr>
        <w:trPr>
          <w:trHeight w:val="122"/>
        </w:trPr>
        <w:tc>
          <w:tcPr>
            <w:tcW w:w="1960" w:type="dxa"/>
            <w:vAlign w:val="bottom"/>
            <w:tcBorders>
              <w:bottom w:val="single" w:sz="8" w:color="auto"/>
            </w:tcBorders>
            <w:gridSpan w:val="3"/>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r>
      <w:tr>
        <w:trPr>
          <w:trHeight w:val="312"/>
        </w:trPr>
        <w:tc>
          <w:tcPr>
            <w:tcW w:w="1960" w:type="dxa"/>
            <w:vAlign w:val="bottom"/>
            <w:tcBorders>
              <w:bottom w:val="single" w:sz="8" w:color="auto"/>
            </w:tcBorders>
            <w:gridSpan w:val="3"/>
          </w:tcPr>
          <w:p>
            <w:pPr>
              <w:ind w:left="20"/>
              <w:spacing w:after="0"/>
              <w:rPr>
                <w:sz w:val="20"/>
                <w:szCs w:val="20"/>
                <w:color w:val="auto"/>
              </w:rPr>
            </w:pPr>
            <w:r>
              <w:rPr>
                <w:rFonts w:ascii="Arial" w:cs="Arial" w:eastAsia="Arial" w:hAnsi="Arial"/>
                <w:sz w:val="7"/>
                <w:szCs w:val="7"/>
                <w:b w:val="1"/>
                <w:bCs w:val="1"/>
                <w:color w:val="auto"/>
              </w:rPr>
              <w:t>OTHER RETAIL - Consolidated Properties</w:t>
            </w:r>
          </w:p>
        </w:tc>
        <w:tc>
          <w:tcPr>
            <w:tcW w:w="9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r>
      <w:tr>
        <w:trPr>
          <w:trHeight w:val="203"/>
        </w:trPr>
        <w:tc>
          <w:tcPr>
            <w:tcW w:w="140" w:type="dxa"/>
            <w:vAlign w:val="bottom"/>
          </w:tcPr>
          <w:p>
            <w:pPr>
              <w:ind w:left="20"/>
              <w:spacing w:after="0"/>
              <w:rPr>
                <w:sz w:val="20"/>
                <w:szCs w:val="20"/>
                <w:color w:val="auto"/>
              </w:rPr>
            </w:pPr>
            <w:r>
              <w:rPr>
                <w:rFonts w:ascii="Arial" w:cs="Arial" w:eastAsia="Arial" w:hAnsi="Arial"/>
                <w:sz w:val="7"/>
                <w:szCs w:val="7"/>
                <w:color w:val="auto"/>
                <w:w w:val="85"/>
              </w:rPr>
              <w:t>100</w:t>
            </w:r>
          </w:p>
        </w:tc>
        <w:tc>
          <w:tcPr>
            <w:tcW w:w="840" w:type="dxa"/>
            <w:vAlign w:val="bottom"/>
          </w:tcPr>
          <w:p>
            <w:pPr>
              <w:ind w:left="20"/>
              <w:spacing w:after="0"/>
              <w:rPr>
                <w:sz w:val="20"/>
                <w:szCs w:val="20"/>
                <w:color w:val="auto"/>
              </w:rPr>
            </w:pPr>
            <w:r>
              <w:rPr>
                <w:rFonts w:ascii="Arial" w:cs="Arial" w:eastAsia="Arial" w:hAnsi="Arial"/>
                <w:sz w:val="7"/>
                <w:szCs w:val="7"/>
                <w:color w:val="auto"/>
              </w:rPr>
              <w:t>Church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Downtown</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49,992</w:t>
            </w:r>
          </w:p>
        </w:tc>
        <w:tc>
          <w:tcPr>
            <w:tcW w:w="80" w:type="dxa"/>
            <w:vAlign w:val="bottom"/>
          </w:tcPr>
          <w:p>
            <w:pPr>
              <w:spacing w:after="0"/>
              <w:rPr>
                <w:sz w:val="17"/>
                <w:szCs w:val="17"/>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2.5</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$2,815</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1.4</w:t>
            </w:r>
          </w:p>
        </w:tc>
        <w:tc>
          <w:tcPr>
            <w:tcW w:w="280" w:type="dxa"/>
            <w:vAlign w:val="bottom"/>
          </w:tcPr>
          <w:p>
            <w:pPr>
              <w:jc w:val="right"/>
              <w:spacing w:after="0"/>
              <w:rPr>
                <w:sz w:val="20"/>
                <w:szCs w:val="20"/>
                <w:color w:val="auto"/>
              </w:rPr>
            </w:pPr>
            <w:r>
              <w:rPr>
                <w:rFonts w:ascii="Arial" w:cs="Arial" w:eastAsia="Arial" w:hAnsi="Arial"/>
                <w:sz w:val="7"/>
                <w:szCs w:val="7"/>
                <w:color w:val="auto"/>
              </w:rPr>
              <w:t>6</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110</w:t>
            </w:r>
          </w:p>
        </w:tc>
        <w:tc>
          <w:tcPr>
            <w:tcW w:w="840" w:type="dxa"/>
            <w:vAlign w:val="bottom"/>
          </w:tcPr>
          <w:p>
            <w:pPr>
              <w:ind w:left="20"/>
              <w:spacing w:after="0"/>
              <w:rPr>
                <w:sz w:val="20"/>
                <w:szCs w:val="20"/>
                <w:color w:val="auto"/>
              </w:rPr>
            </w:pPr>
            <w:r>
              <w:rPr>
                <w:rFonts w:ascii="Arial" w:cs="Arial" w:eastAsia="Arial" w:hAnsi="Arial"/>
                <w:sz w:val="7"/>
                <w:szCs w:val="7"/>
                <w:color w:val="auto"/>
              </w:rPr>
              <w:t>Greene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90.0</w:t>
            </w:r>
          </w:p>
        </w:tc>
        <w:tc>
          <w:tcPr>
            <w:tcW w:w="960" w:type="dxa"/>
            <w:vAlign w:val="bottom"/>
          </w:tcPr>
          <w:p>
            <w:pPr>
              <w:spacing w:after="0"/>
              <w:rPr>
                <w:sz w:val="20"/>
                <w:szCs w:val="20"/>
                <w:color w:val="auto"/>
              </w:rPr>
            </w:pPr>
            <w:r>
              <w:rPr>
                <w:rFonts w:ascii="Arial" w:cs="Arial" w:eastAsia="Arial" w:hAnsi="Arial"/>
                <w:sz w:val="7"/>
                <w:szCs w:val="7"/>
                <w:color w:val="auto"/>
              </w:rPr>
              <w:t>Soho</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16,121</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2,897</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1.3</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125</w:t>
            </w:r>
          </w:p>
        </w:tc>
        <w:tc>
          <w:tcPr>
            <w:tcW w:w="840" w:type="dxa"/>
            <w:vAlign w:val="bottom"/>
          </w:tcPr>
          <w:p>
            <w:pPr>
              <w:ind w:left="20"/>
              <w:spacing w:after="0"/>
              <w:rPr>
                <w:sz w:val="20"/>
                <w:szCs w:val="20"/>
                <w:color w:val="auto"/>
              </w:rPr>
            </w:pPr>
            <w:r>
              <w:rPr>
                <w:rFonts w:ascii="Arial" w:cs="Arial" w:eastAsia="Arial" w:hAnsi="Arial"/>
                <w:sz w:val="7"/>
                <w:szCs w:val="7"/>
                <w:color w:val="auto"/>
              </w:rPr>
              <w:t>Park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32,124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1.6</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68.4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64.3</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4,668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1.5</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2.4</w:t>
            </w:r>
          </w:p>
        </w:tc>
        <w:tc>
          <w:tcPr>
            <w:tcW w:w="280" w:type="dxa"/>
            <w:vAlign w:val="bottom"/>
          </w:tcPr>
          <w:p>
            <w:pPr>
              <w:jc w:val="right"/>
              <w:spacing w:after="0"/>
              <w:rPr>
                <w:sz w:val="20"/>
                <w:szCs w:val="20"/>
                <w:color w:val="auto"/>
              </w:rPr>
            </w:pPr>
            <w:r>
              <w:rPr>
                <w:rFonts w:ascii="Arial" w:cs="Arial" w:eastAsia="Arial" w:hAnsi="Arial"/>
                <w:sz w:val="7"/>
                <w:szCs w:val="7"/>
                <w:color w:val="auto"/>
              </w:rPr>
              <w:t>6</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220</w:t>
            </w:r>
          </w:p>
        </w:tc>
        <w:tc>
          <w:tcPr>
            <w:tcW w:w="84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35,332</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1.7</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59.0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77.6</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84.3</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96.5</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1,720</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0.6</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0.9</w:t>
            </w:r>
          </w:p>
        </w:tc>
        <w:tc>
          <w:tcPr>
            <w:tcW w:w="280" w:type="dxa"/>
            <w:vAlign w:val="bottom"/>
          </w:tcPr>
          <w:p>
            <w:pPr>
              <w:jc w:val="right"/>
              <w:spacing w:after="0"/>
              <w:rPr>
                <w:sz w:val="20"/>
                <w:szCs w:val="20"/>
                <w:color w:val="auto"/>
              </w:rPr>
            </w:pPr>
            <w:r>
              <w:rPr>
                <w:rFonts w:ascii="Arial" w:cs="Arial" w:eastAsia="Arial" w:hAnsi="Arial"/>
                <w:sz w:val="7"/>
                <w:szCs w:val="7"/>
                <w:color w:val="auto"/>
              </w:rPr>
              <w:t>3</w:t>
            </w:r>
          </w:p>
        </w:tc>
      </w:tr>
      <w:tr>
        <w:trPr>
          <w:trHeight w:val="219"/>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Upper East Side Residential</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95.1</w:t>
            </w:r>
          </w:p>
        </w:tc>
        <w:tc>
          <w:tcPr>
            <w:tcW w:w="960" w:type="dxa"/>
            <w:vAlign w:val="bottom"/>
          </w:tcPr>
          <w:p>
            <w:pPr>
              <w:spacing w:after="0"/>
              <w:rPr>
                <w:sz w:val="20"/>
                <w:szCs w:val="20"/>
                <w:color w:val="auto"/>
              </w:rPr>
            </w:pPr>
            <w:r>
              <w:rPr>
                <w:rFonts w:ascii="Arial" w:cs="Arial" w:eastAsia="Arial" w:hAnsi="Arial"/>
                <w:sz w:val="7"/>
                <w:szCs w:val="7"/>
                <w:color w:val="auto"/>
              </w:rPr>
              <w:t>Upper East Side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4,150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88.0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451</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0.2</w:t>
            </w:r>
          </w:p>
        </w:tc>
        <w:tc>
          <w:tcPr>
            <w:tcW w:w="28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304</w:t>
            </w:r>
          </w:p>
        </w:tc>
        <w:tc>
          <w:tcPr>
            <w:tcW w:w="840" w:type="dxa"/>
            <w:vAlign w:val="bottom"/>
          </w:tcPr>
          <w:p>
            <w:pPr>
              <w:ind w:left="20"/>
              <w:spacing w:after="0"/>
              <w:rPr>
                <w:sz w:val="20"/>
                <w:szCs w:val="20"/>
                <w:color w:val="auto"/>
              </w:rPr>
            </w:pPr>
            <w:r>
              <w:rPr>
                <w:rFonts w:ascii="Arial" w:cs="Arial" w:eastAsia="Arial" w:hAnsi="Arial"/>
                <w:sz w:val="7"/>
                <w:szCs w:val="7"/>
                <w:color w:val="auto"/>
              </w:rPr>
              <w:t>Park Avenue South</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South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25,330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3,319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1.7</w:t>
            </w:r>
          </w:p>
        </w:tc>
        <w:tc>
          <w:tcPr>
            <w:tcW w:w="280" w:type="dxa"/>
            <w:vAlign w:val="bottom"/>
          </w:tcPr>
          <w:p>
            <w:pPr>
              <w:jc w:val="right"/>
              <w:spacing w:after="0"/>
              <w:rPr>
                <w:sz w:val="20"/>
                <w:szCs w:val="20"/>
                <w:color w:val="auto"/>
              </w:rPr>
            </w:pPr>
            <w:r>
              <w:rPr>
                <w:rFonts w:ascii="Arial" w:cs="Arial" w:eastAsia="Arial" w:hAnsi="Arial"/>
                <w:sz w:val="7"/>
                <w:szCs w:val="7"/>
                <w:color w:val="auto"/>
              </w:rPr>
              <w:t>6</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400</w:t>
            </w:r>
          </w:p>
        </w:tc>
        <w:tc>
          <w:tcPr>
            <w:tcW w:w="840" w:type="dxa"/>
            <w:vAlign w:val="bottom"/>
          </w:tcPr>
          <w:p>
            <w:pPr>
              <w:ind w:left="20"/>
              <w:spacing w:after="0"/>
              <w:rPr>
                <w:sz w:val="20"/>
                <w:szCs w:val="20"/>
                <w:color w:val="auto"/>
              </w:rPr>
            </w:pPr>
            <w:r>
              <w:rPr>
                <w:rFonts w:ascii="Arial" w:cs="Arial" w:eastAsia="Arial" w:hAnsi="Arial"/>
                <w:sz w:val="7"/>
                <w:szCs w:val="7"/>
                <w:color w:val="auto"/>
              </w:rPr>
              <w:t>East 57th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90.0</w:t>
            </w:r>
          </w:p>
        </w:tc>
        <w:tc>
          <w:tcPr>
            <w:tcW w:w="960" w:type="dxa"/>
            <w:vAlign w:val="bottom"/>
          </w:tcPr>
          <w:p>
            <w:pPr>
              <w:spacing w:after="0"/>
              <w:rPr>
                <w:sz w:val="20"/>
                <w:szCs w:val="20"/>
                <w:color w:val="auto"/>
              </w:rPr>
            </w:pPr>
            <w:r>
              <w:rPr>
                <w:rFonts w:ascii="Arial" w:cs="Arial" w:eastAsia="Arial" w:hAnsi="Arial"/>
                <w:sz w:val="7"/>
                <w:szCs w:val="7"/>
                <w:color w:val="auto"/>
              </w:rPr>
              <w:t>Upper East Side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13,772</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49.2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49.2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55.4</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55.4</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55.4</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1,422</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0.5</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0.7</w:t>
            </w:r>
          </w:p>
        </w:tc>
        <w:tc>
          <w:tcPr>
            <w:tcW w:w="280" w:type="dxa"/>
            <w:vAlign w:val="bottom"/>
          </w:tcPr>
          <w:p>
            <w:pPr>
              <w:jc w:val="right"/>
              <w:spacing w:after="0"/>
              <w:rPr>
                <w:sz w:val="20"/>
                <w:szCs w:val="20"/>
                <w:color w:val="auto"/>
              </w:rPr>
            </w:pPr>
            <w:r>
              <w:rPr>
                <w:rFonts w:ascii="Arial" w:cs="Arial" w:eastAsia="Arial" w:hAnsi="Arial"/>
                <w:sz w:val="7"/>
                <w:szCs w:val="7"/>
                <w:color w:val="auto"/>
              </w:rPr>
              <w:t>8</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400</w:t>
            </w:r>
          </w:p>
        </w:tc>
        <w:tc>
          <w:tcPr>
            <w:tcW w:w="840" w:type="dxa"/>
            <w:vAlign w:val="bottom"/>
          </w:tcPr>
          <w:p>
            <w:pPr>
              <w:ind w:left="20"/>
              <w:spacing w:after="0"/>
              <w:rPr>
                <w:sz w:val="20"/>
                <w:szCs w:val="20"/>
                <w:color w:val="auto"/>
              </w:rPr>
            </w:pPr>
            <w:r>
              <w:rPr>
                <w:rFonts w:ascii="Arial" w:cs="Arial" w:eastAsia="Arial" w:hAnsi="Arial"/>
                <w:sz w:val="7"/>
                <w:szCs w:val="7"/>
                <w:color w:val="auto"/>
              </w:rPr>
              <w:t>East 58th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90.0</w:t>
            </w:r>
          </w:p>
        </w:tc>
        <w:tc>
          <w:tcPr>
            <w:tcW w:w="960" w:type="dxa"/>
            <w:vAlign w:val="bottom"/>
          </w:tcPr>
          <w:p>
            <w:pPr>
              <w:spacing w:after="0"/>
              <w:rPr>
                <w:sz w:val="20"/>
                <w:szCs w:val="20"/>
                <w:color w:val="auto"/>
              </w:rPr>
            </w:pPr>
            <w:r>
              <w:rPr>
                <w:rFonts w:ascii="Arial" w:cs="Arial" w:eastAsia="Arial" w:hAnsi="Arial"/>
                <w:sz w:val="7"/>
                <w:szCs w:val="7"/>
                <w:color w:val="auto"/>
              </w:rPr>
              <w:t>Upper East Side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3,156</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543</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0.2</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420</w:t>
            </w:r>
          </w:p>
        </w:tc>
        <w:tc>
          <w:tcPr>
            <w:tcW w:w="840" w:type="dxa"/>
            <w:vAlign w:val="bottom"/>
          </w:tcPr>
          <w:p>
            <w:pPr>
              <w:ind w:left="20"/>
              <w:spacing w:after="0"/>
              <w:rPr>
                <w:sz w:val="20"/>
                <w:szCs w:val="20"/>
                <w:color w:val="auto"/>
              </w:rPr>
            </w:pPr>
            <w:r>
              <w:rPr>
                <w:rFonts w:ascii="Arial" w:cs="Arial" w:eastAsia="Arial" w:hAnsi="Arial"/>
                <w:sz w:val="7"/>
                <w:szCs w:val="7"/>
                <w:color w:val="auto"/>
              </w:rPr>
              <w:t>Lexington Ave (Graybar)</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49,375</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2.4</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96.8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3,894</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1.3</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2.0</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461</w:t>
            </w:r>
          </w:p>
        </w:tc>
        <w:tc>
          <w:tcPr>
            <w:tcW w:w="84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16,248</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2,094</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0.7</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1.1</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485</w:t>
            </w:r>
          </w:p>
        </w:tc>
        <w:tc>
          <w:tcPr>
            <w:tcW w:w="84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45,394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62.1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62.1</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62.1</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3,252</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1.7</w:t>
            </w:r>
          </w:p>
        </w:tc>
        <w:tc>
          <w:tcPr>
            <w:tcW w:w="28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555</w:t>
            </w:r>
          </w:p>
        </w:tc>
        <w:tc>
          <w:tcPr>
            <w:tcW w:w="840" w:type="dxa"/>
            <w:vAlign w:val="bottom"/>
          </w:tcPr>
          <w:p>
            <w:pPr>
              <w:ind w:left="20"/>
              <w:spacing w:after="0"/>
              <w:rPr>
                <w:sz w:val="20"/>
                <w:szCs w:val="20"/>
                <w:color w:val="auto"/>
              </w:rPr>
            </w:pPr>
            <w:r>
              <w:rPr>
                <w:rFonts w:ascii="Arial" w:cs="Arial" w:eastAsia="Arial" w:hAnsi="Arial"/>
                <w:sz w:val="7"/>
                <w:szCs w:val="7"/>
                <w:color w:val="auto"/>
              </w:rPr>
              <w:t>West 57th Street</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West</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60,389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3.0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1,880</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0.6</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600</w:t>
            </w:r>
          </w:p>
        </w:tc>
        <w:tc>
          <w:tcPr>
            <w:tcW w:w="84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4,264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830</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0.3</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0.4</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609</w:t>
            </w:r>
          </w:p>
        </w:tc>
        <w:tc>
          <w:tcPr>
            <w:tcW w:w="84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Rockefeller Center</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46,019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2.3</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9,545</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3.1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4.9</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625</w:t>
            </w:r>
          </w:p>
        </w:tc>
        <w:tc>
          <w:tcPr>
            <w:tcW w:w="84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Plaza District</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74,937</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3.7</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90.6</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89.3</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89.3</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21,912</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7.2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11.2</w:t>
            </w:r>
          </w:p>
        </w:tc>
        <w:tc>
          <w:tcPr>
            <w:tcW w:w="280" w:type="dxa"/>
            <w:vAlign w:val="bottom"/>
          </w:tcPr>
          <w:p>
            <w:pPr>
              <w:jc w:val="right"/>
              <w:spacing w:after="0"/>
              <w:rPr>
                <w:sz w:val="20"/>
                <w:szCs w:val="20"/>
                <w:color w:val="auto"/>
              </w:rPr>
            </w:pPr>
            <w:r>
              <w:rPr>
                <w:rFonts w:ascii="Arial" w:cs="Arial" w:eastAsia="Arial" w:hAnsi="Arial"/>
                <w:sz w:val="7"/>
                <w:szCs w:val="7"/>
                <w:color w:val="auto"/>
              </w:rPr>
              <w:t>18</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635</w:t>
            </w:r>
          </w:p>
        </w:tc>
        <w:tc>
          <w:tcPr>
            <w:tcW w:w="840" w:type="dxa"/>
            <w:vAlign w:val="bottom"/>
          </w:tcPr>
          <w:p>
            <w:pPr>
              <w:ind w:left="20"/>
              <w:spacing w:after="0"/>
              <w:rPr>
                <w:sz w:val="20"/>
                <w:szCs w:val="20"/>
                <w:color w:val="auto"/>
              </w:rPr>
            </w:pPr>
            <w:r>
              <w:rPr>
                <w:rFonts w:ascii="Arial" w:cs="Arial" w:eastAsia="Arial" w:hAnsi="Arial"/>
                <w:sz w:val="7"/>
                <w:szCs w:val="7"/>
                <w:color w:val="auto"/>
              </w:rPr>
              <w:t>Sixth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South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23,250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1.1</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3,119</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1.6</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641</w:t>
            </w:r>
          </w:p>
        </w:tc>
        <w:tc>
          <w:tcPr>
            <w:tcW w:w="840" w:type="dxa"/>
            <w:vAlign w:val="bottom"/>
          </w:tcPr>
          <w:p>
            <w:pPr>
              <w:ind w:left="20"/>
              <w:spacing w:after="0"/>
              <w:rPr>
                <w:sz w:val="20"/>
                <w:szCs w:val="20"/>
                <w:color w:val="auto"/>
              </w:rPr>
            </w:pPr>
            <w:r>
              <w:rPr>
                <w:rFonts w:ascii="Arial" w:cs="Arial" w:eastAsia="Arial" w:hAnsi="Arial"/>
                <w:sz w:val="7"/>
                <w:szCs w:val="7"/>
                <w:color w:val="auto"/>
              </w:rPr>
              <w:t>Sixth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Midtown South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28,500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3,388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1.7</w:t>
            </w:r>
          </w:p>
        </w:tc>
        <w:tc>
          <w:tcPr>
            <w:tcW w:w="280" w:type="dxa"/>
            <w:vAlign w:val="bottom"/>
          </w:tcPr>
          <w:p>
            <w:pPr>
              <w:jc w:val="right"/>
              <w:spacing w:after="0"/>
              <w:rPr>
                <w:sz w:val="20"/>
                <w:szCs w:val="20"/>
                <w:color w:val="auto"/>
              </w:rPr>
            </w:pPr>
            <w:r>
              <w:rPr>
                <w:rFonts w:ascii="Arial" w:cs="Arial" w:eastAsia="Arial" w:hAnsi="Arial"/>
                <w:sz w:val="7"/>
                <w:szCs w:val="7"/>
                <w:color w:val="auto"/>
              </w:rPr>
              <w:t>2</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711</w:t>
            </w:r>
          </w:p>
        </w:tc>
        <w:tc>
          <w:tcPr>
            <w:tcW w:w="84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25,639</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1.3</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2,884</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1.0</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1.5</w:t>
            </w:r>
          </w:p>
        </w:tc>
        <w:tc>
          <w:tcPr>
            <w:tcW w:w="280" w:type="dxa"/>
            <w:vAlign w:val="bottom"/>
          </w:tcPr>
          <w:p>
            <w:pPr>
              <w:jc w:val="right"/>
              <w:spacing w:after="0"/>
              <w:rPr>
                <w:sz w:val="20"/>
                <w:szCs w:val="20"/>
                <w:color w:val="auto"/>
              </w:rPr>
            </w:pPr>
            <w:r>
              <w:rPr>
                <w:rFonts w:ascii="Arial" w:cs="Arial" w:eastAsia="Arial" w:hAnsi="Arial"/>
                <w:sz w:val="7"/>
                <w:szCs w:val="7"/>
                <w:color w:val="auto"/>
              </w:rPr>
              <w:t>3</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750</w:t>
            </w:r>
          </w:p>
        </w:tc>
        <w:tc>
          <w:tcPr>
            <w:tcW w:w="84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24,827</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2,638</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0.9</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1.3</w:t>
            </w:r>
          </w:p>
        </w:tc>
        <w:tc>
          <w:tcPr>
            <w:tcW w:w="280" w:type="dxa"/>
            <w:vAlign w:val="bottom"/>
          </w:tcPr>
          <w:p>
            <w:pPr>
              <w:jc w:val="right"/>
              <w:spacing w:after="0"/>
              <w:rPr>
                <w:sz w:val="20"/>
                <w:szCs w:val="20"/>
                <w:color w:val="auto"/>
              </w:rPr>
            </w:pPr>
            <w:r>
              <w:rPr>
                <w:rFonts w:ascii="Arial" w:cs="Arial" w:eastAsia="Arial" w:hAnsi="Arial"/>
                <w:sz w:val="7"/>
                <w:szCs w:val="7"/>
                <w:color w:val="auto"/>
              </w:rPr>
              <w:t>7</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810</w:t>
            </w:r>
          </w:p>
        </w:tc>
        <w:tc>
          <w:tcPr>
            <w:tcW w:w="840" w:type="dxa"/>
            <w:vAlign w:val="bottom"/>
          </w:tcPr>
          <w:p>
            <w:pPr>
              <w:ind w:left="20"/>
              <w:spacing w:after="0"/>
              <w:rPr>
                <w:sz w:val="20"/>
                <w:szCs w:val="20"/>
                <w:color w:val="auto"/>
              </w:rPr>
            </w:pPr>
            <w:r>
              <w:rPr>
                <w:rFonts w:ascii="Arial" w:cs="Arial" w:eastAsia="Arial" w:hAnsi="Arial"/>
                <w:sz w:val="7"/>
                <w:szCs w:val="7"/>
                <w:color w:val="auto"/>
              </w:rPr>
              <w:t>Seventh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Times Square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13,470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0.7</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3,781</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1.2</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1.9</w:t>
            </w:r>
          </w:p>
        </w:tc>
        <w:tc>
          <w:tcPr>
            <w:tcW w:w="280" w:type="dxa"/>
            <w:vAlign w:val="bottom"/>
          </w:tcPr>
          <w:p>
            <w:pPr>
              <w:jc w:val="right"/>
              <w:spacing w:after="0"/>
              <w:rPr>
                <w:sz w:val="20"/>
                <w:szCs w:val="20"/>
                <w:color w:val="auto"/>
              </w:rPr>
            </w:pPr>
            <w:r>
              <w:rPr>
                <w:rFonts w:ascii="Arial" w:cs="Arial" w:eastAsia="Arial" w:hAnsi="Arial"/>
                <w:sz w:val="7"/>
                <w:szCs w:val="7"/>
                <w:color w:val="auto"/>
              </w:rPr>
              <w:t>4</w:t>
            </w:r>
          </w:p>
        </w:tc>
      </w:tr>
      <w:tr>
        <w:trPr>
          <w:trHeight w:val="219"/>
        </w:trPr>
        <w:tc>
          <w:tcPr>
            <w:tcW w:w="140" w:type="dxa"/>
            <w:vAlign w:val="bottom"/>
          </w:tcPr>
          <w:p>
            <w:pPr>
              <w:ind w:left="20"/>
              <w:spacing w:after="0"/>
              <w:rPr>
                <w:sz w:val="20"/>
                <w:szCs w:val="20"/>
                <w:color w:val="auto"/>
              </w:rPr>
            </w:pPr>
            <w:r>
              <w:rPr>
                <w:rFonts w:ascii="Arial" w:cs="Arial" w:eastAsia="Arial" w:hAnsi="Arial"/>
                <w:sz w:val="7"/>
                <w:szCs w:val="7"/>
                <w:color w:val="auto"/>
                <w:w w:val="85"/>
              </w:rPr>
              <w:t>919</w:t>
            </w:r>
          </w:p>
        </w:tc>
        <w:tc>
          <w:tcPr>
            <w:tcW w:w="84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51.0</w:t>
            </w:r>
          </w:p>
        </w:tc>
        <w:tc>
          <w:tcPr>
            <w:tcW w:w="960" w:type="dxa"/>
            <w:vAlign w:val="bottom"/>
          </w:tcPr>
          <w:p>
            <w:pPr>
              <w:spacing w:after="0"/>
              <w:rPr>
                <w:sz w:val="20"/>
                <w:szCs w:val="20"/>
                <w:color w:val="auto"/>
              </w:rPr>
            </w:pPr>
            <w:r>
              <w:rPr>
                <w:rFonts w:ascii="Arial" w:cs="Arial" w:eastAsia="Arial" w:hAnsi="Arial"/>
                <w:sz w:val="7"/>
                <w:szCs w:val="7"/>
                <w:color w:val="auto"/>
              </w:rPr>
              <w:t>Grand Central North</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31,004</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3,424</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1.1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0.9</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1080 Amsterdam</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92.5</w:t>
            </w:r>
          </w:p>
        </w:tc>
        <w:tc>
          <w:tcPr>
            <w:tcW w:w="960" w:type="dxa"/>
            <w:vAlign w:val="bottom"/>
          </w:tcPr>
          <w:p>
            <w:pPr>
              <w:spacing w:after="0"/>
              <w:rPr>
                <w:sz w:val="20"/>
                <w:szCs w:val="20"/>
                <w:color w:val="auto"/>
              </w:rPr>
            </w:pPr>
            <w:r>
              <w:rPr>
                <w:rFonts w:ascii="Arial" w:cs="Arial" w:eastAsia="Arial" w:hAnsi="Arial"/>
                <w:sz w:val="7"/>
                <w:szCs w:val="7"/>
                <w:color w:val="auto"/>
              </w:rPr>
              <w:t>Upper West Side</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1,800</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0.1</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252</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0.1</w:t>
            </w:r>
          </w:p>
        </w:tc>
        <w:tc>
          <w:tcPr>
            <w:tcW w:w="280" w:type="dxa"/>
            <w:vAlign w:val="bottom"/>
          </w:tcPr>
          <w:p>
            <w:pPr>
              <w:jc w:val="right"/>
              <w:spacing w:after="0"/>
              <w:rPr>
                <w:sz w:val="20"/>
                <w:szCs w:val="20"/>
                <w:color w:val="auto"/>
              </w:rPr>
            </w:pPr>
            <w:r>
              <w:rPr>
                <w:rFonts w:ascii="Arial" w:cs="Arial" w:eastAsia="Arial" w:hAnsi="Arial"/>
                <w:sz w:val="7"/>
                <w:szCs w:val="7"/>
                <w:color w:val="auto"/>
              </w:rPr>
              <w:t>1</w:t>
            </w:r>
          </w:p>
        </w:tc>
      </w:tr>
      <w:tr>
        <w:trPr>
          <w:trHeight w:val="219"/>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1185 Avenue of the Americas</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Rockefeller Center</w:t>
            </w:r>
          </w:p>
        </w:tc>
        <w:tc>
          <w:tcPr>
            <w:tcW w:w="780" w:type="dxa"/>
            <w:vAlign w:val="bottom"/>
          </w:tcPr>
          <w:p>
            <w:pPr>
              <w:ind w:left="40"/>
              <w:spacing w:after="0"/>
              <w:rPr>
                <w:sz w:val="20"/>
                <w:szCs w:val="20"/>
                <w:color w:val="auto"/>
              </w:rPr>
            </w:pPr>
            <w:r>
              <w:rPr>
                <w:rFonts w:ascii="Arial" w:cs="Arial" w:eastAsia="Arial" w:hAnsi="Arial"/>
                <w:sz w:val="7"/>
                <w:szCs w:val="7"/>
                <w:color w:val="auto"/>
              </w:rPr>
              <w:t>Leasehold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37,326</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1.8</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6,366</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2.1</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3.3</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19"/>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1350 Avenue of the Americas</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Rockefeller Center</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Pr>
          <w:p>
            <w:pPr>
              <w:jc w:val="right"/>
              <w:spacing w:after="0"/>
              <w:rPr>
                <w:sz w:val="20"/>
                <w:szCs w:val="20"/>
                <w:color w:val="auto"/>
              </w:rPr>
            </w:pPr>
            <w:r>
              <w:rPr>
                <w:rFonts w:ascii="Arial" w:cs="Arial" w:eastAsia="Arial" w:hAnsi="Arial"/>
                <w:sz w:val="7"/>
                <w:szCs w:val="7"/>
                <w:color w:val="auto"/>
              </w:rPr>
              <w:t>17,797</w:t>
            </w:r>
          </w:p>
        </w:tc>
        <w:tc>
          <w:tcPr>
            <w:tcW w:w="80" w:type="dxa"/>
            <w:vAlign w:val="bottom"/>
          </w:tcPr>
          <w:p>
            <w:pPr>
              <w:spacing w:after="0"/>
              <w:rPr>
                <w:sz w:val="19"/>
                <w:szCs w:val="19"/>
                <w:color w:val="auto"/>
              </w:rPr>
            </w:pPr>
          </w:p>
        </w:tc>
        <w:tc>
          <w:tcPr>
            <w:tcW w:w="500" w:type="dxa"/>
            <w:vAlign w:val="bottom"/>
          </w:tcPr>
          <w:p>
            <w:pPr>
              <w:jc w:val="right"/>
              <w:ind w:right="64"/>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65.7</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color w:val="auto"/>
              </w:rPr>
              <w:t>2,151</w:t>
            </w:r>
          </w:p>
        </w:tc>
        <w:tc>
          <w:tcPr>
            <w:tcW w:w="620" w:type="dxa"/>
            <w:vAlign w:val="bottom"/>
          </w:tcPr>
          <w:p>
            <w:pPr>
              <w:jc w:val="right"/>
              <w:ind w:right="224"/>
              <w:spacing w:after="0"/>
              <w:rPr>
                <w:sz w:val="20"/>
                <w:szCs w:val="20"/>
                <w:color w:val="auto"/>
              </w:rPr>
            </w:pPr>
            <w:r>
              <w:rPr>
                <w:rFonts w:ascii="Arial" w:cs="Arial" w:eastAsia="Arial" w:hAnsi="Arial"/>
                <w:sz w:val="7"/>
                <w:szCs w:val="7"/>
                <w:color w:val="auto"/>
              </w:rPr>
              <w:t>0.7</w:t>
            </w: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1.1</w:t>
            </w:r>
          </w:p>
        </w:tc>
        <w:tc>
          <w:tcPr>
            <w:tcW w:w="280" w:type="dxa"/>
            <w:vAlign w:val="bottom"/>
          </w:tcPr>
          <w:p>
            <w:pPr>
              <w:jc w:val="right"/>
              <w:spacing w:after="0"/>
              <w:rPr>
                <w:sz w:val="20"/>
                <w:szCs w:val="20"/>
                <w:color w:val="auto"/>
              </w:rPr>
            </w:pPr>
            <w:r>
              <w:rPr>
                <w:rFonts w:ascii="Arial" w:cs="Arial" w:eastAsia="Arial" w:hAnsi="Arial"/>
                <w:sz w:val="7"/>
                <w:szCs w:val="7"/>
                <w:color w:val="auto"/>
              </w:rPr>
              <w:t>5</w:t>
            </w:r>
          </w:p>
        </w:tc>
      </w:tr>
      <w:tr>
        <w:trPr>
          <w:trHeight w:val="225"/>
        </w:trPr>
        <w:tc>
          <w:tcPr>
            <w:tcW w:w="980" w:type="dxa"/>
            <w:vAlign w:val="bottom"/>
            <w:gridSpan w:val="2"/>
          </w:tcPr>
          <w:p>
            <w:pPr>
              <w:ind w:left="20"/>
              <w:spacing w:after="0"/>
              <w:rPr>
                <w:sz w:val="20"/>
                <w:szCs w:val="20"/>
                <w:color w:val="auto"/>
              </w:rPr>
            </w:pPr>
            <w:r>
              <w:rPr>
                <w:rFonts w:ascii="Arial" w:cs="Arial" w:eastAsia="Arial" w:hAnsi="Arial"/>
                <w:sz w:val="7"/>
                <w:szCs w:val="7"/>
                <w:color w:val="auto"/>
              </w:rPr>
              <w:t>1515 Broadway</w:t>
            </w:r>
          </w:p>
        </w:tc>
        <w:tc>
          <w:tcPr>
            <w:tcW w:w="980" w:type="dxa"/>
            <w:vAlign w:val="bottom"/>
          </w:tcPr>
          <w:p>
            <w:pPr>
              <w:jc w:val="center"/>
              <w:ind w:left="364"/>
              <w:spacing w:after="0"/>
              <w:rPr>
                <w:sz w:val="20"/>
                <w:szCs w:val="20"/>
                <w:color w:val="auto"/>
              </w:rPr>
            </w:pPr>
            <w:r>
              <w:rPr>
                <w:rFonts w:ascii="Arial" w:cs="Arial" w:eastAsia="Arial" w:hAnsi="Arial"/>
                <w:sz w:val="7"/>
                <w:szCs w:val="7"/>
                <w:color w:val="auto"/>
              </w:rPr>
              <w:t>100.0</w:t>
            </w:r>
          </w:p>
        </w:tc>
        <w:tc>
          <w:tcPr>
            <w:tcW w:w="960" w:type="dxa"/>
            <w:vAlign w:val="bottom"/>
          </w:tcPr>
          <w:p>
            <w:pPr>
              <w:spacing w:after="0"/>
              <w:rPr>
                <w:sz w:val="20"/>
                <w:szCs w:val="20"/>
                <w:color w:val="auto"/>
              </w:rPr>
            </w:pPr>
            <w:r>
              <w:rPr>
                <w:rFonts w:ascii="Arial" w:cs="Arial" w:eastAsia="Arial" w:hAnsi="Arial"/>
                <w:sz w:val="7"/>
                <w:szCs w:val="7"/>
                <w:color w:val="auto"/>
              </w:rPr>
              <w:t>Times Square</w:t>
            </w:r>
          </w:p>
        </w:tc>
        <w:tc>
          <w:tcPr>
            <w:tcW w:w="780" w:type="dxa"/>
            <w:vAlign w:val="bottom"/>
          </w:tcPr>
          <w:p>
            <w:pPr>
              <w:ind w:left="40"/>
              <w:spacing w:after="0"/>
              <w:rPr>
                <w:sz w:val="20"/>
                <w:szCs w:val="20"/>
                <w:color w:val="auto"/>
              </w:rPr>
            </w:pPr>
            <w:r>
              <w:rPr>
                <w:rFonts w:ascii="Arial" w:cs="Arial" w:eastAsia="Arial" w:hAnsi="Arial"/>
                <w:sz w:val="7"/>
                <w:szCs w:val="7"/>
                <w:color w:val="auto"/>
              </w:rPr>
              <w:t>Fee Interest</w:t>
            </w: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185,333</w:t>
            </w:r>
          </w:p>
        </w:tc>
        <w:tc>
          <w:tcPr>
            <w:tcW w:w="80" w:type="dxa"/>
            <w:vAlign w:val="bottom"/>
          </w:tcPr>
          <w:p>
            <w:pPr>
              <w:spacing w:after="0"/>
              <w:rPr>
                <w:sz w:val="19"/>
                <w:szCs w:val="19"/>
                <w:color w:val="auto"/>
              </w:rPr>
            </w:pPr>
          </w:p>
        </w:tc>
        <w:tc>
          <w:tcPr>
            <w:tcW w:w="5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9.1</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89.5</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90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18,258</w:t>
            </w:r>
          </w:p>
        </w:tc>
        <w:tc>
          <w:tcPr>
            <w:tcW w:w="620" w:type="dxa"/>
            <w:vAlign w:val="bottom"/>
            <w:tcBorders>
              <w:bottom w:val="single" w:sz="8" w:color="auto"/>
            </w:tcBorders>
          </w:tcPr>
          <w:p>
            <w:pPr>
              <w:jc w:val="right"/>
              <w:ind w:right="224"/>
              <w:spacing w:after="0"/>
              <w:rPr>
                <w:sz w:val="20"/>
                <w:szCs w:val="20"/>
                <w:color w:val="auto"/>
              </w:rPr>
            </w:pPr>
            <w:r>
              <w:rPr>
                <w:rFonts w:ascii="Arial" w:cs="Arial" w:eastAsia="Arial" w:hAnsi="Arial"/>
                <w:sz w:val="7"/>
                <w:szCs w:val="7"/>
                <w:color w:val="auto"/>
              </w:rPr>
              <w:t>6.0</w:t>
            </w: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w:t>
            </w:r>
          </w:p>
        </w:tc>
      </w:tr>
      <w:tr>
        <w:trPr>
          <w:trHeight w:val="312"/>
        </w:trPr>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7"/>
                <w:szCs w:val="7"/>
                <w:b w:val="1"/>
                <w:bCs w:val="1"/>
                <w:color w:val="auto"/>
              </w:rPr>
              <w:t>Subtotal / Weighted Average</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b w:val="1"/>
                <w:bCs w:val="1"/>
                <w:color w:val="auto"/>
              </w:rPr>
              <w:t>25</w:t>
            </w: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865,549</w:t>
            </w:r>
          </w:p>
        </w:tc>
        <w:tc>
          <w:tcPr>
            <w:tcW w:w="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42.6%</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92.3%</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95.4%</w:t>
            </w:r>
          </w:p>
        </w:tc>
        <w:tc>
          <w:tcPr>
            <w:tcW w:w="10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96.6%</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96.5%</w:t>
            </w:r>
          </w:p>
        </w:tc>
        <w:tc>
          <w:tcPr>
            <w:tcW w:w="80" w:type="dxa"/>
            <w:vAlign w:val="bottom"/>
          </w:tcPr>
          <w:p>
            <w:pPr>
              <w:spacing w:after="0"/>
              <w:rPr>
                <w:sz w:val="24"/>
                <w:szCs w:val="24"/>
                <w:color w:val="auto"/>
              </w:rPr>
            </w:pPr>
          </w:p>
        </w:tc>
        <w:tc>
          <w:tcPr>
            <w:tcW w:w="900" w:type="dxa"/>
            <w:vAlign w:val="bottom"/>
          </w:tcPr>
          <w:p>
            <w:pPr>
              <w:jc w:val="right"/>
              <w:ind w:right="164"/>
              <w:spacing w:after="0"/>
              <w:rPr>
                <w:sz w:val="20"/>
                <w:szCs w:val="20"/>
                <w:color w:val="auto"/>
              </w:rPr>
            </w:pPr>
            <w:r>
              <w:rPr>
                <w:rFonts w:ascii="Arial" w:cs="Arial" w:eastAsia="Arial" w:hAnsi="Arial"/>
                <w:sz w:val="7"/>
                <w:szCs w:val="7"/>
                <w:b w:val="1"/>
                <w:bCs w:val="1"/>
                <w:color w:val="auto"/>
              </w:rPr>
              <w:t>$107,503</w:t>
            </w:r>
          </w:p>
        </w:tc>
        <w:tc>
          <w:tcPr>
            <w:tcW w:w="620" w:type="dxa"/>
            <w:vAlign w:val="bottom"/>
          </w:tcPr>
          <w:p>
            <w:pPr>
              <w:jc w:val="right"/>
              <w:ind w:right="164"/>
              <w:spacing w:after="0"/>
              <w:rPr>
                <w:sz w:val="20"/>
                <w:szCs w:val="20"/>
                <w:color w:val="auto"/>
              </w:rPr>
            </w:pPr>
            <w:r>
              <w:rPr>
                <w:rFonts w:ascii="Arial" w:cs="Arial" w:eastAsia="Arial" w:hAnsi="Arial"/>
                <w:sz w:val="7"/>
                <w:szCs w:val="7"/>
                <w:b w:val="1"/>
                <w:bCs w:val="1"/>
                <w:color w:val="auto"/>
              </w:rPr>
              <w:t>35.4%</w:t>
            </w: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53.8%</w:t>
            </w:r>
          </w:p>
        </w:tc>
        <w:tc>
          <w:tcPr>
            <w:tcW w:w="280" w:type="dxa"/>
            <w:vAlign w:val="bottom"/>
          </w:tcPr>
          <w:p>
            <w:pPr>
              <w:jc w:val="right"/>
              <w:spacing w:after="0"/>
              <w:rPr>
                <w:sz w:val="20"/>
                <w:szCs w:val="20"/>
                <w:color w:val="auto"/>
              </w:rPr>
            </w:pPr>
            <w:r>
              <w:rPr>
                <w:rFonts w:ascii="Arial" w:cs="Arial" w:eastAsia="Arial" w:hAnsi="Arial"/>
                <w:sz w:val="7"/>
                <w:szCs w:val="7"/>
                <w:b w:val="1"/>
                <w:bCs w:val="1"/>
                <w:color w:val="auto"/>
              </w:rPr>
              <w:t>116</w:t>
            </w:r>
          </w:p>
        </w:tc>
      </w:tr>
    </w:tbl>
    <w:p>
      <w:pPr>
        <w:spacing w:after="0" w:line="200" w:lineRule="exact"/>
        <w:rPr>
          <w:sz w:val="20"/>
          <w:szCs w:val="20"/>
          <w:color w:val="auto"/>
        </w:rPr>
      </w:pPr>
    </w:p>
    <w:p>
      <w:pPr>
        <w:sectPr>
          <w:pgSz w:w="11900" w:h="16838" w:orient="portrait"/>
          <w:cols w:equalWidth="0" w:num="1">
            <w:col w:w="10080"/>
          </w:cols>
          <w:pgMar w:left="900" w:top="338" w:right="919" w:bottom="1440" w:gutter="0" w:footer="0" w:header="0"/>
        </w:sectPr>
      </w:pPr>
    </w:p>
    <w:p>
      <w:pPr>
        <w:spacing w:after="0" w:line="136"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37</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 -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gridSpan w:val="2"/>
            <w:vMerge w:val="restart"/>
          </w:tcPr>
          <w:p>
            <w:pPr>
              <w:jc w:val="center"/>
              <w:ind w:right="80"/>
              <w:spacing w:after="0"/>
              <w:rPr>
                <w:sz w:val="20"/>
                <w:szCs w:val="20"/>
                <w:color w:val="auto"/>
              </w:rPr>
            </w:pPr>
            <w:r>
              <w:rPr>
                <w:rFonts w:ascii="Arial" w:cs="Arial" w:eastAsia="Arial" w:hAnsi="Arial"/>
                <w:sz w:val="7"/>
                <w:szCs w:val="7"/>
                <w:b w:val="1"/>
                <w:bCs w:val="1"/>
                <w:color w:val="auto"/>
              </w:rPr>
              <w:t>Ownership</w:t>
            </w: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340" w:type="dxa"/>
            <w:vAlign w:val="bottom"/>
            <w:gridSpan w:val="2"/>
            <w:vMerge w:val="restart"/>
          </w:tcPr>
          <w:p>
            <w:pPr>
              <w:jc w:val="right"/>
              <w:ind w:right="80"/>
              <w:spacing w:after="0"/>
              <w:rPr>
                <w:sz w:val="20"/>
                <w:szCs w:val="20"/>
                <w:color w:val="auto"/>
              </w:rPr>
            </w:pPr>
            <w:r>
              <w:rPr>
                <w:rFonts w:ascii="Arial" w:cs="Arial" w:eastAsia="Arial" w:hAnsi="Arial"/>
                <w:sz w:val="7"/>
                <w:szCs w:val="7"/>
                <w:b w:val="1"/>
                <w:bCs w:val="1"/>
                <w:color w:val="auto"/>
              </w:rPr>
              <w:t># of</w:t>
            </w:r>
          </w:p>
        </w:tc>
        <w:tc>
          <w:tcPr>
            <w:tcW w:w="80" w:type="dxa"/>
            <w:vAlign w:val="bottom"/>
          </w:tcPr>
          <w:p>
            <w:pPr>
              <w:spacing w:after="0"/>
              <w:rPr>
                <w:sz w:val="8"/>
                <w:szCs w:val="8"/>
                <w:color w:val="auto"/>
              </w:rPr>
            </w:pPr>
          </w:p>
        </w:tc>
        <w:tc>
          <w:tcPr>
            <w:tcW w:w="420" w:type="dxa"/>
            <w:vAlign w:val="bottom"/>
            <w:gridSpan w:val="3"/>
            <w:vMerge w:val="restart"/>
          </w:tcPr>
          <w:p>
            <w:pPr>
              <w:ind w:left="40"/>
              <w:spacing w:after="0"/>
              <w:rPr>
                <w:sz w:val="20"/>
                <w:szCs w:val="20"/>
                <w:color w:val="auto"/>
              </w:rPr>
            </w:pPr>
            <w:r>
              <w:rPr>
                <w:rFonts w:ascii="Arial" w:cs="Arial" w:eastAsia="Arial" w:hAnsi="Arial"/>
                <w:sz w:val="7"/>
                <w:szCs w:val="7"/>
                <w:b w:val="1"/>
                <w:bCs w:val="1"/>
                <w:color w:val="auto"/>
              </w:rPr>
              <w:t>Useable</w:t>
            </w:r>
          </w:p>
        </w:tc>
        <w:tc>
          <w:tcPr>
            <w:tcW w:w="620" w:type="dxa"/>
            <w:vAlign w:val="bottom"/>
            <w:gridSpan w:val="4"/>
          </w:tcPr>
          <w:p>
            <w:pPr>
              <w:jc w:val="center"/>
              <w:ind w:right="80"/>
              <w:spacing w:after="0"/>
              <w:rPr>
                <w:sz w:val="20"/>
                <w:szCs w:val="20"/>
                <w:color w:val="auto"/>
              </w:rPr>
            </w:pPr>
            <w:r>
              <w:rPr>
                <w:rFonts w:ascii="Arial" w:cs="Arial" w:eastAsia="Arial" w:hAnsi="Arial"/>
                <w:sz w:val="7"/>
                <w:szCs w:val="7"/>
                <w:b w:val="1"/>
                <w:bCs w:val="1"/>
                <w:color w:val="auto"/>
              </w:rPr>
              <w:t>% of Total</w:t>
            </w: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gridSpan w:val="3"/>
            <w:vMerge w:val="restart"/>
          </w:tcPr>
          <w:p>
            <w:pPr>
              <w:ind w:left="40"/>
              <w:spacing w:after="0"/>
              <w:rPr>
                <w:sz w:val="20"/>
                <w:szCs w:val="20"/>
                <w:color w:val="auto"/>
              </w:rPr>
            </w:pPr>
            <w:r>
              <w:rPr>
                <w:rFonts w:ascii="Arial" w:cs="Arial" w:eastAsia="Arial" w:hAnsi="Arial"/>
                <w:sz w:val="7"/>
                <w:szCs w:val="7"/>
                <w:b w:val="1"/>
                <w:bCs w:val="1"/>
                <w:color w:val="auto"/>
              </w:rPr>
              <w:t>Occupancy (%)</w:t>
            </w:r>
          </w:p>
        </w:tc>
        <w:tc>
          <w:tcPr>
            <w:tcW w:w="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7"/>
                <w:szCs w:val="7"/>
                <w:b w:val="1"/>
                <w:bCs w:val="1"/>
                <w:color w:val="auto"/>
              </w:rPr>
              <w:t>Annualized Retail</w:t>
            </w:r>
          </w:p>
        </w:tc>
        <w:tc>
          <w:tcPr>
            <w:tcW w:w="1180" w:type="dxa"/>
            <w:vAlign w:val="bottom"/>
            <w:gridSpan w:val="2"/>
            <w:vMerge w:val="restart"/>
          </w:tcPr>
          <w:p>
            <w:pPr>
              <w:jc w:val="right"/>
              <w:ind w:right="44"/>
              <w:spacing w:after="0"/>
              <w:rPr>
                <w:sz w:val="20"/>
                <w:szCs w:val="20"/>
                <w:color w:val="auto"/>
              </w:rPr>
            </w:pPr>
            <w:r>
              <w:rPr>
                <w:rFonts w:ascii="Arial" w:cs="Arial" w:eastAsia="Arial" w:hAnsi="Arial"/>
                <w:sz w:val="7"/>
                <w:szCs w:val="7"/>
                <w:b w:val="1"/>
                <w:bCs w:val="1"/>
                <w:color w:val="auto"/>
              </w:rPr>
              <w:t>Annualized Retail Cash Rent</w:t>
            </w:r>
          </w:p>
        </w:tc>
        <w:tc>
          <w:tcPr>
            <w:tcW w:w="440" w:type="dxa"/>
            <w:vAlign w:val="bottom"/>
            <w:vMerge w:val="restart"/>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 w:type="dxa"/>
            <w:vAlign w:val="bottom"/>
          </w:tcPr>
          <w:p>
            <w:pPr>
              <w:spacing w:after="0"/>
              <w:rPr>
                <w:sz w:val="5"/>
                <w:szCs w:val="5"/>
                <w:color w:val="auto"/>
              </w:rPr>
            </w:pPr>
          </w:p>
        </w:tc>
        <w:tc>
          <w:tcPr>
            <w:tcW w:w="3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gridSpan w:val="3"/>
            <w:vMerge w:val="continue"/>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180" w:type="dxa"/>
            <w:vAlign w:val="bottom"/>
            <w:tcBorders>
              <w:bottom w:val="single" w:sz="8" w:color="auto"/>
            </w:tcBorders>
            <w:gridSpan w:val="2"/>
            <w:vMerge w:val="continue"/>
          </w:tcPr>
          <w:p>
            <w:pPr>
              <w:spacing w:after="0"/>
              <w:rPr>
                <w:sz w:val="5"/>
                <w:szCs w:val="5"/>
                <w:color w:val="auto"/>
              </w:rPr>
            </w:pPr>
          </w:p>
        </w:tc>
        <w:tc>
          <w:tcPr>
            <w:tcW w:w="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360" w:type="dxa"/>
            <w:vAlign w:val="bottom"/>
            <w:gridSpan w:val="3"/>
          </w:tcPr>
          <w:p>
            <w:pPr>
              <w:spacing w:after="0" w:line="68" w:lineRule="exact"/>
              <w:rPr>
                <w:sz w:val="20"/>
                <w:szCs w:val="20"/>
                <w:color w:val="auto"/>
              </w:rPr>
            </w:pPr>
            <w:r>
              <w:rPr>
                <w:rFonts w:ascii="Arial" w:cs="Arial" w:eastAsia="Arial" w:hAnsi="Arial"/>
                <w:sz w:val="7"/>
                <w:szCs w:val="7"/>
                <w:b w:val="1"/>
                <w:bCs w:val="1"/>
                <w:color w:val="auto"/>
                <w:w w:val="98"/>
              </w:rPr>
              <w:t>Properties</w:t>
            </w:r>
          </w:p>
        </w:tc>
        <w:tc>
          <w:tcPr>
            <w:tcW w:w="10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gridSpan w:val="2"/>
          </w:tcPr>
          <w:p>
            <w:pPr>
              <w:jc w:val="center"/>
              <w:ind w:right="100"/>
              <w:spacing w:after="0" w:line="68" w:lineRule="exact"/>
              <w:rPr>
                <w:sz w:val="20"/>
                <w:szCs w:val="20"/>
                <w:color w:val="auto"/>
              </w:rPr>
            </w:pPr>
            <w:r>
              <w:rPr>
                <w:rFonts w:ascii="Arial" w:cs="Arial" w:eastAsia="Arial" w:hAnsi="Arial"/>
                <w:sz w:val="7"/>
                <w:szCs w:val="7"/>
                <w:b w:val="1"/>
                <w:bCs w:val="1"/>
                <w:color w:val="auto"/>
              </w:rPr>
              <w:t>Interest (%)</w:t>
            </w:r>
          </w:p>
        </w:tc>
        <w:tc>
          <w:tcPr>
            <w:tcW w:w="840" w:type="dxa"/>
            <w:vAlign w:val="bottom"/>
            <w:gridSpan w:val="2"/>
          </w:tcPr>
          <w:p>
            <w:pPr>
              <w:spacing w:after="0" w:line="68" w:lineRule="exact"/>
              <w:rPr>
                <w:sz w:val="20"/>
                <w:szCs w:val="20"/>
                <w:color w:val="auto"/>
              </w:rPr>
            </w:pPr>
            <w:r>
              <w:rPr>
                <w:rFonts w:ascii="Arial" w:cs="Arial" w:eastAsia="Arial" w:hAnsi="Arial"/>
                <w:sz w:val="7"/>
                <w:szCs w:val="7"/>
                <w:b w:val="1"/>
                <w:bCs w:val="1"/>
                <w:color w:val="auto"/>
              </w:rPr>
              <w:t>SubMarket</w:t>
            </w:r>
          </w:p>
        </w:tc>
        <w:tc>
          <w:tcPr>
            <w:tcW w:w="900" w:type="dxa"/>
            <w:vAlign w:val="bottom"/>
            <w:gridSpan w:val="3"/>
          </w:tcPr>
          <w:p>
            <w:pPr>
              <w:ind w:left="160"/>
              <w:spacing w:after="0" w:line="68" w:lineRule="exact"/>
              <w:rPr>
                <w:sz w:val="20"/>
                <w:szCs w:val="20"/>
                <w:color w:val="auto"/>
              </w:rPr>
            </w:pPr>
            <w:r>
              <w:rPr>
                <w:rFonts w:ascii="Arial" w:cs="Arial" w:eastAsia="Arial" w:hAnsi="Arial"/>
                <w:sz w:val="7"/>
                <w:szCs w:val="7"/>
                <w:b w:val="1"/>
                <w:bCs w:val="1"/>
                <w:color w:val="auto"/>
              </w:rPr>
              <w:t>Ownership</w:t>
            </w:r>
          </w:p>
        </w:tc>
        <w:tc>
          <w:tcPr>
            <w:tcW w:w="60" w:type="dxa"/>
            <w:vAlign w:val="bottom"/>
          </w:tcPr>
          <w:p>
            <w:pPr>
              <w:spacing w:after="0"/>
              <w:rPr>
                <w:sz w:val="7"/>
                <w:szCs w:val="7"/>
                <w:color w:val="auto"/>
              </w:rPr>
            </w:pP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7"/>
                <w:szCs w:val="7"/>
                <w:b w:val="1"/>
                <w:bCs w:val="1"/>
                <w:color w:val="auto"/>
                <w:w w:val="92"/>
              </w:rPr>
              <w:t>Bldgs</w:t>
            </w:r>
          </w:p>
        </w:tc>
        <w:tc>
          <w:tcPr>
            <w:tcW w:w="80" w:type="dxa"/>
            <w:vAlign w:val="bottom"/>
          </w:tcPr>
          <w:p>
            <w:pPr>
              <w:spacing w:after="0"/>
              <w:rPr>
                <w:sz w:val="7"/>
                <w:szCs w:val="7"/>
                <w:color w:val="auto"/>
              </w:rPr>
            </w:pPr>
          </w:p>
        </w:tc>
        <w:tc>
          <w:tcPr>
            <w:tcW w:w="420" w:type="dxa"/>
            <w:vAlign w:val="bottom"/>
            <w:gridSpan w:val="3"/>
            <w:vMerge w:val="restart"/>
          </w:tcPr>
          <w:p>
            <w:pPr>
              <w:ind w:left="40"/>
              <w:spacing w:after="0"/>
              <w:rPr>
                <w:sz w:val="20"/>
                <w:szCs w:val="20"/>
                <w:color w:val="auto"/>
              </w:rPr>
            </w:pPr>
            <w:r>
              <w:rPr>
                <w:rFonts w:ascii="Arial" w:cs="Arial" w:eastAsia="Arial" w:hAnsi="Arial"/>
                <w:sz w:val="7"/>
                <w:szCs w:val="7"/>
                <w:b w:val="1"/>
                <w:bCs w:val="1"/>
                <w:color w:val="auto"/>
              </w:rPr>
              <w:t>Sq. Feet</w:t>
            </w:r>
          </w:p>
        </w:tc>
        <w:tc>
          <w:tcPr>
            <w:tcW w:w="620" w:type="dxa"/>
            <w:vAlign w:val="bottom"/>
            <w:gridSpan w:val="4"/>
            <w:vMerge w:val="restart"/>
          </w:tcPr>
          <w:p>
            <w:pPr>
              <w:jc w:val="center"/>
              <w:ind w:right="100"/>
              <w:spacing w:after="0"/>
              <w:rPr>
                <w:sz w:val="20"/>
                <w:szCs w:val="20"/>
                <w:color w:val="auto"/>
              </w:rPr>
            </w:pPr>
            <w:r>
              <w:rPr>
                <w:rFonts w:ascii="Arial" w:cs="Arial" w:eastAsia="Arial" w:hAnsi="Arial"/>
                <w:sz w:val="7"/>
                <w:szCs w:val="7"/>
                <w:b w:val="1"/>
                <w:bCs w:val="1"/>
                <w:color w:val="auto"/>
              </w:rPr>
              <w:t>Sq. Feet</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Sep-16</w:t>
            </w:r>
          </w:p>
        </w:tc>
        <w:tc>
          <w:tcPr>
            <w:tcW w:w="420" w:type="dxa"/>
            <w:vAlign w:val="bottom"/>
          </w:tcPr>
          <w:p>
            <w:pPr>
              <w:jc w:val="right"/>
              <w:ind w:right="64"/>
              <w:spacing w:after="0" w:line="68" w:lineRule="exact"/>
              <w:rPr>
                <w:sz w:val="20"/>
                <w:szCs w:val="20"/>
                <w:color w:val="auto"/>
              </w:rPr>
            </w:pPr>
            <w:r>
              <w:rPr>
                <w:rFonts w:ascii="Arial" w:cs="Arial" w:eastAsia="Arial" w:hAnsi="Arial"/>
                <w:sz w:val="7"/>
                <w:szCs w:val="7"/>
                <w:b w:val="1"/>
                <w:bCs w:val="1"/>
                <w:color w:val="auto"/>
              </w:rPr>
              <w:t>Jun-16</w:t>
            </w:r>
          </w:p>
        </w:tc>
        <w:tc>
          <w:tcPr>
            <w:tcW w:w="80" w:type="dxa"/>
            <w:vAlign w:val="bottom"/>
          </w:tcPr>
          <w:p>
            <w:pPr>
              <w:spacing w:after="0"/>
              <w:rPr>
                <w:sz w:val="7"/>
                <w:szCs w:val="7"/>
                <w:color w:val="auto"/>
              </w:rPr>
            </w:pPr>
          </w:p>
        </w:tc>
        <w:tc>
          <w:tcPr>
            <w:tcW w:w="50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Mar-16</w:t>
            </w:r>
          </w:p>
        </w:tc>
        <w:tc>
          <w:tcPr>
            <w:tcW w:w="520" w:type="dxa"/>
            <w:vAlign w:val="bottom"/>
            <w:gridSpan w:val="2"/>
          </w:tcPr>
          <w:p>
            <w:pPr>
              <w:ind w:left="100"/>
              <w:spacing w:after="0" w:line="68" w:lineRule="exact"/>
              <w:rPr>
                <w:sz w:val="20"/>
                <w:szCs w:val="20"/>
                <w:color w:val="auto"/>
              </w:rPr>
            </w:pPr>
            <w:r>
              <w:rPr>
                <w:rFonts w:ascii="Arial" w:cs="Arial" w:eastAsia="Arial" w:hAnsi="Arial"/>
                <w:sz w:val="7"/>
                <w:szCs w:val="7"/>
                <w:b w:val="1"/>
                <w:bCs w:val="1"/>
                <w:color w:val="auto"/>
              </w:rPr>
              <w:t>Dec-15</w:t>
            </w:r>
          </w:p>
        </w:tc>
        <w:tc>
          <w:tcPr>
            <w:tcW w:w="500" w:type="dxa"/>
            <w:vAlign w:val="bottom"/>
            <w:gridSpan w:val="2"/>
          </w:tcPr>
          <w:p>
            <w:pPr>
              <w:ind w:left="80"/>
              <w:spacing w:after="0" w:line="68" w:lineRule="exact"/>
              <w:rPr>
                <w:sz w:val="20"/>
                <w:szCs w:val="20"/>
                <w:color w:val="auto"/>
              </w:rPr>
            </w:pPr>
            <w:r>
              <w:rPr>
                <w:rFonts w:ascii="Arial" w:cs="Arial" w:eastAsia="Arial" w:hAnsi="Arial"/>
                <w:sz w:val="7"/>
                <w:szCs w:val="7"/>
                <w:b w:val="1"/>
                <w:bCs w:val="1"/>
                <w:color w:val="auto"/>
              </w:rPr>
              <w:t>Sep-15</w:t>
            </w:r>
          </w:p>
        </w:tc>
        <w:tc>
          <w:tcPr>
            <w:tcW w:w="720" w:type="dxa"/>
            <w:vAlign w:val="bottom"/>
          </w:tcPr>
          <w:p>
            <w:pPr>
              <w:jc w:val="right"/>
              <w:ind w:right="64"/>
              <w:spacing w:after="0" w:line="68" w:lineRule="exact"/>
              <w:rPr>
                <w:sz w:val="20"/>
                <w:szCs w:val="20"/>
                <w:color w:val="auto"/>
              </w:rPr>
            </w:pPr>
            <w:r>
              <w:rPr>
                <w:rFonts w:ascii="Arial" w:cs="Arial" w:eastAsia="Arial" w:hAnsi="Arial"/>
                <w:sz w:val="7"/>
                <w:szCs w:val="7"/>
                <w:b w:val="1"/>
                <w:bCs w:val="1"/>
                <w:color w:val="auto"/>
              </w:rPr>
              <w:t>Cash Rent ($'s)</w:t>
            </w:r>
          </w:p>
        </w:tc>
        <w:tc>
          <w:tcPr>
            <w:tcW w:w="680" w:type="dxa"/>
            <w:vAlign w:val="bottom"/>
          </w:tcPr>
          <w:p>
            <w:pPr>
              <w:jc w:val="right"/>
              <w:ind w:right="264"/>
              <w:spacing w:after="0" w:line="68" w:lineRule="exact"/>
              <w:rPr>
                <w:sz w:val="20"/>
                <w:szCs w:val="20"/>
                <w:color w:val="auto"/>
              </w:rPr>
            </w:pPr>
            <w:r>
              <w:rPr>
                <w:rFonts w:ascii="Arial" w:cs="Arial" w:eastAsia="Arial" w:hAnsi="Arial"/>
                <w:sz w:val="7"/>
                <w:szCs w:val="7"/>
                <w:b w:val="1"/>
                <w:bCs w:val="1"/>
                <w:color w:val="auto"/>
              </w:rPr>
              <w:t>100%</w:t>
            </w:r>
          </w:p>
        </w:tc>
        <w:tc>
          <w:tcPr>
            <w:tcW w:w="500" w:type="dxa"/>
            <w:vAlign w:val="bottom"/>
          </w:tcPr>
          <w:p>
            <w:pPr>
              <w:jc w:val="right"/>
              <w:ind w:right="184"/>
              <w:spacing w:after="0" w:line="68" w:lineRule="exact"/>
              <w:rPr>
                <w:sz w:val="20"/>
                <w:szCs w:val="20"/>
                <w:color w:val="auto"/>
              </w:rPr>
            </w:pPr>
            <w:r>
              <w:rPr>
                <w:rFonts w:ascii="Arial" w:cs="Arial" w:eastAsia="Arial" w:hAnsi="Arial"/>
                <w:sz w:val="7"/>
                <w:szCs w:val="7"/>
                <w:b w:val="1"/>
                <w:bCs w:val="1"/>
                <w:color w:val="auto"/>
              </w:rPr>
              <w:t>SLG</w:t>
            </w:r>
          </w:p>
        </w:tc>
        <w:tc>
          <w:tcPr>
            <w:tcW w:w="440" w:type="dxa"/>
            <w:vAlign w:val="bottom"/>
          </w:tcPr>
          <w:p>
            <w:pPr>
              <w:jc w:val="right"/>
              <w:ind w:right="4"/>
              <w:spacing w:after="0" w:line="68"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40" w:type="dxa"/>
            <w:vAlign w:val="bottom"/>
            <w:gridSpan w:val="2"/>
            <w:vMerge w:val="continu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420" w:type="dxa"/>
            <w:vAlign w:val="bottom"/>
            <w:gridSpan w:val="3"/>
            <w:vMerge w:val="continue"/>
          </w:tcPr>
          <w:p>
            <w:pPr>
              <w:spacing w:after="0" w:line="20" w:lineRule="exact"/>
              <w:rPr>
                <w:sz w:val="1"/>
                <w:szCs w:val="1"/>
                <w:color w:val="auto"/>
              </w:rPr>
            </w:pPr>
          </w:p>
        </w:tc>
        <w:tc>
          <w:tcPr>
            <w:tcW w:w="620" w:type="dxa"/>
            <w:vAlign w:val="bottom"/>
            <w:gridSpan w:val="4"/>
            <w:vMerge w:val="continu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
        </w:trPr>
        <w:tc>
          <w:tcPr>
            <w:tcW w:w="20" w:type="dxa"/>
            <w:vAlign w:val="bottom"/>
          </w:tcPr>
          <w:p>
            <w:pPr>
              <w:spacing w:after="0"/>
              <w:rPr>
                <w:sz w:val="3"/>
                <w:szCs w:val="3"/>
                <w:color w:val="auto"/>
              </w:rPr>
            </w:pPr>
          </w:p>
        </w:tc>
        <w:tc>
          <w:tcPr>
            <w:tcW w:w="1920" w:type="dxa"/>
            <w:vAlign w:val="bottom"/>
            <w:gridSpan w:val="7"/>
            <w:vMerge w:val="restart"/>
          </w:tcPr>
          <w:p>
            <w:pPr>
              <w:spacing w:after="0"/>
              <w:rPr>
                <w:sz w:val="20"/>
                <w:szCs w:val="20"/>
                <w:color w:val="auto"/>
              </w:rPr>
            </w:pPr>
            <w:r>
              <w:rPr>
                <w:rFonts w:ascii="Arial" w:cs="Arial" w:eastAsia="Arial" w:hAnsi="Arial"/>
                <w:sz w:val="7"/>
                <w:szCs w:val="7"/>
                <w:b w:val="1"/>
                <w:bCs w:val="1"/>
                <w:color w:val="auto"/>
              </w:rPr>
              <w:t>OTHER RETAIL - Unconsolidated Properties</w:t>
            </w: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0" w:type="dxa"/>
            <w:vAlign w:val="bottom"/>
            <w:vMerge w:val="continue"/>
          </w:tcPr>
          <w:p>
            <w:pPr>
              <w:spacing w:after="0"/>
              <w:rPr>
                <w:sz w:val="3"/>
                <w:szCs w:val="3"/>
                <w:color w:val="auto"/>
              </w:rPr>
            </w:pPr>
          </w:p>
        </w:tc>
        <w:tc>
          <w:tcPr>
            <w:tcW w:w="34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420" w:type="dxa"/>
            <w:vAlign w:val="bottom"/>
            <w:gridSpan w:val="3"/>
            <w:vMerge w:val="continue"/>
          </w:tcPr>
          <w:p>
            <w:pPr>
              <w:spacing w:after="0"/>
              <w:rPr>
                <w:sz w:val="3"/>
                <w:szCs w:val="3"/>
                <w:color w:val="auto"/>
              </w:rPr>
            </w:pPr>
          </w:p>
        </w:tc>
        <w:tc>
          <w:tcPr>
            <w:tcW w:w="620" w:type="dxa"/>
            <w:vAlign w:val="bottom"/>
            <w:gridSpan w:val="4"/>
            <w:vMerge w:val="continue"/>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920" w:type="dxa"/>
            <w:vAlign w:val="bottom"/>
            <w:gridSpan w:val="7"/>
            <w:vMerge w:val="continue"/>
          </w:tcPr>
          <w:p>
            <w:pPr>
              <w:spacing w:after="0"/>
              <w:rPr>
                <w:sz w:val="4"/>
                <w:szCs w:val="4"/>
                <w:color w:val="auto"/>
              </w:rPr>
            </w:pPr>
          </w:p>
        </w:tc>
        <w:tc>
          <w:tcPr>
            <w:tcW w:w="3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80" w:type="dxa"/>
            <w:vAlign w:val="bottom"/>
          </w:tcPr>
          <w:p>
            <w:pPr>
              <w:spacing w:after="0"/>
              <w:rPr>
                <w:sz w:val="4"/>
                <w:szCs w:val="4"/>
                <w:color w:val="auto"/>
              </w:rPr>
            </w:pPr>
          </w:p>
        </w:tc>
        <w:tc>
          <w:tcPr>
            <w:tcW w:w="50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380" w:type="dxa"/>
            <w:vAlign w:val="bottom"/>
            <w:gridSpan w:val="4"/>
          </w:tcPr>
          <w:p>
            <w:pPr>
              <w:spacing w:after="0"/>
              <w:rPr>
                <w:sz w:val="20"/>
                <w:szCs w:val="20"/>
                <w:color w:val="auto"/>
              </w:rPr>
            </w:pPr>
            <w:r>
              <w:rPr>
                <w:rFonts w:ascii="Arial" w:cs="Arial" w:eastAsia="Arial" w:hAnsi="Arial"/>
                <w:sz w:val="7"/>
                <w:szCs w:val="7"/>
                <w:color w:val="auto"/>
              </w:rPr>
              <w:t>3 Columbus Circle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48.9</w:t>
            </w:r>
          </w:p>
        </w:tc>
        <w:tc>
          <w:tcPr>
            <w:tcW w:w="100" w:type="dxa"/>
            <w:vAlign w:val="bottom"/>
          </w:tcPr>
          <w:p>
            <w:pPr>
              <w:spacing w:after="0"/>
              <w:rPr>
                <w:sz w:val="17"/>
                <w:szCs w:val="17"/>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Columbus Circle</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20" w:type="dxa"/>
            <w:vAlign w:val="bottom"/>
            <w:gridSpan w:val="3"/>
          </w:tcPr>
          <w:p>
            <w:pPr>
              <w:jc w:val="right"/>
              <w:ind w:right="20"/>
              <w:spacing w:after="0"/>
              <w:rPr>
                <w:sz w:val="20"/>
                <w:szCs w:val="20"/>
                <w:color w:val="auto"/>
              </w:rPr>
            </w:pPr>
            <w:r>
              <w:rPr>
                <w:rFonts w:ascii="Arial" w:cs="Arial" w:eastAsia="Arial" w:hAnsi="Arial"/>
                <w:sz w:val="7"/>
                <w:szCs w:val="7"/>
                <w:color w:val="auto"/>
              </w:rPr>
              <w:t>75,165</w:t>
            </w:r>
          </w:p>
        </w:tc>
        <w:tc>
          <w:tcPr>
            <w:tcW w:w="80" w:type="dxa"/>
            <w:vAlign w:val="bottom"/>
          </w:tcPr>
          <w:p>
            <w:pPr>
              <w:spacing w:after="0"/>
              <w:rPr>
                <w:sz w:val="17"/>
                <w:szCs w:val="17"/>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3.7</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7"/>
                <w:szCs w:val="17"/>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87.2</w:t>
            </w:r>
          </w:p>
        </w:tc>
        <w:tc>
          <w:tcPr>
            <w:tcW w:w="100" w:type="dxa"/>
            <w:vAlign w:val="bottom"/>
          </w:tcPr>
          <w:p>
            <w:pPr>
              <w:spacing w:after="0"/>
              <w:rPr>
                <w:sz w:val="17"/>
                <w:szCs w:val="17"/>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87.2</w:t>
            </w: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$19,390</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6.4</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4.8</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6</w:t>
            </w:r>
          </w:p>
        </w:tc>
        <w:tc>
          <w:tcPr>
            <w:tcW w:w="0" w:type="dxa"/>
            <w:vAlign w:val="bottom"/>
          </w:tcPr>
          <w:p>
            <w:pPr>
              <w:spacing w:after="0"/>
              <w:rPr>
                <w:sz w:val="1"/>
                <w:szCs w:val="1"/>
                <w:color w:val="auto"/>
              </w:rPr>
            </w:pPr>
          </w:p>
        </w:tc>
      </w:tr>
      <w:tr>
        <w:trPr>
          <w:trHeight w:val="219"/>
        </w:trPr>
        <w:tc>
          <w:tcPr>
            <w:tcW w:w="100" w:type="dxa"/>
            <w:vAlign w:val="bottom"/>
            <w:gridSpan w:val="2"/>
          </w:tcPr>
          <w:p>
            <w:pPr>
              <w:ind w:left="20"/>
              <w:spacing w:after="0"/>
              <w:rPr>
                <w:sz w:val="20"/>
                <w:szCs w:val="20"/>
                <w:color w:val="auto"/>
              </w:rPr>
            </w:pPr>
            <w:r>
              <w:rPr>
                <w:rFonts w:ascii="Arial" w:cs="Arial" w:eastAsia="Arial" w:hAnsi="Arial"/>
                <w:sz w:val="7"/>
                <w:szCs w:val="7"/>
                <w:color w:val="auto"/>
                <w:w w:val="76"/>
              </w:rPr>
              <w:t>10</w:t>
            </w:r>
          </w:p>
        </w:tc>
        <w:tc>
          <w:tcPr>
            <w:tcW w:w="1300" w:type="dxa"/>
            <w:vAlign w:val="bottom"/>
            <w:gridSpan w:val="3"/>
          </w:tcPr>
          <w:p>
            <w:pPr>
              <w:jc w:val="center"/>
              <w:ind w:right="704"/>
              <w:spacing w:after="0"/>
              <w:rPr>
                <w:sz w:val="20"/>
                <w:szCs w:val="20"/>
                <w:color w:val="auto"/>
              </w:rPr>
            </w:pPr>
            <w:r>
              <w:rPr>
                <w:rFonts w:ascii="Arial" w:cs="Arial" w:eastAsia="Arial" w:hAnsi="Arial"/>
                <w:sz w:val="7"/>
                <w:szCs w:val="7"/>
                <w:color w:val="auto"/>
              </w:rPr>
              <w:t>East 53rd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55.0</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20" w:type="dxa"/>
            <w:vAlign w:val="bottom"/>
            <w:gridSpan w:val="3"/>
          </w:tcPr>
          <w:p>
            <w:pPr>
              <w:jc w:val="right"/>
              <w:ind w:right="20"/>
              <w:spacing w:after="0"/>
              <w:rPr>
                <w:sz w:val="20"/>
                <w:szCs w:val="20"/>
                <w:color w:val="auto"/>
              </w:rPr>
            </w:pPr>
            <w:r>
              <w:rPr>
                <w:rFonts w:ascii="Arial" w:cs="Arial" w:eastAsia="Arial" w:hAnsi="Arial"/>
                <w:sz w:val="7"/>
                <w:szCs w:val="7"/>
                <w:color w:val="auto"/>
              </w:rPr>
              <w:t>39,340</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81.7</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3,359</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1.1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0.9</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100" w:type="dxa"/>
            <w:vAlign w:val="bottom"/>
            <w:gridSpan w:val="2"/>
          </w:tcPr>
          <w:p>
            <w:pPr>
              <w:ind w:left="20"/>
              <w:spacing w:after="0"/>
              <w:rPr>
                <w:sz w:val="20"/>
                <w:szCs w:val="20"/>
                <w:color w:val="auto"/>
              </w:rPr>
            </w:pPr>
            <w:r>
              <w:rPr>
                <w:rFonts w:ascii="Arial" w:cs="Arial" w:eastAsia="Arial" w:hAnsi="Arial"/>
                <w:sz w:val="7"/>
                <w:szCs w:val="7"/>
                <w:color w:val="auto"/>
                <w:w w:val="76"/>
              </w:rPr>
              <w:t>11</w:t>
            </w:r>
          </w:p>
        </w:tc>
        <w:tc>
          <w:tcPr>
            <w:tcW w:w="1300" w:type="dxa"/>
            <w:vAlign w:val="bottom"/>
            <w:gridSpan w:val="3"/>
          </w:tcPr>
          <w:p>
            <w:pPr>
              <w:jc w:val="center"/>
              <w:ind w:right="684"/>
              <w:spacing w:after="0"/>
              <w:rPr>
                <w:sz w:val="20"/>
                <w:szCs w:val="20"/>
                <w:color w:val="auto"/>
              </w:rPr>
            </w:pPr>
            <w:r>
              <w:rPr>
                <w:rFonts w:ascii="Arial" w:cs="Arial" w:eastAsia="Arial" w:hAnsi="Arial"/>
                <w:sz w:val="7"/>
                <w:szCs w:val="7"/>
                <w:color w:val="auto"/>
              </w:rPr>
              <w:t>Madison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60.0</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Park Avenue South</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20" w:type="dxa"/>
            <w:vAlign w:val="bottom"/>
            <w:gridSpan w:val="3"/>
          </w:tcPr>
          <w:p>
            <w:pPr>
              <w:jc w:val="right"/>
              <w:ind w:right="20"/>
              <w:spacing w:after="0"/>
              <w:rPr>
                <w:sz w:val="20"/>
                <w:szCs w:val="20"/>
                <w:color w:val="auto"/>
              </w:rPr>
            </w:pPr>
            <w:r>
              <w:rPr>
                <w:rFonts w:ascii="Arial" w:cs="Arial" w:eastAsia="Arial" w:hAnsi="Arial"/>
                <w:sz w:val="7"/>
                <w:szCs w:val="7"/>
                <w:color w:val="auto"/>
              </w:rPr>
              <w:t>38,800</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97.7</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97.7</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97.7</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90.2</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90.2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3,534</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1.2</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1.1</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19"/>
        </w:trPr>
        <w:tc>
          <w:tcPr>
            <w:tcW w:w="100" w:type="dxa"/>
            <w:vAlign w:val="bottom"/>
            <w:gridSpan w:val="2"/>
          </w:tcPr>
          <w:p>
            <w:pPr>
              <w:ind w:left="20"/>
              <w:spacing w:after="0"/>
              <w:rPr>
                <w:sz w:val="20"/>
                <w:szCs w:val="20"/>
                <w:color w:val="auto"/>
              </w:rPr>
            </w:pPr>
            <w:r>
              <w:rPr>
                <w:rFonts w:ascii="Arial" w:cs="Arial" w:eastAsia="Arial" w:hAnsi="Arial"/>
                <w:sz w:val="7"/>
                <w:szCs w:val="7"/>
                <w:color w:val="auto"/>
                <w:w w:val="76"/>
              </w:rPr>
              <w:t>30</w:t>
            </w:r>
          </w:p>
        </w:tc>
        <w:tc>
          <w:tcPr>
            <w:tcW w:w="1300" w:type="dxa"/>
            <w:vAlign w:val="bottom"/>
            <w:gridSpan w:val="3"/>
          </w:tcPr>
          <w:p>
            <w:pPr>
              <w:jc w:val="center"/>
              <w:ind w:right="704"/>
              <w:spacing w:after="0"/>
              <w:rPr>
                <w:sz w:val="20"/>
                <w:szCs w:val="20"/>
                <w:color w:val="auto"/>
              </w:rPr>
            </w:pPr>
            <w:r>
              <w:rPr>
                <w:rFonts w:ascii="Arial" w:cs="Arial" w:eastAsia="Arial" w:hAnsi="Arial"/>
                <w:sz w:val="7"/>
                <w:szCs w:val="7"/>
                <w:color w:val="auto"/>
              </w:rPr>
              <w:t>East 40th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60.0</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Leasehold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00" w:type="dxa"/>
            <w:vAlign w:val="bottom"/>
            <w:gridSpan w:val="2"/>
          </w:tcPr>
          <w:p>
            <w:pPr>
              <w:jc w:val="right"/>
              <w:spacing w:after="0"/>
              <w:rPr>
                <w:sz w:val="20"/>
                <w:szCs w:val="20"/>
                <w:color w:val="auto"/>
              </w:rPr>
            </w:pPr>
            <w:r>
              <w:rPr>
                <w:rFonts w:ascii="Arial" w:cs="Arial" w:eastAsia="Arial" w:hAnsi="Arial"/>
                <w:sz w:val="7"/>
                <w:szCs w:val="7"/>
                <w:color w:val="auto"/>
              </w:rPr>
              <w:t>4,461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0.2</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459</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0.2</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0.1</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5</w:t>
            </w:r>
          </w:p>
        </w:tc>
        <w:tc>
          <w:tcPr>
            <w:tcW w:w="0" w:type="dxa"/>
            <w:vAlign w:val="bottom"/>
          </w:tcPr>
          <w:p>
            <w:pPr>
              <w:spacing w:after="0"/>
              <w:rPr>
                <w:sz w:val="1"/>
                <w:szCs w:val="1"/>
                <w:color w:val="auto"/>
              </w:rPr>
            </w:pPr>
          </w:p>
        </w:tc>
      </w:tr>
      <w:tr>
        <w:trPr>
          <w:trHeight w:val="219"/>
        </w:trPr>
        <w:tc>
          <w:tcPr>
            <w:tcW w:w="100" w:type="dxa"/>
            <w:vAlign w:val="bottom"/>
            <w:gridSpan w:val="2"/>
          </w:tcPr>
          <w:p>
            <w:pPr>
              <w:ind w:left="20"/>
              <w:spacing w:after="0"/>
              <w:rPr>
                <w:sz w:val="20"/>
                <w:szCs w:val="20"/>
                <w:color w:val="auto"/>
              </w:rPr>
            </w:pPr>
            <w:r>
              <w:rPr>
                <w:rFonts w:ascii="Arial" w:cs="Arial" w:eastAsia="Arial" w:hAnsi="Arial"/>
                <w:sz w:val="7"/>
                <w:szCs w:val="7"/>
                <w:color w:val="auto"/>
                <w:w w:val="76"/>
              </w:rPr>
              <w:t>55</w:t>
            </w:r>
          </w:p>
        </w:tc>
        <w:tc>
          <w:tcPr>
            <w:tcW w:w="1300" w:type="dxa"/>
            <w:vAlign w:val="bottom"/>
            <w:gridSpan w:val="3"/>
          </w:tcPr>
          <w:p>
            <w:pPr>
              <w:jc w:val="center"/>
              <w:ind w:right="684"/>
              <w:spacing w:after="0"/>
              <w:rPr>
                <w:sz w:val="20"/>
                <w:szCs w:val="20"/>
                <w:color w:val="auto"/>
              </w:rPr>
            </w:pPr>
            <w:r>
              <w:rPr>
                <w:rFonts w:ascii="Arial" w:cs="Arial" w:eastAsia="Arial" w:hAnsi="Arial"/>
                <w:sz w:val="7"/>
                <w:szCs w:val="7"/>
                <w:color w:val="auto"/>
              </w:rPr>
              <w:t>West 46th Street</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25.0</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Midtown</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Leasehold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00" w:type="dxa"/>
            <w:vAlign w:val="bottom"/>
            <w:gridSpan w:val="2"/>
          </w:tcPr>
          <w:p>
            <w:pPr>
              <w:jc w:val="right"/>
              <w:spacing w:after="0"/>
              <w:rPr>
                <w:sz w:val="20"/>
                <w:szCs w:val="20"/>
                <w:color w:val="auto"/>
              </w:rPr>
            </w:pPr>
            <w:r>
              <w:rPr>
                <w:rFonts w:ascii="Arial" w:cs="Arial" w:eastAsia="Arial" w:hAnsi="Arial"/>
                <w:sz w:val="7"/>
                <w:szCs w:val="7"/>
                <w:color w:val="auto"/>
              </w:rPr>
              <w:t>1,191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0.1</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210</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40" w:type="dxa"/>
            <w:vAlign w:val="bottom"/>
            <w:gridSpan w:val="3"/>
          </w:tcPr>
          <w:p>
            <w:pPr>
              <w:ind w:left="20"/>
              <w:spacing w:after="0"/>
              <w:rPr>
                <w:sz w:val="20"/>
                <w:szCs w:val="20"/>
                <w:color w:val="auto"/>
              </w:rPr>
            </w:pPr>
            <w:r>
              <w:rPr>
                <w:rFonts w:ascii="Arial" w:cs="Arial" w:eastAsia="Arial" w:hAnsi="Arial"/>
                <w:sz w:val="7"/>
                <w:szCs w:val="7"/>
                <w:color w:val="auto"/>
                <w:w w:val="85"/>
              </w:rPr>
              <w:t>100</w:t>
            </w:r>
          </w:p>
        </w:tc>
        <w:tc>
          <w:tcPr>
            <w:tcW w:w="12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Grand Central South</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20" w:type="dxa"/>
            <w:vAlign w:val="bottom"/>
            <w:gridSpan w:val="3"/>
          </w:tcPr>
          <w:p>
            <w:pPr>
              <w:jc w:val="right"/>
              <w:ind w:right="20"/>
              <w:spacing w:after="0"/>
              <w:rPr>
                <w:sz w:val="20"/>
                <w:szCs w:val="20"/>
                <w:color w:val="auto"/>
              </w:rPr>
            </w:pPr>
            <w:r>
              <w:rPr>
                <w:rFonts w:ascii="Arial" w:cs="Arial" w:eastAsia="Arial" w:hAnsi="Arial"/>
                <w:sz w:val="7"/>
                <w:szCs w:val="7"/>
                <w:color w:val="auto"/>
              </w:rPr>
              <w:t>40,022</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3,371</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1.1</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0.9</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40" w:type="dxa"/>
            <w:vAlign w:val="bottom"/>
            <w:gridSpan w:val="3"/>
          </w:tcPr>
          <w:p>
            <w:pPr>
              <w:ind w:left="20"/>
              <w:spacing w:after="0"/>
              <w:rPr>
                <w:sz w:val="20"/>
                <w:szCs w:val="20"/>
                <w:color w:val="auto"/>
              </w:rPr>
            </w:pPr>
            <w:r>
              <w:rPr>
                <w:rFonts w:ascii="Arial" w:cs="Arial" w:eastAsia="Arial" w:hAnsi="Arial"/>
                <w:sz w:val="7"/>
                <w:szCs w:val="7"/>
                <w:color w:val="auto"/>
                <w:w w:val="85"/>
              </w:rPr>
              <w:t>280</w:t>
            </w:r>
          </w:p>
        </w:tc>
        <w:tc>
          <w:tcPr>
            <w:tcW w:w="12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50.0</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Park Avenue</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20" w:type="dxa"/>
            <w:vAlign w:val="bottom"/>
            <w:gridSpan w:val="3"/>
          </w:tcPr>
          <w:p>
            <w:pPr>
              <w:jc w:val="right"/>
              <w:ind w:right="20"/>
              <w:spacing w:after="0"/>
              <w:rPr>
                <w:sz w:val="20"/>
                <w:szCs w:val="20"/>
                <w:color w:val="auto"/>
              </w:rPr>
            </w:pPr>
            <w:r>
              <w:rPr>
                <w:rFonts w:ascii="Arial" w:cs="Arial" w:eastAsia="Arial" w:hAnsi="Arial"/>
                <w:sz w:val="7"/>
                <w:szCs w:val="7"/>
                <w:color w:val="auto"/>
              </w:rPr>
              <w:t>18,545</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18.9</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18.9</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18.9</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18.9</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18.9</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786</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0.3</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0.2</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140" w:type="dxa"/>
            <w:vAlign w:val="bottom"/>
            <w:gridSpan w:val="3"/>
          </w:tcPr>
          <w:p>
            <w:pPr>
              <w:ind w:left="20"/>
              <w:spacing w:after="0"/>
              <w:rPr>
                <w:sz w:val="20"/>
                <w:szCs w:val="20"/>
                <w:color w:val="auto"/>
              </w:rPr>
            </w:pPr>
            <w:r>
              <w:rPr>
                <w:rFonts w:ascii="Arial" w:cs="Arial" w:eastAsia="Arial" w:hAnsi="Arial"/>
                <w:sz w:val="7"/>
                <w:szCs w:val="7"/>
                <w:color w:val="auto"/>
                <w:w w:val="85"/>
              </w:rPr>
              <w:t>521</w:t>
            </w:r>
          </w:p>
        </w:tc>
        <w:tc>
          <w:tcPr>
            <w:tcW w:w="126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50.5</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20" w:type="dxa"/>
            <w:vAlign w:val="bottom"/>
            <w:gridSpan w:val="3"/>
          </w:tcPr>
          <w:p>
            <w:pPr>
              <w:jc w:val="right"/>
              <w:ind w:right="20"/>
              <w:spacing w:after="0"/>
              <w:rPr>
                <w:sz w:val="20"/>
                <w:szCs w:val="20"/>
                <w:color w:val="auto"/>
              </w:rPr>
            </w:pPr>
            <w:r>
              <w:rPr>
                <w:rFonts w:ascii="Arial" w:cs="Arial" w:eastAsia="Arial" w:hAnsi="Arial"/>
                <w:sz w:val="7"/>
                <w:szCs w:val="7"/>
                <w:color w:val="auto"/>
              </w:rPr>
              <w:t>53,157</w:t>
            </w: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2.6</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4,990</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1.6</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1.3</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140" w:type="dxa"/>
            <w:vAlign w:val="bottom"/>
            <w:gridSpan w:val="3"/>
          </w:tcPr>
          <w:p>
            <w:pPr>
              <w:ind w:left="20"/>
              <w:spacing w:after="0"/>
              <w:rPr>
                <w:sz w:val="20"/>
                <w:szCs w:val="20"/>
                <w:color w:val="auto"/>
              </w:rPr>
            </w:pPr>
            <w:r>
              <w:rPr>
                <w:rFonts w:ascii="Arial" w:cs="Arial" w:eastAsia="Arial" w:hAnsi="Arial"/>
                <w:sz w:val="7"/>
                <w:szCs w:val="7"/>
                <w:color w:val="auto"/>
                <w:w w:val="85"/>
              </w:rPr>
              <w:t>800</w:t>
            </w:r>
          </w:p>
        </w:tc>
        <w:tc>
          <w:tcPr>
            <w:tcW w:w="1260" w:type="dxa"/>
            <w:vAlign w:val="bottom"/>
            <w:gridSpan w:val="2"/>
          </w:tcPr>
          <w:p>
            <w:pPr>
              <w:jc w:val="center"/>
              <w:ind w:right="764"/>
              <w:spacing w:after="0"/>
              <w:rPr>
                <w:sz w:val="20"/>
                <w:szCs w:val="20"/>
                <w:color w:val="auto"/>
              </w:rPr>
            </w:pPr>
            <w:r>
              <w:rPr>
                <w:rFonts w:ascii="Arial" w:cs="Arial" w:eastAsia="Arial" w:hAnsi="Arial"/>
                <w:sz w:val="7"/>
                <w:szCs w:val="7"/>
                <w:color w:val="auto"/>
              </w:rPr>
              <w:t>Third Avenue</w:t>
            </w:r>
          </w:p>
        </w:tc>
        <w:tc>
          <w:tcPr>
            <w:tcW w:w="440" w:type="dxa"/>
            <w:vAlign w:val="bottom"/>
            <w:gridSpan w:val="2"/>
          </w:tcPr>
          <w:p>
            <w:pPr>
              <w:jc w:val="center"/>
              <w:ind w:left="24"/>
              <w:spacing w:after="0"/>
              <w:rPr>
                <w:sz w:val="20"/>
                <w:szCs w:val="20"/>
                <w:color w:val="auto"/>
              </w:rPr>
            </w:pPr>
            <w:r>
              <w:rPr>
                <w:rFonts w:ascii="Arial" w:cs="Arial" w:eastAsia="Arial" w:hAnsi="Arial"/>
                <w:sz w:val="7"/>
                <w:szCs w:val="7"/>
                <w:color w:val="auto"/>
              </w:rPr>
              <w:t>60.5</w:t>
            </w:r>
          </w:p>
        </w:tc>
        <w:tc>
          <w:tcPr>
            <w:tcW w:w="10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gridSpan w:val="3"/>
          </w:tcPr>
          <w:p>
            <w:pPr>
              <w:jc w:val="right"/>
              <w:ind w:right="80"/>
              <w:spacing w:after="0"/>
              <w:rPr>
                <w:sz w:val="20"/>
                <w:szCs w:val="20"/>
                <w:color w:val="auto"/>
              </w:rPr>
            </w:pPr>
            <w:r>
              <w:rPr>
                <w:rFonts w:ascii="Arial" w:cs="Arial" w:eastAsia="Arial" w:hAnsi="Arial"/>
                <w:sz w:val="7"/>
                <w:szCs w:val="7"/>
                <w:color w:val="auto"/>
              </w:rPr>
              <w:t>1</w:t>
            </w:r>
          </w:p>
        </w:tc>
        <w:tc>
          <w:tcPr>
            <w:tcW w:w="400" w:type="dxa"/>
            <w:vAlign w:val="bottom"/>
            <w:gridSpan w:val="2"/>
          </w:tcPr>
          <w:p>
            <w:pPr>
              <w:jc w:val="right"/>
              <w:spacing w:after="0"/>
              <w:rPr>
                <w:sz w:val="20"/>
                <w:szCs w:val="20"/>
                <w:color w:val="auto"/>
              </w:rPr>
            </w:pPr>
            <w:r>
              <w:rPr>
                <w:rFonts w:ascii="Arial" w:cs="Arial" w:eastAsia="Arial" w:hAnsi="Arial"/>
                <w:sz w:val="7"/>
                <w:szCs w:val="7"/>
                <w:color w:val="auto"/>
              </w:rPr>
              <w:t>9,900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7"/>
                <w:szCs w:val="7"/>
                <w:color w:val="auto"/>
              </w:rPr>
              <w:t>0.5</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500" w:type="dxa"/>
            <w:vAlign w:val="bottom"/>
            <w:gridSpan w:val="2"/>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2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1,924</w:t>
            </w:r>
          </w:p>
        </w:tc>
        <w:tc>
          <w:tcPr>
            <w:tcW w:w="680" w:type="dxa"/>
            <w:vAlign w:val="bottom"/>
          </w:tcPr>
          <w:p>
            <w:pPr>
              <w:jc w:val="right"/>
              <w:ind w:right="144"/>
              <w:spacing w:after="0"/>
              <w:rPr>
                <w:sz w:val="20"/>
                <w:szCs w:val="20"/>
                <w:color w:val="auto"/>
              </w:rPr>
            </w:pPr>
            <w:r>
              <w:rPr>
                <w:rFonts w:ascii="Arial" w:cs="Arial" w:eastAsia="Arial" w:hAnsi="Arial"/>
                <w:sz w:val="7"/>
                <w:szCs w:val="7"/>
                <w:color w:val="auto"/>
              </w:rPr>
              <w:t>0.6</w:t>
            </w:r>
          </w:p>
        </w:tc>
        <w:tc>
          <w:tcPr>
            <w:tcW w:w="500" w:type="dxa"/>
            <w:vAlign w:val="bottom"/>
          </w:tcPr>
          <w:p>
            <w:pPr>
              <w:jc w:val="right"/>
              <w:ind w:right="44"/>
              <w:spacing w:after="0"/>
              <w:rPr>
                <w:sz w:val="20"/>
                <w:szCs w:val="20"/>
                <w:color w:val="auto"/>
              </w:rPr>
            </w:pPr>
            <w:r>
              <w:rPr>
                <w:rFonts w:ascii="Arial" w:cs="Arial" w:eastAsia="Arial" w:hAnsi="Arial"/>
                <w:sz w:val="7"/>
                <w:szCs w:val="7"/>
                <w:color w:val="auto"/>
              </w:rPr>
              <w:t>0.6</w:t>
            </w:r>
          </w:p>
        </w:tc>
        <w:tc>
          <w:tcPr>
            <w:tcW w:w="44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380" w:type="dxa"/>
            <w:vAlign w:val="bottom"/>
            <w:gridSpan w:val="4"/>
          </w:tcPr>
          <w:p>
            <w:pPr>
              <w:spacing w:after="0"/>
              <w:rPr>
                <w:sz w:val="20"/>
                <w:szCs w:val="20"/>
                <w:color w:val="auto"/>
              </w:rPr>
            </w:pPr>
            <w:r>
              <w:rPr>
                <w:rFonts w:ascii="Arial" w:cs="Arial" w:eastAsia="Arial" w:hAnsi="Arial"/>
                <w:sz w:val="7"/>
                <w:szCs w:val="7"/>
                <w:color w:val="auto"/>
              </w:rPr>
              <w:t>Stonehenge Portfolio</w:t>
            </w:r>
          </w:p>
        </w:tc>
        <w:tc>
          <w:tcPr>
            <w:tcW w:w="40" w:type="dxa"/>
            <w:vAlign w:val="bottom"/>
          </w:tcPr>
          <w:p>
            <w:pPr>
              <w:spacing w:after="0"/>
              <w:rPr>
                <w:sz w:val="19"/>
                <w:szCs w:val="19"/>
                <w:color w:val="auto"/>
              </w:rPr>
            </w:pPr>
          </w:p>
        </w:tc>
        <w:tc>
          <w:tcPr>
            <w:tcW w:w="500" w:type="dxa"/>
            <w:vAlign w:val="bottom"/>
            <w:gridSpan w:val="2"/>
          </w:tcPr>
          <w:p>
            <w:pPr>
              <w:jc w:val="center"/>
              <w:ind w:right="100"/>
              <w:spacing w:after="0"/>
              <w:rPr>
                <w:sz w:val="20"/>
                <w:szCs w:val="20"/>
                <w:color w:val="auto"/>
              </w:rPr>
            </w:pPr>
            <w:r>
              <w:rPr>
                <w:rFonts w:ascii="Arial" w:cs="Arial" w:eastAsia="Arial" w:hAnsi="Arial"/>
                <w:sz w:val="7"/>
                <w:szCs w:val="7"/>
                <w:color w:val="auto"/>
              </w:rPr>
              <w:t>Various</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3"/>
          </w:tcPr>
          <w:p>
            <w:pPr>
              <w:ind w:left="160"/>
              <w:spacing w:after="0"/>
              <w:rPr>
                <w:sz w:val="20"/>
                <w:szCs w:val="20"/>
                <w:color w:val="auto"/>
              </w:rPr>
            </w:pPr>
            <w:r>
              <w:rPr>
                <w:rFonts w:ascii="Arial" w:cs="Arial" w:eastAsia="Arial" w:hAnsi="Arial"/>
                <w:sz w:val="7"/>
                <w:szCs w:val="7"/>
                <w:color w:val="auto"/>
              </w:rPr>
              <w:t>Fee Interest</w:t>
            </w: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7"/>
                <w:szCs w:val="7"/>
                <w:color w:val="auto"/>
              </w:rPr>
              <w:t>10</w:t>
            </w:r>
          </w:p>
        </w:tc>
        <w:tc>
          <w:tcPr>
            <w:tcW w:w="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88,984</w:t>
            </w:r>
          </w:p>
        </w:tc>
        <w:tc>
          <w:tcPr>
            <w:tcW w:w="80" w:type="dxa"/>
            <w:vAlign w:val="bottom"/>
          </w:tcPr>
          <w:p>
            <w:pPr>
              <w:spacing w:after="0"/>
              <w:rPr>
                <w:sz w:val="19"/>
                <w:szCs w:val="19"/>
                <w:color w:val="auto"/>
              </w:rPr>
            </w:pPr>
          </w:p>
        </w:tc>
        <w:tc>
          <w:tcPr>
            <w:tcW w:w="5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7"/>
                <w:szCs w:val="7"/>
                <w:color w:val="auto"/>
              </w:rPr>
              <w:t>4.4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82.7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82.7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80.3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80.3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82.5</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9,561</w:t>
            </w:r>
          </w:p>
        </w:tc>
        <w:tc>
          <w:tcPr>
            <w:tcW w:w="68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3.2</w:t>
            </w:r>
          </w:p>
        </w:tc>
        <w:tc>
          <w:tcPr>
            <w:tcW w:w="5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0.1</w:t>
            </w:r>
          </w:p>
        </w:tc>
        <w:tc>
          <w:tcPr>
            <w:tcW w:w="4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33</w:t>
            </w: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4"/>
          </w:tcPr>
          <w:p>
            <w:pPr>
              <w:ind w:left="580"/>
              <w:spacing w:after="0"/>
              <w:rPr>
                <w:sz w:val="20"/>
                <w:szCs w:val="20"/>
                <w:color w:val="auto"/>
              </w:rPr>
            </w:pPr>
            <w:r>
              <w:rPr>
                <w:rFonts w:ascii="Arial" w:cs="Arial" w:eastAsia="Arial" w:hAnsi="Arial"/>
                <w:sz w:val="7"/>
                <w:szCs w:val="7"/>
                <w:b w:val="1"/>
                <w:bCs w:val="1"/>
                <w:color w:val="auto"/>
              </w:rPr>
              <w:t>Subtotal / Weighted Average</w:t>
            </w: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19</w:t>
            </w:r>
          </w:p>
        </w:tc>
        <w:tc>
          <w:tcPr>
            <w:tcW w:w="42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369,565</w:t>
            </w:r>
          </w:p>
        </w:tc>
        <w:tc>
          <w:tcPr>
            <w:tcW w:w="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18.2%</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91.5%</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91.5%</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90.9%</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87.2%</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85.8%</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$47,584</w:t>
            </w:r>
          </w:p>
        </w:tc>
        <w:tc>
          <w:tcPr>
            <w:tcW w:w="680" w:type="dxa"/>
            <w:vAlign w:val="bottom"/>
          </w:tcPr>
          <w:p>
            <w:pPr>
              <w:jc w:val="right"/>
              <w:ind w:right="84"/>
              <w:spacing w:after="0"/>
              <w:rPr>
                <w:sz w:val="20"/>
                <w:szCs w:val="20"/>
                <w:color w:val="auto"/>
              </w:rPr>
            </w:pPr>
            <w:r>
              <w:rPr>
                <w:rFonts w:ascii="Arial" w:cs="Arial" w:eastAsia="Arial" w:hAnsi="Arial"/>
                <w:sz w:val="7"/>
                <w:szCs w:val="7"/>
                <w:b w:val="1"/>
                <w:bCs w:val="1"/>
                <w:color w:val="auto"/>
              </w:rPr>
              <w:t>15.7%</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10.1%</w:t>
            </w:r>
          </w:p>
        </w:tc>
        <w:tc>
          <w:tcPr>
            <w:tcW w:w="440" w:type="dxa"/>
            <w:vAlign w:val="bottom"/>
          </w:tcPr>
          <w:p>
            <w:pPr>
              <w:jc w:val="right"/>
              <w:ind w:right="4"/>
              <w:spacing w:after="0"/>
              <w:rPr>
                <w:sz w:val="20"/>
                <w:szCs w:val="20"/>
                <w:color w:val="auto"/>
              </w:rPr>
            </w:pPr>
            <w:r>
              <w:rPr>
                <w:rFonts w:ascii="Arial" w:cs="Arial" w:eastAsia="Arial" w:hAnsi="Arial"/>
                <w:sz w:val="7"/>
                <w:szCs w:val="7"/>
                <w:b w:val="1"/>
                <w:bCs w:val="1"/>
                <w:color w:val="auto"/>
              </w:rPr>
              <w:t>69</w:t>
            </w: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7"/>
                <w:szCs w:val="7"/>
                <w:b w:val="1"/>
                <w:bCs w:val="1"/>
                <w:color w:val="auto"/>
              </w:rPr>
              <w:t>Total / Weighted Average Other Retail</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44</w:t>
            </w:r>
          </w:p>
        </w:tc>
        <w:tc>
          <w:tcPr>
            <w:tcW w:w="400" w:type="dxa"/>
            <w:vAlign w:val="bottom"/>
            <w:gridSpan w:val="2"/>
          </w:tcPr>
          <w:p>
            <w:pPr>
              <w:jc w:val="right"/>
              <w:spacing w:after="0"/>
              <w:rPr>
                <w:sz w:val="20"/>
                <w:szCs w:val="20"/>
                <w:color w:val="auto"/>
              </w:rPr>
            </w:pPr>
            <w:r>
              <w:rPr>
                <w:rFonts w:ascii="Arial" w:cs="Arial" w:eastAsia="Arial" w:hAnsi="Arial"/>
                <w:sz w:val="7"/>
                <w:szCs w:val="7"/>
                <w:b w:val="1"/>
                <w:bCs w:val="1"/>
                <w:color w:val="auto"/>
              </w:rPr>
              <w:t>1,235,114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60.7%</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92.1%</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94.1%</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94.1%</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93.8%</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93.3%</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$155,087</w:t>
            </w:r>
          </w:p>
        </w:tc>
        <w:tc>
          <w:tcPr>
            <w:tcW w:w="680" w:type="dxa"/>
            <w:vAlign w:val="bottom"/>
          </w:tcPr>
          <w:p>
            <w:pPr>
              <w:jc w:val="right"/>
              <w:ind w:right="84"/>
              <w:spacing w:after="0"/>
              <w:rPr>
                <w:sz w:val="20"/>
                <w:szCs w:val="20"/>
                <w:color w:val="auto"/>
              </w:rPr>
            </w:pPr>
            <w:r>
              <w:rPr>
                <w:rFonts w:ascii="Arial" w:cs="Arial" w:eastAsia="Arial" w:hAnsi="Arial"/>
                <w:sz w:val="7"/>
                <w:szCs w:val="7"/>
                <w:b w:val="1"/>
                <w:bCs w:val="1"/>
                <w:color w:val="auto"/>
              </w:rPr>
              <w:t>51.1%</w:t>
            </w: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63.9%</w:t>
            </w:r>
          </w:p>
        </w:tc>
        <w:tc>
          <w:tcPr>
            <w:tcW w:w="440" w:type="dxa"/>
            <w:vAlign w:val="bottom"/>
          </w:tcPr>
          <w:p>
            <w:pPr>
              <w:jc w:val="right"/>
              <w:ind w:right="4"/>
              <w:spacing w:after="0"/>
              <w:rPr>
                <w:sz w:val="20"/>
                <w:szCs w:val="20"/>
                <w:color w:val="auto"/>
              </w:rPr>
            </w:pPr>
            <w:r>
              <w:rPr>
                <w:rFonts w:ascii="Arial" w:cs="Arial" w:eastAsia="Arial" w:hAnsi="Arial"/>
                <w:sz w:val="7"/>
                <w:szCs w:val="7"/>
                <w:b w:val="1"/>
                <w:bCs w:val="1"/>
                <w:color w:val="auto"/>
              </w:rPr>
              <w:t>185</w:t>
            </w:r>
          </w:p>
        </w:tc>
        <w:tc>
          <w:tcPr>
            <w:tcW w:w="0" w:type="dxa"/>
            <w:vAlign w:val="bottom"/>
          </w:tcPr>
          <w:p>
            <w:pPr>
              <w:spacing w:after="0"/>
              <w:rPr>
                <w:sz w:val="1"/>
                <w:szCs w:val="1"/>
                <w:color w:val="auto"/>
              </w:rPr>
            </w:pPr>
          </w:p>
        </w:tc>
      </w:tr>
      <w:tr>
        <w:trPr>
          <w:trHeight w:val="166"/>
        </w:trPr>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gridSpan w:val="3"/>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shd w:val="clear" w:color="auto" w:fill="000000"/>
          </w:tcPr>
          <w:p>
            <w:pPr>
              <w:spacing w:after="0"/>
              <w:rPr>
                <w:sz w:val="24"/>
                <w:szCs w:val="24"/>
                <w:color w:val="auto"/>
              </w:rPr>
            </w:pPr>
          </w:p>
        </w:tc>
        <w:tc>
          <w:tcPr>
            <w:tcW w:w="1380" w:type="dxa"/>
            <w:vAlign w:val="bottom"/>
            <w:gridSpan w:val="4"/>
          </w:tcPr>
          <w:p>
            <w:pPr>
              <w:spacing w:after="0"/>
              <w:rPr>
                <w:sz w:val="20"/>
                <w:szCs w:val="20"/>
                <w:color w:val="auto"/>
              </w:rPr>
            </w:pPr>
            <w:r>
              <w:rPr>
                <w:rFonts w:ascii="Arial" w:cs="Arial" w:eastAsia="Arial" w:hAnsi="Arial"/>
                <w:sz w:val="7"/>
                <w:szCs w:val="7"/>
                <w:b w:val="1"/>
                <w:bCs w:val="1"/>
                <w:color w:val="auto"/>
              </w:rPr>
              <w:t>Retail Grand Total / Weighted Average</w:t>
            </w: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7"/>
                <w:szCs w:val="7"/>
                <w:b w:val="1"/>
                <w:bCs w:val="1"/>
                <w:color w:val="auto"/>
              </w:rPr>
              <w:t>67</w:t>
            </w:r>
          </w:p>
        </w:tc>
        <w:tc>
          <w:tcPr>
            <w:tcW w:w="400" w:type="dxa"/>
            <w:vAlign w:val="bottom"/>
            <w:gridSpan w:val="2"/>
          </w:tcPr>
          <w:p>
            <w:pPr>
              <w:jc w:val="right"/>
              <w:spacing w:after="0"/>
              <w:rPr>
                <w:sz w:val="20"/>
                <w:szCs w:val="20"/>
                <w:color w:val="auto"/>
              </w:rPr>
            </w:pPr>
            <w:r>
              <w:rPr>
                <w:rFonts w:ascii="Arial" w:cs="Arial" w:eastAsia="Arial" w:hAnsi="Arial"/>
                <w:sz w:val="7"/>
                <w:szCs w:val="7"/>
                <w:b w:val="1"/>
                <w:bCs w:val="1"/>
                <w:color w:val="auto"/>
              </w:rPr>
              <w:t>2,033,888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89.1%</w:t>
            </w:r>
          </w:p>
        </w:tc>
        <w:tc>
          <w:tcPr>
            <w:tcW w:w="80" w:type="dxa"/>
            <w:vAlign w:val="bottom"/>
          </w:tcPr>
          <w:p>
            <w:pPr>
              <w:spacing w:after="0"/>
              <w:rPr>
                <w:sz w:val="24"/>
                <w:szCs w:val="24"/>
                <w:color w:val="auto"/>
              </w:rPr>
            </w:pPr>
          </w:p>
        </w:tc>
        <w:tc>
          <w:tcPr>
            <w:tcW w:w="420" w:type="dxa"/>
            <w:vAlign w:val="bottom"/>
          </w:tcPr>
          <w:p>
            <w:pPr>
              <w:jc w:val="right"/>
              <w:ind w:right="4"/>
              <w:spacing w:after="0"/>
              <w:rPr>
                <w:sz w:val="20"/>
                <w:szCs w:val="20"/>
                <w:color w:val="auto"/>
              </w:rPr>
            </w:pPr>
            <w:r>
              <w:rPr>
                <w:rFonts w:ascii="Arial" w:cs="Arial" w:eastAsia="Arial" w:hAnsi="Arial"/>
                <w:sz w:val="7"/>
                <w:szCs w:val="7"/>
                <w:b w:val="1"/>
                <w:bCs w:val="1"/>
                <w:color w:val="auto"/>
              </w:rPr>
              <w:t>90.6%</w:t>
            </w:r>
          </w:p>
        </w:tc>
        <w:tc>
          <w:tcPr>
            <w:tcW w:w="500" w:type="dxa"/>
            <w:vAlign w:val="bottom"/>
            <w:gridSpan w:val="2"/>
          </w:tcPr>
          <w:p>
            <w:pPr>
              <w:jc w:val="right"/>
              <w:spacing w:after="0"/>
              <w:rPr>
                <w:sz w:val="20"/>
                <w:szCs w:val="20"/>
                <w:color w:val="auto"/>
              </w:rPr>
            </w:pPr>
            <w:r>
              <w:rPr>
                <w:rFonts w:ascii="Arial" w:cs="Arial" w:eastAsia="Arial" w:hAnsi="Arial"/>
                <w:sz w:val="7"/>
                <w:szCs w:val="7"/>
                <w:b w:val="1"/>
                <w:bCs w:val="1"/>
                <w:color w:val="auto"/>
              </w:rPr>
              <w:t>90.5%</w:t>
            </w:r>
          </w:p>
        </w:tc>
        <w:tc>
          <w:tcPr>
            <w:tcW w:w="8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7"/>
                <w:szCs w:val="7"/>
                <w:b w:val="1"/>
                <w:bCs w:val="1"/>
                <w:color w:val="auto"/>
              </w:rPr>
              <w:t>90.7%</w:t>
            </w:r>
          </w:p>
        </w:tc>
        <w:tc>
          <w:tcPr>
            <w:tcW w:w="10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91.2%</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$303,330</w:t>
            </w:r>
          </w:p>
        </w:tc>
        <w:tc>
          <w:tcPr>
            <w:tcW w:w="680" w:type="dxa"/>
            <w:vAlign w:val="bottom"/>
          </w:tcPr>
          <w:p>
            <w:pPr>
              <w:jc w:val="right"/>
              <w:ind w:right="84"/>
              <w:spacing w:after="0"/>
              <w:rPr>
                <w:sz w:val="20"/>
                <w:szCs w:val="20"/>
                <w:color w:val="auto"/>
              </w:rPr>
            </w:pPr>
            <w:r>
              <w:rPr>
                <w:rFonts w:ascii="Arial" w:cs="Arial" w:eastAsia="Arial" w:hAnsi="Arial"/>
                <w:sz w:val="7"/>
                <w:szCs w:val="7"/>
                <w:color w:val="auto"/>
              </w:rPr>
              <w:t>100.0%</w:t>
            </w:r>
          </w:p>
        </w:tc>
        <w:tc>
          <w:tcPr>
            <w:tcW w:w="500" w:type="dxa"/>
            <w:vAlign w:val="bottom"/>
          </w:tcPr>
          <w:p>
            <w:pPr>
              <w:spacing w:after="0"/>
              <w:rPr>
                <w:sz w:val="24"/>
                <w:szCs w:val="24"/>
                <w:color w:val="auto"/>
              </w:rPr>
            </w:pPr>
          </w:p>
        </w:tc>
        <w:tc>
          <w:tcPr>
            <w:tcW w:w="440" w:type="dxa"/>
            <w:vAlign w:val="bottom"/>
            <w:tcBorders>
              <w:right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274</w:t>
            </w:r>
          </w:p>
        </w:tc>
        <w:tc>
          <w:tcPr>
            <w:tcW w:w="0" w:type="dxa"/>
            <w:vAlign w:val="bottom"/>
          </w:tcPr>
          <w:p>
            <w:pPr>
              <w:spacing w:after="0"/>
              <w:rPr>
                <w:sz w:val="1"/>
                <w:szCs w:val="1"/>
                <w:color w:val="auto"/>
              </w:rPr>
            </w:pPr>
          </w:p>
        </w:tc>
      </w:tr>
      <w:tr>
        <w:trPr>
          <w:trHeight w:val="219"/>
        </w:trPr>
        <w:tc>
          <w:tcPr>
            <w:tcW w:w="20" w:type="dxa"/>
            <w:vAlign w:val="bottom"/>
            <w:shd w:val="clear" w:color="auto" w:fill="000000"/>
          </w:tcPr>
          <w:p>
            <w:pPr>
              <w:spacing w:after="0"/>
              <w:rPr>
                <w:sz w:val="19"/>
                <w:szCs w:val="19"/>
                <w:color w:val="auto"/>
              </w:rPr>
            </w:pPr>
          </w:p>
        </w:tc>
        <w:tc>
          <w:tcPr>
            <w:tcW w:w="1920" w:type="dxa"/>
            <w:vAlign w:val="bottom"/>
            <w:gridSpan w:val="7"/>
          </w:tcPr>
          <w:p>
            <w:pPr>
              <w:spacing w:after="0"/>
              <w:rPr>
                <w:sz w:val="20"/>
                <w:szCs w:val="20"/>
                <w:color w:val="auto"/>
              </w:rPr>
            </w:pPr>
            <w:r>
              <w:rPr>
                <w:rFonts w:ascii="Arial" w:cs="Arial" w:eastAsia="Arial" w:hAnsi="Arial"/>
                <w:sz w:val="7"/>
                <w:szCs w:val="7"/>
                <w:b w:val="1"/>
                <w:bCs w:val="1"/>
                <w:color w:val="auto"/>
              </w:rPr>
              <w:t>Retail Grand Total - SLG share of Annualized Rent</w:t>
            </w:r>
          </w:p>
        </w:tc>
        <w:tc>
          <w:tcPr>
            <w:tcW w:w="3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$195,604</w:t>
            </w:r>
          </w:p>
        </w:tc>
        <w:tc>
          <w:tcPr>
            <w:tcW w:w="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4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shd w:val="clear" w:color="auto" w:fill="000000"/>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38</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sectPr>
      </w:pPr>
    </w:p>
    <w:bookmarkStart w:id="54" w:name="page55"/>
    <w:bookmarkEnd w:id="5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-90170</wp:posOffset>
            </wp:positionV>
            <wp:extent cx="1207770" cy="36068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07770"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Reckson Operating Portfolio - Consolidated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50" w:type="dxa"/>
        <w:tblCellMar>
          <w:top w:w="0" w:type="dxa"/>
          <w:left w:w="0" w:type="dxa"/>
          <w:bottom w:w="0" w:type="dxa"/>
          <w:right w:w="0" w:type="dxa"/>
        </w:tblCellMar>
      </w:tblPr>
      <w:tr>
        <w:trPr>
          <w:trHeight w:val="98"/>
        </w:trPr>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2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660" w:type="dxa"/>
            <w:vAlign w:val="bottom"/>
            <w:gridSpan w:val="4"/>
          </w:tcPr>
          <w:p>
            <w:pPr>
              <w:ind w:left="40"/>
              <w:spacing w:after="0"/>
              <w:rPr>
                <w:sz w:val="20"/>
                <w:szCs w:val="20"/>
                <w:color w:val="auto"/>
              </w:rPr>
            </w:pPr>
            <w:r>
              <w:rPr>
                <w:rFonts w:ascii="Arial" w:cs="Arial" w:eastAsia="Arial" w:hAnsi="Arial"/>
                <w:sz w:val="7"/>
                <w:szCs w:val="7"/>
                <w:b w:val="1"/>
                <w:bCs w:val="1"/>
                <w:color w:val="auto"/>
              </w:rPr>
              <w:t>% of Total</w:t>
            </w: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2"/>
          </w:tcPr>
          <w:p>
            <w:pPr>
              <w:ind w:left="60"/>
              <w:spacing w:after="0"/>
              <w:rPr>
                <w:sz w:val="20"/>
                <w:szCs w:val="20"/>
                <w:color w:val="auto"/>
              </w:rPr>
            </w:pPr>
            <w:r>
              <w:rPr>
                <w:rFonts w:ascii="Arial" w:cs="Arial" w:eastAsia="Arial" w:hAnsi="Arial"/>
                <w:sz w:val="7"/>
                <w:szCs w:val="7"/>
                <w:b w:val="1"/>
                <w:bCs w:val="1"/>
                <w:color w:val="auto"/>
              </w:rPr>
              <w:t>Occupancy (%)</w:t>
            </w: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0" w:type="dxa"/>
            <w:vAlign w:val="bottom"/>
            <w:tcBorders>
              <w:bottom w:val="single" w:sz="8" w:color="auto"/>
            </w:tcBorders>
            <w:gridSpan w:val="2"/>
          </w:tcPr>
          <w:p>
            <w:pPr>
              <w:jc w:val="right"/>
              <w:ind w:right="24"/>
              <w:spacing w:after="0"/>
              <w:rPr>
                <w:sz w:val="20"/>
                <w:szCs w:val="20"/>
                <w:color w:val="auto"/>
              </w:rPr>
            </w:pPr>
            <w:r>
              <w:rPr>
                <w:rFonts w:ascii="Arial" w:cs="Arial" w:eastAsia="Arial" w:hAnsi="Arial"/>
                <w:sz w:val="7"/>
                <w:szCs w:val="7"/>
                <w:b w:val="1"/>
                <w:bCs w:val="1"/>
                <w:color w:val="auto"/>
              </w:rPr>
              <w:t>Annualized Cash Rent</w:t>
            </w:r>
          </w:p>
        </w:tc>
        <w:tc>
          <w:tcPr>
            <w:tcW w:w="480" w:type="dxa"/>
            <w:vAlign w:val="bottom"/>
          </w:tcPr>
          <w:p>
            <w:pPr>
              <w:jc w:val="right"/>
              <w:ind w:right="2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92"/>
        </w:trPr>
        <w:tc>
          <w:tcPr>
            <w:tcW w:w="380" w:type="dxa"/>
            <w:vAlign w:val="bottom"/>
            <w:tcBorders>
              <w:bottom w:val="single" w:sz="8" w:color="auto"/>
            </w:tcBorders>
            <w:gridSpan w:val="2"/>
          </w:tcPr>
          <w:p>
            <w:pPr>
              <w:ind w:left="20"/>
              <w:spacing w:after="0" w:line="68" w:lineRule="exact"/>
              <w:rPr>
                <w:sz w:val="20"/>
                <w:szCs w:val="20"/>
                <w:color w:val="auto"/>
              </w:rPr>
            </w:pPr>
            <w:r>
              <w:rPr>
                <w:rFonts w:ascii="Arial" w:cs="Arial" w:eastAsia="Arial" w:hAnsi="Arial"/>
                <w:sz w:val="7"/>
                <w:szCs w:val="7"/>
                <w:b w:val="1"/>
                <w:bCs w:val="1"/>
                <w:color w:val="auto"/>
                <w:w w:val="98"/>
              </w:rPr>
              <w:t>Properties</w:t>
            </w:r>
          </w:p>
        </w:tc>
        <w:tc>
          <w:tcPr>
            <w:tcW w:w="940" w:type="dxa"/>
            <w:vAlign w:val="bottom"/>
          </w:tcPr>
          <w:p>
            <w:pPr>
              <w:spacing w:after="0"/>
              <w:rPr>
                <w:sz w:val="7"/>
                <w:szCs w:val="7"/>
                <w:color w:val="auto"/>
              </w:rPr>
            </w:pPr>
          </w:p>
        </w:tc>
        <w:tc>
          <w:tcPr>
            <w:tcW w:w="40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9"/>
              </w:rPr>
              <w:t>Interest (%)</w:t>
            </w:r>
          </w:p>
        </w:tc>
        <w:tc>
          <w:tcPr>
            <w:tcW w:w="220" w:type="dxa"/>
            <w:vAlign w:val="bottom"/>
          </w:tcPr>
          <w:p>
            <w:pPr>
              <w:spacing w:after="0"/>
              <w:rPr>
                <w:sz w:val="7"/>
                <w:szCs w:val="7"/>
                <w:color w:val="auto"/>
              </w:rPr>
            </w:pPr>
          </w:p>
        </w:tc>
        <w:tc>
          <w:tcPr>
            <w:tcW w:w="36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4"/>
              </w:rPr>
              <w:t>SubMarket</w:t>
            </w:r>
          </w:p>
        </w:tc>
        <w:tc>
          <w:tcPr>
            <w:tcW w:w="460" w:type="dxa"/>
            <w:vAlign w:val="bottom"/>
          </w:tcPr>
          <w:p>
            <w:pPr>
              <w:spacing w:after="0"/>
              <w:rPr>
                <w:sz w:val="7"/>
                <w:szCs w:val="7"/>
                <w:color w:val="auto"/>
              </w:rPr>
            </w:pPr>
          </w:p>
        </w:tc>
        <w:tc>
          <w:tcPr>
            <w:tcW w:w="36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3"/>
              </w:rPr>
              <w:t>Ownership</w:t>
            </w:r>
          </w:p>
        </w:tc>
        <w:tc>
          <w:tcPr>
            <w:tcW w:w="2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Borders>
              <w:bottom w:val="single" w:sz="8" w:color="auto"/>
            </w:tcBorders>
          </w:tcPr>
          <w:p>
            <w:pPr>
              <w:ind w:left="20"/>
              <w:spacing w:after="0" w:line="68" w:lineRule="exact"/>
              <w:rPr>
                <w:sz w:val="20"/>
                <w:szCs w:val="20"/>
                <w:color w:val="auto"/>
              </w:rPr>
            </w:pPr>
            <w:r>
              <w:rPr>
                <w:rFonts w:ascii="Arial" w:cs="Arial" w:eastAsia="Arial" w:hAnsi="Arial"/>
                <w:sz w:val="7"/>
                <w:szCs w:val="7"/>
                <w:b w:val="1"/>
                <w:bCs w:val="1"/>
                <w:color w:val="auto"/>
                <w:w w:val="95"/>
              </w:rPr>
              <w:t>Sq. Feet</w:t>
            </w:r>
          </w:p>
        </w:tc>
        <w:tc>
          <w:tcPr>
            <w:tcW w:w="140" w:type="dxa"/>
            <w:vAlign w:val="bottom"/>
            <w:gridSpan w:val="2"/>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Borders>
              <w:bottom w:val="single" w:sz="8" w:color="auto"/>
            </w:tcBorders>
          </w:tcPr>
          <w:p>
            <w:pPr>
              <w:spacing w:after="0" w:line="68" w:lineRule="exact"/>
              <w:rPr>
                <w:sz w:val="20"/>
                <w:szCs w:val="20"/>
                <w:color w:val="auto"/>
              </w:rPr>
            </w:pPr>
            <w:r>
              <w:rPr>
                <w:rFonts w:ascii="Arial" w:cs="Arial" w:eastAsia="Arial" w:hAnsi="Arial"/>
                <w:sz w:val="7"/>
                <w:szCs w:val="7"/>
                <w:b w:val="1"/>
                <w:bCs w:val="1"/>
                <w:color w:val="auto"/>
                <w:w w:val="95"/>
              </w:rPr>
              <w:t>Sq. Feet</w:t>
            </w:r>
          </w:p>
        </w:tc>
        <w:tc>
          <w:tcPr>
            <w:tcW w:w="280" w:type="dxa"/>
            <w:vAlign w:val="bottom"/>
            <w:gridSpan w:val="2"/>
          </w:tcPr>
          <w:p>
            <w:pPr>
              <w:spacing w:after="0"/>
              <w:rPr>
                <w:sz w:val="7"/>
                <w:szCs w:val="7"/>
                <w:color w:val="auto"/>
              </w:rPr>
            </w:pPr>
          </w:p>
        </w:tc>
        <w:tc>
          <w:tcPr>
            <w:tcW w:w="640" w:type="dxa"/>
            <w:vAlign w:val="bottom"/>
            <w:gridSpan w:val="2"/>
          </w:tcPr>
          <w:p>
            <w:pPr>
              <w:ind w:left="160"/>
              <w:spacing w:after="0"/>
              <w:rPr>
                <w:sz w:val="20"/>
                <w:szCs w:val="20"/>
                <w:color w:val="auto"/>
              </w:rPr>
            </w:pPr>
            <w:r>
              <w:rPr>
                <w:rFonts w:ascii="Arial" w:cs="Arial" w:eastAsia="Arial" w:hAnsi="Arial"/>
                <w:sz w:val="7"/>
                <w:szCs w:val="7"/>
                <w:b w:val="1"/>
                <w:bCs w:val="1"/>
                <w:color w:val="auto"/>
              </w:rPr>
              <w:t>Sep-16</w:t>
            </w:r>
          </w:p>
        </w:tc>
        <w:tc>
          <w:tcPr>
            <w:tcW w:w="620" w:type="dxa"/>
            <w:vAlign w:val="bottom"/>
            <w:gridSpan w:val="2"/>
          </w:tcPr>
          <w:p>
            <w:pPr>
              <w:ind w:left="140"/>
              <w:spacing w:after="0"/>
              <w:rPr>
                <w:sz w:val="20"/>
                <w:szCs w:val="20"/>
                <w:color w:val="auto"/>
              </w:rPr>
            </w:pPr>
            <w:r>
              <w:rPr>
                <w:rFonts w:ascii="Arial" w:cs="Arial" w:eastAsia="Arial" w:hAnsi="Arial"/>
                <w:sz w:val="7"/>
                <w:szCs w:val="7"/>
                <w:b w:val="1"/>
                <w:bCs w:val="1"/>
                <w:color w:val="auto"/>
              </w:rPr>
              <w:t>Jun-16</w:t>
            </w:r>
          </w:p>
        </w:tc>
        <w:tc>
          <w:tcPr>
            <w:tcW w:w="620" w:type="dxa"/>
            <w:vAlign w:val="bottom"/>
            <w:gridSpan w:val="2"/>
          </w:tcPr>
          <w:p>
            <w:pPr>
              <w:ind w:left="140"/>
              <w:spacing w:after="0"/>
              <w:rPr>
                <w:sz w:val="20"/>
                <w:szCs w:val="20"/>
                <w:color w:val="auto"/>
              </w:rPr>
            </w:pPr>
            <w:r>
              <w:rPr>
                <w:rFonts w:ascii="Arial" w:cs="Arial" w:eastAsia="Arial" w:hAnsi="Arial"/>
                <w:sz w:val="7"/>
                <w:szCs w:val="7"/>
                <w:b w:val="1"/>
                <w:bCs w:val="1"/>
                <w:color w:val="auto"/>
              </w:rPr>
              <w:t>Mar-16</w:t>
            </w:r>
          </w:p>
        </w:tc>
        <w:tc>
          <w:tcPr>
            <w:tcW w:w="620" w:type="dxa"/>
            <w:vAlign w:val="bottom"/>
            <w:gridSpan w:val="2"/>
          </w:tcPr>
          <w:p>
            <w:pPr>
              <w:ind w:left="140"/>
              <w:spacing w:after="0"/>
              <w:rPr>
                <w:sz w:val="20"/>
                <w:szCs w:val="20"/>
                <w:color w:val="auto"/>
              </w:rPr>
            </w:pPr>
            <w:r>
              <w:rPr>
                <w:rFonts w:ascii="Arial" w:cs="Arial" w:eastAsia="Arial" w:hAnsi="Arial"/>
                <w:sz w:val="7"/>
                <w:szCs w:val="7"/>
                <w:b w:val="1"/>
                <w:bCs w:val="1"/>
                <w:color w:val="auto"/>
              </w:rPr>
              <w:t>Dec-15</w:t>
            </w:r>
          </w:p>
        </w:tc>
        <w:tc>
          <w:tcPr>
            <w:tcW w:w="620" w:type="dxa"/>
            <w:vAlign w:val="bottom"/>
            <w:gridSpan w:val="2"/>
          </w:tcPr>
          <w:p>
            <w:pPr>
              <w:ind w:left="160"/>
              <w:spacing w:after="0"/>
              <w:rPr>
                <w:sz w:val="20"/>
                <w:szCs w:val="20"/>
                <w:color w:val="auto"/>
              </w:rPr>
            </w:pPr>
            <w:r>
              <w:rPr>
                <w:rFonts w:ascii="Arial" w:cs="Arial" w:eastAsia="Arial" w:hAnsi="Arial"/>
                <w:sz w:val="7"/>
                <w:szCs w:val="7"/>
                <w:b w:val="1"/>
                <w:bCs w:val="1"/>
                <w:color w:val="auto"/>
              </w:rPr>
              <w:t>Sep-15</w:t>
            </w:r>
          </w:p>
        </w:tc>
        <w:tc>
          <w:tcPr>
            <w:tcW w:w="740" w:type="dxa"/>
            <w:vAlign w:val="bottom"/>
          </w:tcPr>
          <w:p>
            <w:pPr>
              <w:jc w:val="right"/>
              <w:ind w:right="84"/>
              <w:spacing w:after="0"/>
              <w:rPr>
                <w:sz w:val="20"/>
                <w:szCs w:val="20"/>
                <w:color w:val="auto"/>
              </w:rPr>
            </w:pPr>
            <w:r>
              <w:rPr>
                <w:rFonts w:ascii="Arial" w:cs="Arial" w:eastAsia="Arial" w:hAnsi="Arial"/>
                <w:sz w:val="7"/>
                <w:szCs w:val="7"/>
                <w:b w:val="1"/>
                <w:bCs w:val="1"/>
                <w:color w:val="auto"/>
              </w:rPr>
              <w:t>Annualized</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100%</w:t>
            </w:r>
          </w:p>
        </w:tc>
        <w:tc>
          <w:tcPr>
            <w:tcW w:w="440" w:type="dxa"/>
            <w:vAlign w:val="bottom"/>
          </w:tcPr>
          <w:p>
            <w:pPr>
              <w:jc w:val="right"/>
              <w:ind w:right="44"/>
              <w:spacing w:after="0"/>
              <w:rPr>
                <w:sz w:val="20"/>
                <w:szCs w:val="20"/>
                <w:color w:val="auto"/>
              </w:rPr>
            </w:pPr>
            <w:r>
              <w:rPr>
                <w:rFonts w:ascii="Arial" w:cs="Arial" w:eastAsia="Arial" w:hAnsi="Arial"/>
                <w:sz w:val="7"/>
                <w:szCs w:val="7"/>
                <w:b w:val="1"/>
                <w:bCs w:val="1"/>
                <w:color w:val="auto"/>
              </w:rPr>
              <w:t>SLG%</w:t>
            </w:r>
          </w:p>
        </w:tc>
        <w:tc>
          <w:tcPr>
            <w:tcW w:w="480" w:type="dxa"/>
            <w:vAlign w:val="bottom"/>
          </w:tcPr>
          <w:p>
            <w:pPr>
              <w:jc w:val="right"/>
              <w:ind w:right="24"/>
              <w:spacing w:after="0" w:line="79" w:lineRule="exact"/>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Cash Rent ($'s)</w:t>
            </w: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6"/>
        </w:trPr>
        <w:tc>
          <w:tcPr>
            <w:tcW w:w="1940" w:type="dxa"/>
            <w:vAlign w:val="bottom"/>
            <w:gridSpan w:val="5"/>
          </w:tcPr>
          <w:p>
            <w:pPr>
              <w:ind w:left="120"/>
              <w:spacing w:after="0"/>
              <w:rPr>
                <w:sz w:val="20"/>
                <w:szCs w:val="20"/>
                <w:color w:val="auto"/>
              </w:rPr>
            </w:pPr>
            <w:r>
              <w:rPr>
                <w:rFonts w:ascii="Arial" w:cs="Arial" w:eastAsia="Arial" w:hAnsi="Arial"/>
                <w:sz w:val="7"/>
                <w:szCs w:val="7"/>
                <w:b w:val="1"/>
                <w:bCs w:val="1"/>
                <w:color w:val="auto"/>
              </w:rPr>
              <w:t>Manhattan Operating Properties - Reckson Portfolio</w:t>
            </w: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"Same Store"</w:t>
            </w:r>
          </w:p>
        </w:tc>
        <w:tc>
          <w:tcPr>
            <w:tcW w:w="4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60" w:type="dxa"/>
            <w:vAlign w:val="bottom"/>
          </w:tcPr>
          <w:p>
            <w:pPr>
              <w:ind w:left="120"/>
              <w:spacing w:after="0"/>
              <w:rPr>
                <w:sz w:val="20"/>
                <w:szCs w:val="20"/>
                <w:color w:val="auto"/>
              </w:rPr>
            </w:pPr>
            <w:r>
              <w:rPr>
                <w:rFonts w:ascii="Arial" w:cs="Arial" w:eastAsia="Arial" w:hAnsi="Arial"/>
                <w:sz w:val="7"/>
                <w:szCs w:val="7"/>
                <w:color w:val="auto"/>
              </w:rPr>
              <w:t>110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East 42nd Street</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215,400</w:t>
            </w:r>
          </w:p>
        </w:tc>
        <w:tc>
          <w:tcPr>
            <w:tcW w:w="120" w:type="dxa"/>
            <w:vAlign w:val="bottom"/>
          </w:tcPr>
          <w:p>
            <w:pPr>
              <w:spacing w:after="0"/>
              <w:rPr>
                <w:sz w:val="17"/>
                <w:szCs w:val="1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7"/>
                <w:szCs w:val="1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91.8</w:t>
            </w:r>
          </w:p>
        </w:tc>
        <w:tc>
          <w:tcPr>
            <w:tcW w:w="10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7"/>
                <w:szCs w:val="1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98.5</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$10,462</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1.9</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1.7</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23</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125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Park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604,245</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5.1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98.7</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40,497</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7.4</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6.6</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25</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304</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Park Avenue South</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215,000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99.1</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83.8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90.9</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14,832</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2.7</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2.4</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13</w:t>
            </w:r>
          </w:p>
        </w:tc>
        <w:tc>
          <w:tcPr>
            <w:tcW w:w="0" w:type="dxa"/>
            <w:vAlign w:val="bottom"/>
          </w:tcPr>
          <w:p>
            <w:pPr>
              <w:spacing w:after="0"/>
              <w:rPr>
                <w:sz w:val="1"/>
                <w:szCs w:val="1"/>
                <w:color w:val="auto"/>
              </w:rPr>
            </w:pPr>
          </w:p>
        </w:tc>
      </w:tr>
      <w:tr>
        <w:trPr>
          <w:trHeight w:val="144"/>
        </w:trPr>
        <w:tc>
          <w:tcPr>
            <w:tcW w:w="260" w:type="dxa"/>
            <w:vAlign w:val="bottom"/>
            <w:vMerge w:val="restart"/>
          </w:tcPr>
          <w:p>
            <w:pPr>
              <w:ind w:left="120"/>
              <w:spacing w:after="0"/>
              <w:rPr>
                <w:sz w:val="20"/>
                <w:szCs w:val="20"/>
                <w:color w:val="auto"/>
              </w:rPr>
            </w:pPr>
            <w:r>
              <w:rPr>
                <w:rFonts w:ascii="Arial" w:cs="Arial" w:eastAsia="Arial" w:hAnsi="Arial"/>
                <w:sz w:val="7"/>
                <w:szCs w:val="7"/>
                <w:color w:val="auto"/>
              </w:rPr>
              <w:t>461</w:t>
            </w:r>
          </w:p>
        </w:tc>
        <w:tc>
          <w:tcPr>
            <w:tcW w:w="1060" w:type="dxa"/>
            <w:vAlign w:val="bottom"/>
            <w:gridSpan w:val="2"/>
            <w:vMerge w:val="restart"/>
          </w:tcPr>
          <w:p>
            <w:pPr>
              <w:ind w:left="20"/>
              <w:spacing w:after="0"/>
              <w:rPr>
                <w:sz w:val="20"/>
                <w:szCs w:val="20"/>
                <w:color w:val="auto"/>
              </w:rPr>
            </w:pPr>
            <w:r>
              <w:rPr>
                <w:rFonts w:ascii="Arial" w:cs="Arial" w:eastAsia="Arial" w:hAnsi="Arial"/>
                <w:sz w:val="7"/>
                <w:szCs w:val="7"/>
                <w:color w:val="auto"/>
              </w:rPr>
              <w:t>Fifth Avenue</w:t>
            </w:r>
          </w:p>
        </w:tc>
        <w:tc>
          <w:tcPr>
            <w:tcW w:w="400" w:type="dxa"/>
            <w:vAlign w:val="bottom"/>
            <w:vMerge w:val="restart"/>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2"/>
                <w:szCs w:val="12"/>
                <w:color w:val="auto"/>
              </w:rPr>
            </w:pPr>
          </w:p>
        </w:tc>
        <w:tc>
          <w:tcPr>
            <w:tcW w:w="820" w:type="dxa"/>
            <w:vAlign w:val="bottom"/>
            <w:gridSpan w:val="2"/>
            <w:vMerge w:val="restart"/>
          </w:tcPr>
          <w:p>
            <w:pPr>
              <w:spacing w:after="0"/>
              <w:rPr>
                <w:sz w:val="20"/>
                <w:szCs w:val="20"/>
                <w:color w:val="auto"/>
              </w:rPr>
            </w:pPr>
            <w:r>
              <w:rPr>
                <w:rFonts w:ascii="Arial" w:cs="Arial" w:eastAsia="Arial" w:hAnsi="Arial"/>
                <w:sz w:val="7"/>
                <w:szCs w:val="7"/>
                <w:color w:val="auto"/>
              </w:rPr>
              <w:t>Midtown</w:t>
            </w:r>
          </w:p>
        </w:tc>
        <w:tc>
          <w:tcPr>
            <w:tcW w:w="64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3"/>
            <w:vMerge w:val="restart"/>
          </w:tcPr>
          <w:p>
            <w:pPr>
              <w:jc w:val="right"/>
              <w:ind w:right="20"/>
              <w:spacing w:after="0"/>
              <w:rPr>
                <w:sz w:val="20"/>
                <w:szCs w:val="20"/>
                <w:color w:val="auto"/>
              </w:rPr>
            </w:pPr>
            <w:r>
              <w:rPr>
                <w:rFonts w:ascii="Arial" w:cs="Arial" w:eastAsia="Arial" w:hAnsi="Arial"/>
                <w:sz w:val="7"/>
                <w:szCs w:val="7"/>
                <w:color w:val="auto"/>
              </w:rPr>
              <w:t>200,000</w:t>
            </w:r>
          </w:p>
        </w:tc>
        <w:tc>
          <w:tcPr>
            <w:tcW w:w="120" w:type="dxa"/>
            <w:vAlign w:val="bottom"/>
          </w:tcPr>
          <w:p>
            <w:pPr>
              <w:spacing w:after="0"/>
              <w:rPr>
                <w:sz w:val="12"/>
                <w:szCs w:val="12"/>
                <w:color w:val="auto"/>
              </w:rPr>
            </w:pPr>
          </w:p>
        </w:tc>
        <w:tc>
          <w:tcPr>
            <w:tcW w:w="580" w:type="dxa"/>
            <w:vAlign w:val="bottom"/>
            <w:gridSpan w:val="3"/>
            <w:vMerge w:val="restart"/>
          </w:tcPr>
          <w:p>
            <w:pPr>
              <w:jc w:val="right"/>
              <w:ind w:right="200"/>
              <w:spacing w:after="0"/>
              <w:rPr>
                <w:sz w:val="20"/>
                <w:szCs w:val="20"/>
                <w:color w:val="auto"/>
              </w:rPr>
            </w:pPr>
            <w:r>
              <w:rPr>
                <w:rFonts w:ascii="Arial" w:cs="Arial" w:eastAsia="Arial" w:hAnsi="Arial"/>
                <w:sz w:val="7"/>
                <w:szCs w:val="7"/>
                <w:color w:val="auto"/>
              </w:rPr>
              <w:t>1.7</w:t>
            </w:r>
          </w:p>
        </w:tc>
        <w:tc>
          <w:tcPr>
            <w:tcW w:w="80" w:type="dxa"/>
            <w:vAlign w:val="bottom"/>
          </w:tcPr>
          <w:p>
            <w:pPr>
              <w:spacing w:after="0"/>
              <w:rPr>
                <w:sz w:val="12"/>
                <w:szCs w:val="12"/>
                <w:color w:val="auto"/>
              </w:rPr>
            </w:pPr>
          </w:p>
        </w:tc>
        <w:tc>
          <w:tcPr>
            <w:tcW w:w="540" w:type="dxa"/>
            <w:vAlign w:val="bottom"/>
            <w:vMerge w:val="restart"/>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2"/>
                <w:szCs w:val="12"/>
                <w:color w:val="auto"/>
              </w:rPr>
            </w:pPr>
          </w:p>
        </w:tc>
        <w:tc>
          <w:tcPr>
            <w:tcW w:w="520" w:type="dxa"/>
            <w:vAlign w:val="bottom"/>
            <w:vMerge w:val="restart"/>
          </w:tcPr>
          <w:p>
            <w:pPr>
              <w:jc w:val="right"/>
              <w:ind w:right="1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2"/>
                <w:szCs w:val="12"/>
                <w:color w:val="auto"/>
              </w:rPr>
            </w:pPr>
          </w:p>
        </w:tc>
        <w:tc>
          <w:tcPr>
            <w:tcW w:w="540" w:type="dxa"/>
            <w:vAlign w:val="bottom"/>
            <w:vMerge w:val="restart"/>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2"/>
                <w:szCs w:val="12"/>
                <w:color w:val="auto"/>
              </w:rPr>
            </w:pPr>
          </w:p>
        </w:tc>
        <w:tc>
          <w:tcPr>
            <w:tcW w:w="540" w:type="dxa"/>
            <w:vAlign w:val="bottom"/>
            <w:vMerge w:val="restart"/>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2"/>
                <w:szCs w:val="12"/>
                <w:color w:val="auto"/>
              </w:rPr>
            </w:pPr>
          </w:p>
        </w:tc>
        <w:tc>
          <w:tcPr>
            <w:tcW w:w="540" w:type="dxa"/>
            <w:vAlign w:val="bottom"/>
            <w:vMerge w:val="restart"/>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7"/>
                <w:szCs w:val="7"/>
                <w:color w:val="auto"/>
              </w:rPr>
              <w:t>18,508</w:t>
            </w:r>
          </w:p>
        </w:tc>
        <w:tc>
          <w:tcPr>
            <w:tcW w:w="560" w:type="dxa"/>
            <w:vAlign w:val="bottom"/>
            <w:vMerge w:val="restart"/>
          </w:tcPr>
          <w:p>
            <w:pPr>
              <w:jc w:val="right"/>
              <w:ind w:right="184"/>
              <w:spacing w:after="0"/>
              <w:rPr>
                <w:sz w:val="20"/>
                <w:szCs w:val="20"/>
                <w:color w:val="auto"/>
              </w:rPr>
            </w:pPr>
            <w:r>
              <w:rPr>
                <w:rFonts w:ascii="Arial" w:cs="Arial" w:eastAsia="Arial" w:hAnsi="Arial"/>
                <w:sz w:val="7"/>
                <w:szCs w:val="7"/>
                <w:color w:val="auto"/>
              </w:rPr>
              <w:t>3.4</w:t>
            </w:r>
          </w:p>
        </w:tc>
        <w:tc>
          <w:tcPr>
            <w:tcW w:w="440" w:type="dxa"/>
            <w:vAlign w:val="bottom"/>
            <w:vMerge w:val="restart"/>
          </w:tcPr>
          <w:p>
            <w:pPr>
              <w:jc w:val="right"/>
              <w:ind w:right="44"/>
              <w:spacing w:after="0"/>
              <w:rPr>
                <w:sz w:val="20"/>
                <w:szCs w:val="20"/>
                <w:color w:val="auto"/>
              </w:rPr>
            </w:pPr>
            <w:r>
              <w:rPr>
                <w:rFonts w:ascii="Arial" w:cs="Arial" w:eastAsia="Arial" w:hAnsi="Arial"/>
                <w:sz w:val="7"/>
                <w:szCs w:val="7"/>
                <w:color w:val="auto"/>
              </w:rPr>
              <w:t>3.0</w:t>
            </w:r>
          </w:p>
        </w:tc>
        <w:tc>
          <w:tcPr>
            <w:tcW w:w="480" w:type="dxa"/>
            <w:vAlign w:val="bottom"/>
            <w:vMerge w:val="restart"/>
          </w:tcPr>
          <w:p>
            <w:pPr>
              <w:jc w:val="right"/>
              <w:ind w:right="24"/>
              <w:spacing w:after="0"/>
              <w:rPr>
                <w:sz w:val="20"/>
                <w:szCs w:val="20"/>
                <w:color w:val="auto"/>
              </w:rPr>
            </w:pPr>
            <w:r>
              <w:rPr>
                <w:rFonts w:ascii="Arial" w:cs="Arial" w:eastAsia="Arial" w:hAnsi="Arial"/>
                <w:sz w:val="7"/>
                <w:szCs w:val="7"/>
                <w:color w:val="auto"/>
              </w:rPr>
              <w:t>11</w:t>
            </w:r>
          </w:p>
        </w:tc>
        <w:tc>
          <w:tcPr>
            <w:tcW w:w="0" w:type="dxa"/>
            <w:vAlign w:val="bottom"/>
          </w:tcPr>
          <w:p>
            <w:pPr>
              <w:spacing w:after="0"/>
              <w:rPr>
                <w:sz w:val="1"/>
                <w:szCs w:val="1"/>
                <w:color w:val="auto"/>
              </w:rPr>
            </w:pPr>
          </w:p>
        </w:tc>
      </w:tr>
      <w:tr>
        <w:trPr>
          <w:trHeight w:val="75"/>
        </w:trPr>
        <w:tc>
          <w:tcPr>
            <w:tcW w:w="26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4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360" w:type="dxa"/>
            <w:vAlign w:val="bottom"/>
          </w:tcPr>
          <w:p>
            <w:pPr>
              <w:spacing w:after="0"/>
              <w:rPr>
                <w:sz w:val="20"/>
                <w:szCs w:val="20"/>
                <w:color w:val="auto"/>
              </w:rPr>
            </w:pPr>
            <w:r>
              <w:rPr>
                <w:rFonts w:ascii="Arial" w:cs="Arial" w:eastAsia="Arial" w:hAnsi="Arial"/>
                <w:sz w:val="6"/>
                <w:szCs w:val="6"/>
                <w:color w:val="auto"/>
              </w:rPr>
              <w:t>(1)</w:t>
            </w:r>
          </w:p>
        </w:tc>
        <w:tc>
          <w:tcPr>
            <w:tcW w:w="280" w:type="dxa"/>
            <w:vAlign w:val="bottom"/>
          </w:tcPr>
          <w:p>
            <w:pPr>
              <w:spacing w:after="0"/>
              <w:rPr>
                <w:sz w:val="6"/>
                <w:szCs w:val="6"/>
                <w:color w:val="auto"/>
              </w:rPr>
            </w:pPr>
          </w:p>
        </w:tc>
        <w:tc>
          <w:tcPr>
            <w:tcW w:w="54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555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West 57th Street</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West</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941,000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8.0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99.9</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99.9</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40,497</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7.4</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6.6</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609</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Fifth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160,000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76.6</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76.1</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15,359</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2.8</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2.5</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13</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625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Madison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Plaza District</w:t>
            </w:r>
          </w:p>
        </w:tc>
        <w:tc>
          <w:tcPr>
            <w:tcW w:w="64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563,000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4.8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98.8</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98.2</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58,838</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10.8</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9.7</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24</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635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104,000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8,979</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1.6</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1.5</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641</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Sixth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Midtown South</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163,000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13,406</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2.5</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2.2</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711</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620" w:type="dxa"/>
            <w:vAlign w:val="bottom"/>
            <w:gridSpan w:val="2"/>
          </w:tcPr>
          <w:p>
            <w:pPr>
              <w:jc w:val="right"/>
              <w:ind w:right="180"/>
              <w:spacing w:after="0"/>
              <w:rPr>
                <w:sz w:val="20"/>
                <w:szCs w:val="20"/>
                <w:color w:val="auto"/>
              </w:rPr>
            </w:pPr>
            <w:r>
              <w:rPr>
                <w:rFonts w:ascii="Arial" w:cs="Arial" w:eastAsia="Arial" w:hAnsi="Arial"/>
                <w:sz w:val="7"/>
                <w:szCs w:val="7"/>
                <w:color w:val="auto"/>
              </w:rPr>
              <w:t xml:space="preserve">100.0 </w:t>
            </w:r>
            <w:r>
              <w:rPr>
                <w:rFonts w:ascii="Arial" w:cs="Arial" w:eastAsia="Arial" w:hAnsi="Arial"/>
                <w:sz w:val="6"/>
                <w:szCs w:val="6"/>
                <w:color w:val="auto"/>
              </w:rPr>
              <w:t>(2)</w:t>
            </w: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64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524,000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4.5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88.7</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68.3</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66.4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65.8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84.1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26,390</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4.8</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4.3</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17</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750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780,000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6.6</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97.5</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97.5</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96.0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97.5</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46,836</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8.6</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7.7</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32</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810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Seventh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Times Square</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692,000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5.9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94.1</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94.1</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92.4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93.0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92.6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45,228</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8.3</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7.4</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48</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919</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Third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51.0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Grand Central North</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1,454,000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12.4</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95,412</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8.0</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1185 Avenue of the Americas</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64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1,062,000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9.0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94.3</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99.0</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89,933</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16.5</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14.8</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16</w:t>
            </w:r>
          </w:p>
        </w:tc>
        <w:tc>
          <w:tcPr>
            <w:tcW w:w="0" w:type="dxa"/>
            <w:vAlign w:val="bottom"/>
          </w:tcPr>
          <w:p>
            <w:pPr>
              <w:spacing w:after="0"/>
              <w:rPr>
                <w:sz w:val="1"/>
                <w:szCs w:val="1"/>
                <w:color w:val="auto"/>
              </w:rPr>
            </w:pPr>
          </w:p>
        </w:tc>
      </w:tr>
      <w:tr>
        <w:trPr>
          <w:trHeight w:val="225"/>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1350 Avenue of the Americas</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Rockefeller Center</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562,000</w:t>
            </w:r>
          </w:p>
        </w:tc>
        <w:tc>
          <w:tcPr>
            <w:tcW w:w="120" w:type="dxa"/>
            <w:vAlign w:val="bottom"/>
          </w:tcPr>
          <w:p>
            <w:pPr>
              <w:spacing w:after="0"/>
              <w:rPr>
                <w:sz w:val="19"/>
                <w:szCs w:val="19"/>
                <w:color w:val="auto"/>
              </w:rPr>
            </w:pPr>
          </w:p>
        </w:tc>
        <w:tc>
          <w:tcPr>
            <w:tcW w:w="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7"/>
                <w:szCs w:val="7"/>
                <w:color w:val="auto"/>
              </w:rPr>
              <w:t>4.8</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98.8</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98.5</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99.6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99.6</w:t>
            </w:r>
          </w:p>
        </w:tc>
        <w:tc>
          <w:tcPr>
            <w:tcW w:w="80" w:type="dxa"/>
            <w:vAlign w:val="bottom"/>
          </w:tcPr>
          <w:p>
            <w:pPr>
              <w:spacing w:after="0"/>
              <w:rPr>
                <w:sz w:val="19"/>
                <w:szCs w:val="19"/>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99.4</w:t>
            </w:r>
          </w:p>
        </w:tc>
        <w:tc>
          <w:tcPr>
            <w:tcW w:w="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41,989</w:t>
            </w: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7.7</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6.9</w:t>
            </w: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34</w:t>
            </w:r>
          </w:p>
        </w:tc>
        <w:tc>
          <w:tcPr>
            <w:tcW w:w="0" w:type="dxa"/>
            <w:vAlign w:val="bottom"/>
          </w:tcPr>
          <w:p>
            <w:pPr>
              <w:spacing w:after="0"/>
              <w:rPr>
                <w:sz w:val="1"/>
                <w:szCs w:val="1"/>
                <w:color w:val="auto"/>
              </w:rPr>
            </w:pPr>
          </w:p>
        </w:tc>
      </w:tr>
      <w:tr>
        <w:trPr>
          <w:trHeight w:val="192"/>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8,239,645</w:t>
            </w:r>
          </w:p>
        </w:tc>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70.1%</w:t>
            </w:r>
          </w:p>
        </w:tc>
        <w:tc>
          <w:tcPr>
            <w:tcW w:w="8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97.2%</w:t>
            </w:r>
          </w:p>
        </w:tc>
        <w:tc>
          <w:tcPr>
            <w:tcW w:w="100" w:type="dxa"/>
            <w:vAlign w:val="bottom"/>
          </w:tcPr>
          <w:p>
            <w:pPr>
              <w:spacing w:after="0"/>
              <w:rPr>
                <w:sz w:val="16"/>
                <w:szCs w:val="16"/>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96.1%</w:t>
            </w:r>
          </w:p>
        </w:tc>
        <w:tc>
          <w:tcPr>
            <w:tcW w:w="10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95.4%</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95.3%</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96.1%</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$567,167</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86.6%</w:t>
            </w: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85.4%</w:t>
            </w:r>
          </w:p>
        </w:tc>
        <w:tc>
          <w:tcPr>
            <w:tcW w:w="480" w:type="dxa"/>
            <w:vAlign w:val="bottom"/>
          </w:tcPr>
          <w:p>
            <w:pPr>
              <w:jc w:val="right"/>
              <w:ind w:right="24"/>
              <w:spacing w:after="0"/>
              <w:rPr>
                <w:sz w:val="20"/>
                <w:szCs w:val="20"/>
                <w:color w:val="auto"/>
              </w:rPr>
            </w:pPr>
            <w:r>
              <w:rPr>
                <w:rFonts w:ascii="Arial" w:cs="Arial" w:eastAsia="Arial" w:hAnsi="Arial"/>
                <w:sz w:val="7"/>
                <w:szCs w:val="7"/>
                <w:b w:val="1"/>
                <w:bCs w:val="1"/>
                <w:color w:val="auto"/>
              </w:rPr>
              <w:t>283</w:t>
            </w:r>
          </w:p>
        </w:tc>
        <w:tc>
          <w:tcPr>
            <w:tcW w:w="0" w:type="dxa"/>
            <w:vAlign w:val="bottom"/>
          </w:tcPr>
          <w:p>
            <w:pPr>
              <w:spacing w:after="0"/>
              <w:rPr>
                <w:sz w:val="1"/>
                <w:szCs w:val="1"/>
                <w:color w:val="auto"/>
              </w:rPr>
            </w:pPr>
          </w:p>
        </w:tc>
      </w:tr>
      <w:tr>
        <w:trPr>
          <w:trHeight w:val="323"/>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"Non Same Store"</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0" w:type="dxa"/>
            <w:vAlign w:val="bottom"/>
          </w:tcPr>
          <w:p>
            <w:pPr>
              <w:ind w:left="120"/>
              <w:spacing w:after="0"/>
              <w:rPr>
                <w:sz w:val="20"/>
                <w:szCs w:val="20"/>
                <w:color w:val="auto"/>
              </w:rPr>
            </w:pPr>
            <w:r>
              <w:rPr>
                <w:rFonts w:ascii="Arial" w:cs="Arial" w:eastAsia="Arial" w:hAnsi="Arial"/>
                <w:sz w:val="7"/>
                <w:szCs w:val="7"/>
                <w:color w:val="auto"/>
              </w:rPr>
              <w:t>110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Greene Street</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90.0</w:t>
            </w:r>
          </w:p>
        </w:tc>
        <w:tc>
          <w:tcPr>
            <w:tcW w:w="2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Soho</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223,600</w:t>
            </w:r>
          </w:p>
        </w:tc>
        <w:tc>
          <w:tcPr>
            <w:tcW w:w="120" w:type="dxa"/>
            <w:vAlign w:val="bottom"/>
          </w:tcPr>
          <w:p>
            <w:pPr>
              <w:spacing w:after="0"/>
              <w:rPr>
                <w:sz w:val="18"/>
                <w:szCs w:val="18"/>
                <w:color w:val="auto"/>
              </w:rPr>
            </w:pPr>
          </w:p>
        </w:tc>
        <w:tc>
          <w:tcPr>
            <w:tcW w:w="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74.7</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77.3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80.3</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78.1</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84.0</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$10,226</w:t>
            </w: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1.5</w:t>
            </w: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56</w:t>
            </w:r>
          </w:p>
        </w:tc>
        <w:tc>
          <w:tcPr>
            <w:tcW w:w="0" w:type="dxa"/>
            <w:vAlign w:val="bottom"/>
          </w:tcPr>
          <w:p>
            <w:pPr>
              <w:spacing w:after="0"/>
              <w:rPr>
                <w:sz w:val="1"/>
                <w:szCs w:val="1"/>
                <w:color w:val="auto"/>
              </w:rPr>
            </w:pPr>
          </w:p>
        </w:tc>
      </w:tr>
      <w:tr>
        <w:trPr>
          <w:trHeight w:val="203"/>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Subtotal / Weighted Average</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223,600</w:t>
            </w:r>
          </w:p>
        </w:tc>
        <w:tc>
          <w:tcPr>
            <w:tcW w:w="12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1.9%</w:t>
            </w:r>
          </w:p>
        </w:tc>
        <w:tc>
          <w:tcPr>
            <w:tcW w:w="80" w:type="dxa"/>
            <w:vAlign w:val="bottom"/>
          </w:tcPr>
          <w:p>
            <w:pPr>
              <w:spacing w:after="0"/>
              <w:rPr>
                <w:sz w:val="17"/>
                <w:szCs w:val="17"/>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74.7%</w:t>
            </w:r>
          </w:p>
        </w:tc>
        <w:tc>
          <w:tcPr>
            <w:tcW w:w="10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77.3%</w:t>
            </w:r>
          </w:p>
        </w:tc>
        <w:tc>
          <w:tcPr>
            <w:tcW w:w="10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80.3%</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78.1%</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84.0%</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$10,226</w:t>
            </w:r>
          </w:p>
        </w:tc>
        <w:tc>
          <w:tcPr>
            <w:tcW w:w="5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1.5%</w:t>
            </w:r>
          </w:p>
        </w:tc>
        <w:tc>
          <w:tcPr>
            <w:tcW w:w="480" w:type="dxa"/>
            <w:vAlign w:val="bottom"/>
          </w:tcPr>
          <w:p>
            <w:pPr>
              <w:jc w:val="right"/>
              <w:ind w:right="24"/>
              <w:spacing w:after="0"/>
              <w:rPr>
                <w:sz w:val="20"/>
                <w:szCs w:val="20"/>
                <w:color w:val="auto"/>
              </w:rPr>
            </w:pPr>
            <w:r>
              <w:rPr>
                <w:rFonts w:ascii="Arial" w:cs="Arial" w:eastAsia="Arial" w:hAnsi="Arial"/>
                <w:sz w:val="7"/>
                <w:szCs w:val="7"/>
                <w:b w:val="1"/>
                <w:bCs w:val="1"/>
                <w:color w:val="auto"/>
              </w:rPr>
              <w:t>56</w:t>
            </w:r>
          </w:p>
        </w:tc>
        <w:tc>
          <w:tcPr>
            <w:tcW w:w="0" w:type="dxa"/>
            <w:vAlign w:val="bottom"/>
          </w:tcPr>
          <w:p>
            <w:pPr>
              <w:spacing w:after="0"/>
              <w:rPr>
                <w:sz w:val="1"/>
                <w:szCs w:val="1"/>
                <w:color w:val="auto"/>
              </w:rPr>
            </w:pPr>
          </w:p>
        </w:tc>
      </w:tr>
      <w:tr>
        <w:trPr>
          <w:trHeight w:val="111"/>
        </w:trPr>
        <w:tc>
          <w:tcPr>
            <w:tcW w:w="380" w:type="dxa"/>
            <w:vAlign w:val="bottom"/>
            <w:tcBorders>
              <w:bottom w:val="single" w:sz="8" w:color="auto"/>
            </w:tcBorders>
            <w:gridSpan w:val="2"/>
          </w:tcPr>
          <w:p>
            <w:pPr>
              <w:spacing w:after="0"/>
              <w:rPr>
                <w:sz w:val="9"/>
                <w:szCs w:val="9"/>
                <w:color w:val="auto"/>
              </w:rPr>
            </w:pPr>
          </w:p>
        </w:tc>
        <w:tc>
          <w:tcPr>
            <w:tcW w:w="1340" w:type="dxa"/>
            <w:vAlign w:val="bottom"/>
            <w:tcBorders>
              <w:bottom w:val="single" w:sz="8" w:color="auto"/>
            </w:tcBorders>
            <w:gridSpan w:val="2"/>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76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 Weighted Average Manhattan Consolidated Properties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8,463,245</w:t>
            </w:r>
          </w:p>
        </w:tc>
        <w:tc>
          <w:tcPr>
            <w:tcW w:w="12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72.0%</w:t>
            </w:r>
          </w:p>
        </w:tc>
        <w:tc>
          <w:tcPr>
            <w:tcW w:w="80" w:type="dxa"/>
            <w:vAlign w:val="bottom"/>
          </w:tcPr>
          <w:p>
            <w:pPr>
              <w:spacing w:after="0"/>
              <w:rPr>
                <w:sz w:val="17"/>
                <w:szCs w:val="17"/>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96.6%</w:t>
            </w:r>
          </w:p>
        </w:tc>
        <w:tc>
          <w:tcPr>
            <w:tcW w:w="10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95.6%</w:t>
            </w:r>
          </w:p>
        </w:tc>
        <w:tc>
          <w:tcPr>
            <w:tcW w:w="10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95.0%</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94.9%</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95.8%</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$577,394</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86.6%</w:t>
            </w:r>
          </w:p>
        </w:tc>
        <w:tc>
          <w:tcPr>
            <w:tcW w:w="440" w:type="dxa"/>
            <w:vAlign w:val="bottom"/>
          </w:tcPr>
          <w:p>
            <w:pPr>
              <w:spacing w:after="0"/>
              <w:rPr>
                <w:sz w:val="17"/>
                <w:szCs w:val="17"/>
                <w:color w:val="auto"/>
              </w:rPr>
            </w:pPr>
          </w:p>
        </w:tc>
        <w:tc>
          <w:tcPr>
            <w:tcW w:w="480" w:type="dxa"/>
            <w:vAlign w:val="bottom"/>
            <w:tcBorders>
              <w:right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339</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Manhattan Consolidated Properties - SLG share of Annualized</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7"/>
                <w:szCs w:val="7"/>
                <w:b w:val="1"/>
                <w:bCs w:val="1"/>
                <w:color w:val="auto"/>
              </w:rPr>
              <w:t>Rent</w:t>
            </w: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$529,619</w:t>
            </w: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86.9%</w:t>
            </w: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1"/>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Suburban Operating Properties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"Same Store" Westchester,</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New York</w:t>
            </w: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Rye Brook, New</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- 1 Int'l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74.8</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74.8</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$1,862</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Rye Brook, New</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- 2 Int'l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59.2</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59.2</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59.2</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30.3</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1,381</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0.2</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Rye Brook, New</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- 3 Int'l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52.2</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21.7</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1,040</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0.2</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0.2</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Rye Brook, New</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- 4 Int'l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85.8</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85.8</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2,145</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0.4</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0.4</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Rye Brook, New</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- 5 Int'l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91.3</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88.8</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87.7</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2,006</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0.4</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Rye Brook, New</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1100 King Street - 6 Int'l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90,000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0.8</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56.7</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56.7</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1,573</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520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White Plains Road</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Tarrytown, New 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180,000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96.1</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94.4</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98.3</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98.3</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4,309</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0.8</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0.7</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12</w:t>
            </w:r>
          </w:p>
        </w:tc>
        <w:tc>
          <w:tcPr>
            <w:tcW w:w="0" w:type="dxa"/>
            <w:vAlign w:val="bottom"/>
          </w:tcPr>
          <w:p>
            <w:pPr>
              <w:spacing w:after="0"/>
              <w:rPr>
                <w:sz w:val="1"/>
                <w:szCs w:val="1"/>
                <w:color w:val="auto"/>
              </w:rPr>
            </w:pPr>
          </w:p>
        </w:tc>
      </w:tr>
      <w:tr>
        <w:trPr>
          <w:trHeight w:val="21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115-117 Stevens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178,000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49.5</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49.5</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78.7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77.2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75.1</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1,608</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0.3</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0.3</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100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Summit Lake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250,000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2.1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52.2</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52.2</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47.1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72.9</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3,438</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0.6</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0.6</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200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Summit Lake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245,000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2.1</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95.8</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94.5</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94.5</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82.7</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81.2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5,878</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1.1</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1.0</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260" w:type="dxa"/>
            <w:vAlign w:val="bottom"/>
          </w:tcPr>
          <w:p>
            <w:pPr>
              <w:ind w:left="120"/>
              <w:spacing w:after="0"/>
              <w:rPr>
                <w:sz w:val="20"/>
                <w:szCs w:val="20"/>
                <w:color w:val="auto"/>
              </w:rPr>
            </w:pPr>
            <w:r>
              <w:rPr>
                <w:rFonts w:ascii="Arial" w:cs="Arial" w:eastAsia="Arial" w:hAnsi="Arial"/>
                <w:sz w:val="7"/>
                <w:szCs w:val="7"/>
                <w:color w:val="auto"/>
              </w:rPr>
              <w:t>500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Summit Lake Drive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9"/>
                <w:szCs w:val="19"/>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Valhalla, New 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228,000</w:t>
            </w:r>
          </w:p>
        </w:tc>
        <w:tc>
          <w:tcPr>
            <w:tcW w:w="120" w:type="dxa"/>
            <w:vAlign w:val="bottom"/>
          </w:tcPr>
          <w:p>
            <w:pPr>
              <w:spacing w:after="0"/>
              <w:rPr>
                <w:sz w:val="19"/>
                <w:szCs w:val="19"/>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1.9</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5,359</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1.0</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0.9</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White Plains, New</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60" w:type="dxa"/>
            <w:vAlign w:val="bottom"/>
          </w:tcPr>
          <w:p>
            <w:pPr>
              <w:ind w:left="120"/>
              <w:spacing w:after="0"/>
              <w:rPr>
                <w:sz w:val="20"/>
                <w:szCs w:val="20"/>
                <w:color w:val="auto"/>
              </w:rPr>
            </w:pPr>
            <w:r>
              <w:rPr>
                <w:rFonts w:ascii="Arial" w:cs="Arial" w:eastAsia="Arial" w:hAnsi="Arial"/>
                <w:sz w:val="7"/>
                <w:szCs w:val="7"/>
                <w:color w:val="auto"/>
              </w:rPr>
              <w:t>360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Hamilton Avenue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8"/>
                <w:szCs w:val="8"/>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384,000</w:t>
            </w:r>
          </w:p>
        </w:tc>
        <w:tc>
          <w:tcPr>
            <w:tcW w:w="120" w:type="dxa"/>
            <w:vAlign w:val="bottom"/>
          </w:tcPr>
          <w:p>
            <w:pPr>
              <w:spacing w:after="0"/>
              <w:rPr>
                <w:sz w:val="8"/>
                <w:szCs w:val="8"/>
                <w:color w:val="auto"/>
              </w:rPr>
            </w:pPr>
          </w:p>
        </w:tc>
        <w:tc>
          <w:tcPr>
            <w:tcW w:w="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7"/>
                <w:szCs w:val="7"/>
                <w:color w:val="auto"/>
              </w:rPr>
              <w:t>3.3</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98.4</w:t>
            </w: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97.8</w:t>
            </w:r>
          </w:p>
        </w:tc>
        <w:tc>
          <w:tcPr>
            <w:tcW w:w="10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98.4</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94.7</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94.0</w:t>
            </w:r>
          </w:p>
        </w:tc>
        <w:tc>
          <w:tcPr>
            <w:tcW w:w="80" w:type="dxa"/>
            <w:vAlign w:val="bottom"/>
          </w:tcPr>
          <w:p>
            <w:pPr>
              <w:spacing w:after="0"/>
              <w:rPr>
                <w:sz w:val="8"/>
                <w:szCs w:val="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14,464</w:t>
            </w: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2.7</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2.4</w:t>
            </w: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380"/>
              <w:spacing w:after="0"/>
              <w:rPr>
                <w:sz w:val="20"/>
                <w:szCs w:val="20"/>
                <w:color w:val="auto"/>
              </w:rPr>
            </w:pPr>
            <w:r>
              <w:rPr>
                <w:rFonts w:ascii="Arial" w:cs="Arial" w:eastAsia="Arial" w:hAnsi="Arial"/>
                <w:sz w:val="7"/>
                <w:szCs w:val="7"/>
                <w:b w:val="1"/>
                <w:bCs w:val="1"/>
                <w:color w:val="auto"/>
              </w:rPr>
              <w:t>Westchester, New York Subtotal / Weighted Average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2,005,000</w:t>
            </w:r>
          </w:p>
        </w:tc>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17.1%</w:t>
            </w:r>
          </w:p>
        </w:tc>
        <w:tc>
          <w:tcPr>
            <w:tcW w:w="8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80.0%</w:t>
            </w:r>
          </w:p>
        </w:tc>
        <w:tc>
          <w:tcPr>
            <w:tcW w:w="100" w:type="dxa"/>
            <w:vAlign w:val="bottom"/>
          </w:tcPr>
          <w:p>
            <w:pPr>
              <w:spacing w:after="0"/>
              <w:rPr>
                <w:sz w:val="16"/>
                <w:szCs w:val="16"/>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79.5%</w:t>
            </w:r>
          </w:p>
        </w:tc>
        <w:tc>
          <w:tcPr>
            <w:tcW w:w="10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82.5%</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77.5%</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79.7%</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$45,063</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8.3%</w:t>
            </w: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7.4%</w:t>
            </w:r>
          </w:p>
        </w:tc>
        <w:tc>
          <w:tcPr>
            <w:tcW w:w="480" w:type="dxa"/>
            <w:vAlign w:val="bottom"/>
          </w:tcPr>
          <w:p>
            <w:pPr>
              <w:jc w:val="right"/>
              <w:ind w:right="24"/>
              <w:spacing w:after="0"/>
              <w:rPr>
                <w:sz w:val="20"/>
                <w:szCs w:val="20"/>
                <w:color w:val="auto"/>
              </w:rPr>
            </w:pPr>
            <w:r>
              <w:rPr>
                <w:rFonts w:ascii="Arial" w:cs="Arial" w:eastAsia="Arial" w:hAnsi="Arial"/>
                <w:sz w:val="7"/>
                <w:szCs w:val="7"/>
                <w:b w:val="1"/>
                <w:bCs w:val="1"/>
                <w:color w:val="auto"/>
              </w:rPr>
              <w:t>100</w:t>
            </w:r>
          </w:p>
        </w:tc>
        <w:tc>
          <w:tcPr>
            <w:tcW w:w="0" w:type="dxa"/>
            <w:vAlign w:val="bottom"/>
          </w:tcPr>
          <w:p>
            <w:pPr>
              <w:spacing w:after="0"/>
              <w:rPr>
                <w:sz w:val="1"/>
                <w:szCs w:val="1"/>
                <w:color w:val="auto"/>
              </w:rPr>
            </w:pPr>
          </w:p>
        </w:tc>
      </w:tr>
      <w:tr>
        <w:trPr>
          <w:trHeight w:val="323"/>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"Same Store" Connecticut</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Stamford,</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7 Landmark Square</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Connecticut</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36,800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0.3</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$732</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0.1</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0.1</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Stamford,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60" w:type="dxa"/>
            <w:vAlign w:val="bottom"/>
          </w:tcPr>
          <w:p>
            <w:pPr>
              <w:ind w:left="120"/>
              <w:spacing w:after="0"/>
              <w:rPr>
                <w:sz w:val="20"/>
                <w:szCs w:val="20"/>
                <w:color w:val="auto"/>
              </w:rPr>
            </w:pPr>
            <w:r>
              <w:rPr>
                <w:rFonts w:ascii="Arial" w:cs="Arial" w:eastAsia="Arial" w:hAnsi="Arial"/>
                <w:sz w:val="7"/>
                <w:szCs w:val="7"/>
                <w:color w:val="auto"/>
              </w:rPr>
              <w:t>680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Washington Boulevard</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51.0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Connecticut</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133,000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1.1</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87.0</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87.6</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87.0</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88.9</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88.9</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5,197</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0.4</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Stamford,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260" w:type="dxa"/>
            <w:vAlign w:val="bottom"/>
          </w:tcPr>
          <w:p>
            <w:pPr>
              <w:ind w:left="120"/>
              <w:spacing w:after="0"/>
              <w:rPr>
                <w:sz w:val="20"/>
                <w:szCs w:val="20"/>
                <w:color w:val="auto"/>
              </w:rPr>
            </w:pPr>
            <w:r>
              <w:rPr>
                <w:rFonts w:ascii="Arial" w:cs="Arial" w:eastAsia="Arial" w:hAnsi="Arial"/>
                <w:sz w:val="7"/>
                <w:szCs w:val="7"/>
                <w:color w:val="auto"/>
              </w:rPr>
              <w:t>750</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Washington Boulevard</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51.0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Connecticut</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192,000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1.6</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96.4</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96.4</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97.9</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99.1</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97.8</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7,986</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0.7</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Stamford,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1055 Washington Boulevard</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7"/>
                <w:szCs w:val="7"/>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Connecticut</w:t>
            </w:r>
          </w:p>
        </w:tc>
        <w:tc>
          <w:tcPr>
            <w:tcW w:w="640" w:type="dxa"/>
            <w:vAlign w:val="bottom"/>
            <w:gridSpan w:val="2"/>
          </w:tcPr>
          <w:p>
            <w:pPr>
              <w:spacing w:after="0"/>
              <w:rPr>
                <w:sz w:val="20"/>
                <w:szCs w:val="20"/>
                <w:color w:val="auto"/>
              </w:rPr>
            </w:pPr>
            <w:r>
              <w:rPr>
                <w:rFonts w:ascii="Arial" w:cs="Arial" w:eastAsia="Arial" w:hAnsi="Arial"/>
                <w:sz w:val="7"/>
                <w:szCs w:val="7"/>
                <w:color w:val="auto"/>
              </w:rPr>
              <w:t>Leasehold Interest</w:t>
            </w:r>
          </w:p>
        </w:tc>
        <w:tc>
          <w:tcPr>
            <w:tcW w:w="540" w:type="dxa"/>
            <w:vAlign w:val="bottom"/>
            <w:gridSpan w:val="3"/>
          </w:tcPr>
          <w:p>
            <w:pPr>
              <w:jc w:val="right"/>
              <w:ind w:right="20"/>
              <w:spacing w:after="0"/>
              <w:rPr>
                <w:sz w:val="20"/>
                <w:szCs w:val="20"/>
                <w:color w:val="auto"/>
              </w:rPr>
            </w:pPr>
            <w:r>
              <w:rPr>
                <w:rFonts w:ascii="Arial" w:cs="Arial" w:eastAsia="Arial" w:hAnsi="Arial"/>
                <w:sz w:val="7"/>
                <w:szCs w:val="7"/>
                <w:color w:val="auto"/>
              </w:rPr>
              <w:t>182,000</w:t>
            </w:r>
          </w:p>
        </w:tc>
        <w:tc>
          <w:tcPr>
            <w:tcW w:w="120" w:type="dxa"/>
            <w:vAlign w:val="bottom"/>
          </w:tcPr>
          <w:p>
            <w:pPr>
              <w:spacing w:after="0"/>
              <w:rPr>
                <w:sz w:val="7"/>
                <w:szCs w:val="7"/>
                <w:color w:val="auto"/>
              </w:rPr>
            </w:pPr>
          </w:p>
        </w:tc>
        <w:tc>
          <w:tcPr>
            <w:tcW w:w="580" w:type="dxa"/>
            <w:vAlign w:val="bottom"/>
            <w:gridSpan w:val="3"/>
          </w:tcPr>
          <w:p>
            <w:pPr>
              <w:jc w:val="right"/>
              <w:ind w:right="200"/>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76.9</w:t>
            </w:r>
          </w:p>
        </w:tc>
        <w:tc>
          <w:tcPr>
            <w:tcW w:w="100" w:type="dxa"/>
            <w:vAlign w:val="bottom"/>
          </w:tcPr>
          <w:p>
            <w:pPr>
              <w:spacing w:after="0"/>
              <w:rPr>
                <w:sz w:val="7"/>
                <w:szCs w:val="7"/>
                <w:color w:val="auto"/>
              </w:rPr>
            </w:pPr>
          </w:p>
        </w:tc>
        <w:tc>
          <w:tcPr>
            <w:tcW w:w="520" w:type="dxa"/>
            <w:vAlign w:val="bottom"/>
          </w:tcPr>
          <w:p>
            <w:pPr>
              <w:jc w:val="right"/>
              <w:ind w:right="144"/>
              <w:spacing w:after="0"/>
              <w:rPr>
                <w:sz w:val="20"/>
                <w:szCs w:val="20"/>
                <w:color w:val="auto"/>
              </w:rPr>
            </w:pPr>
            <w:r>
              <w:rPr>
                <w:rFonts w:ascii="Arial" w:cs="Arial" w:eastAsia="Arial" w:hAnsi="Arial"/>
                <w:sz w:val="7"/>
                <w:szCs w:val="7"/>
                <w:color w:val="auto"/>
              </w:rPr>
              <w:t>79.6</w:t>
            </w:r>
          </w:p>
        </w:tc>
        <w:tc>
          <w:tcPr>
            <w:tcW w:w="10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75.6</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74.7</w:t>
            </w:r>
          </w:p>
        </w:tc>
        <w:tc>
          <w:tcPr>
            <w:tcW w:w="80" w:type="dxa"/>
            <w:vAlign w:val="bottom"/>
          </w:tcPr>
          <w:p>
            <w:pPr>
              <w:spacing w:after="0"/>
              <w:rPr>
                <w:sz w:val="7"/>
                <w:szCs w:val="7"/>
                <w:color w:val="auto"/>
              </w:rPr>
            </w:pPr>
          </w:p>
        </w:tc>
        <w:tc>
          <w:tcPr>
            <w:tcW w:w="540" w:type="dxa"/>
            <w:vAlign w:val="bottom"/>
          </w:tcPr>
          <w:p>
            <w:pPr>
              <w:jc w:val="right"/>
              <w:ind w:right="164"/>
              <w:spacing w:after="0"/>
              <w:rPr>
                <w:sz w:val="20"/>
                <w:szCs w:val="20"/>
                <w:color w:val="auto"/>
              </w:rPr>
            </w:pPr>
            <w:r>
              <w:rPr>
                <w:rFonts w:ascii="Arial" w:cs="Arial" w:eastAsia="Arial" w:hAnsi="Arial"/>
                <w:sz w:val="7"/>
                <w:szCs w:val="7"/>
                <w:color w:val="auto"/>
              </w:rPr>
              <w:t>80.4</w:t>
            </w:r>
          </w:p>
        </w:tc>
        <w:tc>
          <w:tcPr>
            <w:tcW w:w="80" w:type="dxa"/>
            <w:vAlign w:val="bottom"/>
          </w:tcPr>
          <w:p>
            <w:pPr>
              <w:spacing w:after="0"/>
              <w:rPr>
                <w:sz w:val="7"/>
                <w:szCs w:val="7"/>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5,235</w:t>
            </w:r>
          </w:p>
        </w:tc>
        <w:tc>
          <w:tcPr>
            <w:tcW w:w="560" w:type="dxa"/>
            <w:vAlign w:val="bottom"/>
          </w:tcPr>
          <w:p>
            <w:pPr>
              <w:jc w:val="right"/>
              <w:ind w:right="184"/>
              <w:spacing w:after="0"/>
              <w:rPr>
                <w:sz w:val="20"/>
                <w:szCs w:val="20"/>
                <w:color w:val="auto"/>
              </w:rPr>
            </w:pPr>
            <w:r>
              <w:rPr>
                <w:rFonts w:ascii="Arial" w:cs="Arial" w:eastAsia="Arial" w:hAnsi="Arial"/>
                <w:sz w:val="7"/>
                <w:szCs w:val="7"/>
                <w:color w:val="auto"/>
              </w:rPr>
              <w:t>1.0</w:t>
            </w:r>
          </w:p>
        </w:tc>
        <w:tc>
          <w:tcPr>
            <w:tcW w:w="440" w:type="dxa"/>
            <w:vAlign w:val="bottom"/>
          </w:tcPr>
          <w:p>
            <w:pPr>
              <w:jc w:val="right"/>
              <w:ind w:right="44"/>
              <w:spacing w:after="0"/>
              <w:rPr>
                <w:sz w:val="20"/>
                <w:szCs w:val="20"/>
                <w:color w:val="auto"/>
              </w:rPr>
            </w:pPr>
            <w:r>
              <w:rPr>
                <w:rFonts w:ascii="Arial" w:cs="Arial" w:eastAsia="Arial" w:hAnsi="Arial"/>
                <w:sz w:val="7"/>
                <w:szCs w:val="7"/>
                <w:color w:val="auto"/>
              </w:rPr>
              <w:t>0.9</w:t>
            </w:r>
          </w:p>
        </w:tc>
        <w:tc>
          <w:tcPr>
            <w:tcW w:w="480" w:type="dxa"/>
            <w:vAlign w:val="bottom"/>
          </w:tcPr>
          <w:p>
            <w:pPr>
              <w:jc w:val="right"/>
              <w:ind w:right="24"/>
              <w:spacing w:after="0"/>
              <w:rPr>
                <w:sz w:val="20"/>
                <w:szCs w:val="20"/>
                <w:color w:val="auto"/>
              </w:rPr>
            </w:pPr>
            <w:r>
              <w:rPr>
                <w:rFonts w:ascii="Arial" w:cs="Arial" w:eastAsia="Arial" w:hAnsi="Arial"/>
                <w:sz w:val="7"/>
                <w:szCs w:val="7"/>
                <w:color w:val="auto"/>
              </w:rPr>
              <w:t>21</w:t>
            </w:r>
          </w:p>
        </w:tc>
        <w:tc>
          <w:tcPr>
            <w:tcW w:w="0" w:type="dxa"/>
            <w:vAlign w:val="bottom"/>
          </w:tcPr>
          <w:p>
            <w:pPr>
              <w:spacing w:after="0"/>
              <w:rPr>
                <w:sz w:val="1"/>
                <w:szCs w:val="1"/>
                <w:color w:val="auto"/>
              </w:rPr>
            </w:pPr>
          </w:p>
        </w:tc>
      </w:tr>
      <w:tr>
        <w:trPr>
          <w:trHeight w:val="133"/>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Stamford,</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1010 Washington Boulevard</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8"/>
                <w:szCs w:val="8"/>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Connecticut</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143,400</w:t>
            </w:r>
          </w:p>
        </w:tc>
        <w:tc>
          <w:tcPr>
            <w:tcW w:w="120" w:type="dxa"/>
            <w:vAlign w:val="bottom"/>
          </w:tcPr>
          <w:p>
            <w:pPr>
              <w:spacing w:after="0"/>
              <w:rPr>
                <w:sz w:val="8"/>
                <w:szCs w:val="8"/>
                <w:color w:val="auto"/>
              </w:rPr>
            </w:pPr>
          </w:p>
        </w:tc>
        <w:tc>
          <w:tcPr>
            <w:tcW w:w="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7"/>
                <w:szCs w:val="7"/>
                <w:color w:val="auto"/>
              </w:rPr>
              <w:t>1.2</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88.2</w:t>
            </w: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79.3</w:t>
            </w:r>
          </w:p>
        </w:tc>
        <w:tc>
          <w:tcPr>
            <w:tcW w:w="10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76.9</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75.3</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73.8</w:t>
            </w:r>
          </w:p>
        </w:tc>
        <w:tc>
          <w:tcPr>
            <w:tcW w:w="80" w:type="dxa"/>
            <w:vAlign w:val="bottom"/>
          </w:tcPr>
          <w:p>
            <w:pPr>
              <w:spacing w:after="0"/>
              <w:rPr>
                <w:sz w:val="8"/>
                <w:szCs w:val="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4,193</w:t>
            </w: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0.8</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0.7</w:t>
            </w: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25</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Arial" w:cs="Arial" w:eastAsia="Arial" w:hAnsi="Arial"/>
                <w:sz w:val="7"/>
                <w:szCs w:val="7"/>
                <w:b w:val="1"/>
                <w:bCs w:val="1"/>
                <w:color w:val="auto"/>
              </w:rPr>
              <w:t>Connecticut Subtotal/Weighted Average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687,200</w:t>
            </w:r>
          </w:p>
        </w:tc>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5.8%</w:t>
            </w:r>
          </w:p>
        </w:tc>
        <w:tc>
          <w:tcPr>
            <w:tcW w:w="8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87.9%</w:t>
            </w:r>
          </w:p>
        </w:tc>
        <w:tc>
          <w:tcPr>
            <w:tcW w:w="100" w:type="dxa"/>
            <w:vAlign w:val="bottom"/>
          </w:tcPr>
          <w:p>
            <w:pPr>
              <w:spacing w:after="0"/>
              <w:rPr>
                <w:sz w:val="16"/>
                <w:szCs w:val="16"/>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86.9%</w:t>
            </w:r>
          </w:p>
        </w:tc>
        <w:tc>
          <w:tcPr>
            <w:tcW w:w="10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85.6%</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85.8%</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86.6%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$23,343</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1.9%</w:t>
            </w: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2.8%</w:t>
            </w:r>
          </w:p>
        </w:tc>
        <w:tc>
          <w:tcPr>
            <w:tcW w:w="480" w:type="dxa"/>
            <w:vAlign w:val="bottom"/>
          </w:tcPr>
          <w:p>
            <w:pPr>
              <w:jc w:val="right"/>
              <w:ind w:right="24"/>
              <w:spacing w:after="0"/>
              <w:rPr>
                <w:sz w:val="20"/>
                <w:szCs w:val="20"/>
                <w:color w:val="auto"/>
              </w:rPr>
            </w:pPr>
            <w:r>
              <w:rPr>
                <w:rFonts w:ascii="Arial" w:cs="Arial" w:eastAsia="Arial" w:hAnsi="Arial"/>
                <w:sz w:val="7"/>
                <w:szCs w:val="7"/>
                <w:b w:val="1"/>
                <w:bCs w:val="1"/>
                <w:color w:val="auto"/>
              </w:rPr>
              <w:t>66</w:t>
            </w:r>
          </w:p>
        </w:tc>
        <w:tc>
          <w:tcPr>
            <w:tcW w:w="0" w:type="dxa"/>
            <w:vAlign w:val="bottom"/>
          </w:tcPr>
          <w:p>
            <w:pPr>
              <w:spacing w:after="0"/>
              <w:rPr>
                <w:sz w:val="1"/>
                <w:szCs w:val="1"/>
                <w:color w:val="auto"/>
              </w:rPr>
            </w:pPr>
          </w:p>
        </w:tc>
      </w:tr>
      <w:tr>
        <w:trPr>
          <w:trHeight w:val="323"/>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"Same Store" New Jersey</w:t>
            </w:r>
          </w:p>
        </w:tc>
        <w:tc>
          <w:tcPr>
            <w:tcW w:w="4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Lyndhurst, New</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0" w:type="dxa"/>
            <w:vAlign w:val="bottom"/>
          </w:tcPr>
          <w:p>
            <w:pPr>
              <w:ind w:left="120"/>
              <w:spacing w:after="0"/>
              <w:rPr>
                <w:sz w:val="20"/>
                <w:szCs w:val="20"/>
                <w:color w:val="auto"/>
              </w:rPr>
            </w:pPr>
            <w:r>
              <w:rPr>
                <w:rFonts w:ascii="Arial" w:cs="Arial" w:eastAsia="Arial" w:hAnsi="Arial"/>
                <w:sz w:val="7"/>
                <w:szCs w:val="7"/>
                <w:color w:val="auto"/>
              </w:rPr>
              <w:t>125</w:t>
            </w:r>
          </w:p>
        </w:tc>
        <w:tc>
          <w:tcPr>
            <w:tcW w:w="1060" w:type="dxa"/>
            <w:vAlign w:val="bottom"/>
            <w:gridSpan w:val="2"/>
          </w:tcPr>
          <w:p>
            <w:pPr>
              <w:ind w:left="20"/>
              <w:spacing w:after="0"/>
              <w:rPr>
                <w:sz w:val="20"/>
                <w:szCs w:val="20"/>
                <w:color w:val="auto"/>
              </w:rPr>
            </w:pPr>
            <w:r>
              <w:rPr>
                <w:rFonts w:ascii="Arial" w:cs="Arial" w:eastAsia="Arial" w:hAnsi="Arial"/>
                <w:sz w:val="7"/>
                <w:szCs w:val="7"/>
                <w:color w:val="auto"/>
              </w:rPr>
              <w:t>Chubb Way</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8"/>
                <w:szCs w:val="8"/>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Jersey</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278,000</w:t>
            </w:r>
          </w:p>
        </w:tc>
        <w:tc>
          <w:tcPr>
            <w:tcW w:w="120" w:type="dxa"/>
            <w:vAlign w:val="bottom"/>
          </w:tcPr>
          <w:p>
            <w:pPr>
              <w:spacing w:after="0"/>
              <w:rPr>
                <w:sz w:val="8"/>
                <w:szCs w:val="8"/>
                <w:color w:val="auto"/>
              </w:rPr>
            </w:pPr>
          </w:p>
        </w:tc>
        <w:tc>
          <w:tcPr>
            <w:tcW w:w="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7"/>
                <w:szCs w:val="7"/>
                <w:color w:val="auto"/>
              </w:rPr>
              <w:t>2.4</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73.3</w:t>
            </w:r>
          </w:p>
        </w:tc>
        <w:tc>
          <w:tcPr>
            <w:tcW w:w="100" w:type="dxa"/>
            <w:vAlign w:val="bottom"/>
          </w:tcPr>
          <w:p>
            <w:pPr>
              <w:spacing w:after="0"/>
              <w:rPr>
                <w:sz w:val="8"/>
                <w:szCs w:val="8"/>
                <w:color w:val="auto"/>
              </w:rPr>
            </w:pP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66.2</w:t>
            </w:r>
          </w:p>
        </w:tc>
        <w:tc>
          <w:tcPr>
            <w:tcW w:w="10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8"/>
                <w:szCs w:val="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66.2</w:t>
            </w:r>
          </w:p>
        </w:tc>
        <w:tc>
          <w:tcPr>
            <w:tcW w:w="80" w:type="dxa"/>
            <w:vAlign w:val="bottom"/>
          </w:tcPr>
          <w:p>
            <w:pPr>
              <w:spacing w:after="0"/>
              <w:rPr>
                <w:sz w:val="8"/>
                <w:szCs w:val="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$4,783</w:t>
            </w: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0.9</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0.8</w:t>
            </w: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7</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Arial" w:cs="Arial" w:eastAsia="Arial" w:hAnsi="Arial"/>
                <w:sz w:val="7"/>
                <w:szCs w:val="7"/>
                <w:b w:val="1"/>
                <w:bCs w:val="1"/>
                <w:color w:val="auto"/>
              </w:rPr>
              <w:t>New Jersey Subtotal / Weighted Average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278,000</w:t>
            </w:r>
          </w:p>
        </w:tc>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2.4%</w:t>
            </w:r>
          </w:p>
        </w:tc>
        <w:tc>
          <w:tcPr>
            <w:tcW w:w="8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73.3%</w:t>
            </w:r>
          </w:p>
        </w:tc>
        <w:tc>
          <w:tcPr>
            <w:tcW w:w="100" w:type="dxa"/>
            <w:vAlign w:val="bottom"/>
          </w:tcPr>
          <w:p>
            <w:pPr>
              <w:spacing w:after="0"/>
              <w:rPr>
                <w:sz w:val="16"/>
                <w:szCs w:val="16"/>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66.2%</w:t>
            </w:r>
          </w:p>
        </w:tc>
        <w:tc>
          <w:tcPr>
            <w:tcW w:w="10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66.2%</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$4,783</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0.9%</w:t>
            </w: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0.8%</w:t>
            </w:r>
          </w:p>
        </w:tc>
        <w:tc>
          <w:tcPr>
            <w:tcW w:w="480" w:type="dxa"/>
            <w:vAlign w:val="bottom"/>
          </w:tcPr>
          <w:p>
            <w:pPr>
              <w:jc w:val="right"/>
              <w:ind w:right="24"/>
              <w:spacing w:after="0"/>
              <w:rPr>
                <w:sz w:val="20"/>
                <w:szCs w:val="20"/>
                <w:color w:val="auto"/>
              </w:rPr>
            </w:pPr>
            <w:r>
              <w:rPr>
                <w:rFonts w:ascii="Arial" w:cs="Arial" w:eastAsia="Arial" w:hAnsi="Arial"/>
                <w:sz w:val="7"/>
                <w:szCs w:val="7"/>
                <w:b w:val="1"/>
                <w:bCs w:val="1"/>
                <w:color w:val="auto"/>
              </w:rPr>
              <w:t>7</w:t>
            </w:r>
          </w:p>
        </w:tc>
        <w:tc>
          <w:tcPr>
            <w:tcW w:w="0" w:type="dxa"/>
            <w:vAlign w:val="bottom"/>
          </w:tcPr>
          <w:p>
            <w:pPr>
              <w:spacing w:after="0"/>
              <w:rPr>
                <w:sz w:val="1"/>
                <w:szCs w:val="1"/>
                <w:color w:val="auto"/>
              </w:rPr>
            </w:pPr>
          </w:p>
        </w:tc>
      </w:tr>
      <w:tr>
        <w:trPr>
          <w:trHeight w:val="223"/>
        </w:trPr>
        <w:tc>
          <w:tcPr>
            <w:tcW w:w="1320" w:type="dxa"/>
            <w:vAlign w:val="bottom"/>
            <w:gridSpan w:val="3"/>
          </w:tcPr>
          <w:p>
            <w:pPr>
              <w:ind w:left="120"/>
              <w:spacing w:after="0"/>
              <w:rPr>
                <w:sz w:val="20"/>
                <w:szCs w:val="20"/>
                <w:color w:val="auto"/>
              </w:rPr>
            </w:pPr>
            <w:r>
              <w:rPr>
                <w:rFonts w:ascii="Arial" w:cs="Arial" w:eastAsia="Arial" w:hAnsi="Arial"/>
                <w:sz w:val="7"/>
                <w:szCs w:val="7"/>
                <w:b w:val="1"/>
                <w:bCs w:val="1"/>
                <w:color w:val="auto"/>
              </w:rPr>
              <w:t>"Same Store" Brooklyn, New</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1320" w:type="dxa"/>
            <w:vAlign w:val="bottom"/>
            <w:tcBorders>
              <w:bottom w:val="single" w:sz="8" w:color="auto"/>
            </w:tcBorders>
            <w:gridSpan w:val="3"/>
          </w:tcPr>
          <w:p>
            <w:pPr>
              <w:ind w:left="120"/>
              <w:spacing w:after="0"/>
              <w:rPr>
                <w:sz w:val="20"/>
                <w:szCs w:val="20"/>
                <w:color w:val="auto"/>
              </w:rPr>
            </w:pPr>
            <w:r>
              <w:rPr>
                <w:rFonts w:ascii="Arial" w:cs="Arial" w:eastAsia="Arial" w:hAnsi="Arial"/>
                <w:sz w:val="7"/>
                <w:szCs w:val="7"/>
                <w:b w:val="1"/>
                <w:bCs w:val="1"/>
                <w:color w:val="auto"/>
              </w:rPr>
              <w:t>York</w:t>
            </w: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1320" w:type="dxa"/>
            <w:vAlign w:val="bottom"/>
            <w:gridSpan w:val="3"/>
          </w:tcPr>
          <w:p>
            <w:pPr>
              <w:ind w:left="120"/>
              <w:spacing w:after="0"/>
              <w:rPr>
                <w:sz w:val="20"/>
                <w:szCs w:val="20"/>
                <w:color w:val="auto"/>
              </w:rPr>
            </w:pPr>
            <w:r>
              <w:rPr>
                <w:rFonts w:ascii="Arial" w:cs="Arial" w:eastAsia="Arial" w:hAnsi="Arial"/>
                <w:sz w:val="7"/>
                <w:szCs w:val="7"/>
                <w:color w:val="auto"/>
              </w:rPr>
              <w:t>16 Court Street</w:t>
            </w:r>
          </w:p>
        </w:tc>
        <w:tc>
          <w:tcPr>
            <w:tcW w:w="400" w:type="dxa"/>
            <w:vAlign w:val="bottom"/>
          </w:tcPr>
          <w:p>
            <w:pPr>
              <w:jc w:val="center"/>
              <w:ind w:left="64"/>
              <w:spacing w:after="0"/>
              <w:rPr>
                <w:sz w:val="20"/>
                <w:szCs w:val="20"/>
                <w:color w:val="auto"/>
              </w:rPr>
            </w:pPr>
            <w:r>
              <w:rPr>
                <w:rFonts w:ascii="Arial" w:cs="Arial" w:eastAsia="Arial" w:hAnsi="Arial"/>
                <w:sz w:val="7"/>
                <w:szCs w:val="7"/>
                <w:color w:val="auto"/>
              </w:rPr>
              <w:t>100.0</w:t>
            </w:r>
          </w:p>
        </w:tc>
        <w:tc>
          <w:tcPr>
            <w:tcW w:w="22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Arial" w:cs="Arial" w:eastAsia="Arial" w:hAnsi="Arial"/>
                <w:sz w:val="7"/>
                <w:szCs w:val="7"/>
                <w:color w:val="auto"/>
              </w:rPr>
              <w:t>Brooklyn, New York</w:t>
            </w:r>
          </w:p>
        </w:tc>
        <w:tc>
          <w:tcPr>
            <w:tcW w:w="640" w:type="dxa"/>
            <w:vAlign w:val="bottom"/>
            <w:gridSpan w:val="2"/>
          </w:tcPr>
          <w:p>
            <w:pPr>
              <w:spacing w:after="0"/>
              <w:rPr>
                <w:sz w:val="20"/>
                <w:szCs w:val="20"/>
                <w:color w:val="auto"/>
              </w:rPr>
            </w:pPr>
            <w:r>
              <w:rPr>
                <w:rFonts w:ascii="Arial" w:cs="Arial" w:eastAsia="Arial" w:hAnsi="Arial"/>
                <w:sz w:val="7"/>
                <w:szCs w:val="7"/>
                <w:color w:val="auto"/>
              </w:rPr>
              <w:t>Fee Interest</w:t>
            </w: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color w:val="auto"/>
              </w:rPr>
              <w:t>317,600</w:t>
            </w:r>
          </w:p>
        </w:tc>
        <w:tc>
          <w:tcPr>
            <w:tcW w:w="120" w:type="dxa"/>
            <w:vAlign w:val="bottom"/>
          </w:tcPr>
          <w:p>
            <w:pPr>
              <w:spacing w:after="0"/>
              <w:rPr>
                <w:sz w:val="18"/>
                <w:szCs w:val="18"/>
                <w:color w:val="auto"/>
              </w:rPr>
            </w:pPr>
          </w:p>
        </w:tc>
        <w:tc>
          <w:tcPr>
            <w:tcW w:w="5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7"/>
                <w:szCs w:val="7"/>
                <w:color w:val="auto"/>
              </w:rPr>
              <w:t>2.7</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95.9</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97.3</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96.4</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95.5</w:t>
            </w:r>
          </w:p>
        </w:tc>
        <w:tc>
          <w:tcPr>
            <w:tcW w:w="80" w:type="dxa"/>
            <w:vAlign w:val="bottom"/>
          </w:tcPr>
          <w:p>
            <w:pPr>
              <w:spacing w:after="0"/>
              <w:rPr>
                <w:sz w:val="18"/>
                <w:szCs w:val="18"/>
                <w:color w:val="auto"/>
              </w:rPr>
            </w:pPr>
          </w:p>
        </w:tc>
        <w:tc>
          <w:tcPr>
            <w:tcW w:w="540" w:type="dxa"/>
            <w:vAlign w:val="bottom"/>
            <w:tcBorders>
              <w:bottom w:val="single" w:sz="8" w:color="auto"/>
            </w:tcBorders>
          </w:tcPr>
          <w:p>
            <w:pPr>
              <w:jc w:val="right"/>
              <w:ind w:right="164"/>
              <w:spacing w:after="0"/>
              <w:rPr>
                <w:sz w:val="20"/>
                <w:szCs w:val="20"/>
                <w:color w:val="auto"/>
              </w:rPr>
            </w:pPr>
            <w:r>
              <w:rPr>
                <w:rFonts w:ascii="Arial" w:cs="Arial" w:eastAsia="Arial" w:hAnsi="Arial"/>
                <w:sz w:val="7"/>
                <w:szCs w:val="7"/>
                <w:color w:val="auto"/>
              </w:rPr>
              <w:t>94.6</w:t>
            </w:r>
          </w:p>
        </w:tc>
        <w:tc>
          <w:tcPr>
            <w:tcW w:w="8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$12,896</w:t>
            </w:r>
          </w:p>
        </w:tc>
        <w:tc>
          <w:tcPr>
            <w:tcW w:w="560" w:type="dxa"/>
            <w:vAlign w:val="bottom"/>
            <w:tcBorders>
              <w:bottom w:val="single" w:sz="8" w:color="auto"/>
            </w:tcBorders>
          </w:tcPr>
          <w:p>
            <w:pPr>
              <w:jc w:val="right"/>
              <w:ind w:right="184"/>
              <w:spacing w:after="0"/>
              <w:rPr>
                <w:sz w:val="20"/>
                <w:szCs w:val="20"/>
                <w:color w:val="auto"/>
              </w:rPr>
            </w:pPr>
            <w:r>
              <w:rPr>
                <w:rFonts w:ascii="Arial" w:cs="Arial" w:eastAsia="Arial" w:hAnsi="Arial"/>
                <w:sz w:val="7"/>
                <w:szCs w:val="7"/>
                <w:color w:val="auto"/>
              </w:rPr>
              <w:t>2.4</w:t>
            </w:r>
          </w:p>
        </w:tc>
        <w:tc>
          <w:tcPr>
            <w:tcW w:w="4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2.1</w:t>
            </w:r>
          </w:p>
        </w:tc>
        <w:tc>
          <w:tcPr>
            <w:tcW w:w="48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68</w:t>
            </w:r>
          </w:p>
        </w:tc>
        <w:tc>
          <w:tcPr>
            <w:tcW w:w="0" w:type="dxa"/>
            <w:vAlign w:val="bottom"/>
          </w:tcPr>
          <w:p>
            <w:pPr>
              <w:spacing w:after="0"/>
              <w:rPr>
                <w:sz w:val="1"/>
                <w:szCs w:val="1"/>
                <w:color w:val="auto"/>
              </w:rPr>
            </w:pPr>
          </w:p>
        </w:tc>
      </w:tr>
      <w:tr>
        <w:trPr>
          <w:trHeight w:val="192"/>
        </w:trPr>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80" w:type="dxa"/>
            <w:vAlign w:val="bottom"/>
            <w:gridSpan w:val="5"/>
          </w:tcPr>
          <w:p>
            <w:pPr>
              <w:ind w:left="360"/>
              <w:spacing w:after="0"/>
              <w:rPr>
                <w:sz w:val="20"/>
                <w:szCs w:val="20"/>
                <w:color w:val="auto"/>
              </w:rPr>
            </w:pPr>
            <w:r>
              <w:rPr>
                <w:rFonts w:ascii="Arial" w:cs="Arial" w:eastAsia="Arial" w:hAnsi="Arial"/>
                <w:sz w:val="7"/>
                <w:szCs w:val="7"/>
                <w:b w:val="1"/>
                <w:bCs w:val="1"/>
                <w:color w:val="auto"/>
              </w:rPr>
              <w:t>Brooklyn, New York Subtotal / Weighted Average</w:t>
            </w: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317,600</w:t>
            </w:r>
          </w:p>
        </w:tc>
        <w:tc>
          <w:tcPr>
            <w:tcW w:w="120" w:type="dxa"/>
            <w:vAlign w:val="bottom"/>
          </w:tcPr>
          <w:p>
            <w:pPr>
              <w:spacing w:after="0"/>
              <w:rPr>
                <w:sz w:val="16"/>
                <w:szCs w:val="16"/>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2.7%</w:t>
            </w:r>
          </w:p>
        </w:tc>
        <w:tc>
          <w:tcPr>
            <w:tcW w:w="80" w:type="dxa"/>
            <w:vAlign w:val="bottom"/>
          </w:tcPr>
          <w:p>
            <w:pPr>
              <w:spacing w:after="0"/>
              <w:rPr>
                <w:sz w:val="16"/>
                <w:szCs w:val="16"/>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95.9%</w:t>
            </w:r>
          </w:p>
        </w:tc>
        <w:tc>
          <w:tcPr>
            <w:tcW w:w="100" w:type="dxa"/>
            <w:vAlign w:val="bottom"/>
          </w:tcPr>
          <w:p>
            <w:pPr>
              <w:spacing w:after="0"/>
              <w:rPr>
                <w:sz w:val="16"/>
                <w:szCs w:val="16"/>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97.3%</w:t>
            </w:r>
          </w:p>
        </w:tc>
        <w:tc>
          <w:tcPr>
            <w:tcW w:w="10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96.4%</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95.5%</w:t>
            </w:r>
          </w:p>
        </w:tc>
        <w:tc>
          <w:tcPr>
            <w:tcW w:w="80" w:type="dxa"/>
            <w:vAlign w:val="bottom"/>
          </w:tcPr>
          <w:p>
            <w:pPr>
              <w:spacing w:after="0"/>
              <w:rPr>
                <w:sz w:val="16"/>
                <w:szCs w:val="16"/>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94.6%</w:t>
            </w:r>
          </w:p>
        </w:tc>
        <w:tc>
          <w:tcPr>
            <w:tcW w:w="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$12,896</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2.4%</w:t>
            </w: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2.1%</w:t>
            </w:r>
          </w:p>
        </w:tc>
        <w:tc>
          <w:tcPr>
            <w:tcW w:w="480" w:type="dxa"/>
            <w:vAlign w:val="bottom"/>
          </w:tcPr>
          <w:p>
            <w:pPr>
              <w:jc w:val="right"/>
              <w:ind w:right="24"/>
              <w:spacing w:after="0"/>
              <w:rPr>
                <w:sz w:val="20"/>
                <w:szCs w:val="20"/>
                <w:color w:val="auto"/>
              </w:rPr>
            </w:pPr>
            <w:r>
              <w:rPr>
                <w:rFonts w:ascii="Arial" w:cs="Arial" w:eastAsia="Arial" w:hAnsi="Arial"/>
                <w:sz w:val="7"/>
                <w:szCs w:val="7"/>
                <w:b w:val="1"/>
                <w:bCs w:val="1"/>
                <w:color w:val="auto"/>
              </w:rPr>
              <w:t>68</w:t>
            </w:r>
          </w:p>
        </w:tc>
        <w:tc>
          <w:tcPr>
            <w:tcW w:w="0" w:type="dxa"/>
            <w:vAlign w:val="bottom"/>
          </w:tcPr>
          <w:p>
            <w:pPr>
              <w:spacing w:after="0"/>
              <w:rPr>
                <w:sz w:val="1"/>
                <w:szCs w:val="1"/>
                <w:color w:val="auto"/>
              </w:rPr>
            </w:pPr>
          </w:p>
        </w:tc>
      </w:tr>
      <w:tr>
        <w:trPr>
          <w:trHeight w:val="111"/>
        </w:trPr>
        <w:tc>
          <w:tcPr>
            <w:tcW w:w="380" w:type="dxa"/>
            <w:vAlign w:val="bottom"/>
            <w:tcBorders>
              <w:bottom w:val="single" w:sz="8" w:color="auto"/>
            </w:tcBorders>
            <w:gridSpan w:val="2"/>
          </w:tcPr>
          <w:p>
            <w:pPr>
              <w:spacing w:after="0"/>
              <w:rPr>
                <w:sz w:val="9"/>
                <w:szCs w:val="9"/>
                <w:color w:val="auto"/>
              </w:rPr>
            </w:pPr>
          </w:p>
        </w:tc>
        <w:tc>
          <w:tcPr>
            <w:tcW w:w="1340" w:type="dxa"/>
            <w:vAlign w:val="bottom"/>
            <w:tcBorders>
              <w:bottom w:val="single" w:sz="8" w:color="auto"/>
            </w:tcBorders>
            <w:gridSpan w:val="2"/>
          </w:tcPr>
          <w:p>
            <w:pPr>
              <w:spacing w:after="0"/>
              <w:rPr>
                <w:sz w:val="9"/>
                <w:szCs w:val="9"/>
                <w:color w:val="auto"/>
              </w:rPr>
            </w:pPr>
          </w:p>
        </w:tc>
        <w:tc>
          <w:tcPr>
            <w:tcW w:w="580" w:type="dxa"/>
            <w:vAlign w:val="bottom"/>
            <w:tcBorders>
              <w:bottom w:val="single" w:sz="8" w:color="auto"/>
            </w:tcBorders>
            <w:gridSpan w:val="2"/>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76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 Weighted Average Suburban Consolidated Properties</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3,287,800</w:t>
            </w:r>
          </w:p>
        </w:tc>
        <w:tc>
          <w:tcPr>
            <w:tcW w:w="12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28.0%</w:t>
            </w:r>
          </w:p>
        </w:tc>
        <w:tc>
          <w:tcPr>
            <w:tcW w:w="80" w:type="dxa"/>
            <w:vAlign w:val="bottom"/>
          </w:tcPr>
          <w:p>
            <w:pPr>
              <w:spacing w:after="0"/>
              <w:rPr>
                <w:sz w:val="17"/>
                <w:szCs w:val="17"/>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82.6%</w:t>
            </w:r>
          </w:p>
        </w:tc>
        <w:tc>
          <w:tcPr>
            <w:tcW w:w="10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81.6%</w:t>
            </w:r>
          </w:p>
        </w:tc>
        <w:tc>
          <w:tcPr>
            <w:tcW w:w="10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83.1%</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80.0%</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81.5%</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$86,084</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13.4%</w:t>
            </w:r>
          </w:p>
        </w:tc>
        <w:tc>
          <w:tcPr>
            <w:tcW w:w="440" w:type="dxa"/>
            <w:vAlign w:val="bottom"/>
          </w:tcPr>
          <w:p>
            <w:pPr>
              <w:spacing w:after="0"/>
              <w:rPr>
                <w:sz w:val="17"/>
                <w:szCs w:val="17"/>
                <w:color w:val="auto"/>
              </w:rPr>
            </w:pPr>
          </w:p>
        </w:tc>
        <w:tc>
          <w:tcPr>
            <w:tcW w:w="480" w:type="dxa"/>
            <w:vAlign w:val="bottom"/>
            <w:tcBorders>
              <w:right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241</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Total Suburban Consolidated Properties - SLG share of Annualized</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0"/>
        </w:trPr>
        <w:tc>
          <w:tcPr>
            <w:tcW w:w="1320" w:type="dxa"/>
            <w:vAlign w:val="bottom"/>
            <w:tcBorders>
              <w:left w:val="single" w:sz="8" w:color="auto"/>
              <w:bottom w:val="single" w:sz="8" w:color="auto"/>
            </w:tcBorders>
            <w:gridSpan w:val="3"/>
          </w:tcPr>
          <w:p>
            <w:pPr>
              <w:ind w:left="140"/>
              <w:spacing w:after="0"/>
              <w:rPr>
                <w:sz w:val="20"/>
                <w:szCs w:val="20"/>
                <w:color w:val="auto"/>
              </w:rPr>
            </w:pPr>
            <w:r>
              <w:rPr>
                <w:rFonts w:ascii="Arial" w:cs="Arial" w:eastAsia="Arial" w:hAnsi="Arial"/>
                <w:sz w:val="7"/>
                <w:szCs w:val="7"/>
                <w:b w:val="1"/>
                <w:bCs w:val="1"/>
                <w:color w:val="auto"/>
              </w:rPr>
              <w:t>Rent</w:t>
            </w: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$79,624</w:t>
            </w:r>
          </w:p>
        </w:tc>
        <w:tc>
          <w:tcPr>
            <w:tcW w:w="5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13.1%</w:t>
            </w:r>
          </w:p>
        </w:tc>
        <w:tc>
          <w:tcPr>
            <w:tcW w:w="4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276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Reckson Operating Properties Grand Total / Weighted Average</w:t>
            </w: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11,751,045</w:t>
            </w:r>
          </w:p>
        </w:tc>
        <w:tc>
          <w:tcPr>
            <w:tcW w:w="120" w:type="dxa"/>
            <w:vAlign w:val="bottom"/>
          </w:tcPr>
          <w:p>
            <w:pPr>
              <w:spacing w:after="0"/>
              <w:rPr>
                <w:sz w:val="17"/>
                <w:szCs w:val="17"/>
                <w:color w:val="auto"/>
              </w:rPr>
            </w:pPr>
          </w:p>
        </w:tc>
        <w:tc>
          <w:tcPr>
            <w:tcW w:w="580" w:type="dxa"/>
            <w:vAlign w:val="bottom"/>
            <w:gridSpan w:val="3"/>
          </w:tcPr>
          <w:p>
            <w:pPr>
              <w:jc w:val="right"/>
              <w:ind w:right="12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7"/>
                <w:szCs w:val="17"/>
                <w:color w:val="auto"/>
              </w:rPr>
            </w:pPr>
          </w:p>
        </w:tc>
        <w:tc>
          <w:tcPr>
            <w:tcW w:w="540" w:type="dxa"/>
            <w:vAlign w:val="bottom"/>
          </w:tcPr>
          <w:p>
            <w:pPr>
              <w:jc w:val="right"/>
              <w:ind w:right="84"/>
              <w:spacing w:after="0"/>
              <w:rPr>
                <w:sz w:val="20"/>
                <w:szCs w:val="20"/>
                <w:color w:val="auto"/>
              </w:rPr>
            </w:pPr>
            <w:r>
              <w:rPr>
                <w:rFonts w:ascii="Arial" w:cs="Arial" w:eastAsia="Arial" w:hAnsi="Arial"/>
                <w:sz w:val="7"/>
                <w:szCs w:val="7"/>
                <w:b w:val="1"/>
                <w:bCs w:val="1"/>
                <w:color w:val="auto"/>
              </w:rPr>
              <w:t>92.7%</w:t>
            </w:r>
          </w:p>
        </w:tc>
        <w:tc>
          <w:tcPr>
            <w:tcW w:w="100" w:type="dxa"/>
            <w:vAlign w:val="bottom"/>
          </w:tcPr>
          <w:p>
            <w:pPr>
              <w:spacing w:after="0"/>
              <w:rPr>
                <w:sz w:val="17"/>
                <w:szCs w:val="17"/>
                <w:color w:val="auto"/>
              </w:rPr>
            </w:pPr>
          </w:p>
        </w:tc>
        <w:tc>
          <w:tcPr>
            <w:tcW w:w="520" w:type="dxa"/>
            <w:vAlign w:val="bottom"/>
          </w:tcPr>
          <w:p>
            <w:pPr>
              <w:jc w:val="right"/>
              <w:ind w:right="84"/>
              <w:spacing w:after="0"/>
              <w:rPr>
                <w:sz w:val="20"/>
                <w:szCs w:val="20"/>
                <w:color w:val="auto"/>
              </w:rPr>
            </w:pPr>
            <w:r>
              <w:rPr>
                <w:rFonts w:ascii="Arial" w:cs="Arial" w:eastAsia="Arial" w:hAnsi="Arial"/>
                <w:sz w:val="7"/>
                <w:szCs w:val="7"/>
                <w:b w:val="1"/>
                <w:bCs w:val="1"/>
                <w:color w:val="auto"/>
              </w:rPr>
              <w:t>91.7%</w:t>
            </w:r>
          </w:p>
        </w:tc>
        <w:tc>
          <w:tcPr>
            <w:tcW w:w="10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91.7%</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90.7%</w:t>
            </w:r>
          </w:p>
        </w:tc>
        <w:tc>
          <w:tcPr>
            <w:tcW w:w="80" w:type="dxa"/>
            <w:vAlign w:val="bottom"/>
          </w:tcPr>
          <w:p>
            <w:pPr>
              <w:spacing w:after="0"/>
              <w:rPr>
                <w:sz w:val="17"/>
                <w:szCs w:val="17"/>
                <w:color w:val="auto"/>
              </w:rPr>
            </w:pPr>
          </w:p>
        </w:tc>
        <w:tc>
          <w:tcPr>
            <w:tcW w:w="540" w:type="dxa"/>
            <w:vAlign w:val="bottom"/>
          </w:tcPr>
          <w:p>
            <w:pPr>
              <w:jc w:val="right"/>
              <w:ind w:right="104"/>
              <w:spacing w:after="0"/>
              <w:rPr>
                <w:sz w:val="20"/>
                <w:szCs w:val="20"/>
                <w:color w:val="auto"/>
              </w:rPr>
            </w:pPr>
            <w:r>
              <w:rPr>
                <w:rFonts w:ascii="Arial" w:cs="Arial" w:eastAsia="Arial" w:hAnsi="Arial"/>
                <w:sz w:val="7"/>
                <w:szCs w:val="7"/>
                <w:b w:val="1"/>
                <w:bCs w:val="1"/>
                <w:color w:val="auto"/>
              </w:rPr>
              <w:t>91.8%</w:t>
            </w: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$663,478</w:t>
            </w:r>
          </w:p>
        </w:tc>
        <w:tc>
          <w:tcPr>
            <w:tcW w:w="560" w:type="dxa"/>
            <w:vAlign w:val="bottom"/>
          </w:tcPr>
          <w:p>
            <w:pPr>
              <w:jc w:val="right"/>
              <w:ind w:right="124"/>
              <w:spacing w:after="0"/>
              <w:rPr>
                <w:sz w:val="20"/>
                <w:szCs w:val="20"/>
                <w:color w:val="auto"/>
              </w:rPr>
            </w:pPr>
            <w:r>
              <w:rPr>
                <w:rFonts w:ascii="Arial" w:cs="Arial" w:eastAsia="Arial" w:hAnsi="Arial"/>
                <w:sz w:val="7"/>
                <w:szCs w:val="7"/>
                <w:b w:val="1"/>
                <w:bCs w:val="1"/>
                <w:color w:val="auto"/>
              </w:rPr>
              <w:t>100.0%</w:t>
            </w:r>
          </w:p>
        </w:tc>
        <w:tc>
          <w:tcPr>
            <w:tcW w:w="440" w:type="dxa"/>
            <w:vAlign w:val="bottom"/>
          </w:tcPr>
          <w:p>
            <w:pPr>
              <w:spacing w:after="0"/>
              <w:rPr>
                <w:sz w:val="17"/>
                <w:szCs w:val="17"/>
                <w:color w:val="auto"/>
              </w:rPr>
            </w:pPr>
          </w:p>
        </w:tc>
        <w:tc>
          <w:tcPr>
            <w:tcW w:w="480" w:type="dxa"/>
            <w:vAlign w:val="bottom"/>
            <w:tcBorders>
              <w:right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580</w:t>
            </w:r>
          </w:p>
        </w:tc>
        <w:tc>
          <w:tcPr>
            <w:tcW w:w="0" w:type="dxa"/>
            <w:vAlign w:val="bottom"/>
          </w:tcPr>
          <w:p>
            <w:pPr>
              <w:spacing w:after="0"/>
              <w:rPr>
                <w:sz w:val="1"/>
                <w:szCs w:val="1"/>
                <w:color w:val="auto"/>
              </w:rPr>
            </w:pPr>
          </w:p>
        </w:tc>
      </w:tr>
      <w:tr>
        <w:trPr>
          <w:trHeight w:val="125"/>
        </w:trPr>
        <w:tc>
          <w:tcPr>
            <w:tcW w:w="2760" w:type="dxa"/>
            <w:vAlign w:val="bottom"/>
            <w:tcBorders>
              <w:left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Reckson Operating Properties Grand Total - SLG Share of Annualized</w:t>
            </w: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320" w:type="dxa"/>
            <w:vAlign w:val="bottom"/>
            <w:tcBorders>
              <w:left w:val="single" w:sz="8" w:color="auto"/>
            </w:tcBorders>
            <w:gridSpan w:val="3"/>
          </w:tcPr>
          <w:p>
            <w:pPr>
              <w:ind w:left="140"/>
              <w:spacing w:after="0"/>
              <w:rPr>
                <w:sz w:val="20"/>
                <w:szCs w:val="20"/>
                <w:color w:val="auto"/>
              </w:rPr>
            </w:pPr>
            <w:r>
              <w:rPr>
                <w:rFonts w:ascii="Arial" w:cs="Arial" w:eastAsia="Arial" w:hAnsi="Arial"/>
                <w:sz w:val="7"/>
                <w:szCs w:val="7"/>
                <w:b w:val="1"/>
                <w:bCs w:val="1"/>
                <w:color w:val="auto"/>
              </w:rPr>
              <w:t>Rent</w:t>
            </w: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$609,244</w:t>
            </w:r>
          </w:p>
        </w:tc>
        <w:tc>
          <w:tcPr>
            <w:tcW w:w="560" w:type="dxa"/>
            <w:vAlign w:val="bottom"/>
          </w:tcPr>
          <w:p>
            <w:pPr>
              <w:spacing w:after="0"/>
              <w:rPr>
                <w:sz w:val="8"/>
                <w:szCs w:val="8"/>
                <w:color w:val="auto"/>
              </w:rPr>
            </w:pPr>
          </w:p>
        </w:tc>
        <w:tc>
          <w:tcPr>
            <w:tcW w:w="44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4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760" w:type="dxa"/>
            <w:vAlign w:val="bottom"/>
            <w:tcBorders>
              <w:left w:val="single" w:sz="8" w:color="auto"/>
              <w:bottom w:val="single" w:sz="8" w:color="auto"/>
            </w:tcBorders>
            <w:gridSpan w:val="7"/>
          </w:tcPr>
          <w:p>
            <w:pPr>
              <w:ind w:left="140"/>
              <w:spacing w:after="0"/>
              <w:rPr>
                <w:sz w:val="20"/>
                <w:szCs w:val="20"/>
                <w:color w:val="auto"/>
              </w:rPr>
            </w:pPr>
            <w:r>
              <w:rPr>
                <w:rFonts w:ascii="Arial" w:cs="Arial" w:eastAsia="Arial" w:hAnsi="Arial"/>
                <w:sz w:val="7"/>
                <w:szCs w:val="7"/>
                <w:b w:val="1"/>
                <w:bCs w:val="1"/>
                <w:color w:val="auto"/>
              </w:rPr>
              <w:t>Reckson Operating Properties Same Store Occupancy %</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7"/>
                <w:szCs w:val="7"/>
                <w:b w:val="1"/>
                <w:bCs w:val="1"/>
                <w:color w:val="auto"/>
              </w:rPr>
              <w:t>11,527,445</w:t>
            </w: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7"/>
                <w:szCs w:val="7"/>
                <w:b w:val="1"/>
                <w:bCs w:val="1"/>
                <w:color w:val="auto"/>
              </w:rPr>
              <w:t>98.1%</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93.0%</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84"/>
              <w:spacing w:after="0"/>
              <w:rPr>
                <w:sz w:val="20"/>
                <w:szCs w:val="20"/>
                <w:color w:val="auto"/>
              </w:rPr>
            </w:pPr>
            <w:r>
              <w:rPr>
                <w:rFonts w:ascii="Arial" w:cs="Arial" w:eastAsia="Arial" w:hAnsi="Arial"/>
                <w:sz w:val="7"/>
                <w:szCs w:val="7"/>
                <w:b w:val="1"/>
                <w:bCs w:val="1"/>
                <w:color w:val="auto"/>
              </w:rPr>
              <w:t>92.0%</w:t>
            </w:r>
          </w:p>
        </w:tc>
        <w:tc>
          <w:tcPr>
            <w:tcW w:w="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91.9%</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91.0%</w:t>
            </w:r>
          </w:p>
        </w:tc>
        <w:tc>
          <w:tcPr>
            <w:tcW w:w="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4"/>
              <w:spacing w:after="0"/>
              <w:rPr>
                <w:sz w:val="20"/>
                <w:szCs w:val="20"/>
                <w:color w:val="auto"/>
              </w:rPr>
            </w:pPr>
            <w:r>
              <w:rPr>
                <w:rFonts w:ascii="Arial" w:cs="Arial" w:eastAsia="Arial" w:hAnsi="Arial"/>
                <w:sz w:val="7"/>
                <w:szCs w:val="7"/>
                <w:b w:val="1"/>
                <w:bCs w:val="1"/>
                <w:color w:val="auto"/>
              </w:rPr>
              <w:t>91.9%</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280" w:hanging="111"/>
        <w:spacing w:after="0"/>
        <w:tabs>
          <w:tab w:leader="none" w:pos="280" w:val="left"/>
        </w:tabs>
        <w:numPr>
          <w:ilvl w:val="0"/>
          <w:numId w:val="25"/>
        </w:numPr>
        <w:rPr>
          <w:rFonts w:ascii="Arial" w:cs="Arial" w:eastAsia="Arial" w:hAnsi="Arial"/>
          <w:sz w:val="7"/>
          <w:szCs w:val="7"/>
          <w:color w:val="auto"/>
        </w:rPr>
      </w:pPr>
      <w:r>
        <w:rPr>
          <w:rFonts w:ascii="Arial" w:cs="Arial" w:eastAsia="Arial" w:hAnsi="Arial"/>
          <w:sz w:val="7"/>
          <w:szCs w:val="7"/>
          <w:color w:val="auto"/>
        </w:rPr>
        <w:t>The Company has an option to acquire the fee interest for a fixed price on a specific date.</w:t>
      </w:r>
    </w:p>
    <w:p>
      <w:pPr>
        <w:spacing w:after="0" w:line="138" w:lineRule="exact"/>
        <w:rPr>
          <w:rFonts w:ascii="Arial" w:cs="Arial" w:eastAsia="Arial" w:hAnsi="Arial"/>
          <w:sz w:val="7"/>
          <w:szCs w:val="7"/>
          <w:color w:val="auto"/>
        </w:rPr>
      </w:pPr>
    </w:p>
    <w:p>
      <w:pPr>
        <w:ind w:left="280" w:hanging="111"/>
        <w:spacing w:after="0"/>
        <w:tabs>
          <w:tab w:leader="none" w:pos="280" w:val="left"/>
        </w:tabs>
        <w:numPr>
          <w:ilvl w:val="0"/>
          <w:numId w:val="25"/>
        </w:numPr>
        <w:rPr>
          <w:rFonts w:ascii="Arial" w:cs="Arial" w:eastAsia="Arial" w:hAnsi="Arial"/>
          <w:sz w:val="7"/>
          <w:szCs w:val="7"/>
          <w:color w:val="auto"/>
        </w:rPr>
      </w:pPr>
      <w:r>
        <w:rPr>
          <w:rFonts w:ascii="Arial" w:cs="Arial" w:eastAsia="Arial" w:hAnsi="Arial"/>
          <w:sz w:val="7"/>
          <w:szCs w:val="7"/>
          <w:color w:val="auto"/>
        </w:rPr>
        <w:t>The Company owns 50% of the fee interest.</w:t>
      </w:r>
    </w:p>
    <w:p>
      <w:pPr>
        <w:sectPr>
          <w:pgSz w:w="11900" w:h="16838" w:orient="portrait"/>
          <w:cols w:equalWidth="0" w:num="1">
            <w:col w:w="10080"/>
          </w:cols>
          <w:pgMar w:left="900" w:top="338" w:right="919" w:bottom="0" w:gutter="0" w:footer="0" w:header="0"/>
        </w:sectPr>
      </w:pPr>
    </w:p>
    <w:p>
      <w:pPr>
        <w:spacing w:after="0" w:line="341"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39</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0" w:gutter="0" w:footer="0" w:header="0"/>
          <w:type w:val="continuous"/>
        </w:sectPr>
      </w:pPr>
    </w:p>
    <w:bookmarkStart w:id="55" w:name="page56"/>
    <w:bookmarkEnd w:id="5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SELECTED PROPERTY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5207635</wp:posOffset>
            </wp:positionH>
            <wp:positionV relativeFrom="paragraph">
              <wp:posOffset>-90170</wp:posOffset>
            </wp:positionV>
            <wp:extent cx="1207770" cy="3606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7770" cy="360680"/>
                    </a:xfrm>
                    <a:prstGeom prst="rect">
                      <a:avLst/>
                    </a:prstGeom>
                    <a:noFill/>
                  </pic:spPr>
                </pic:pic>
              </a:graphicData>
            </a:graphic>
          </wp:anchor>
        </w:drawing>
      </w:r>
    </w:p>
    <w:p>
      <w:pPr>
        <w:spacing w:after="0" w:line="11" w:lineRule="exact"/>
        <w:rPr>
          <w:sz w:val="20"/>
          <w:szCs w:val="20"/>
          <w:color w:val="auto"/>
        </w:rPr>
      </w:pPr>
    </w:p>
    <w:p>
      <w:pPr>
        <w:ind w:right="5240"/>
        <w:spacing w:after="0" w:line="231" w:lineRule="auto"/>
        <w:rPr>
          <w:sz w:val="20"/>
          <w:szCs w:val="20"/>
          <w:color w:val="auto"/>
        </w:rPr>
      </w:pPr>
      <w:r>
        <w:rPr>
          <w:rFonts w:ascii="Arial" w:cs="Arial" w:eastAsia="Arial" w:hAnsi="Arial"/>
          <w:sz w:val="15"/>
          <w:szCs w:val="15"/>
          <w:b w:val="1"/>
          <w:bCs w:val="1"/>
          <w:color w:val="auto"/>
        </w:rPr>
        <w:t>Reckson Operating Portfolio - Retail, Land, and Residential Properties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100"/>
        </w:trPr>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140" w:type="dxa"/>
            <w:vAlign w:val="bottom"/>
          </w:tcPr>
          <w:p>
            <w:pPr>
              <w:spacing w:after="0"/>
              <w:rPr>
                <w:sz w:val="8"/>
                <w:szCs w:val="8"/>
                <w:color w:val="auto"/>
              </w:rPr>
            </w:pPr>
          </w:p>
        </w:tc>
        <w:tc>
          <w:tcPr>
            <w:tcW w:w="56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rPr>
              <w:t>% of Total</w:t>
            </w:r>
          </w:p>
        </w:tc>
        <w:tc>
          <w:tcPr>
            <w:tcW w:w="4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rPr>
              <w:t>Occupancy (%)</w:t>
            </w: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jc w:val="center"/>
              <w:ind w:right="4"/>
              <w:spacing w:after="0"/>
              <w:rPr>
                <w:sz w:val="20"/>
                <w:szCs w:val="20"/>
                <w:color w:val="auto"/>
              </w:rPr>
            </w:pPr>
            <w:r>
              <w:rPr>
                <w:rFonts w:ascii="Arial" w:cs="Arial" w:eastAsia="Arial" w:hAnsi="Arial"/>
                <w:sz w:val="7"/>
                <w:szCs w:val="7"/>
                <w:b w:val="1"/>
                <w:bCs w:val="1"/>
                <w:color w:val="auto"/>
              </w:rPr>
              <w:t>Annualized</w:t>
            </w:r>
          </w:p>
        </w:tc>
        <w:tc>
          <w:tcPr>
            <w:tcW w:w="960" w:type="dxa"/>
            <w:vAlign w:val="bottom"/>
          </w:tcPr>
          <w:p>
            <w:pPr>
              <w:jc w:val="center"/>
              <w:ind w:right="84"/>
              <w:spacing w:after="0"/>
              <w:rPr>
                <w:sz w:val="20"/>
                <w:szCs w:val="20"/>
                <w:color w:val="auto"/>
              </w:rPr>
            </w:pPr>
            <w:r>
              <w:rPr>
                <w:rFonts w:ascii="Arial" w:cs="Arial" w:eastAsia="Arial" w:hAnsi="Arial"/>
                <w:sz w:val="7"/>
                <w:szCs w:val="7"/>
                <w:b w:val="1"/>
                <w:bCs w:val="1"/>
                <w:color w:val="auto"/>
              </w:rPr>
              <w:t>Annualized</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Gross Total RE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ind w:left="80"/>
              <w:spacing w:after="0"/>
              <w:rPr>
                <w:sz w:val="20"/>
                <w:szCs w:val="20"/>
                <w:color w:val="auto"/>
              </w:rPr>
            </w:pPr>
            <w:r>
              <w:rPr>
                <w:rFonts w:ascii="Arial" w:cs="Arial" w:eastAsia="Arial" w:hAnsi="Arial"/>
                <w:sz w:val="7"/>
                <w:szCs w:val="7"/>
                <w:b w:val="1"/>
                <w:bCs w:val="1"/>
                <w:color w:val="auto"/>
              </w:rPr>
              <w:t>Sep-16</w:t>
            </w:r>
          </w:p>
        </w:tc>
        <w:tc>
          <w:tcPr>
            <w:tcW w:w="400" w:type="dxa"/>
            <w:vAlign w:val="bottom"/>
          </w:tcPr>
          <w:p>
            <w:pPr>
              <w:jc w:val="right"/>
              <w:ind w:right="44"/>
              <w:spacing w:after="0"/>
              <w:rPr>
                <w:sz w:val="20"/>
                <w:szCs w:val="20"/>
                <w:color w:val="auto"/>
              </w:rPr>
            </w:pPr>
            <w:r>
              <w:rPr>
                <w:rFonts w:ascii="Arial" w:cs="Arial" w:eastAsia="Arial" w:hAnsi="Arial"/>
                <w:sz w:val="7"/>
                <w:szCs w:val="7"/>
                <w:b w:val="1"/>
                <w:bCs w:val="1"/>
                <w:color w:val="auto"/>
              </w:rPr>
              <w:t>Jun-16</w:t>
            </w:r>
          </w:p>
        </w:tc>
        <w:tc>
          <w:tcPr>
            <w:tcW w:w="80" w:type="dxa"/>
            <w:vAlign w:val="bottom"/>
          </w:tcPr>
          <w:p>
            <w:pPr>
              <w:spacing w:after="0"/>
              <w:rPr>
                <w:sz w:val="9"/>
                <w:szCs w:val="9"/>
                <w:color w:val="auto"/>
              </w:rPr>
            </w:pPr>
          </w:p>
        </w:tc>
        <w:tc>
          <w:tcPr>
            <w:tcW w:w="540" w:type="dxa"/>
            <w:vAlign w:val="bottom"/>
            <w:gridSpan w:val="3"/>
          </w:tcPr>
          <w:p>
            <w:pPr>
              <w:ind w:left="80"/>
              <w:spacing w:after="0"/>
              <w:rPr>
                <w:sz w:val="20"/>
                <w:szCs w:val="20"/>
                <w:color w:val="auto"/>
              </w:rPr>
            </w:pPr>
            <w:r>
              <w:rPr>
                <w:rFonts w:ascii="Arial" w:cs="Arial" w:eastAsia="Arial" w:hAnsi="Arial"/>
                <w:sz w:val="7"/>
                <w:szCs w:val="7"/>
                <w:b w:val="1"/>
                <w:bCs w:val="1"/>
                <w:color w:val="auto"/>
              </w:rPr>
              <w:t>Mar-16</w:t>
            </w:r>
          </w:p>
        </w:tc>
        <w:tc>
          <w:tcPr>
            <w:tcW w:w="440" w:type="dxa"/>
            <w:vAlign w:val="bottom"/>
            <w:gridSpan w:val="2"/>
          </w:tcPr>
          <w:p>
            <w:pPr>
              <w:ind w:left="20"/>
              <w:spacing w:after="0"/>
              <w:rPr>
                <w:sz w:val="20"/>
                <w:szCs w:val="20"/>
                <w:color w:val="auto"/>
              </w:rPr>
            </w:pPr>
            <w:r>
              <w:rPr>
                <w:rFonts w:ascii="Arial" w:cs="Arial" w:eastAsia="Arial" w:hAnsi="Arial"/>
                <w:sz w:val="7"/>
                <w:szCs w:val="7"/>
                <w:b w:val="1"/>
                <w:bCs w:val="1"/>
                <w:color w:val="auto"/>
              </w:rPr>
              <w:t>Dec-15</w:t>
            </w:r>
          </w:p>
        </w:tc>
        <w:tc>
          <w:tcPr>
            <w:tcW w:w="480" w:type="dxa"/>
            <w:vAlign w:val="bottom"/>
            <w:gridSpan w:val="2"/>
          </w:tcPr>
          <w:p>
            <w:pPr>
              <w:ind w:left="60"/>
              <w:spacing w:after="0"/>
              <w:rPr>
                <w:sz w:val="20"/>
                <w:szCs w:val="20"/>
                <w:color w:val="auto"/>
              </w:rPr>
            </w:pPr>
            <w:r>
              <w:rPr>
                <w:rFonts w:ascii="Arial" w:cs="Arial" w:eastAsia="Arial" w:hAnsi="Arial"/>
                <w:sz w:val="7"/>
                <w:szCs w:val="7"/>
                <w:b w:val="1"/>
                <w:bCs w:val="1"/>
                <w:color w:val="auto"/>
              </w:rPr>
              <w:t>Sep-15</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700" w:type="dxa"/>
            <w:vAlign w:val="bottom"/>
            <w:gridSpan w:val="3"/>
          </w:tcPr>
          <w:p>
            <w:pPr>
              <w:spacing w:after="0"/>
              <w:rPr>
                <w:sz w:val="20"/>
                <w:szCs w:val="20"/>
                <w:color w:val="auto"/>
              </w:rPr>
            </w:pPr>
            <w:r>
              <w:rPr>
                <w:rFonts w:ascii="Arial" w:cs="Arial" w:eastAsia="Arial" w:hAnsi="Arial"/>
                <w:sz w:val="7"/>
                <w:szCs w:val="7"/>
                <w:b w:val="1"/>
                <w:bCs w:val="1"/>
                <w:color w:val="auto"/>
              </w:rPr>
              <w:t>Properties</w:t>
            </w: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Interest (%)</w:t>
            </w:r>
          </w:p>
        </w:tc>
        <w:tc>
          <w:tcPr>
            <w:tcW w:w="740" w:type="dxa"/>
            <w:vAlign w:val="bottom"/>
            <w:gridSpan w:val="3"/>
          </w:tcPr>
          <w:p>
            <w:pPr>
              <w:ind w:left="80"/>
              <w:spacing w:after="0"/>
              <w:rPr>
                <w:sz w:val="20"/>
                <w:szCs w:val="20"/>
                <w:color w:val="auto"/>
              </w:rPr>
            </w:pPr>
            <w:r>
              <w:rPr>
                <w:rFonts w:ascii="Arial" w:cs="Arial" w:eastAsia="Arial" w:hAnsi="Arial"/>
                <w:sz w:val="7"/>
                <w:szCs w:val="7"/>
                <w:b w:val="1"/>
                <w:bCs w:val="1"/>
                <w:color w:val="auto"/>
              </w:rPr>
              <w:t>SubMarket</w:t>
            </w:r>
          </w:p>
        </w:tc>
        <w:tc>
          <w:tcPr>
            <w:tcW w:w="660" w:type="dxa"/>
            <w:vAlign w:val="bottom"/>
            <w:gridSpan w:val="3"/>
          </w:tcPr>
          <w:p>
            <w:pPr>
              <w:ind w:left="40"/>
              <w:spacing w:after="0"/>
              <w:rPr>
                <w:sz w:val="20"/>
                <w:szCs w:val="20"/>
                <w:color w:val="auto"/>
              </w:rPr>
            </w:pPr>
            <w:r>
              <w:rPr>
                <w:rFonts w:ascii="Arial" w:cs="Arial" w:eastAsia="Arial" w:hAnsi="Arial"/>
                <w:sz w:val="7"/>
                <w:szCs w:val="7"/>
                <w:b w:val="1"/>
                <w:bCs w:val="1"/>
                <w:color w:val="auto"/>
              </w:rPr>
              <w:t>Ownership</w:t>
            </w:r>
          </w:p>
        </w:tc>
        <w:tc>
          <w:tcPr>
            <w:tcW w:w="160" w:type="dxa"/>
            <w:vAlign w:val="bottom"/>
          </w:tcPr>
          <w:p>
            <w:pPr>
              <w:spacing w:after="0"/>
              <w:rPr>
                <w:sz w:val="7"/>
                <w:szCs w:val="7"/>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Sq. Feet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gridSpan w:val="3"/>
          </w:tcPr>
          <w:p>
            <w:pPr>
              <w:jc w:val="right"/>
              <w:ind w:right="180"/>
              <w:spacing w:after="0"/>
              <w:rPr>
                <w:sz w:val="20"/>
                <w:szCs w:val="20"/>
                <w:color w:val="auto"/>
              </w:rPr>
            </w:pPr>
            <w:r>
              <w:rPr>
                <w:rFonts w:ascii="Arial" w:cs="Arial" w:eastAsia="Arial" w:hAnsi="Arial"/>
                <w:sz w:val="7"/>
                <w:szCs w:val="7"/>
                <w:b w:val="1"/>
                <w:bCs w:val="1"/>
                <w:color w:val="auto"/>
                <w:w w:val="95"/>
              </w:rPr>
              <w:t>Sq. Feet</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center"/>
              <w:ind w:right="4"/>
              <w:spacing w:after="0"/>
              <w:rPr>
                <w:sz w:val="20"/>
                <w:szCs w:val="20"/>
                <w:color w:val="auto"/>
              </w:rPr>
            </w:pPr>
            <w:r>
              <w:rPr>
                <w:rFonts w:ascii="Arial" w:cs="Arial" w:eastAsia="Arial" w:hAnsi="Arial"/>
                <w:sz w:val="7"/>
                <w:szCs w:val="7"/>
                <w:b w:val="1"/>
                <w:bCs w:val="1"/>
                <w:color w:val="auto"/>
              </w:rPr>
              <w:t>Cash Rent ($'s)</w:t>
            </w:r>
          </w:p>
        </w:tc>
        <w:tc>
          <w:tcPr>
            <w:tcW w:w="960" w:type="dxa"/>
            <w:vAlign w:val="bottom"/>
          </w:tcPr>
          <w:p>
            <w:pPr>
              <w:jc w:val="center"/>
              <w:ind w:right="84"/>
              <w:spacing w:after="0"/>
              <w:rPr>
                <w:sz w:val="20"/>
                <w:szCs w:val="20"/>
                <w:color w:val="auto"/>
              </w:rPr>
            </w:pPr>
            <w:r>
              <w:rPr>
                <w:rFonts w:ascii="Arial" w:cs="Arial" w:eastAsia="Arial" w:hAnsi="Arial"/>
                <w:sz w:val="7"/>
                <w:szCs w:val="7"/>
                <w:b w:val="1"/>
                <w:bCs w:val="1"/>
                <w:color w:val="auto"/>
              </w:rPr>
              <w:t>Cash Rent (SLG%)</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Book Value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Borders>
              <w:top w:val="single" w:sz="8" w:color="auto"/>
              <w:bottom w:val="single" w:sz="8" w:color="auto"/>
            </w:tcBorders>
            <w:gridSpan w:val="2"/>
            <w:vMerge w:val="restart"/>
          </w:tcPr>
          <w:p>
            <w:pPr>
              <w:spacing w:after="0"/>
              <w:rPr>
                <w:sz w:val="20"/>
                <w:szCs w:val="20"/>
                <w:color w:val="auto"/>
              </w:rPr>
            </w:pPr>
            <w:r>
              <w:rPr>
                <w:rFonts w:ascii="Arial" w:cs="Arial" w:eastAsia="Arial" w:hAnsi="Arial"/>
                <w:sz w:val="7"/>
                <w:szCs w:val="7"/>
                <w:b w:val="1"/>
                <w:bCs w:val="1"/>
                <w:color w:val="auto"/>
              </w:rPr>
              <w:t>Retail</w:t>
            </w:r>
          </w:p>
        </w:tc>
        <w:tc>
          <w:tcPr>
            <w:tcW w:w="1340" w:type="dxa"/>
            <w:vAlign w:val="bottom"/>
            <w:vMerge w:val="restart"/>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0" w:type="dxa"/>
            <w:vAlign w:val="bottom"/>
            <w:tcBorders>
              <w:bottom w:val="single" w:sz="8" w:color="auto"/>
            </w:tcBorders>
            <w:vMerge w:val="continue"/>
          </w:tcPr>
          <w:p>
            <w:pPr>
              <w:spacing w:after="0"/>
              <w:rPr>
                <w:sz w:val="24"/>
                <w:szCs w:val="24"/>
                <w:color w:val="auto"/>
              </w:rPr>
            </w:pPr>
          </w:p>
        </w:tc>
        <w:tc>
          <w:tcPr>
            <w:tcW w:w="360" w:type="dxa"/>
            <w:vAlign w:val="bottom"/>
            <w:tcBorders>
              <w:bottom w:val="single" w:sz="8" w:color="auto"/>
            </w:tcBorders>
            <w:gridSpan w:val="2"/>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102</w:t>
            </w:r>
          </w:p>
        </w:tc>
        <w:tc>
          <w:tcPr>
            <w:tcW w:w="1560" w:type="dxa"/>
            <w:vAlign w:val="bottom"/>
            <w:gridSpan w:val="2"/>
          </w:tcPr>
          <w:p>
            <w:pPr>
              <w:spacing w:after="0"/>
              <w:rPr>
                <w:sz w:val="20"/>
                <w:szCs w:val="20"/>
                <w:color w:val="auto"/>
              </w:rPr>
            </w:pPr>
            <w:r>
              <w:rPr>
                <w:rFonts w:ascii="Arial" w:cs="Arial" w:eastAsia="Arial" w:hAnsi="Arial"/>
                <w:sz w:val="7"/>
                <w:szCs w:val="7"/>
                <w:color w:val="auto"/>
              </w:rPr>
              <w:t>Greene Street</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w w:val="97"/>
              </w:rPr>
              <w:t>Soho</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40"/>
              <w:spacing w:after="0"/>
              <w:rPr>
                <w:sz w:val="20"/>
                <w:szCs w:val="20"/>
                <w:color w:val="auto"/>
              </w:rPr>
            </w:pPr>
            <w:r>
              <w:rPr>
                <w:rFonts w:ascii="Arial" w:cs="Arial" w:eastAsia="Arial" w:hAnsi="Arial"/>
                <w:sz w:val="7"/>
                <w:szCs w:val="7"/>
                <w:color w:val="auto"/>
              </w:rPr>
              <w:t>9,200</w:t>
            </w:r>
          </w:p>
        </w:tc>
        <w:tc>
          <w:tcPr>
            <w:tcW w:w="80" w:type="dxa"/>
            <w:vAlign w:val="bottom"/>
          </w:tcPr>
          <w:p>
            <w:pPr>
              <w:spacing w:after="0"/>
              <w:rPr>
                <w:sz w:val="17"/>
                <w:szCs w:val="17"/>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7"/>
                <w:szCs w:val="7"/>
                <w:color w:val="auto"/>
              </w:rPr>
              <w:t>2.0</w:t>
            </w:r>
          </w:p>
        </w:tc>
        <w:tc>
          <w:tcPr>
            <w:tcW w:w="8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7"/>
                <w:szCs w:val="17"/>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54.3</w:t>
            </w:r>
          </w:p>
        </w:tc>
        <w:tc>
          <w:tcPr>
            <w:tcW w:w="80" w:type="dxa"/>
            <w:vAlign w:val="bottom"/>
          </w:tcPr>
          <w:p>
            <w:pPr>
              <w:spacing w:after="0"/>
              <w:rPr>
                <w:sz w:val="17"/>
                <w:szCs w:val="17"/>
                <w:color w:val="auto"/>
              </w:rPr>
            </w:pPr>
          </w:p>
        </w:tc>
        <w:tc>
          <w:tcPr>
            <w:tcW w:w="540" w:type="dxa"/>
            <w:vAlign w:val="bottom"/>
            <w:gridSpan w:val="3"/>
          </w:tcPr>
          <w:p>
            <w:pPr>
              <w:jc w:val="right"/>
              <w:ind w:right="220"/>
              <w:spacing w:after="0"/>
              <w:rPr>
                <w:sz w:val="20"/>
                <w:szCs w:val="20"/>
                <w:color w:val="auto"/>
              </w:rPr>
            </w:pPr>
            <w:r>
              <w:rPr>
                <w:rFonts w:ascii="Arial" w:cs="Arial" w:eastAsia="Arial" w:hAnsi="Arial"/>
                <w:sz w:val="7"/>
                <w:szCs w:val="7"/>
                <w:color w:val="auto"/>
              </w:rPr>
              <w:t>—</w:t>
            </w:r>
          </w:p>
        </w:tc>
        <w:tc>
          <w:tcPr>
            <w:tcW w:w="34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7"/>
                <w:szCs w:val="17"/>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54.3</w:t>
            </w:r>
          </w:p>
        </w:tc>
        <w:tc>
          <w:tcPr>
            <w:tcW w:w="100" w:type="dxa"/>
            <w:vAlign w:val="bottom"/>
          </w:tcPr>
          <w:p>
            <w:pPr>
              <w:spacing w:after="0"/>
              <w:rPr>
                <w:sz w:val="17"/>
                <w:szCs w:val="17"/>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color w:val="auto"/>
              </w:rPr>
              <w:t>$360</w:t>
            </w:r>
          </w:p>
        </w:tc>
        <w:tc>
          <w:tcPr>
            <w:tcW w:w="960" w:type="dxa"/>
            <w:vAlign w:val="bottom"/>
          </w:tcPr>
          <w:p>
            <w:pPr>
              <w:jc w:val="right"/>
              <w:ind w:right="144"/>
              <w:spacing w:after="0"/>
              <w:rPr>
                <w:sz w:val="20"/>
                <w:szCs w:val="20"/>
                <w:color w:val="auto"/>
              </w:rPr>
            </w:pPr>
            <w:r>
              <w:rPr>
                <w:rFonts w:ascii="Arial" w:cs="Arial" w:eastAsia="Arial" w:hAnsi="Arial"/>
                <w:sz w:val="7"/>
                <w:szCs w:val="7"/>
                <w:color w:val="auto"/>
              </w:rPr>
              <w:t>1.0</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$35,062</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115</w:t>
            </w:r>
          </w:p>
        </w:tc>
        <w:tc>
          <w:tcPr>
            <w:tcW w:w="1560" w:type="dxa"/>
            <w:vAlign w:val="bottom"/>
            <w:gridSpan w:val="2"/>
          </w:tcPr>
          <w:p>
            <w:pPr>
              <w:spacing w:after="0"/>
              <w:rPr>
                <w:sz w:val="20"/>
                <w:szCs w:val="20"/>
                <w:color w:val="auto"/>
              </w:rPr>
            </w:pPr>
            <w:r>
              <w:rPr>
                <w:rFonts w:ascii="Arial" w:cs="Arial" w:eastAsia="Arial" w:hAnsi="Arial"/>
                <w:sz w:val="7"/>
                <w:szCs w:val="7"/>
                <w:color w:val="auto"/>
              </w:rPr>
              <w:t>Spring Street</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w w:val="97"/>
              </w:rPr>
              <w:t>Soho</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40"/>
              <w:spacing w:after="0"/>
              <w:rPr>
                <w:sz w:val="20"/>
                <w:szCs w:val="20"/>
                <w:color w:val="auto"/>
              </w:rPr>
            </w:pPr>
            <w:r>
              <w:rPr>
                <w:rFonts w:ascii="Arial" w:cs="Arial" w:eastAsia="Arial" w:hAnsi="Arial"/>
                <w:sz w:val="7"/>
                <w:szCs w:val="7"/>
                <w:color w:val="auto"/>
              </w:rPr>
              <w:t>5,218</w:t>
            </w:r>
          </w:p>
        </w:tc>
        <w:tc>
          <w:tcPr>
            <w:tcW w:w="80" w:type="dxa"/>
            <w:vAlign w:val="bottom"/>
          </w:tcPr>
          <w:p>
            <w:pPr>
              <w:spacing w:after="0"/>
              <w:rPr>
                <w:sz w:val="19"/>
                <w:szCs w:val="19"/>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7"/>
                <w:szCs w:val="7"/>
                <w:color w:val="auto"/>
              </w:rPr>
              <w:t>1.0</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color w:val="auto"/>
              </w:rPr>
              <w:t>2,800</w:t>
            </w:r>
          </w:p>
        </w:tc>
        <w:tc>
          <w:tcPr>
            <w:tcW w:w="960" w:type="dxa"/>
            <w:vAlign w:val="bottom"/>
          </w:tcPr>
          <w:p>
            <w:pPr>
              <w:jc w:val="right"/>
              <w:ind w:right="144"/>
              <w:spacing w:after="0"/>
              <w:rPr>
                <w:sz w:val="20"/>
                <w:szCs w:val="20"/>
                <w:color w:val="auto"/>
              </w:rPr>
            </w:pPr>
            <w:r>
              <w:rPr>
                <w:rFonts w:ascii="Arial" w:cs="Arial" w:eastAsia="Arial" w:hAnsi="Arial"/>
                <w:sz w:val="7"/>
                <w:szCs w:val="7"/>
                <w:color w:val="auto"/>
              </w:rPr>
              <w:t>7.8</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54,034</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19"/>
        </w:trPr>
        <w:tc>
          <w:tcPr>
            <w:tcW w:w="1720" w:type="dxa"/>
            <w:vAlign w:val="bottom"/>
            <w:gridSpan w:val="4"/>
          </w:tcPr>
          <w:p>
            <w:pPr>
              <w:ind w:left="20"/>
              <w:spacing w:after="0"/>
              <w:rPr>
                <w:sz w:val="20"/>
                <w:szCs w:val="20"/>
                <w:color w:val="auto"/>
              </w:rPr>
            </w:pPr>
            <w:r>
              <w:rPr>
                <w:rFonts w:ascii="Arial" w:cs="Arial" w:eastAsia="Arial" w:hAnsi="Arial"/>
                <w:sz w:val="7"/>
                <w:szCs w:val="7"/>
                <w:color w:val="auto"/>
              </w:rPr>
              <w:t>131-137 Spring Street</w:t>
            </w:r>
          </w:p>
        </w:tc>
        <w:tc>
          <w:tcPr>
            <w:tcW w:w="380" w:type="dxa"/>
            <w:vAlign w:val="bottom"/>
          </w:tcPr>
          <w:p>
            <w:pPr>
              <w:jc w:val="center"/>
              <w:spacing w:after="0"/>
              <w:rPr>
                <w:sz w:val="20"/>
                <w:szCs w:val="20"/>
                <w:color w:val="auto"/>
              </w:rPr>
            </w:pPr>
            <w:r>
              <w:rPr>
                <w:rFonts w:ascii="Arial" w:cs="Arial" w:eastAsia="Arial" w:hAnsi="Arial"/>
                <w:sz w:val="7"/>
                <w:szCs w:val="7"/>
                <w:color w:val="auto"/>
              </w:rPr>
              <w:t>20.0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w w:val="97"/>
              </w:rPr>
              <w:t>Soho</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40"/>
              <w:spacing w:after="0"/>
              <w:rPr>
                <w:sz w:val="20"/>
                <w:szCs w:val="20"/>
                <w:color w:val="auto"/>
              </w:rPr>
            </w:pPr>
            <w:r>
              <w:rPr>
                <w:rFonts w:ascii="Arial" w:cs="Arial" w:eastAsia="Arial" w:hAnsi="Arial"/>
                <w:sz w:val="7"/>
                <w:szCs w:val="7"/>
                <w:color w:val="auto"/>
              </w:rPr>
              <w:t>68,342</w:t>
            </w:r>
          </w:p>
        </w:tc>
        <w:tc>
          <w:tcPr>
            <w:tcW w:w="80" w:type="dxa"/>
            <w:vAlign w:val="bottom"/>
          </w:tcPr>
          <w:p>
            <w:pPr>
              <w:spacing w:after="0"/>
              <w:rPr>
                <w:sz w:val="19"/>
                <w:szCs w:val="19"/>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7"/>
                <w:szCs w:val="7"/>
                <w:color w:val="auto"/>
              </w:rPr>
              <w:t>16.0</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93.9</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jc w:val="right"/>
              <w:ind w:right="44"/>
              <w:spacing w:after="0"/>
              <w:rPr>
                <w:sz w:val="20"/>
                <w:szCs w:val="20"/>
                <w:color w:val="auto"/>
              </w:rPr>
            </w:pPr>
            <w:r>
              <w:rPr>
                <w:rFonts w:ascii="Arial" w:cs="Arial" w:eastAsia="Arial" w:hAnsi="Arial"/>
                <w:sz w:val="7"/>
                <w:szCs w:val="7"/>
                <w:color w:val="auto"/>
              </w:rPr>
              <w:t>93.9</w:t>
            </w:r>
          </w:p>
        </w:tc>
        <w:tc>
          <w:tcPr>
            <w:tcW w:w="10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color w:val="auto"/>
              </w:rPr>
              <w:t>12,024</w:t>
            </w:r>
          </w:p>
        </w:tc>
        <w:tc>
          <w:tcPr>
            <w:tcW w:w="960" w:type="dxa"/>
            <w:vAlign w:val="bottom"/>
          </w:tcPr>
          <w:p>
            <w:pPr>
              <w:jc w:val="right"/>
              <w:ind w:right="144"/>
              <w:spacing w:after="0"/>
              <w:rPr>
                <w:sz w:val="20"/>
                <w:szCs w:val="20"/>
                <w:color w:val="auto"/>
              </w:rPr>
            </w:pPr>
            <w:r>
              <w:rPr>
                <w:rFonts w:ascii="Arial" w:cs="Arial" w:eastAsia="Arial" w:hAnsi="Arial"/>
                <w:sz w:val="7"/>
                <w:szCs w:val="7"/>
                <w:color w:val="auto"/>
              </w:rPr>
              <w:t>6.7</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277,814</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9</w:t>
            </w:r>
          </w:p>
        </w:tc>
        <w:tc>
          <w:tcPr>
            <w:tcW w:w="0" w:type="dxa"/>
            <w:vAlign w:val="bottom"/>
          </w:tcPr>
          <w:p>
            <w:pPr>
              <w:spacing w:after="0"/>
              <w:rPr>
                <w:sz w:val="1"/>
                <w:szCs w:val="1"/>
                <w:color w:val="auto"/>
              </w:rPr>
            </w:pPr>
          </w:p>
        </w:tc>
      </w:tr>
      <w:tr>
        <w:trPr>
          <w:trHeight w:val="21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315</w:t>
            </w:r>
          </w:p>
        </w:tc>
        <w:tc>
          <w:tcPr>
            <w:tcW w:w="1560" w:type="dxa"/>
            <w:vAlign w:val="bottom"/>
            <w:gridSpan w:val="2"/>
          </w:tcPr>
          <w:p>
            <w:pPr>
              <w:spacing w:after="0"/>
              <w:rPr>
                <w:sz w:val="20"/>
                <w:szCs w:val="20"/>
                <w:color w:val="auto"/>
              </w:rPr>
            </w:pPr>
            <w:r>
              <w:rPr>
                <w:rFonts w:ascii="Arial" w:cs="Arial" w:eastAsia="Arial" w:hAnsi="Arial"/>
                <w:sz w:val="7"/>
                <w:szCs w:val="7"/>
                <w:color w:val="auto"/>
              </w:rPr>
              <w:t>West 33rd Street - The Olivia</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w w:val="99"/>
              </w:rPr>
              <w:t>Penn Station</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40"/>
              <w:spacing w:after="0"/>
              <w:rPr>
                <w:sz w:val="20"/>
                <w:szCs w:val="20"/>
                <w:color w:val="auto"/>
              </w:rPr>
            </w:pPr>
            <w:r>
              <w:rPr>
                <w:rFonts w:ascii="Arial" w:cs="Arial" w:eastAsia="Arial" w:hAnsi="Arial"/>
                <w:sz w:val="7"/>
                <w:szCs w:val="7"/>
                <w:color w:val="auto"/>
              </w:rPr>
              <w:t>270,132</w:t>
            </w:r>
          </w:p>
        </w:tc>
        <w:tc>
          <w:tcPr>
            <w:tcW w:w="80" w:type="dxa"/>
            <w:vAlign w:val="bottom"/>
          </w:tcPr>
          <w:p>
            <w:pPr>
              <w:spacing w:after="0"/>
              <w:rPr>
                <w:sz w:val="19"/>
                <w:szCs w:val="19"/>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7"/>
                <w:szCs w:val="7"/>
                <w:color w:val="auto"/>
              </w:rPr>
              <w:t>63.0</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color w:val="auto"/>
              </w:rPr>
              <w:t>14,904</w:t>
            </w:r>
          </w:p>
        </w:tc>
        <w:tc>
          <w:tcPr>
            <w:tcW w:w="960" w:type="dxa"/>
            <w:vAlign w:val="bottom"/>
          </w:tcPr>
          <w:p>
            <w:pPr>
              <w:jc w:val="right"/>
              <w:ind w:right="144"/>
              <w:spacing w:after="0"/>
              <w:rPr>
                <w:sz w:val="20"/>
                <w:szCs w:val="20"/>
                <w:color w:val="auto"/>
              </w:rPr>
            </w:pPr>
            <w:r>
              <w:rPr>
                <w:rFonts w:ascii="Arial" w:cs="Arial" w:eastAsia="Arial" w:hAnsi="Arial"/>
                <w:sz w:val="7"/>
                <w:szCs w:val="7"/>
                <w:color w:val="auto"/>
              </w:rPr>
              <w:t>41.6</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216,116</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10</w:t>
            </w:r>
          </w:p>
        </w:tc>
        <w:tc>
          <w:tcPr>
            <w:tcW w:w="0" w:type="dxa"/>
            <w:vAlign w:val="bottom"/>
          </w:tcPr>
          <w:p>
            <w:pPr>
              <w:spacing w:after="0"/>
              <w:rPr>
                <w:sz w:val="1"/>
                <w:szCs w:val="1"/>
                <w:color w:val="auto"/>
              </w:rPr>
            </w:pPr>
          </w:p>
        </w:tc>
      </w:tr>
      <w:tr>
        <w:trPr>
          <w:trHeight w:val="219"/>
        </w:trPr>
        <w:tc>
          <w:tcPr>
            <w:tcW w:w="1720" w:type="dxa"/>
            <w:vAlign w:val="bottom"/>
            <w:gridSpan w:val="4"/>
          </w:tcPr>
          <w:p>
            <w:pPr>
              <w:ind w:left="20"/>
              <w:spacing w:after="0"/>
              <w:rPr>
                <w:sz w:val="20"/>
                <w:szCs w:val="20"/>
                <w:color w:val="auto"/>
              </w:rPr>
            </w:pPr>
            <w:r>
              <w:rPr>
                <w:rFonts w:ascii="Arial" w:cs="Arial" w:eastAsia="Arial" w:hAnsi="Arial"/>
                <w:sz w:val="7"/>
                <w:szCs w:val="7"/>
                <w:color w:val="auto"/>
              </w:rPr>
              <w:t>752-760 Madison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gridSpan w:val="3"/>
          </w:tcPr>
          <w:p>
            <w:pPr>
              <w:jc w:val="right"/>
              <w:ind w:right="40"/>
              <w:spacing w:after="0"/>
              <w:rPr>
                <w:sz w:val="20"/>
                <w:szCs w:val="20"/>
                <w:color w:val="auto"/>
              </w:rPr>
            </w:pPr>
            <w:r>
              <w:rPr>
                <w:rFonts w:ascii="Arial" w:cs="Arial" w:eastAsia="Arial" w:hAnsi="Arial"/>
                <w:sz w:val="7"/>
                <w:szCs w:val="7"/>
                <w:color w:val="auto"/>
              </w:rPr>
              <w:t>21,124</w:t>
            </w:r>
          </w:p>
        </w:tc>
        <w:tc>
          <w:tcPr>
            <w:tcW w:w="80" w:type="dxa"/>
            <w:vAlign w:val="bottom"/>
          </w:tcPr>
          <w:p>
            <w:pPr>
              <w:spacing w:after="0"/>
              <w:rPr>
                <w:sz w:val="19"/>
                <w:szCs w:val="19"/>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7"/>
                <w:szCs w:val="7"/>
                <w:color w:val="auto"/>
              </w:rPr>
              <w:t>5.0</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Pr>
          <w:p>
            <w:pPr>
              <w:jc w:val="right"/>
              <w:ind w:right="64"/>
              <w:spacing w:after="0"/>
              <w:rPr>
                <w:sz w:val="20"/>
                <w:szCs w:val="20"/>
                <w:color w:val="auto"/>
              </w:rPr>
            </w:pPr>
            <w:r>
              <w:rPr>
                <w:rFonts w:ascii="Arial" w:cs="Arial" w:eastAsia="Arial" w:hAnsi="Arial"/>
                <w:sz w:val="7"/>
                <w:szCs w:val="7"/>
                <w:color w:val="auto"/>
              </w:rPr>
              <w:t>100.0</w:t>
            </w:r>
          </w:p>
        </w:tc>
        <w:tc>
          <w:tcPr>
            <w:tcW w:w="480" w:type="dxa"/>
            <w:vAlign w:val="bottom"/>
            <w:gridSpan w:val="2"/>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color w:val="auto"/>
              </w:rPr>
              <w:t>13,597</w:t>
            </w:r>
          </w:p>
        </w:tc>
        <w:tc>
          <w:tcPr>
            <w:tcW w:w="960" w:type="dxa"/>
            <w:vAlign w:val="bottom"/>
          </w:tcPr>
          <w:p>
            <w:pPr>
              <w:jc w:val="right"/>
              <w:ind w:right="144"/>
              <w:spacing w:after="0"/>
              <w:rPr>
                <w:sz w:val="20"/>
                <w:szCs w:val="20"/>
                <w:color w:val="auto"/>
              </w:rPr>
            </w:pPr>
            <w:r>
              <w:rPr>
                <w:rFonts w:ascii="Arial" w:cs="Arial" w:eastAsia="Arial" w:hAnsi="Arial"/>
                <w:sz w:val="7"/>
                <w:szCs w:val="7"/>
                <w:color w:val="auto"/>
              </w:rPr>
              <w:t>37.9</w:t>
            </w:r>
          </w:p>
        </w:tc>
        <w:tc>
          <w:tcPr>
            <w:tcW w:w="660" w:type="dxa"/>
            <w:vAlign w:val="bottom"/>
          </w:tcPr>
          <w:p>
            <w:pPr>
              <w:jc w:val="right"/>
              <w:ind w:right="4"/>
              <w:spacing w:after="0"/>
              <w:rPr>
                <w:sz w:val="20"/>
                <w:szCs w:val="20"/>
                <w:color w:val="auto"/>
              </w:rPr>
            </w:pPr>
            <w:r>
              <w:rPr>
                <w:rFonts w:ascii="Arial" w:cs="Arial" w:eastAsia="Arial" w:hAnsi="Arial"/>
                <w:sz w:val="7"/>
                <w:szCs w:val="7"/>
                <w:color w:val="auto"/>
              </w:rPr>
              <w:t>295,427</w:t>
            </w:r>
          </w:p>
        </w:tc>
        <w:tc>
          <w:tcPr>
            <w:tcW w:w="48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0" w:type="dxa"/>
            <w:vAlign w:val="bottom"/>
          </w:tcPr>
          <w:p>
            <w:pPr>
              <w:spacing w:after="0"/>
              <w:rPr>
                <w:sz w:val="1"/>
                <w:szCs w:val="1"/>
                <w:color w:val="auto"/>
              </w:rPr>
            </w:pPr>
          </w:p>
        </w:tc>
      </w:tr>
      <w:tr>
        <w:trPr>
          <w:trHeight w:val="225"/>
        </w:trPr>
        <w:tc>
          <w:tcPr>
            <w:tcW w:w="1720" w:type="dxa"/>
            <w:vAlign w:val="bottom"/>
            <w:gridSpan w:val="4"/>
          </w:tcPr>
          <w:p>
            <w:pPr>
              <w:ind w:left="20"/>
              <w:spacing w:after="0"/>
              <w:rPr>
                <w:sz w:val="20"/>
                <w:szCs w:val="20"/>
                <w:color w:val="auto"/>
              </w:rPr>
            </w:pPr>
            <w:r>
              <w:rPr>
                <w:rFonts w:ascii="Arial" w:cs="Arial" w:eastAsia="Arial" w:hAnsi="Arial"/>
                <w:sz w:val="7"/>
                <w:szCs w:val="7"/>
                <w:color w:val="auto"/>
              </w:rPr>
              <w:t>Williamsburg Terrace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rPr>
              <w:t>Brooklyn, New York</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52,000</w:t>
            </w:r>
          </w:p>
        </w:tc>
        <w:tc>
          <w:tcPr>
            <w:tcW w:w="80" w:type="dxa"/>
            <w:vAlign w:val="bottom"/>
          </w:tcPr>
          <w:p>
            <w:pPr>
              <w:spacing w:after="0"/>
              <w:rPr>
                <w:sz w:val="19"/>
                <w:szCs w:val="19"/>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12.0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9"/>
                <w:szCs w:val="19"/>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1,786</w:t>
            </w: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5.0</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16,358</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192"/>
        </w:trPr>
        <w:tc>
          <w:tcPr>
            <w:tcW w:w="172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Retail Properties</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426,016</w:t>
            </w:r>
          </w:p>
        </w:tc>
        <w:tc>
          <w:tcPr>
            <w:tcW w:w="80" w:type="dxa"/>
            <w:vAlign w:val="bottom"/>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98.0%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98.0%</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96.9%</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7"/>
                <w:szCs w:val="7"/>
                <w:b w:val="1"/>
                <w:bCs w:val="1"/>
                <w:color w:val="auto"/>
              </w:rPr>
              <w:t>98.0%</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99.0%</w:t>
            </w:r>
          </w:p>
        </w:tc>
        <w:tc>
          <w:tcPr>
            <w:tcW w:w="10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b w:val="1"/>
                <w:bCs w:val="1"/>
                <w:color w:val="auto"/>
              </w:rPr>
              <w:t>$45,471</w:t>
            </w:r>
          </w:p>
        </w:tc>
        <w:tc>
          <w:tcPr>
            <w:tcW w:w="960" w:type="dxa"/>
            <w:vAlign w:val="bottom"/>
          </w:tcPr>
          <w:p>
            <w:pPr>
              <w:jc w:val="right"/>
              <w:ind w:right="64"/>
              <w:spacing w:after="0"/>
              <w:rPr>
                <w:sz w:val="20"/>
                <w:szCs w:val="20"/>
                <w:color w:val="auto"/>
              </w:rPr>
            </w:pPr>
            <w:r>
              <w:rPr>
                <w:rFonts w:ascii="Arial" w:cs="Arial" w:eastAsia="Arial" w:hAnsi="Arial"/>
                <w:sz w:val="7"/>
                <w:szCs w:val="7"/>
                <w:b w:val="1"/>
                <w:bCs w:val="1"/>
                <w:color w:val="auto"/>
              </w:rPr>
              <w:t>100.0%</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$894,810</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25</w:t>
            </w:r>
          </w:p>
        </w:tc>
        <w:tc>
          <w:tcPr>
            <w:tcW w:w="0" w:type="dxa"/>
            <w:vAlign w:val="bottom"/>
          </w:tcPr>
          <w:p>
            <w:pPr>
              <w:spacing w:after="0"/>
              <w:rPr>
                <w:sz w:val="1"/>
                <w:szCs w:val="1"/>
                <w:color w:val="auto"/>
              </w:rPr>
            </w:pPr>
          </w:p>
        </w:tc>
      </w:tr>
      <w:tr>
        <w:trPr>
          <w:trHeight w:val="323"/>
        </w:trPr>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rPr>
              <w:t>Land</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635</w:t>
            </w:r>
          </w:p>
        </w:tc>
        <w:tc>
          <w:tcPr>
            <w:tcW w:w="1560" w:type="dxa"/>
            <w:vAlign w:val="bottom"/>
            <w:gridSpan w:val="2"/>
          </w:tcPr>
          <w:p>
            <w:pPr>
              <w:spacing w:after="0"/>
              <w:rPr>
                <w:sz w:val="20"/>
                <w:szCs w:val="20"/>
                <w:color w:val="auto"/>
              </w:rPr>
            </w:pPr>
            <w:r>
              <w:rPr>
                <w:rFonts w:ascii="Arial" w:cs="Arial" w:eastAsia="Arial" w:hAnsi="Arial"/>
                <w:sz w:val="7"/>
                <w:szCs w:val="7"/>
                <w:color w:val="auto"/>
              </w:rPr>
              <w:t>Madison Avenue</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rPr>
              <w:t>Plaza District</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176,530</w:t>
            </w:r>
          </w:p>
        </w:tc>
        <w:tc>
          <w:tcPr>
            <w:tcW w:w="80" w:type="dxa"/>
            <w:vAlign w:val="bottom"/>
          </w:tcPr>
          <w:p>
            <w:pPr>
              <w:spacing w:after="0"/>
              <w:rPr>
                <w:sz w:val="18"/>
                <w:szCs w:val="18"/>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100.0</w:t>
            </w:r>
          </w:p>
        </w:tc>
        <w:tc>
          <w:tcPr>
            <w:tcW w:w="80" w:type="dxa"/>
            <w:vAlign w:val="bottom"/>
          </w:tcPr>
          <w:p>
            <w:pPr>
              <w:spacing w:after="0"/>
              <w:rPr>
                <w:sz w:val="18"/>
                <w:szCs w:val="18"/>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100.0</w:t>
            </w:r>
          </w:p>
        </w:tc>
        <w:tc>
          <w:tcPr>
            <w:tcW w:w="100" w:type="dxa"/>
            <w:vAlign w:val="bottom"/>
          </w:tcPr>
          <w:p>
            <w:pPr>
              <w:spacing w:after="0"/>
              <w:rPr>
                <w:sz w:val="18"/>
                <w:szCs w:val="18"/>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$3,678</w:t>
            </w: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color w:val="auto"/>
              </w:rPr>
              <w:t>100.0</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$153,745</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72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Land Properties</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176,530</w:t>
            </w:r>
          </w:p>
        </w:tc>
        <w:tc>
          <w:tcPr>
            <w:tcW w:w="80" w:type="dxa"/>
            <w:vAlign w:val="bottom"/>
          </w:tcPr>
          <w:p>
            <w:pPr>
              <w:spacing w:after="0"/>
              <w:rPr>
                <w:sz w:val="16"/>
                <w:szCs w:val="16"/>
                <w:color w:val="auto"/>
              </w:rPr>
            </w:pPr>
          </w:p>
        </w:tc>
        <w:tc>
          <w:tcPr>
            <w:tcW w:w="6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100.0%</w:t>
            </w:r>
          </w:p>
        </w:tc>
        <w:tc>
          <w:tcPr>
            <w:tcW w:w="10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b w:val="1"/>
                <w:bCs w:val="1"/>
                <w:color w:val="auto"/>
              </w:rPr>
              <w:t>$3,678</w:t>
            </w:r>
          </w:p>
        </w:tc>
        <w:tc>
          <w:tcPr>
            <w:tcW w:w="960" w:type="dxa"/>
            <w:vAlign w:val="bottom"/>
          </w:tcPr>
          <w:p>
            <w:pPr>
              <w:jc w:val="right"/>
              <w:ind w:right="64"/>
              <w:spacing w:after="0"/>
              <w:rPr>
                <w:sz w:val="20"/>
                <w:szCs w:val="20"/>
                <w:color w:val="auto"/>
              </w:rPr>
            </w:pPr>
            <w:r>
              <w:rPr>
                <w:rFonts w:ascii="Arial" w:cs="Arial" w:eastAsia="Arial" w:hAnsi="Arial"/>
                <w:sz w:val="7"/>
                <w:szCs w:val="7"/>
                <w:b w:val="1"/>
                <w:bCs w:val="1"/>
                <w:color w:val="auto"/>
              </w:rPr>
              <w:t>100.0%</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$153,745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360" w:type="dxa"/>
            <w:vAlign w:val="bottom"/>
            <w:gridSpan w:val="2"/>
          </w:tcPr>
          <w:p>
            <w:pPr>
              <w:spacing w:after="0"/>
              <w:rPr>
                <w:sz w:val="14"/>
                <w:szCs w:val="14"/>
                <w:color w:val="auto"/>
              </w:rPr>
            </w:pPr>
          </w:p>
        </w:tc>
        <w:tc>
          <w:tcPr>
            <w:tcW w:w="1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shd w:val="clear" w:color="auto" w:fill="00497F"/>
          </w:tcPr>
          <w:p>
            <w:pPr>
              <w:spacing w:after="0"/>
              <w:rPr>
                <w:sz w:val="8"/>
                <w:szCs w:val="8"/>
                <w:color w:val="auto"/>
              </w:rPr>
            </w:pPr>
          </w:p>
        </w:tc>
        <w:tc>
          <w:tcPr>
            <w:tcW w:w="360" w:type="dxa"/>
            <w:vAlign w:val="bottom"/>
            <w:gridSpan w:val="2"/>
            <w:shd w:val="clear" w:color="auto" w:fill="00497F"/>
          </w:tcPr>
          <w:p>
            <w:pPr>
              <w:spacing w:after="0"/>
              <w:rPr>
                <w:sz w:val="8"/>
                <w:szCs w:val="8"/>
                <w:color w:val="auto"/>
              </w:rPr>
            </w:pPr>
          </w:p>
        </w:tc>
        <w:tc>
          <w:tcPr>
            <w:tcW w:w="134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6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360" w:type="dxa"/>
            <w:vAlign w:val="bottom"/>
            <w:shd w:val="clear" w:color="auto" w:fill="00497F"/>
          </w:tcPr>
          <w:p>
            <w:pPr>
              <w:spacing w:after="0"/>
              <w:rPr>
                <w:sz w:val="8"/>
                <w:szCs w:val="8"/>
                <w:color w:val="auto"/>
              </w:rPr>
            </w:pPr>
          </w:p>
        </w:tc>
        <w:tc>
          <w:tcPr>
            <w:tcW w:w="30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360" w:type="dxa"/>
            <w:vAlign w:val="bottom"/>
            <w:shd w:val="clear" w:color="auto" w:fill="00497F"/>
          </w:tcPr>
          <w:p>
            <w:pPr>
              <w:spacing w:after="0"/>
              <w:rPr>
                <w:sz w:val="8"/>
                <w:szCs w:val="8"/>
                <w:color w:val="auto"/>
              </w:rPr>
            </w:pPr>
          </w:p>
        </w:tc>
        <w:tc>
          <w:tcPr>
            <w:tcW w:w="260" w:type="dxa"/>
            <w:vAlign w:val="bottom"/>
            <w:shd w:val="clear" w:color="auto" w:fill="00497F"/>
          </w:tcPr>
          <w:p>
            <w:pPr>
              <w:spacing w:after="0"/>
              <w:rPr>
                <w:sz w:val="8"/>
                <w:szCs w:val="8"/>
                <w:color w:val="auto"/>
              </w:rPr>
            </w:pPr>
          </w:p>
        </w:tc>
        <w:tc>
          <w:tcPr>
            <w:tcW w:w="160" w:type="dxa"/>
            <w:vAlign w:val="bottom"/>
            <w:shd w:val="clear" w:color="auto" w:fill="00497F"/>
          </w:tcPr>
          <w:p>
            <w:pPr>
              <w:spacing w:after="0"/>
              <w:rPr>
                <w:sz w:val="8"/>
                <w:szCs w:val="8"/>
                <w:color w:val="auto"/>
              </w:rPr>
            </w:pPr>
          </w:p>
        </w:tc>
        <w:tc>
          <w:tcPr>
            <w:tcW w:w="30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14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2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80" w:type="dxa"/>
            <w:vAlign w:val="bottom"/>
            <w:shd w:val="clear" w:color="auto" w:fill="00497F"/>
          </w:tcPr>
          <w:p>
            <w:pPr>
              <w:spacing w:after="0"/>
              <w:rPr>
                <w:sz w:val="8"/>
                <w:szCs w:val="8"/>
                <w:color w:val="auto"/>
              </w:rPr>
            </w:pPr>
          </w:p>
        </w:tc>
        <w:tc>
          <w:tcPr>
            <w:tcW w:w="40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40" w:type="dxa"/>
            <w:vAlign w:val="bottom"/>
            <w:shd w:val="clear" w:color="auto" w:fill="00497F"/>
          </w:tcPr>
          <w:p>
            <w:pPr>
              <w:spacing w:after="0"/>
              <w:rPr>
                <w:sz w:val="8"/>
                <w:szCs w:val="8"/>
                <w:color w:val="auto"/>
              </w:rPr>
            </w:pPr>
          </w:p>
        </w:tc>
        <w:tc>
          <w:tcPr>
            <w:tcW w:w="34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380" w:type="dxa"/>
            <w:vAlign w:val="bottom"/>
            <w:shd w:val="clear" w:color="auto" w:fill="00497F"/>
          </w:tcPr>
          <w:p>
            <w:pPr>
              <w:spacing w:after="0"/>
              <w:rPr>
                <w:sz w:val="8"/>
                <w:szCs w:val="8"/>
                <w:color w:val="auto"/>
              </w:rPr>
            </w:pPr>
          </w:p>
        </w:tc>
        <w:tc>
          <w:tcPr>
            <w:tcW w:w="100" w:type="dxa"/>
            <w:vAlign w:val="bottom"/>
            <w:shd w:val="clear" w:color="auto" w:fill="00497F"/>
          </w:tcPr>
          <w:p>
            <w:pPr>
              <w:spacing w:after="0"/>
              <w:rPr>
                <w:sz w:val="8"/>
                <w:szCs w:val="8"/>
                <w:color w:val="auto"/>
              </w:rPr>
            </w:pPr>
          </w:p>
        </w:tc>
        <w:tc>
          <w:tcPr>
            <w:tcW w:w="720" w:type="dxa"/>
            <w:vAlign w:val="bottom"/>
            <w:shd w:val="clear" w:color="auto" w:fill="00497F"/>
          </w:tcPr>
          <w:p>
            <w:pPr>
              <w:spacing w:after="0"/>
              <w:rPr>
                <w:sz w:val="8"/>
                <w:szCs w:val="8"/>
                <w:color w:val="auto"/>
              </w:rPr>
            </w:pPr>
          </w:p>
        </w:tc>
        <w:tc>
          <w:tcPr>
            <w:tcW w:w="960" w:type="dxa"/>
            <w:vAlign w:val="bottom"/>
            <w:shd w:val="clear" w:color="auto" w:fill="00497F"/>
          </w:tcPr>
          <w:p>
            <w:pPr>
              <w:spacing w:after="0"/>
              <w:rPr>
                <w:sz w:val="8"/>
                <w:szCs w:val="8"/>
                <w:color w:val="auto"/>
              </w:rPr>
            </w:pPr>
          </w:p>
        </w:tc>
        <w:tc>
          <w:tcPr>
            <w:tcW w:w="660" w:type="dxa"/>
            <w:vAlign w:val="bottom"/>
            <w:shd w:val="clear" w:color="auto" w:fill="00497F"/>
          </w:tcPr>
          <w:p>
            <w:pPr>
              <w:spacing w:after="0"/>
              <w:rPr>
                <w:sz w:val="8"/>
                <w:szCs w:val="8"/>
                <w:color w:val="auto"/>
              </w:rPr>
            </w:pPr>
          </w:p>
        </w:tc>
        <w:tc>
          <w:tcPr>
            <w:tcW w:w="480" w:type="dxa"/>
            <w:vAlign w:val="bottom"/>
            <w:shd w:val="clear" w:color="auto" w:fill="00497F"/>
          </w:tcPr>
          <w:p>
            <w:pPr>
              <w:spacing w:after="0"/>
              <w:rPr>
                <w:sz w:val="8"/>
                <w:szCs w:val="8"/>
                <w:color w:val="auto"/>
              </w:rPr>
            </w:pPr>
          </w:p>
        </w:tc>
        <w:tc>
          <w:tcPr>
            <w:tcW w:w="0" w:type="dxa"/>
            <w:vAlign w:val="bottom"/>
          </w:tcPr>
          <w:p>
            <w:pPr>
              <w:spacing w:after="0"/>
              <w:rPr>
                <w:sz w:val="1"/>
                <w:szCs w:val="1"/>
                <w:color w:val="auto"/>
              </w:rPr>
            </w:pPr>
          </w:p>
        </w:tc>
      </w:tr>
      <w:tr>
        <w:trPr>
          <w:trHeight w:val="365"/>
        </w:trPr>
        <w:tc>
          <w:tcPr>
            <w:tcW w:w="1720" w:type="dxa"/>
            <w:vAlign w:val="bottom"/>
            <w:tcBorders>
              <w:bottom w:val="single" w:sz="8" w:color="auto"/>
            </w:tcBorders>
            <w:gridSpan w:val="4"/>
          </w:tcPr>
          <w:p>
            <w:pPr>
              <w:ind w:left="20"/>
              <w:spacing w:after="0"/>
              <w:rPr>
                <w:sz w:val="20"/>
                <w:szCs w:val="20"/>
                <w:color w:val="auto"/>
              </w:rPr>
            </w:pPr>
            <w:r>
              <w:rPr>
                <w:rFonts w:ascii="Arial" w:cs="Arial" w:eastAsia="Arial" w:hAnsi="Arial"/>
                <w:sz w:val="7"/>
                <w:szCs w:val="7"/>
                <w:b w:val="1"/>
                <w:bCs w:val="1"/>
                <w:color w:val="auto"/>
              </w:rPr>
              <w:t>Residential Properties</w:t>
            </w:r>
          </w:p>
        </w:tc>
        <w:tc>
          <w:tcPr>
            <w:tcW w:w="3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4"/>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Ownership</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Useable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gridSpan w:val="4"/>
          </w:tcPr>
          <w:p>
            <w:pPr>
              <w:ind w:left="80"/>
              <w:spacing w:after="0"/>
              <w:rPr>
                <w:sz w:val="20"/>
                <w:szCs w:val="20"/>
                <w:color w:val="auto"/>
              </w:rPr>
            </w:pPr>
            <w:r>
              <w:rPr>
                <w:rFonts w:ascii="Arial" w:cs="Arial" w:eastAsia="Arial" w:hAnsi="Arial"/>
                <w:sz w:val="7"/>
                <w:szCs w:val="7"/>
                <w:b w:val="1"/>
                <w:bCs w:val="1"/>
                <w:color w:val="auto"/>
              </w:rPr>
              <w:t>Occupancy (%)</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Pr>
          <w:p>
            <w:pPr>
              <w:jc w:val="center"/>
              <w:ind w:right="4"/>
              <w:spacing w:after="0"/>
              <w:rPr>
                <w:sz w:val="20"/>
                <w:szCs w:val="20"/>
                <w:color w:val="auto"/>
              </w:rPr>
            </w:pPr>
            <w:r>
              <w:rPr>
                <w:rFonts w:ascii="Arial" w:cs="Arial" w:eastAsia="Arial" w:hAnsi="Arial"/>
                <w:sz w:val="7"/>
                <w:szCs w:val="7"/>
                <w:b w:val="1"/>
                <w:bCs w:val="1"/>
                <w:color w:val="auto"/>
              </w:rPr>
              <w:t>Annualized</w:t>
            </w:r>
          </w:p>
        </w:tc>
        <w:tc>
          <w:tcPr>
            <w:tcW w:w="960" w:type="dxa"/>
            <w:vAlign w:val="bottom"/>
          </w:tcPr>
          <w:p>
            <w:pPr>
              <w:jc w:val="center"/>
              <w:ind w:right="84"/>
              <w:spacing w:after="0"/>
              <w:rPr>
                <w:sz w:val="20"/>
                <w:szCs w:val="20"/>
                <w:color w:val="auto"/>
              </w:rPr>
            </w:pPr>
            <w:r>
              <w:rPr>
                <w:rFonts w:ascii="Arial" w:cs="Arial" w:eastAsia="Arial" w:hAnsi="Arial"/>
                <w:sz w:val="7"/>
                <w:szCs w:val="7"/>
                <w:b w:val="1"/>
                <w:bCs w:val="1"/>
                <w:color w:val="auto"/>
              </w:rPr>
              <w:t>Average Monthly</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Gross Total RE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Total</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gridSpan w:val="2"/>
          </w:tcPr>
          <w:p>
            <w:pPr>
              <w:ind w:left="80"/>
              <w:spacing w:after="0"/>
              <w:rPr>
                <w:sz w:val="20"/>
                <w:szCs w:val="20"/>
                <w:color w:val="auto"/>
              </w:rPr>
            </w:pPr>
            <w:r>
              <w:rPr>
                <w:rFonts w:ascii="Arial" w:cs="Arial" w:eastAsia="Arial" w:hAnsi="Arial"/>
                <w:sz w:val="7"/>
                <w:szCs w:val="7"/>
                <w:b w:val="1"/>
                <w:bCs w:val="1"/>
                <w:color w:val="auto"/>
              </w:rPr>
              <w:t>Sep-16</w:t>
            </w:r>
          </w:p>
        </w:tc>
        <w:tc>
          <w:tcPr>
            <w:tcW w:w="400" w:type="dxa"/>
            <w:vAlign w:val="bottom"/>
          </w:tcPr>
          <w:p>
            <w:pPr>
              <w:jc w:val="right"/>
              <w:ind w:right="44"/>
              <w:spacing w:after="0"/>
              <w:rPr>
                <w:sz w:val="20"/>
                <w:szCs w:val="20"/>
                <w:color w:val="auto"/>
              </w:rPr>
            </w:pPr>
            <w:r>
              <w:rPr>
                <w:rFonts w:ascii="Arial" w:cs="Arial" w:eastAsia="Arial" w:hAnsi="Arial"/>
                <w:sz w:val="7"/>
                <w:szCs w:val="7"/>
                <w:b w:val="1"/>
                <w:bCs w:val="1"/>
                <w:color w:val="auto"/>
              </w:rPr>
              <w:t>Jun-16</w:t>
            </w:r>
          </w:p>
        </w:tc>
        <w:tc>
          <w:tcPr>
            <w:tcW w:w="80" w:type="dxa"/>
            <w:vAlign w:val="bottom"/>
          </w:tcPr>
          <w:p>
            <w:pPr>
              <w:spacing w:after="0"/>
              <w:rPr>
                <w:sz w:val="9"/>
                <w:szCs w:val="9"/>
                <w:color w:val="auto"/>
              </w:rPr>
            </w:pPr>
          </w:p>
        </w:tc>
        <w:tc>
          <w:tcPr>
            <w:tcW w:w="540" w:type="dxa"/>
            <w:vAlign w:val="bottom"/>
            <w:gridSpan w:val="3"/>
          </w:tcPr>
          <w:p>
            <w:pPr>
              <w:ind w:left="80"/>
              <w:spacing w:after="0"/>
              <w:rPr>
                <w:sz w:val="20"/>
                <w:szCs w:val="20"/>
                <w:color w:val="auto"/>
              </w:rPr>
            </w:pPr>
            <w:r>
              <w:rPr>
                <w:rFonts w:ascii="Arial" w:cs="Arial" w:eastAsia="Arial" w:hAnsi="Arial"/>
                <w:sz w:val="7"/>
                <w:szCs w:val="7"/>
                <w:b w:val="1"/>
                <w:bCs w:val="1"/>
                <w:color w:val="auto"/>
              </w:rPr>
              <w:t>Mar-16</w:t>
            </w:r>
          </w:p>
        </w:tc>
        <w:tc>
          <w:tcPr>
            <w:tcW w:w="440" w:type="dxa"/>
            <w:vAlign w:val="bottom"/>
            <w:gridSpan w:val="2"/>
          </w:tcPr>
          <w:p>
            <w:pPr>
              <w:ind w:left="20"/>
              <w:spacing w:after="0"/>
              <w:rPr>
                <w:sz w:val="20"/>
                <w:szCs w:val="20"/>
                <w:color w:val="auto"/>
              </w:rPr>
            </w:pPr>
            <w:r>
              <w:rPr>
                <w:rFonts w:ascii="Arial" w:cs="Arial" w:eastAsia="Arial" w:hAnsi="Arial"/>
                <w:sz w:val="7"/>
                <w:szCs w:val="7"/>
                <w:b w:val="1"/>
                <w:bCs w:val="1"/>
                <w:color w:val="auto"/>
              </w:rPr>
              <w:t>Dec-15</w:t>
            </w:r>
          </w:p>
        </w:tc>
        <w:tc>
          <w:tcPr>
            <w:tcW w:w="480" w:type="dxa"/>
            <w:vAlign w:val="bottom"/>
            <w:gridSpan w:val="2"/>
          </w:tcPr>
          <w:p>
            <w:pPr>
              <w:ind w:left="60"/>
              <w:spacing w:after="0"/>
              <w:rPr>
                <w:sz w:val="20"/>
                <w:szCs w:val="20"/>
                <w:color w:val="auto"/>
              </w:rPr>
            </w:pPr>
            <w:r>
              <w:rPr>
                <w:rFonts w:ascii="Arial" w:cs="Arial" w:eastAsia="Arial" w:hAnsi="Arial"/>
                <w:sz w:val="7"/>
                <w:szCs w:val="7"/>
                <w:b w:val="1"/>
                <w:bCs w:val="1"/>
                <w:color w:val="auto"/>
              </w:rPr>
              <w:t>Sep-15</w:t>
            </w: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1720" w:type="dxa"/>
            <w:vAlign w:val="bottom"/>
            <w:gridSpan w:val="4"/>
          </w:tcPr>
          <w:p>
            <w:pPr>
              <w:ind w:left="20"/>
              <w:spacing w:after="0"/>
              <w:rPr>
                <w:sz w:val="20"/>
                <w:szCs w:val="20"/>
                <w:color w:val="auto"/>
              </w:rPr>
            </w:pPr>
            <w:r>
              <w:rPr>
                <w:rFonts w:ascii="Arial" w:cs="Arial" w:eastAsia="Arial" w:hAnsi="Arial"/>
                <w:sz w:val="7"/>
                <w:szCs w:val="7"/>
                <w:b w:val="1"/>
                <w:bCs w:val="1"/>
                <w:color w:val="auto"/>
              </w:rPr>
              <w:t>Properties</w:t>
            </w: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Interest (%)</w:t>
            </w:r>
          </w:p>
        </w:tc>
        <w:tc>
          <w:tcPr>
            <w:tcW w:w="740" w:type="dxa"/>
            <w:vAlign w:val="bottom"/>
            <w:gridSpan w:val="3"/>
          </w:tcPr>
          <w:p>
            <w:pPr>
              <w:ind w:left="80"/>
              <w:spacing w:after="0"/>
              <w:rPr>
                <w:sz w:val="20"/>
                <w:szCs w:val="20"/>
                <w:color w:val="auto"/>
              </w:rPr>
            </w:pPr>
            <w:r>
              <w:rPr>
                <w:rFonts w:ascii="Arial" w:cs="Arial" w:eastAsia="Arial" w:hAnsi="Arial"/>
                <w:sz w:val="7"/>
                <w:szCs w:val="7"/>
                <w:b w:val="1"/>
                <w:bCs w:val="1"/>
                <w:color w:val="auto"/>
              </w:rPr>
              <w:t>SubMarket</w:t>
            </w:r>
          </w:p>
        </w:tc>
        <w:tc>
          <w:tcPr>
            <w:tcW w:w="660" w:type="dxa"/>
            <w:vAlign w:val="bottom"/>
            <w:gridSpan w:val="3"/>
          </w:tcPr>
          <w:p>
            <w:pPr>
              <w:ind w:left="40"/>
              <w:spacing w:after="0"/>
              <w:rPr>
                <w:sz w:val="20"/>
                <w:szCs w:val="20"/>
                <w:color w:val="auto"/>
              </w:rPr>
            </w:pPr>
            <w:r>
              <w:rPr>
                <w:rFonts w:ascii="Arial" w:cs="Arial" w:eastAsia="Arial" w:hAnsi="Arial"/>
                <w:sz w:val="7"/>
                <w:szCs w:val="7"/>
                <w:b w:val="1"/>
                <w:bCs w:val="1"/>
                <w:color w:val="auto"/>
              </w:rPr>
              <w:t>Ownership</w:t>
            </w:r>
          </w:p>
        </w:tc>
        <w:tc>
          <w:tcPr>
            <w:tcW w:w="160" w:type="dxa"/>
            <w:vAlign w:val="bottom"/>
          </w:tcPr>
          <w:p>
            <w:pPr>
              <w:spacing w:after="0"/>
              <w:rPr>
                <w:sz w:val="7"/>
                <w:szCs w:val="7"/>
                <w:color w:val="auto"/>
              </w:rPr>
            </w:pPr>
          </w:p>
        </w:tc>
        <w:tc>
          <w:tcPr>
            <w:tcW w:w="420" w:type="dxa"/>
            <w:vAlign w:val="bottom"/>
            <w:gridSpan w:val="3"/>
          </w:tcPr>
          <w:p>
            <w:pPr>
              <w:ind w:left="20"/>
              <w:spacing w:after="0"/>
              <w:rPr>
                <w:sz w:val="20"/>
                <w:szCs w:val="20"/>
                <w:color w:val="auto"/>
              </w:rPr>
            </w:pPr>
            <w:r>
              <w:rPr>
                <w:rFonts w:ascii="Arial" w:cs="Arial" w:eastAsia="Arial" w:hAnsi="Arial"/>
                <w:sz w:val="7"/>
                <w:szCs w:val="7"/>
                <w:b w:val="1"/>
                <w:bCs w:val="1"/>
                <w:color w:val="auto"/>
              </w:rPr>
              <w:t>Sq. Feet</w:t>
            </w:r>
          </w:p>
        </w:tc>
        <w:tc>
          <w:tcPr>
            <w:tcW w:w="140" w:type="dxa"/>
            <w:vAlign w:val="bottom"/>
          </w:tcPr>
          <w:p>
            <w:pPr>
              <w:spacing w:after="0"/>
              <w:rPr>
                <w:sz w:val="7"/>
                <w:szCs w:val="7"/>
                <w:color w:val="auto"/>
              </w:rPr>
            </w:pPr>
          </w:p>
        </w:tc>
        <w:tc>
          <w:tcPr>
            <w:tcW w:w="560" w:type="dxa"/>
            <w:vAlign w:val="bottom"/>
            <w:gridSpan w:val="4"/>
          </w:tcPr>
          <w:p>
            <w:pPr>
              <w:jc w:val="right"/>
              <w:ind w:right="180"/>
              <w:spacing w:after="0"/>
              <w:rPr>
                <w:sz w:val="20"/>
                <w:szCs w:val="20"/>
                <w:color w:val="auto"/>
              </w:rPr>
            </w:pPr>
            <w:r>
              <w:rPr>
                <w:rFonts w:ascii="Arial" w:cs="Arial" w:eastAsia="Arial" w:hAnsi="Arial"/>
                <w:sz w:val="7"/>
                <w:szCs w:val="7"/>
                <w:b w:val="1"/>
                <w:bCs w:val="1"/>
                <w:color w:val="auto"/>
                <w:w w:val="99"/>
              </w:rPr>
              <w:t>Total Units</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jc w:val="center"/>
              <w:ind w:right="4"/>
              <w:spacing w:after="0"/>
              <w:rPr>
                <w:sz w:val="20"/>
                <w:szCs w:val="20"/>
                <w:color w:val="auto"/>
              </w:rPr>
            </w:pPr>
            <w:r>
              <w:rPr>
                <w:rFonts w:ascii="Arial" w:cs="Arial" w:eastAsia="Arial" w:hAnsi="Arial"/>
                <w:sz w:val="7"/>
                <w:szCs w:val="7"/>
                <w:b w:val="1"/>
                <w:bCs w:val="1"/>
                <w:color w:val="auto"/>
              </w:rPr>
              <w:t>Cash Rent ($'s)</w:t>
            </w:r>
          </w:p>
        </w:tc>
        <w:tc>
          <w:tcPr>
            <w:tcW w:w="960" w:type="dxa"/>
            <w:vAlign w:val="bottom"/>
          </w:tcPr>
          <w:p>
            <w:pPr>
              <w:jc w:val="center"/>
              <w:ind w:right="84"/>
              <w:spacing w:after="0"/>
              <w:rPr>
                <w:sz w:val="20"/>
                <w:szCs w:val="20"/>
                <w:color w:val="auto"/>
              </w:rPr>
            </w:pPr>
            <w:r>
              <w:rPr>
                <w:rFonts w:ascii="Arial" w:cs="Arial" w:eastAsia="Arial" w:hAnsi="Arial"/>
                <w:sz w:val="7"/>
                <w:szCs w:val="7"/>
                <w:b w:val="1"/>
                <w:bCs w:val="1"/>
                <w:color w:val="auto"/>
              </w:rPr>
              <w:t xml:space="preserve">Rent Per Unit ($'s) </w:t>
            </w:r>
            <w:r>
              <w:rPr>
                <w:rFonts w:ascii="Arial" w:cs="Arial" w:eastAsia="Arial" w:hAnsi="Arial"/>
                <w:sz w:val="6"/>
                <w:szCs w:val="6"/>
                <w:b w:val="1"/>
                <w:bCs w:val="1"/>
                <w:color w:val="auto"/>
              </w:rPr>
              <w:t>(1)</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Book Value</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Tenants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160" w:type="dxa"/>
            <w:vAlign w:val="bottom"/>
            <w:gridSpan w:val="2"/>
          </w:tcPr>
          <w:p>
            <w:pPr>
              <w:ind w:left="20"/>
              <w:spacing w:after="0"/>
              <w:rPr>
                <w:sz w:val="20"/>
                <w:szCs w:val="20"/>
                <w:color w:val="auto"/>
              </w:rPr>
            </w:pPr>
            <w:r>
              <w:rPr>
                <w:rFonts w:ascii="Arial" w:cs="Arial" w:eastAsia="Arial" w:hAnsi="Arial"/>
                <w:sz w:val="7"/>
                <w:szCs w:val="7"/>
                <w:color w:val="auto"/>
              </w:rPr>
              <w:t>315</w:t>
            </w:r>
          </w:p>
        </w:tc>
        <w:tc>
          <w:tcPr>
            <w:tcW w:w="1560" w:type="dxa"/>
            <w:vAlign w:val="bottom"/>
            <w:gridSpan w:val="2"/>
          </w:tcPr>
          <w:p>
            <w:pPr>
              <w:spacing w:after="0"/>
              <w:rPr>
                <w:sz w:val="20"/>
                <w:szCs w:val="20"/>
                <w:color w:val="auto"/>
              </w:rPr>
            </w:pPr>
            <w:r>
              <w:rPr>
                <w:rFonts w:ascii="Arial" w:cs="Arial" w:eastAsia="Arial" w:hAnsi="Arial"/>
                <w:sz w:val="7"/>
                <w:szCs w:val="7"/>
                <w:color w:val="auto"/>
              </w:rPr>
              <w:t>West 33rd Street - The Olivia</w:t>
            </w:r>
          </w:p>
        </w:tc>
        <w:tc>
          <w:tcPr>
            <w:tcW w:w="380" w:type="dxa"/>
            <w:vAlign w:val="bottom"/>
          </w:tcPr>
          <w:p>
            <w:pPr>
              <w:jc w:val="center"/>
              <w:spacing w:after="0"/>
              <w:rPr>
                <w:sz w:val="20"/>
                <w:szCs w:val="20"/>
                <w:color w:val="auto"/>
              </w:rPr>
            </w:pPr>
            <w:r>
              <w:rPr>
                <w:rFonts w:ascii="Arial" w:cs="Arial" w:eastAsia="Arial" w:hAnsi="Arial"/>
                <w:sz w:val="7"/>
                <w:szCs w:val="7"/>
                <w:color w:val="auto"/>
              </w:rPr>
              <w:t>100.0</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2"/>
          </w:tcPr>
          <w:p>
            <w:pPr>
              <w:jc w:val="center"/>
              <w:ind w:right="20"/>
              <w:spacing w:after="0"/>
              <w:rPr>
                <w:sz w:val="20"/>
                <w:szCs w:val="20"/>
                <w:color w:val="auto"/>
              </w:rPr>
            </w:pPr>
            <w:r>
              <w:rPr>
                <w:rFonts w:ascii="Arial" w:cs="Arial" w:eastAsia="Arial" w:hAnsi="Arial"/>
                <w:sz w:val="7"/>
                <w:szCs w:val="7"/>
                <w:color w:val="auto"/>
                <w:w w:val="99"/>
              </w:rPr>
              <w:t>Penn Station</w:t>
            </w:r>
          </w:p>
        </w:tc>
        <w:tc>
          <w:tcPr>
            <w:tcW w:w="660" w:type="dxa"/>
            <w:vAlign w:val="bottom"/>
            <w:gridSpan w:val="3"/>
          </w:tcPr>
          <w:p>
            <w:pPr>
              <w:ind w:left="40"/>
              <w:spacing w:after="0"/>
              <w:rPr>
                <w:sz w:val="20"/>
                <w:szCs w:val="20"/>
                <w:color w:val="auto"/>
              </w:rPr>
            </w:pPr>
            <w:r>
              <w:rPr>
                <w:rFonts w:ascii="Arial" w:cs="Arial" w:eastAsia="Arial" w:hAnsi="Arial"/>
                <w:sz w:val="7"/>
                <w:szCs w:val="7"/>
                <w:color w:val="auto"/>
              </w:rPr>
              <w:t>Fee Interest</w:t>
            </w:r>
          </w:p>
        </w:tc>
        <w:tc>
          <w:tcPr>
            <w:tcW w:w="5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7"/>
                <w:szCs w:val="7"/>
                <w:color w:val="auto"/>
              </w:rPr>
              <w:t>222,855</w:t>
            </w:r>
          </w:p>
        </w:tc>
        <w:tc>
          <w:tcPr>
            <w:tcW w:w="80" w:type="dxa"/>
            <w:vAlign w:val="bottom"/>
          </w:tcPr>
          <w:p>
            <w:pPr>
              <w:spacing w:after="0"/>
              <w:rPr>
                <w:sz w:val="15"/>
                <w:szCs w:val="15"/>
                <w:color w:val="auto"/>
              </w:rPr>
            </w:pPr>
          </w:p>
        </w:tc>
        <w:tc>
          <w:tcPr>
            <w:tcW w:w="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7"/>
                <w:szCs w:val="7"/>
                <w:color w:val="auto"/>
              </w:rPr>
              <w:t>333</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94.0</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92.8</w:t>
            </w:r>
          </w:p>
        </w:tc>
        <w:tc>
          <w:tcPr>
            <w:tcW w:w="80" w:type="dxa"/>
            <w:vAlign w:val="bottom"/>
          </w:tcPr>
          <w:p>
            <w:pPr>
              <w:spacing w:after="0"/>
              <w:rPr>
                <w:sz w:val="15"/>
                <w:szCs w:val="15"/>
                <w:color w:val="auto"/>
              </w:rPr>
            </w:pPr>
          </w:p>
        </w:tc>
        <w:tc>
          <w:tcPr>
            <w:tcW w:w="40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95.2</w:t>
            </w:r>
          </w:p>
        </w:tc>
        <w:tc>
          <w:tcPr>
            <w:tcW w:w="10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89.5</w:t>
            </w:r>
          </w:p>
        </w:tc>
        <w:tc>
          <w:tcPr>
            <w:tcW w:w="100" w:type="dxa"/>
            <w:vAlign w:val="bottom"/>
          </w:tcPr>
          <w:p>
            <w:pPr>
              <w:spacing w:after="0"/>
              <w:rPr>
                <w:sz w:val="15"/>
                <w:szCs w:val="15"/>
                <w:color w:val="auto"/>
              </w:rPr>
            </w:pPr>
          </w:p>
        </w:tc>
        <w:tc>
          <w:tcPr>
            <w:tcW w:w="380" w:type="dxa"/>
            <w:vAlign w:val="bottom"/>
            <w:tcBorders>
              <w:bottom w:val="single" w:sz="8" w:color="auto"/>
            </w:tcBorders>
          </w:tcPr>
          <w:p>
            <w:pPr>
              <w:jc w:val="right"/>
              <w:ind w:right="44"/>
              <w:spacing w:after="0"/>
              <w:rPr>
                <w:sz w:val="20"/>
                <w:szCs w:val="20"/>
                <w:color w:val="auto"/>
              </w:rPr>
            </w:pPr>
            <w:r>
              <w:rPr>
                <w:rFonts w:ascii="Arial" w:cs="Arial" w:eastAsia="Arial" w:hAnsi="Arial"/>
                <w:sz w:val="7"/>
                <w:szCs w:val="7"/>
                <w:color w:val="auto"/>
              </w:rPr>
              <w:t>91.0</w:t>
            </w:r>
          </w:p>
        </w:tc>
        <w:tc>
          <w:tcPr>
            <w:tcW w:w="100" w:type="dxa"/>
            <w:vAlign w:val="bottom"/>
          </w:tcPr>
          <w:p>
            <w:pPr>
              <w:spacing w:after="0"/>
              <w:rPr>
                <w:sz w:val="15"/>
                <w:szCs w:val="15"/>
                <w:color w:val="auto"/>
              </w:rPr>
            </w:pPr>
          </w:p>
        </w:tc>
        <w:tc>
          <w:tcPr>
            <w:tcW w:w="72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color w:val="auto"/>
              </w:rPr>
              <w:t>$15,399</w:t>
            </w:r>
          </w:p>
        </w:tc>
        <w:tc>
          <w:tcPr>
            <w:tcW w:w="960" w:type="dxa"/>
            <w:vAlign w:val="bottom"/>
            <w:tcBorders>
              <w:bottom w:val="single" w:sz="8" w:color="auto"/>
            </w:tcBorders>
          </w:tcPr>
          <w:p>
            <w:pPr>
              <w:jc w:val="right"/>
              <w:ind w:right="64"/>
              <w:spacing w:after="0"/>
              <w:rPr>
                <w:sz w:val="20"/>
                <w:szCs w:val="20"/>
                <w:color w:val="auto"/>
              </w:rPr>
            </w:pPr>
            <w:r>
              <w:rPr>
                <w:rFonts w:ascii="Arial" w:cs="Arial" w:eastAsia="Arial" w:hAnsi="Arial"/>
                <w:sz w:val="7"/>
                <w:szCs w:val="7"/>
                <w:color w:val="auto"/>
              </w:rPr>
              <w:t>$4,113</w:t>
            </w:r>
          </w:p>
        </w:tc>
        <w:tc>
          <w:tcPr>
            <w:tcW w:w="6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$178,292</w:t>
            </w:r>
          </w:p>
        </w:tc>
        <w:tc>
          <w:tcPr>
            <w:tcW w:w="48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313</w:t>
            </w:r>
          </w:p>
        </w:tc>
        <w:tc>
          <w:tcPr>
            <w:tcW w:w="0" w:type="dxa"/>
            <w:vAlign w:val="bottom"/>
          </w:tcPr>
          <w:p>
            <w:pPr>
              <w:spacing w:after="0"/>
              <w:rPr>
                <w:sz w:val="1"/>
                <w:szCs w:val="1"/>
                <w:color w:val="auto"/>
              </w:rPr>
            </w:pPr>
          </w:p>
        </w:tc>
      </w:tr>
      <w:tr>
        <w:trPr>
          <w:trHeight w:val="192"/>
        </w:trPr>
        <w:tc>
          <w:tcPr>
            <w:tcW w:w="1720" w:type="dxa"/>
            <w:vAlign w:val="bottom"/>
            <w:gridSpan w:val="4"/>
          </w:tcPr>
          <w:p>
            <w:pPr>
              <w:ind w:left="20"/>
              <w:spacing w:after="0"/>
              <w:rPr>
                <w:sz w:val="20"/>
                <w:szCs w:val="20"/>
                <w:color w:val="auto"/>
              </w:rPr>
            </w:pPr>
            <w:r>
              <w:rPr>
                <w:rFonts w:ascii="Arial" w:cs="Arial" w:eastAsia="Arial" w:hAnsi="Arial"/>
                <w:sz w:val="7"/>
                <w:szCs w:val="7"/>
                <w:b w:val="1"/>
                <w:bCs w:val="1"/>
                <w:color w:val="auto"/>
              </w:rPr>
              <w:t>Total Residential Properties</w:t>
            </w: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gridSpan w:val="3"/>
          </w:tcPr>
          <w:p>
            <w:pPr>
              <w:jc w:val="right"/>
              <w:ind w:right="40"/>
              <w:spacing w:after="0"/>
              <w:rPr>
                <w:sz w:val="20"/>
                <w:szCs w:val="20"/>
                <w:color w:val="auto"/>
              </w:rPr>
            </w:pPr>
            <w:r>
              <w:rPr>
                <w:rFonts w:ascii="Arial" w:cs="Arial" w:eastAsia="Arial" w:hAnsi="Arial"/>
                <w:sz w:val="7"/>
                <w:szCs w:val="7"/>
                <w:b w:val="1"/>
                <w:bCs w:val="1"/>
                <w:color w:val="auto"/>
              </w:rPr>
              <w:t>222,855</w:t>
            </w:r>
          </w:p>
        </w:tc>
        <w:tc>
          <w:tcPr>
            <w:tcW w:w="80" w:type="dxa"/>
            <w:vAlign w:val="bottom"/>
          </w:tcPr>
          <w:p>
            <w:pPr>
              <w:spacing w:after="0"/>
              <w:rPr>
                <w:sz w:val="16"/>
                <w:szCs w:val="16"/>
                <w:color w:val="auto"/>
              </w:rPr>
            </w:pPr>
          </w:p>
        </w:tc>
        <w:tc>
          <w:tcPr>
            <w:tcW w:w="620" w:type="dxa"/>
            <w:vAlign w:val="bottom"/>
            <w:gridSpan w:val="4"/>
          </w:tcPr>
          <w:p>
            <w:pPr>
              <w:jc w:val="right"/>
              <w:ind w:right="100"/>
              <w:spacing w:after="0"/>
              <w:rPr>
                <w:sz w:val="20"/>
                <w:szCs w:val="20"/>
                <w:color w:val="auto"/>
              </w:rPr>
            </w:pPr>
            <w:r>
              <w:rPr>
                <w:rFonts w:ascii="Arial" w:cs="Arial" w:eastAsia="Arial" w:hAnsi="Arial"/>
                <w:sz w:val="7"/>
                <w:szCs w:val="7"/>
                <w:b w:val="1"/>
                <w:bCs w:val="1"/>
                <w:color w:val="auto"/>
              </w:rPr>
              <w:t>333</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94.0%</w:t>
            </w:r>
          </w:p>
        </w:tc>
        <w:tc>
          <w:tcPr>
            <w:tcW w:w="8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7"/>
                <w:szCs w:val="7"/>
                <w:b w:val="1"/>
                <w:bCs w:val="1"/>
                <w:color w:val="auto"/>
              </w:rPr>
              <w:t>92.8%</w:t>
            </w:r>
          </w:p>
        </w:tc>
        <w:tc>
          <w:tcPr>
            <w:tcW w:w="480" w:type="dxa"/>
            <w:vAlign w:val="bottom"/>
            <w:gridSpan w:val="2"/>
          </w:tcPr>
          <w:p>
            <w:pPr>
              <w:jc w:val="right"/>
              <w:spacing w:after="0"/>
              <w:rPr>
                <w:sz w:val="20"/>
                <w:szCs w:val="20"/>
                <w:color w:val="auto"/>
              </w:rPr>
            </w:pPr>
            <w:r>
              <w:rPr>
                <w:rFonts w:ascii="Arial" w:cs="Arial" w:eastAsia="Arial" w:hAnsi="Arial"/>
                <w:sz w:val="7"/>
                <w:szCs w:val="7"/>
                <w:b w:val="1"/>
                <w:bCs w:val="1"/>
                <w:color w:val="auto"/>
              </w:rPr>
              <w:t>95.2%</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7"/>
                <w:szCs w:val="7"/>
                <w:b w:val="1"/>
                <w:bCs w:val="1"/>
                <w:color w:val="auto"/>
              </w:rPr>
              <w:t>89.5%</w:t>
            </w: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7"/>
                <w:szCs w:val="7"/>
                <w:b w:val="1"/>
                <w:bCs w:val="1"/>
                <w:color w:val="auto"/>
              </w:rPr>
              <w:t>91.0%</w:t>
            </w:r>
          </w:p>
        </w:tc>
        <w:tc>
          <w:tcPr>
            <w:tcW w:w="100" w:type="dxa"/>
            <w:vAlign w:val="bottom"/>
          </w:tcPr>
          <w:p>
            <w:pPr>
              <w:spacing w:after="0"/>
              <w:rPr>
                <w:sz w:val="16"/>
                <w:szCs w:val="16"/>
                <w:color w:val="auto"/>
              </w:rPr>
            </w:pPr>
          </w:p>
        </w:tc>
        <w:tc>
          <w:tcPr>
            <w:tcW w:w="720" w:type="dxa"/>
            <w:vAlign w:val="bottom"/>
          </w:tcPr>
          <w:p>
            <w:pPr>
              <w:jc w:val="right"/>
              <w:ind w:right="24"/>
              <w:spacing w:after="0"/>
              <w:rPr>
                <w:sz w:val="20"/>
                <w:szCs w:val="20"/>
                <w:color w:val="auto"/>
              </w:rPr>
            </w:pPr>
            <w:r>
              <w:rPr>
                <w:rFonts w:ascii="Arial" w:cs="Arial" w:eastAsia="Arial" w:hAnsi="Arial"/>
                <w:sz w:val="7"/>
                <w:szCs w:val="7"/>
                <w:b w:val="1"/>
                <w:bCs w:val="1"/>
                <w:color w:val="auto"/>
              </w:rPr>
              <w:t>$15,399</w:t>
            </w:r>
          </w:p>
        </w:tc>
        <w:tc>
          <w:tcPr>
            <w:tcW w:w="960" w:type="dxa"/>
            <w:vAlign w:val="bottom"/>
          </w:tcPr>
          <w:p>
            <w:pPr>
              <w:jc w:val="right"/>
              <w:ind w:right="64"/>
              <w:spacing w:after="0"/>
              <w:rPr>
                <w:sz w:val="20"/>
                <w:szCs w:val="20"/>
                <w:color w:val="auto"/>
              </w:rPr>
            </w:pPr>
            <w:r>
              <w:rPr>
                <w:rFonts w:ascii="Arial" w:cs="Arial" w:eastAsia="Arial" w:hAnsi="Arial"/>
                <w:sz w:val="7"/>
                <w:szCs w:val="7"/>
                <w:b w:val="1"/>
                <w:bCs w:val="1"/>
                <w:color w:val="auto"/>
              </w:rPr>
              <w:t>$4,113</w:t>
            </w:r>
          </w:p>
        </w:tc>
        <w:tc>
          <w:tcPr>
            <w:tcW w:w="660" w:type="dxa"/>
            <w:vAlign w:val="bottom"/>
          </w:tcPr>
          <w:p>
            <w:pPr>
              <w:jc w:val="right"/>
              <w:ind w:right="4"/>
              <w:spacing w:after="0"/>
              <w:rPr>
                <w:sz w:val="20"/>
                <w:szCs w:val="20"/>
                <w:color w:val="auto"/>
              </w:rPr>
            </w:pPr>
            <w:r>
              <w:rPr>
                <w:rFonts w:ascii="Arial" w:cs="Arial" w:eastAsia="Arial" w:hAnsi="Arial"/>
                <w:sz w:val="7"/>
                <w:szCs w:val="7"/>
                <w:b w:val="1"/>
                <w:bCs w:val="1"/>
                <w:color w:val="auto"/>
              </w:rPr>
              <w:t>$178,292</w:t>
            </w:r>
          </w:p>
        </w:tc>
        <w:tc>
          <w:tcPr>
            <w:tcW w:w="480" w:type="dxa"/>
            <w:vAlign w:val="bottom"/>
          </w:tcPr>
          <w:p>
            <w:pPr>
              <w:jc w:val="right"/>
              <w:ind w:right="4"/>
              <w:spacing w:after="0"/>
              <w:rPr>
                <w:sz w:val="20"/>
                <w:szCs w:val="20"/>
                <w:color w:val="auto"/>
              </w:rPr>
            </w:pPr>
            <w:r>
              <w:rPr>
                <w:rFonts w:ascii="Arial" w:cs="Arial" w:eastAsia="Arial" w:hAnsi="Arial"/>
                <w:sz w:val="7"/>
                <w:szCs w:val="7"/>
                <w:b w:val="1"/>
                <w:bCs w:val="1"/>
                <w:color w:val="auto"/>
              </w:rPr>
              <w:t>313</w:t>
            </w:r>
          </w:p>
        </w:tc>
        <w:tc>
          <w:tcPr>
            <w:tcW w:w="0" w:type="dxa"/>
            <w:vAlign w:val="bottom"/>
          </w:tcPr>
          <w:p>
            <w:pPr>
              <w:spacing w:after="0"/>
              <w:rPr>
                <w:sz w:val="1"/>
                <w:szCs w:val="1"/>
                <w:color w:val="auto"/>
              </w:rPr>
            </w:pPr>
          </w:p>
        </w:tc>
      </w:tr>
      <w:tr>
        <w:trPr>
          <w:trHeight w:val="111"/>
        </w:trPr>
        <w:tc>
          <w:tcPr>
            <w:tcW w:w="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gridSpan w:val="2"/>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1720" w:type="dxa"/>
            <w:vAlign w:val="bottom"/>
            <w:gridSpan w:val="4"/>
          </w:tcPr>
          <w:p>
            <w:pPr>
              <w:ind w:left="20"/>
              <w:spacing w:after="0"/>
              <w:rPr>
                <w:sz w:val="20"/>
                <w:szCs w:val="20"/>
                <w:color w:val="auto"/>
              </w:rPr>
            </w:pPr>
            <w:r>
              <w:rPr>
                <w:rFonts w:ascii="Arial" w:cs="Arial" w:eastAsia="Arial" w:hAnsi="Arial"/>
                <w:sz w:val="7"/>
                <w:szCs w:val="7"/>
                <w:color w:val="auto"/>
              </w:rPr>
              <w:t>(1) Calculated based on occupied units</w:t>
            </w: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40</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sectPr>
      </w:pPr>
    </w:p>
    <w:bookmarkStart w:id="56" w:name="page57"/>
    <w:bookmarkEnd w:id="5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LARGEST TENANTS BY SQUARE FEET LEASED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 and Suburban Properties</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 Except Per SF)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760" w:type="dxa"/>
        <w:tblCellMar>
          <w:top w:w="0" w:type="dxa"/>
          <w:left w:w="0" w:type="dxa"/>
          <w:bottom w:w="0" w:type="dxa"/>
          <w:right w:w="0" w:type="dxa"/>
        </w:tblCellMar>
      </w:tblPr>
      <w:tr>
        <w:trPr>
          <w:trHeight w:val="115"/>
        </w:trPr>
        <w:tc>
          <w:tcPr>
            <w:tcW w:w="14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4"/>
              </w:rPr>
              <w:t>% of</w:t>
            </w:r>
          </w:p>
        </w:tc>
        <w:tc>
          <w:tcPr>
            <w:tcW w:w="520" w:type="dxa"/>
            <w:vAlign w:val="bottom"/>
          </w:tcPr>
          <w:p>
            <w:pPr>
              <w:spacing w:after="0"/>
              <w:rPr>
                <w:sz w:val="10"/>
                <w:szCs w:val="10"/>
                <w:color w:val="auto"/>
              </w:rPr>
            </w:pPr>
          </w:p>
        </w:tc>
      </w:tr>
      <w:tr>
        <w:trPr>
          <w:trHeight w:val="219"/>
        </w:trPr>
        <w:tc>
          <w:tcPr>
            <w:tcW w:w="1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4"/>
              </w:rPr>
              <w:t>% of</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4"/>
              </w:rPr>
              <w:t>SLG Share of</w:t>
            </w: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4"/>
              </w:rPr>
              <w:t>SLG Share of</w:t>
            </w:r>
          </w:p>
        </w:tc>
        <w:tc>
          <w:tcPr>
            <w:tcW w:w="520" w:type="dxa"/>
            <w:vAlign w:val="bottom"/>
          </w:tcPr>
          <w:p>
            <w:pPr>
              <w:spacing w:after="0"/>
              <w:rPr>
                <w:sz w:val="19"/>
                <w:szCs w:val="19"/>
                <w:color w:val="auto"/>
              </w:rPr>
            </w:pPr>
          </w:p>
        </w:tc>
      </w:tr>
      <w:tr>
        <w:trPr>
          <w:trHeight w:val="219"/>
        </w:trPr>
        <w:tc>
          <w:tcPr>
            <w:tcW w:w="14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20" w:type="dxa"/>
            <w:vAlign w:val="bottom"/>
          </w:tcPr>
          <w:p>
            <w:pPr>
              <w:jc w:val="center"/>
              <w:ind w:left="376"/>
              <w:spacing w:after="0"/>
              <w:rPr>
                <w:sz w:val="20"/>
                <w:szCs w:val="20"/>
                <w:color w:val="auto"/>
              </w:rPr>
            </w:pPr>
            <w:r>
              <w:rPr>
                <w:rFonts w:ascii="Arial" w:cs="Arial" w:eastAsia="Arial" w:hAnsi="Arial"/>
                <w:sz w:val="9"/>
                <w:szCs w:val="9"/>
                <w:b w:val="1"/>
                <w:bCs w:val="1"/>
                <w:color w:val="auto"/>
              </w:rPr>
              <w:t>Lease</w:t>
            </w:r>
          </w:p>
        </w:tc>
        <w:tc>
          <w:tcPr>
            <w:tcW w:w="720" w:type="dxa"/>
            <w:vAlign w:val="bottom"/>
          </w:tcPr>
          <w:p>
            <w:pPr>
              <w:jc w:val="center"/>
              <w:spacing w:after="0"/>
              <w:rPr>
                <w:sz w:val="20"/>
                <w:szCs w:val="20"/>
                <w:color w:val="auto"/>
              </w:rPr>
            </w:pPr>
            <w:r>
              <w:rPr>
                <w:rFonts w:ascii="Arial" w:cs="Arial" w:eastAsia="Arial" w:hAnsi="Arial"/>
                <w:sz w:val="9"/>
                <w:szCs w:val="9"/>
                <w:b w:val="1"/>
                <w:bCs w:val="1"/>
                <w:color w:val="auto"/>
                <w:w w:val="92"/>
              </w:rPr>
              <w:t>Total</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5"/>
              </w:rPr>
              <w:t>Annualized</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9"/>
              </w:rPr>
              <w:t>Rent PSF</w:t>
            </w: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5"/>
              </w:rPr>
              <w:t>Annualized</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5"/>
              </w:rPr>
              <w:t>Annualized</w:t>
            </w: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5"/>
              </w:rPr>
              <w:t>Annualized</w:t>
            </w:r>
          </w:p>
        </w:tc>
        <w:tc>
          <w:tcPr>
            <w:tcW w:w="520" w:type="dxa"/>
            <w:vAlign w:val="bottom"/>
          </w:tcPr>
          <w:p>
            <w:pPr>
              <w:jc w:val="center"/>
              <w:ind w:left="136"/>
              <w:spacing w:after="0"/>
              <w:rPr>
                <w:sz w:val="20"/>
                <w:szCs w:val="20"/>
                <w:color w:val="auto"/>
              </w:rPr>
            </w:pPr>
            <w:r>
              <w:rPr>
                <w:rFonts w:ascii="Arial" w:cs="Arial" w:eastAsia="Arial" w:hAnsi="Arial"/>
                <w:sz w:val="9"/>
                <w:szCs w:val="9"/>
                <w:b w:val="1"/>
                <w:bCs w:val="1"/>
                <w:color w:val="auto"/>
                <w:w w:val="99"/>
              </w:rPr>
              <w:t>Credit</w:t>
            </w:r>
          </w:p>
        </w:tc>
      </w:tr>
      <w:tr>
        <w:trPr>
          <w:trHeight w:val="142"/>
        </w:trPr>
        <w:tc>
          <w:tcPr>
            <w:tcW w:w="1420" w:type="dxa"/>
            <w:vAlign w:val="bottom"/>
          </w:tcPr>
          <w:p>
            <w:pPr>
              <w:spacing w:after="0"/>
              <w:rPr>
                <w:sz w:val="20"/>
                <w:szCs w:val="20"/>
                <w:color w:val="auto"/>
              </w:rPr>
            </w:pPr>
            <w:r>
              <w:rPr>
                <w:rFonts w:ascii="Arial" w:cs="Arial" w:eastAsia="Arial" w:hAnsi="Arial"/>
                <w:sz w:val="9"/>
                <w:szCs w:val="9"/>
                <w:b w:val="1"/>
                <w:bCs w:val="1"/>
                <w:color w:val="auto"/>
              </w:rPr>
              <w:t>Tenant Name</w:t>
            </w:r>
          </w:p>
        </w:tc>
        <w:tc>
          <w:tcPr>
            <w:tcW w:w="1800" w:type="dxa"/>
            <w:vAlign w:val="bottom"/>
          </w:tcPr>
          <w:p>
            <w:pPr>
              <w:ind w:left="880"/>
              <w:spacing w:after="0"/>
              <w:rPr>
                <w:sz w:val="20"/>
                <w:szCs w:val="20"/>
                <w:color w:val="auto"/>
              </w:rPr>
            </w:pPr>
            <w:r>
              <w:rPr>
                <w:rFonts w:ascii="Arial" w:cs="Arial" w:eastAsia="Arial" w:hAnsi="Arial"/>
                <w:sz w:val="9"/>
                <w:szCs w:val="9"/>
                <w:b w:val="1"/>
                <w:bCs w:val="1"/>
                <w:color w:val="auto"/>
              </w:rPr>
              <w:t>Property</w:t>
            </w:r>
          </w:p>
        </w:tc>
        <w:tc>
          <w:tcPr>
            <w:tcW w:w="1120" w:type="dxa"/>
            <w:vAlign w:val="bottom"/>
          </w:tcPr>
          <w:p>
            <w:pPr>
              <w:jc w:val="center"/>
              <w:ind w:left="376"/>
              <w:spacing w:after="0"/>
              <w:rPr>
                <w:sz w:val="20"/>
                <w:szCs w:val="20"/>
                <w:color w:val="auto"/>
              </w:rPr>
            </w:pPr>
            <w:r>
              <w:rPr>
                <w:rFonts w:ascii="Arial" w:cs="Arial" w:eastAsia="Arial" w:hAnsi="Arial"/>
                <w:sz w:val="9"/>
                <w:szCs w:val="9"/>
                <w:b w:val="1"/>
                <w:bCs w:val="1"/>
                <w:color w:val="auto"/>
                <w:w w:val="95"/>
              </w:rPr>
              <w:t>Expiration</w:t>
            </w:r>
          </w:p>
        </w:tc>
        <w:tc>
          <w:tcPr>
            <w:tcW w:w="720" w:type="dxa"/>
            <w:vAlign w:val="bottom"/>
          </w:tcPr>
          <w:p>
            <w:pPr>
              <w:jc w:val="center"/>
              <w:ind w:left="16"/>
              <w:spacing w:after="0"/>
              <w:rPr>
                <w:sz w:val="20"/>
                <w:szCs w:val="20"/>
                <w:color w:val="auto"/>
              </w:rPr>
            </w:pPr>
            <w:r>
              <w:rPr>
                <w:rFonts w:ascii="Arial" w:cs="Arial" w:eastAsia="Arial" w:hAnsi="Arial"/>
                <w:sz w:val="9"/>
                <w:szCs w:val="9"/>
                <w:b w:val="1"/>
                <w:bCs w:val="1"/>
                <w:color w:val="auto"/>
                <w:w w:val="96"/>
              </w:rPr>
              <w:t>Square Feet</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6"/>
              </w:rPr>
              <w:t>Cash Rent ($)</w:t>
            </w:r>
          </w:p>
        </w:tc>
        <w:tc>
          <w:tcPr>
            <w:tcW w:w="620" w:type="dxa"/>
            <w:vAlign w:val="bottom"/>
          </w:tcPr>
          <w:p>
            <w:pPr>
              <w:jc w:val="center"/>
              <w:spacing w:after="0"/>
              <w:rPr>
                <w:sz w:val="20"/>
                <w:szCs w:val="20"/>
                <w:color w:val="auto"/>
              </w:rPr>
            </w:pPr>
            <w:r>
              <w:rPr>
                <w:rFonts w:ascii="Arial" w:cs="Arial" w:eastAsia="Arial" w:hAnsi="Arial"/>
                <w:sz w:val="9"/>
                <w:szCs w:val="9"/>
                <w:b w:val="1"/>
                <w:bCs w:val="1"/>
                <w:color w:val="auto"/>
                <w:w w:val="99"/>
              </w:rPr>
              <w:t>Annualized</w:t>
            </w:r>
          </w:p>
        </w:tc>
        <w:tc>
          <w:tcPr>
            <w:tcW w:w="640" w:type="dxa"/>
            <w:vAlign w:val="bottom"/>
          </w:tcPr>
          <w:p>
            <w:pPr>
              <w:jc w:val="center"/>
              <w:spacing w:after="0"/>
              <w:rPr>
                <w:sz w:val="20"/>
                <w:szCs w:val="20"/>
                <w:color w:val="auto"/>
              </w:rPr>
            </w:pPr>
            <w:r>
              <w:rPr>
                <w:rFonts w:ascii="Arial" w:cs="Arial" w:eastAsia="Arial" w:hAnsi="Arial"/>
                <w:sz w:val="9"/>
                <w:szCs w:val="9"/>
                <w:b w:val="1"/>
                <w:bCs w:val="1"/>
                <w:color w:val="auto"/>
                <w:w w:val="98"/>
              </w:rPr>
              <w:t>Cash Rent</w:t>
            </w:r>
          </w:p>
        </w:tc>
        <w:tc>
          <w:tcPr>
            <w:tcW w:w="740" w:type="dxa"/>
            <w:vAlign w:val="bottom"/>
          </w:tcPr>
          <w:p>
            <w:pPr>
              <w:jc w:val="center"/>
              <w:spacing w:after="0"/>
              <w:rPr>
                <w:sz w:val="20"/>
                <w:szCs w:val="20"/>
                <w:color w:val="auto"/>
              </w:rPr>
            </w:pPr>
            <w:r>
              <w:rPr>
                <w:rFonts w:ascii="Arial" w:cs="Arial" w:eastAsia="Arial" w:hAnsi="Arial"/>
                <w:sz w:val="9"/>
                <w:szCs w:val="9"/>
                <w:b w:val="1"/>
                <w:bCs w:val="1"/>
                <w:color w:val="auto"/>
                <w:w w:val="99"/>
              </w:rPr>
              <w:t>Cash Rent ($)</w:t>
            </w:r>
          </w:p>
        </w:tc>
        <w:tc>
          <w:tcPr>
            <w:tcW w:w="800" w:type="dxa"/>
            <w:vAlign w:val="bottom"/>
          </w:tcPr>
          <w:p>
            <w:pPr>
              <w:jc w:val="center"/>
              <w:ind w:right="16"/>
              <w:spacing w:after="0"/>
              <w:rPr>
                <w:sz w:val="20"/>
                <w:szCs w:val="20"/>
                <w:color w:val="auto"/>
              </w:rPr>
            </w:pPr>
            <w:r>
              <w:rPr>
                <w:rFonts w:ascii="Arial" w:cs="Arial" w:eastAsia="Arial" w:hAnsi="Arial"/>
                <w:sz w:val="9"/>
                <w:szCs w:val="9"/>
                <w:b w:val="1"/>
                <w:bCs w:val="1"/>
                <w:color w:val="auto"/>
                <w:w w:val="94"/>
              </w:rPr>
              <w:t>Cash Rent</w:t>
            </w:r>
          </w:p>
        </w:tc>
        <w:tc>
          <w:tcPr>
            <w:tcW w:w="520" w:type="dxa"/>
            <w:vAlign w:val="bottom"/>
          </w:tcPr>
          <w:p>
            <w:pPr>
              <w:jc w:val="center"/>
              <w:ind w:left="116"/>
              <w:spacing w:after="0"/>
              <w:rPr>
                <w:sz w:val="20"/>
                <w:szCs w:val="20"/>
                <w:color w:val="auto"/>
              </w:rPr>
            </w:pPr>
            <w:r>
              <w:rPr>
                <w:rFonts w:ascii="Arial" w:cs="Arial" w:eastAsia="Arial" w:hAnsi="Arial"/>
                <w:sz w:val="9"/>
                <w:szCs w:val="9"/>
                <w:b w:val="1"/>
                <w:bCs w:val="1"/>
                <w:color w:val="auto"/>
                <w:w w:val="98"/>
              </w:rPr>
              <w:t xml:space="preserve">Rating </w:t>
            </w:r>
            <w:r>
              <w:rPr>
                <w:rFonts w:ascii="Arial" w:cs="Arial" w:eastAsia="Arial" w:hAnsi="Arial"/>
                <w:sz w:val="5"/>
                <w:szCs w:val="5"/>
                <w:b w:val="1"/>
                <w:bCs w:val="1"/>
                <w:color w:val="auto"/>
                <w:w w:val="98"/>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6433185"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433185" cy="6985"/>
                    </a:xfrm>
                    <a:prstGeom prst="rect">
                      <a:avLst/>
                    </a:prstGeom>
                    <a:noFill/>
                  </pic:spPr>
                </pic:pic>
              </a:graphicData>
            </a:graphic>
          </wp:anchor>
        </w:drawing>
      </w:r>
    </w:p>
    <w:p>
      <w:pPr>
        <w:sectPr>
          <w:pgSz w:w="11900" w:h="16838" w:orient="portrait"/>
          <w:cols w:equalWidth="0" w:num="1">
            <w:col w:w="10080"/>
          </w:cols>
          <w:pgMar w:left="900" w:top="338" w:right="919" w:bottom="1440" w:gutter="0" w:footer="0" w:header="0"/>
        </w:sectPr>
      </w:pPr>
    </w:p>
    <w:p>
      <w:pPr>
        <w:spacing w:after="0" w:line="239" w:lineRule="exact"/>
        <w:rPr>
          <w:sz w:val="20"/>
          <w:szCs w:val="20"/>
          <w:color w:val="auto"/>
        </w:rPr>
      </w:pPr>
    </w:p>
    <w:tbl>
      <w:tblPr>
        <w:tblLayout w:type="fixed"/>
        <w:tblInd w:w="20" w:type="dxa"/>
        <w:tblCellMar>
          <w:top w:w="0" w:type="dxa"/>
          <w:left w:w="0" w:type="dxa"/>
          <w:bottom w:w="0" w:type="dxa"/>
          <w:right w:w="0" w:type="dxa"/>
        </w:tblCellMar>
      </w:tblPr>
      <w:tr>
        <w:trPr>
          <w:trHeight w:val="103"/>
        </w:trPr>
        <w:tc>
          <w:tcPr>
            <w:tcW w:w="1980" w:type="dxa"/>
            <w:vAlign w:val="bottom"/>
            <w:vMerge w:val="restart"/>
          </w:tcPr>
          <w:p>
            <w:pPr>
              <w:spacing w:after="0"/>
              <w:rPr>
                <w:sz w:val="20"/>
                <w:szCs w:val="20"/>
                <w:color w:val="auto"/>
              </w:rPr>
            </w:pPr>
            <w:r>
              <w:rPr>
                <w:rFonts w:ascii="Arial" w:cs="Arial" w:eastAsia="Arial" w:hAnsi="Arial"/>
                <w:sz w:val="9"/>
                <w:szCs w:val="9"/>
                <w:color w:val="auto"/>
              </w:rPr>
              <w:t>Credit Suisse Securities (USA), Inc.</w:t>
            </w:r>
          </w:p>
        </w:tc>
        <w:tc>
          <w:tcPr>
            <w:tcW w:w="2420" w:type="dxa"/>
            <w:vAlign w:val="bottom"/>
            <w:gridSpan w:val="3"/>
          </w:tcPr>
          <w:p>
            <w:pPr>
              <w:ind w:left="80"/>
              <w:spacing w:after="0"/>
              <w:rPr>
                <w:sz w:val="20"/>
                <w:szCs w:val="20"/>
                <w:color w:val="auto"/>
              </w:rPr>
            </w:pPr>
            <w:r>
              <w:rPr>
                <w:rFonts w:ascii="Arial" w:cs="Arial" w:eastAsia="Arial" w:hAnsi="Arial"/>
                <w:sz w:val="9"/>
                <w:szCs w:val="9"/>
                <w:color w:val="auto"/>
              </w:rPr>
              <w:t>1 Madison Avenue, 11 Madison Avenue &amp;</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6"/>
              </w:rPr>
              <w:t>2017, 2019,</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300" w:type="dxa"/>
            <w:vAlign w:val="bottom"/>
            <w:gridSpan w:val="2"/>
            <w:vMerge w:val="restart"/>
          </w:tcPr>
          <w:p>
            <w:pPr>
              <w:ind w:left="80"/>
              <w:spacing w:after="0"/>
              <w:rPr>
                <w:sz w:val="20"/>
                <w:szCs w:val="20"/>
                <w:color w:val="auto"/>
              </w:rPr>
            </w:pPr>
            <w:r>
              <w:rPr>
                <w:rFonts w:ascii="Arial" w:cs="Arial" w:eastAsia="Arial" w:hAnsi="Arial"/>
                <w:sz w:val="9"/>
                <w:szCs w:val="9"/>
                <w:color w:val="auto"/>
                <w:w w:val="99"/>
              </w:rPr>
              <w:t>1055</w:t>
            </w:r>
          </w:p>
        </w:tc>
        <w:tc>
          <w:tcPr>
            <w:tcW w:w="2120" w:type="dxa"/>
            <w:vAlign w:val="bottom"/>
            <w:vMerge w:val="restart"/>
          </w:tcPr>
          <w:p>
            <w:pPr>
              <w:spacing w:after="0"/>
              <w:rPr>
                <w:sz w:val="20"/>
                <w:szCs w:val="20"/>
                <w:color w:val="auto"/>
              </w:rPr>
            </w:pPr>
            <w:r>
              <w:rPr>
                <w:rFonts w:ascii="Arial" w:cs="Arial" w:eastAsia="Arial" w:hAnsi="Arial"/>
                <w:sz w:val="9"/>
                <w:szCs w:val="9"/>
                <w:color w:val="auto"/>
              </w:rPr>
              <w:t>Washington Blvd</w:t>
            </w:r>
          </w:p>
        </w:tc>
        <w:tc>
          <w:tcPr>
            <w:tcW w:w="600" w:type="dxa"/>
            <w:vAlign w:val="bottom"/>
            <w:vMerge w:val="restart"/>
          </w:tcPr>
          <w:p>
            <w:pPr>
              <w:jc w:val="center"/>
              <w:ind w:left="16"/>
              <w:spacing w:after="0"/>
              <w:rPr>
                <w:sz w:val="20"/>
                <w:szCs w:val="20"/>
                <w:color w:val="auto"/>
              </w:rPr>
            </w:pPr>
            <w:r>
              <w:rPr>
                <w:rFonts w:ascii="Arial" w:cs="Arial" w:eastAsia="Arial" w:hAnsi="Arial"/>
                <w:sz w:val="9"/>
                <w:szCs w:val="9"/>
                <w:color w:val="auto"/>
                <w:w w:val="97"/>
              </w:rPr>
              <w:t>2020 &amp; 2037</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212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Viacom International, Inc.</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1515</w:t>
            </w:r>
          </w:p>
        </w:tc>
        <w:tc>
          <w:tcPr>
            <w:tcW w:w="2120" w:type="dxa"/>
            <w:vAlign w:val="bottom"/>
          </w:tcPr>
          <w:p>
            <w:pPr>
              <w:spacing w:after="0"/>
              <w:rPr>
                <w:sz w:val="20"/>
                <w:szCs w:val="20"/>
                <w:color w:val="auto"/>
              </w:rPr>
            </w:pPr>
            <w:r>
              <w:rPr>
                <w:rFonts w:ascii="Arial" w:cs="Arial" w:eastAsia="Arial" w:hAnsi="Arial"/>
                <w:sz w:val="9"/>
                <w:szCs w:val="9"/>
                <w:color w:val="auto"/>
              </w:rPr>
              <w:t>Broadway</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2031</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Penguin Random House, Inc.</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1745</w:t>
            </w:r>
          </w:p>
        </w:tc>
        <w:tc>
          <w:tcPr>
            <w:tcW w:w="2120" w:type="dxa"/>
            <w:vAlign w:val="bottom"/>
          </w:tcPr>
          <w:p>
            <w:pPr>
              <w:spacing w:after="0"/>
              <w:rPr>
                <w:sz w:val="20"/>
                <w:szCs w:val="20"/>
                <w:color w:val="auto"/>
              </w:rPr>
            </w:pPr>
            <w:r>
              <w:rPr>
                <w:rFonts w:ascii="Arial" w:cs="Arial" w:eastAsia="Arial" w:hAnsi="Arial"/>
                <w:sz w:val="9"/>
                <w:szCs w:val="9"/>
                <w:color w:val="auto"/>
              </w:rPr>
              <w:t>Broadway</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2018 &amp; 2033</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Sony Corporation</w:t>
            </w:r>
          </w:p>
        </w:tc>
        <w:tc>
          <w:tcPr>
            <w:tcW w:w="2420" w:type="dxa"/>
            <w:vAlign w:val="bottom"/>
            <w:gridSpan w:val="3"/>
          </w:tcPr>
          <w:p>
            <w:pPr>
              <w:ind w:left="80"/>
              <w:spacing w:after="0"/>
              <w:rPr>
                <w:sz w:val="20"/>
                <w:szCs w:val="20"/>
                <w:color w:val="auto"/>
              </w:rPr>
            </w:pPr>
            <w:r>
              <w:rPr>
                <w:rFonts w:ascii="Arial" w:cs="Arial" w:eastAsia="Arial" w:hAnsi="Arial"/>
                <w:sz w:val="9"/>
                <w:szCs w:val="9"/>
                <w:color w:val="auto"/>
              </w:rPr>
              <w:t>11 Madison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2031</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Debevoise &amp; Plimpton, LLP</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2021</w:t>
            </w:r>
          </w:p>
        </w:tc>
        <w:tc>
          <w:tcPr>
            <w:tcW w:w="0" w:type="dxa"/>
            <w:vAlign w:val="bottom"/>
          </w:tcPr>
          <w:p>
            <w:pPr>
              <w:spacing w:after="0"/>
              <w:rPr>
                <w:sz w:val="1"/>
                <w:szCs w:val="1"/>
                <w:color w:val="auto"/>
              </w:rPr>
            </w:pPr>
          </w:p>
        </w:tc>
      </w:tr>
      <w:tr>
        <w:trPr>
          <w:trHeight w:val="179"/>
        </w:trPr>
        <w:tc>
          <w:tcPr>
            <w:tcW w:w="1980" w:type="dxa"/>
            <w:vAlign w:val="bottom"/>
            <w:vMerge w:val="restart"/>
          </w:tcPr>
          <w:p>
            <w:pPr>
              <w:spacing w:after="0"/>
              <w:rPr>
                <w:sz w:val="20"/>
                <w:szCs w:val="20"/>
                <w:color w:val="auto"/>
              </w:rPr>
            </w:pPr>
            <w:r>
              <w:rPr>
                <w:rFonts w:ascii="Arial" w:cs="Arial" w:eastAsia="Arial" w:hAnsi="Arial"/>
                <w:sz w:val="9"/>
                <w:szCs w:val="9"/>
                <w:color w:val="auto"/>
              </w:rPr>
              <w:t>The City of New York</w:t>
            </w:r>
          </w:p>
        </w:tc>
        <w:tc>
          <w:tcPr>
            <w:tcW w:w="2420" w:type="dxa"/>
            <w:vAlign w:val="bottom"/>
            <w:gridSpan w:val="3"/>
          </w:tcPr>
          <w:p>
            <w:pPr>
              <w:ind w:left="80"/>
              <w:spacing w:after="0"/>
              <w:rPr>
                <w:sz w:val="20"/>
                <w:szCs w:val="20"/>
                <w:color w:val="auto"/>
              </w:rPr>
            </w:pPr>
            <w:r>
              <w:rPr>
                <w:rFonts w:ascii="Arial" w:cs="Arial" w:eastAsia="Arial" w:hAnsi="Arial"/>
                <w:sz w:val="9"/>
                <w:szCs w:val="9"/>
                <w:color w:val="auto"/>
              </w:rPr>
              <w:t>16 Court Street, 100 Church Street &amp;</w:t>
            </w:r>
          </w:p>
        </w:tc>
        <w:tc>
          <w:tcPr>
            <w:tcW w:w="600" w:type="dxa"/>
            <w:vAlign w:val="bottom"/>
          </w:tcPr>
          <w:p>
            <w:pPr>
              <w:jc w:val="center"/>
              <w:ind w:left="56"/>
              <w:spacing w:after="0"/>
              <w:rPr>
                <w:sz w:val="20"/>
                <w:szCs w:val="20"/>
                <w:color w:val="auto"/>
              </w:rPr>
            </w:pPr>
            <w:r>
              <w:rPr>
                <w:rFonts w:ascii="Arial" w:cs="Arial" w:eastAsia="Arial" w:hAnsi="Arial"/>
                <w:sz w:val="9"/>
                <w:szCs w:val="9"/>
                <w:color w:val="auto"/>
                <w:w w:val="96"/>
              </w:rPr>
              <w:t>2017, 2020,</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420</w:t>
            </w:r>
          </w:p>
        </w:tc>
        <w:tc>
          <w:tcPr>
            <w:tcW w:w="2180" w:type="dxa"/>
            <w:vAlign w:val="bottom"/>
            <w:gridSpan w:val="2"/>
            <w:vMerge w:val="restart"/>
          </w:tcPr>
          <w:p>
            <w:pPr>
              <w:ind w:left="20"/>
              <w:spacing w:after="0"/>
              <w:rPr>
                <w:sz w:val="20"/>
                <w:szCs w:val="20"/>
                <w:color w:val="auto"/>
              </w:rPr>
            </w:pPr>
            <w:r>
              <w:rPr>
                <w:rFonts w:ascii="Arial" w:cs="Arial" w:eastAsia="Arial" w:hAnsi="Arial"/>
                <w:sz w:val="9"/>
                <w:szCs w:val="9"/>
                <w:color w:val="auto"/>
              </w:rPr>
              <w:t>Lexington Avenue</w:t>
            </w:r>
          </w:p>
        </w:tc>
        <w:tc>
          <w:tcPr>
            <w:tcW w:w="600" w:type="dxa"/>
            <w:vAlign w:val="bottom"/>
            <w:vMerge w:val="restart"/>
          </w:tcPr>
          <w:p>
            <w:pPr>
              <w:jc w:val="center"/>
              <w:ind w:left="16"/>
              <w:spacing w:after="0"/>
              <w:rPr>
                <w:sz w:val="20"/>
                <w:szCs w:val="20"/>
                <w:color w:val="auto"/>
              </w:rPr>
            </w:pPr>
            <w:r>
              <w:rPr>
                <w:rFonts w:ascii="Arial" w:cs="Arial" w:eastAsia="Arial" w:hAnsi="Arial"/>
                <w:sz w:val="9"/>
                <w:szCs w:val="9"/>
                <w:color w:val="auto"/>
                <w:w w:val="97"/>
              </w:rPr>
              <w:t>2030 &amp; 2034</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Omnicom Group, Inc., Cardinia Real Estate</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220</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East 42nd Street</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2017 &amp; 2032</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Citigroup, N.A.</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485</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Lexington Avenue, 750 Third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7"/>
              </w:rPr>
              <w:t>2017, 2019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800</w:t>
            </w:r>
          </w:p>
        </w:tc>
        <w:tc>
          <w:tcPr>
            <w:tcW w:w="2180" w:type="dxa"/>
            <w:vAlign w:val="bottom"/>
            <w:gridSpan w:val="2"/>
            <w:vMerge w:val="restart"/>
          </w:tcPr>
          <w:p>
            <w:pPr>
              <w:ind w:left="20"/>
              <w:spacing w:after="0"/>
              <w:rPr>
                <w:sz w:val="20"/>
                <w:szCs w:val="20"/>
                <w:color w:val="auto"/>
              </w:rPr>
            </w:pPr>
            <w:r>
              <w:rPr>
                <w:rFonts w:ascii="Arial" w:cs="Arial" w:eastAsia="Arial" w:hAnsi="Arial"/>
                <w:sz w:val="9"/>
                <w:szCs w:val="9"/>
                <w:color w:val="auto"/>
              </w:rPr>
              <w:t>Third Avenue &amp; 750 Washington Blvd</w:t>
            </w:r>
          </w:p>
        </w:tc>
        <w:tc>
          <w:tcPr>
            <w:tcW w:w="600" w:type="dxa"/>
            <w:vAlign w:val="bottom"/>
            <w:vMerge w:val="restart"/>
          </w:tcPr>
          <w:p>
            <w:pPr>
              <w:jc w:val="center"/>
              <w:ind w:left="36"/>
              <w:spacing w:after="0"/>
              <w:rPr>
                <w:sz w:val="20"/>
                <w:szCs w:val="20"/>
                <w:color w:val="auto"/>
              </w:rPr>
            </w:pPr>
            <w:r>
              <w:rPr>
                <w:rFonts w:ascii="Arial" w:cs="Arial" w:eastAsia="Arial" w:hAnsi="Arial"/>
                <w:sz w:val="9"/>
                <w:szCs w:val="9"/>
                <w:color w:val="auto"/>
                <w:w w:val="99"/>
              </w:rPr>
              <w:t>2027</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Ralph Lauren Corporation</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625</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Madison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2019</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Advance Magazine Group, Fairchild Publications</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750</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Third Avenue &amp; 485 Lexington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2021</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C.B.S. Broadcasting, Inc.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555</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West 57th Street</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2023</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Metro-North Commuter Railroad Company</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110</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East 42nd Street &amp; 420 Lexington Avenue</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2021 &amp; 2034</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Schulte, Roth &amp; Zabel LLP</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2036</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9"/>
                <w:szCs w:val="9"/>
                <w:color w:val="auto"/>
              </w:rPr>
              <w:t>Bloomberg LP</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2029</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9"/>
                <w:szCs w:val="9"/>
                <w:color w:val="auto"/>
              </w:rPr>
              <w:t>HF Management Services LLC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100</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Church Street</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2032</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BMW of Manhattan</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555</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West 57th Street</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2022</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The City University of New York - CUNY</w:t>
            </w: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555</w:t>
            </w:r>
          </w:p>
        </w:tc>
        <w:tc>
          <w:tcPr>
            <w:tcW w:w="2180" w:type="dxa"/>
            <w:vAlign w:val="bottom"/>
            <w:gridSpan w:val="2"/>
            <w:vMerge w:val="restart"/>
          </w:tcPr>
          <w:p>
            <w:pPr>
              <w:ind w:left="20"/>
              <w:spacing w:after="0"/>
              <w:rPr>
                <w:sz w:val="20"/>
                <w:szCs w:val="20"/>
                <w:color w:val="auto"/>
              </w:rPr>
            </w:pPr>
            <w:r>
              <w:rPr>
                <w:rFonts w:ascii="Arial" w:cs="Arial" w:eastAsia="Arial" w:hAnsi="Arial"/>
                <w:sz w:val="9"/>
                <w:szCs w:val="9"/>
                <w:color w:val="auto"/>
              </w:rPr>
              <w:t>West 57th Street &amp; 16 Court Street</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7"/>
              </w:rPr>
              <w:t>2020, 2024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600" w:type="dxa"/>
            <w:vAlign w:val="bottom"/>
            <w:vMerge w:val="restart"/>
          </w:tcPr>
          <w:p>
            <w:pPr>
              <w:jc w:val="center"/>
              <w:ind w:left="36"/>
              <w:spacing w:after="0"/>
              <w:rPr>
                <w:sz w:val="20"/>
                <w:szCs w:val="20"/>
                <w:color w:val="auto"/>
              </w:rPr>
            </w:pPr>
            <w:r>
              <w:rPr>
                <w:rFonts w:ascii="Arial" w:cs="Arial" w:eastAsia="Arial" w:hAnsi="Arial"/>
                <w:sz w:val="9"/>
                <w:szCs w:val="9"/>
                <w:color w:val="auto"/>
                <w:w w:val="99"/>
              </w:rPr>
              <w:t>2030</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WME IMG, LLC</w:t>
            </w:r>
          </w:p>
        </w:tc>
        <w:tc>
          <w:tcPr>
            <w:tcW w:w="2420" w:type="dxa"/>
            <w:vAlign w:val="bottom"/>
            <w:gridSpan w:val="3"/>
          </w:tcPr>
          <w:p>
            <w:pPr>
              <w:ind w:left="80"/>
              <w:spacing w:after="0"/>
              <w:rPr>
                <w:sz w:val="20"/>
                <w:szCs w:val="20"/>
                <w:color w:val="auto"/>
              </w:rPr>
            </w:pPr>
            <w:r>
              <w:rPr>
                <w:rFonts w:ascii="Arial" w:cs="Arial" w:eastAsia="Arial" w:hAnsi="Arial"/>
                <w:sz w:val="9"/>
                <w:szCs w:val="9"/>
                <w:color w:val="auto"/>
              </w:rPr>
              <w:t>11 Madison Avenue &amp; 304 Park Avenue</w:t>
            </w:r>
          </w:p>
        </w:tc>
        <w:tc>
          <w:tcPr>
            <w:tcW w:w="600" w:type="dxa"/>
            <w:vAlign w:val="bottom"/>
          </w:tcPr>
          <w:p>
            <w:pPr>
              <w:jc w:val="center"/>
              <w:ind w:left="16"/>
              <w:spacing w:after="0"/>
              <w:rPr>
                <w:sz w:val="20"/>
                <w:szCs w:val="20"/>
                <w:color w:val="auto"/>
              </w:rPr>
            </w:pPr>
            <w:r>
              <w:rPr>
                <w:rFonts w:ascii="Arial" w:cs="Arial" w:eastAsia="Arial" w:hAnsi="Arial"/>
                <w:sz w:val="9"/>
                <w:szCs w:val="9"/>
                <w:color w:val="auto"/>
                <w:w w:val="97"/>
              </w:rPr>
              <w:t>2028 &amp; 2030</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Bloomingdales, Inc.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919</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2024</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Newmark &amp; Company Real Estate Inc.</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125</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Park Avenue, 110 East 42nd Street &amp;</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7"/>
              </w:rPr>
              <w:t>2016, 2026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680</w:t>
            </w:r>
          </w:p>
        </w:tc>
        <w:tc>
          <w:tcPr>
            <w:tcW w:w="2180" w:type="dxa"/>
            <w:vAlign w:val="bottom"/>
            <w:gridSpan w:val="2"/>
            <w:vMerge w:val="restart"/>
          </w:tcPr>
          <w:p>
            <w:pPr>
              <w:ind w:left="20"/>
              <w:spacing w:after="0"/>
              <w:rPr>
                <w:sz w:val="20"/>
                <w:szCs w:val="20"/>
                <w:color w:val="auto"/>
              </w:rPr>
            </w:pPr>
            <w:r>
              <w:rPr>
                <w:rFonts w:ascii="Arial" w:cs="Arial" w:eastAsia="Arial" w:hAnsi="Arial"/>
                <w:sz w:val="9"/>
                <w:szCs w:val="9"/>
                <w:color w:val="auto"/>
              </w:rPr>
              <w:t>Washington Blvd</w:t>
            </w:r>
          </w:p>
        </w:tc>
        <w:tc>
          <w:tcPr>
            <w:tcW w:w="600" w:type="dxa"/>
            <w:vAlign w:val="bottom"/>
            <w:vMerge w:val="restart"/>
          </w:tcPr>
          <w:p>
            <w:pPr>
              <w:jc w:val="center"/>
              <w:ind w:left="36"/>
              <w:spacing w:after="0"/>
              <w:rPr>
                <w:sz w:val="20"/>
                <w:szCs w:val="20"/>
                <w:color w:val="auto"/>
              </w:rPr>
            </w:pPr>
            <w:r>
              <w:rPr>
                <w:rFonts w:ascii="Arial" w:cs="Arial" w:eastAsia="Arial" w:hAnsi="Arial"/>
                <w:sz w:val="9"/>
                <w:szCs w:val="9"/>
                <w:color w:val="auto"/>
                <w:w w:val="99"/>
              </w:rPr>
              <w:t>2031</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Amerada Hess Corp.</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1185</w:t>
            </w:r>
          </w:p>
        </w:tc>
        <w:tc>
          <w:tcPr>
            <w:tcW w:w="2120" w:type="dxa"/>
            <w:vAlign w:val="bottom"/>
          </w:tcPr>
          <w:p>
            <w:pPr>
              <w:spacing w:after="0"/>
              <w:rPr>
                <w:sz w:val="20"/>
                <w:szCs w:val="20"/>
                <w:color w:val="auto"/>
              </w:rPr>
            </w:pPr>
            <w:r>
              <w:rPr>
                <w:rFonts w:ascii="Arial" w:cs="Arial" w:eastAsia="Arial" w:hAnsi="Arial"/>
                <w:sz w:val="9"/>
                <w:szCs w:val="9"/>
                <w:color w:val="auto"/>
              </w:rPr>
              <w:t>Avenue of the Americas</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2027</w:t>
            </w: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The Travelers Indemnity Company</w:t>
            </w:r>
          </w:p>
        </w:tc>
        <w:tc>
          <w:tcPr>
            <w:tcW w:w="240" w:type="dxa"/>
            <w:vAlign w:val="bottom"/>
          </w:tcPr>
          <w:p>
            <w:pPr>
              <w:ind w:left="80"/>
              <w:spacing w:after="0"/>
              <w:rPr>
                <w:sz w:val="20"/>
                <w:szCs w:val="20"/>
                <w:color w:val="auto"/>
              </w:rPr>
            </w:pPr>
            <w:r>
              <w:rPr>
                <w:rFonts w:ascii="Arial" w:cs="Arial" w:eastAsia="Arial" w:hAnsi="Arial"/>
                <w:sz w:val="9"/>
                <w:szCs w:val="9"/>
                <w:color w:val="auto"/>
                <w:w w:val="92"/>
              </w:rPr>
              <w:t>485</w:t>
            </w:r>
          </w:p>
        </w:tc>
        <w:tc>
          <w:tcPr>
            <w:tcW w:w="2180" w:type="dxa"/>
            <w:vAlign w:val="bottom"/>
            <w:gridSpan w:val="2"/>
          </w:tcPr>
          <w:p>
            <w:pPr>
              <w:ind w:left="20"/>
              <w:spacing w:after="0"/>
              <w:rPr>
                <w:sz w:val="20"/>
                <w:szCs w:val="20"/>
                <w:color w:val="auto"/>
              </w:rPr>
            </w:pPr>
            <w:r>
              <w:rPr>
                <w:rFonts w:ascii="Arial" w:cs="Arial" w:eastAsia="Arial" w:hAnsi="Arial"/>
                <w:sz w:val="9"/>
                <w:szCs w:val="9"/>
                <w:color w:val="auto"/>
              </w:rPr>
              <w:t>Lexington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2021</w:t>
            </w:r>
          </w:p>
        </w:tc>
        <w:tc>
          <w:tcPr>
            <w:tcW w:w="0" w:type="dxa"/>
            <w:vAlign w:val="bottom"/>
          </w:tcPr>
          <w:p>
            <w:pPr>
              <w:spacing w:after="0"/>
              <w:rPr>
                <w:sz w:val="1"/>
                <w:szCs w:val="1"/>
                <w:color w:val="auto"/>
              </w:rPr>
            </w:pPr>
          </w:p>
        </w:tc>
      </w:tr>
      <w:tr>
        <w:trPr>
          <w:trHeight w:val="157"/>
        </w:trPr>
        <w:tc>
          <w:tcPr>
            <w:tcW w:w="1980" w:type="dxa"/>
            <w:vAlign w:val="bottom"/>
            <w:vMerge w:val="restart"/>
          </w:tcPr>
          <w:p>
            <w:pPr>
              <w:spacing w:after="0"/>
              <w:rPr>
                <w:sz w:val="20"/>
                <w:szCs w:val="20"/>
                <w:color w:val="auto"/>
              </w:rPr>
            </w:pPr>
            <w:r>
              <w:rPr>
                <w:rFonts w:ascii="Arial" w:cs="Arial" w:eastAsia="Arial" w:hAnsi="Arial"/>
                <w:sz w:val="9"/>
                <w:szCs w:val="9"/>
                <w:color w:val="auto"/>
              </w:rPr>
              <w:t>United Nations</w:t>
            </w:r>
          </w:p>
        </w:tc>
        <w:tc>
          <w:tcPr>
            <w:tcW w:w="240" w:type="dxa"/>
            <w:vAlign w:val="bottom"/>
            <w:vMerge w:val="restart"/>
          </w:tcPr>
          <w:p>
            <w:pPr>
              <w:ind w:left="80"/>
              <w:spacing w:after="0"/>
              <w:rPr>
                <w:sz w:val="20"/>
                <w:szCs w:val="20"/>
                <w:color w:val="auto"/>
              </w:rPr>
            </w:pPr>
            <w:r>
              <w:rPr>
                <w:rFonts w:ascii="Arial" w:cs="Arial" w:eastAsia="Arial" w:hAnsi="Arial"/>
                <w:sz w:val="9"/>
                <w:szCs w:val="9"/>
                <w:color w:val="auto"/>
                <w:w w:val="92"/>
              </w:rPr>
              <w:t>220</w:t>
            </w:r>
          </w:p>
        </w:tc>
        <w:tc>
          <w:tcPr>
            <w:tcW w:w="2180" w:type="dxa"/>
            <w:vAlign w:val="bottom"/>
            <w:gridSpan w:val="2"/>
            <w:vMerge w:val="restart"/>
          </w:tcPr>
          <w:p>
            <w:pPr>
              <w:ind w:left="20"/>
              <w:spacing w:after="0"/>
              <w:rPr>
                <w:sz w:val="20"/>
                <w:szCs w:val="20"/>
                <w:color w:val="auto"/>
              </w:rPr>
            </w:pPr>
            <w:r>
              <w:rPr>
                <w:rFonts w:ascii="Arial" w:cs="Arial" w:eastAsia="Arial" w:hAnsi="Arial"/>
                <w:sz w:val="9"/>
                <w:szCs w:val="9"/>
                <w:color w:val="auto"/>
              </w:rPr>
              <w:t>East 42nd Street</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7"/>
              </w:rPr>
              <w:t>2017, 2021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0" w:type="dxa"/>
            <w:vAlign w:val="bottom"/>
            <w:vMerge w:val="continue"/>
          </w:tcPr>
          <w:p>
            <w:pPr>
              <w:spacing w:after="0"/>
              <w:rPr>
                <w:sz w:val="4"/>
                <w:szCs w:val="4"/>
                <w:color w:val="auto"/>
              </w:rPr>
            </w:pPr>
          </w:p>
        </w:tc>
        <w:tc>
          <w:tcPr>
            <w:tcW w:w="2180" w:type="dxa"/>
            <w:vAlign w:val="bottom"/>
            <w:gridSpan w:val="2"/>
            <w:vMerge w:val="continue"/>
          </w:tcPr>
          <w:p>
            <w:pPr>
              <w:spacing w:after="0"/>
              <w:rPr>
                <w:sz w:val="4"/>
                <w:szCs w:val="4"/>
                <w:color w:val="auto"/>
              </w:rPr>
            </w:pPr>
          </w:p>
        </w:tc>
        <w:tc>
          <w:tcPr>
            <w:tcW w:w="600" w:type="dxa"/>
            <w:vAlign w:val="bottom"/>
            <w:vMerge w:val="restart"/>
          </w:tcPr>
          <w:p>
            <w:pPr>
              <w:jc w:val="center"/>
              <w:ind w:left="36"/>
              <w:spacing w:after="0"/>
              <w:rPr>
                <w:sz w:val="20"/>
                <w:szCs w:val="20"/>
                <w:color w:val="auto"/>
              </w:rPr>
            </w:pPr>
            <w:r>
              <w:rPr>
                <w:rFonts w:ascii="Arial" w:cs="Arial" w:eastAsia="Arial" w:hAnsi="Arial"/>
                <w:sz w:val="9"/>
                <w:szCs w:val="9"/>
                <w:color w:val="auto"/>
                <w:w w:val="99"/>
              </w:rPr>
              <w:t>2022</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1980" w:type="dxa"/>
            <w:vAlign w:val="bottom"/>
          </w:tcPr>
          <w:p>
            <w:pPr>
              <w:spacing w:after="0"/>
              <w:rPr>
                <w:sz w:val="20"/>
                <w:szCs w:val="20"/>
                <w:color w:val="auto"/>
              </w:rPr>
            </w:pPr>
            <w:r>
              <w:rPr>
                <w:rFonts w:ascii="Arial" w:cs="Arial" w:eastAsia="Arial" w:hAnsi="Arial"/>
                <w:sz w:val="9"/>
                <w:szCs w:val="9"/>
                <w:color w:val="auto"/>
              </w:rPr>
              <w:t>RSM McGladrey, Inc.</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1185</w:t>
            </w:r>
          </w:p>
        </w:tc>
        <w:tc>
          <w:tcPr>
            <w:tcW w:w="2120" w:type="dxa"/>
            <w:vAlign w:val="bottom"/>
          </w:tcPr>
          <w:p>
            <w:pPr>
              <w:spacing w:after="0"/>
              <w:rPr>
                <w:sz w:val="20"/>
                <w:szCs w:val="20"/>
                <w:color w:val="auto"/>
              </w:rPr>
            </w:pPr>
            <w:r>
              <w:rPr>
                <w:rFonts w:ascii="Arial" w:cs="Arial" w:eastAsia="Arial" w:hAnsi="Arial"/>
                <w:sz w:val="9"/>
                <w:szCs w:val="9"/>
                <w:color w:val="auto"/>
              </w:rPr>
              <w:t>Avenue of the Americas</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2018</w:t>
            </w:r>
          </w:p>
        </w:tc>
        <w:tc>
          <w:tcPr>
            <w:tcW w:w="0" w:type="dxa"/>
            <w:vAlign w:val="bottom"/>
          </w:tcPr>
          <w:p>
            <w:pPr>
              <w:spacing w:after="0"/>
              <w:rPr>
                <w:sz w:val="1"/>
                <w:szCs w:val="1"/>
                <w:color w:val="auto"/>
              </w:rPr>
            </w:pPr>
          </w:p>
        </w:tc>
      </w:tr>
      <w:tr>
        <w:trPr>
          <w:trHeight w:val="179"/>
        </w:trPr>
        <w:tc>
          <w:tcPr>
            <w:tcW w:w="1980" w:type="dxa"/>
            <w:vAlign w:val="bottom"/>
            <w:vMerge w:val="restart"/>
          </w:tcPr>
          <w:p>
            <w:pPr>
              <w:spacing w:after="0"/>
              <w:rPr>
                <w:sz w:val="20"/>
                <w:szCs w:val="20"/>
                <w:color w:val="auto"/>
              </w:rPr>
            </w:pPr>
            <w:r>
              <w:rPr>
                <w:rFonts w:ascii="Arial" w:cs="Arial" w:eastAsia="Arial" w:hAnsi="Arial"/>
                <w:sz w:val="9"/>
                <w:szCs w:val="9"/>
                <w:color w:val="auto"/>
              </w:rPr>
              <w:t>Verizon</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1100</w:t>
            </w:r>
          </w:p>
        </w:tc>
        <w:tc>
          <w:tcPr>
            <w:tcW w:w="2120" w:type="dxa"/>
            <w:vAlign w:val="bottom"/>
          </w:tcPr>
          <w:p>
            <w:pPr>
              <w:spacing w:after="0"/>
              <w:rPr>
                <w:sz w:val="20"/>
                <w:szCs w:val="20"/>
                <w:color w:val="auto"/>
              </w:rPr>
            </w:pPr>
            <w:r>
              <w:rPr>
                <w:rFonts w:ascii="Arial" w:cs="Arial" w:eastAsia="Arial" w:hAnsi="Arial"/>
                <w:sz w:val="9"/>
                <w:szCs w:val="9"/>
                <w:color w:val="auto"/>
              </w:rPr>
              <w:t>King Street Bldg 1, 1 Landmark Square, 2 Landmark</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7"/>
              </w:rPr>
              <w:t>2018, 2019 &amp;</w:t>
            </w:r>
          </w:p>
        </w:tc>
        <w:tc>
          <w:tcPr>
            <w:tcW w:w="0" w:type="dxa"/>
            <w:vAlign w:val="bottom"/>
          </w:tcPr>
          <w:p>
            <w:pPr>
              <w:spacing w:after="0"/>
              <w:rPr>
                <w:sz w:val="1"/>
                <w:szCs w:val="1"/>
                <w:color w:val="auto"/>
              </w:rPr>
            </w:pPr>
          </w:p>
        </w:tc>
      </w:tr>
      <w:tr>
        <w:trPr>
          <w:trHeight w:val="50"/>
        </w:trPr>
        <w:tc>
          <w:tcPr>
            <w:tcW w:w="1980" w:type="dxa"/>
            <w:vAlign w:val="bottom"/>
            <w:vMerge w:val="continue"/>
          </w:tcPr>
          <w:p>
            <w:pPr>
              <w:spacing w:after="0"/>
              <w:rPr>
                <w:sz w:val="4"/>
                <w:szCs w:val="4"/>
                <w:color w:val="auto"/>
              </w:rPr>
            </w:pPr>
          </w:p>
        </w:tc>
        <w:tc>
          <w:tcPr>
            <w:tcW w:w="2420" w:type="dxa"/>
            <w:vAlign w:val="bottom"/>
            <w:gridSpan w:val="3"/>
            <w:vMerge w:val="restart"/>
          </w:tcPr>
          <w:p>
            <w:pPr>
              <w:ind w:left="80"/>
              <w:spacing w:after="0"/>
              <w:rPr>
                <w:sz w:val="20"/>
                <w:szCs w:val="20"/>
                <w:color w:val="auto"/>
              </w:rPr>
            </w:pPr>
            <w:r>
              <w:rPr>
                <w:rFonts w:ascii="Arial" w:cs="Arial" w:eastAsia="Arial" w:hAnsi="Arial"/>
                <w:sz w:val="9"/>
                <w:szCs w:val="9"/>
                <w:color w:val="auto"/>
              </w:rPr>
              <w:t>Square &amp; 500 Summit Lake Drive</w:t>
            </w:r>
          </w:p>
        </w:tc>
        <w:tc>
          <w:tcPr>
            <w:tcW w:w="600" w:type="dxa"/>
            <w:vAlign w:val="bottom"/>
            <w:vMerge w:val="restart"/>
          </w:tcPr>
          <w:p>
            <w:pPr>
              <w:jc w:val="center"/>
              <w:ind w:left="36"/>
              <w:spacing w:after="0"/>
              <w:rPr>
                <w:sz w:val="20"/>
                <w:szCs w:val="20"/>
                <w:color w:val="auto"/>
              </w:rPr>
            </w:pPr>
            <w:r>
              <w:rPr>
                <w:rFonts w:ascii="Arial" w:cs="Arial" w:eastAsia="Arial" w:hAnsi="Arial"/>
                <w:sz w:val="9"/>
                <w:szCs w:val="9"/>
                <w:color w:val="auto"/>
                <w:w w:val="99"/>
              </w:rPr>
              <w:t>2026</w:t>
            </w:r>
          </w:p>
        </w:tc>
        <w:tc>
          <w:tcPr>
            <w:tcW w:w="0" w:type="dxa"/>
            <w:vAlign w:val="bottom"/>
          </w:tcPr>
          <w:p>
            <w:pPr>
              <w:spacing w:after="0"/>
              <w:rPr>
                <w:sz w:val="1"/>
                <w:szCs w:val="1"/>
                <w:color w:val="auto"/>
              </w:rPr>
            </w:pPr>
          </w:p>
        </w:tc>
      </w:tr>
      <w:tr>
        <w:trPr>
          <w:trHeight w:val="55"/>
        </w:trPr>
        <w:tc>
          <w:tcPr>
            <w:tcW w:w="1980" w:type="dxa"/>
            <w:vAlign w:val="bottom"/>
          </w:tcPr>
          <w:p>
            <w:pPr>
              <w:spacing w:after="0"/>
              <w:rPr>
                <w:sz w:val="4"/>
                <w:szCs w:val="4"/>
                <w:color w:val="auto"/>
              </w:rPr>
            </w:pPr>
          </w:p>
        </w:tc>
        <w:tc>
          <w:tcPr>
            <w:tcW w:w="242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1980" w:type="dxa"/>
            <w:vAlign w:val="bottom"/>
          </w:tcPr>
          <w:p>
            <w:pPr>
              <w:spacing w:after="0"/>
              <w:rPr>
                <w:sz w:val="20"/>
                <w:szCs w:val="20"/>
                <w:color w:val="auto"/>
              </w:rPr>
            </w:pPr>
            <w:r>
              <w:rPr>
                <w:rFonts w:ascii="Arial" w:cs="Arial" w:eastAsia="Arial" w:hAnsi="Arial"/>
                <w:sz w:val="9"/>
                <w:szCs w:val="9"/>
                <w:color w:val="auto"/>
              </w:rPr>
              <w:t>News America Incorporated</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1185</w:t>
            </w:r>
          </w:p>
        </w:tc>
        <w:tc>
          <w:tcPr>
            <w:tcW w:w="2120" w:type="dxa"/>
            <w:vAlign w:val="bottom"/>
          </w:tcPr>
          <w:p>
            <w:pPr>
              <w:spacing w:after="0"/>
              <w:rPr>
                <w:sz w:val="20"/>
                <w:szCs w:val="20"/>
                <w:color w:val="auto"/>
              </w:rPr>
            </w:pPr>
            <w:r>
              <w:rPr>
                <w:rFonts w:ascii="Arial" w:cs="Arial" w:eastAsia="Arial" w:hAnsi="Arial"/>
                <w:sz w:val="9"/>
                <w:szCs w:val="9"/>
                <w:color w:val="auto"/>
              </w:rPr>
              <w:t>Avenue of the Americas</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2020</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King &amp; Spalding</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1185</w:t>
            </w:r>
          </w:p>
        </w:tc>
        <w:tc>
          <w:tcPr>
            <w:tcW w:w="2120" w:type="dxa"/>
            <w:vAlign w:val="bottom"/>
          </w:tcPr>
          <w:p>
            <w:pPr>
              <w:spacing w:after="0"/>
              <w:rPr>
                <w:sz w:val="20"/>
                <w:szCs w:val="20"/>
                <w:color w:val="auto"/>
              </w:rPr>
            </w:pPr>
            <w:r>
              <w:rPr>
                <w:rFonts w:ascii="Arial" w:cs="Arial" w:eastAsia="Arial" w:hAnsi="Arial"/>
                <w:sz w:val="9"/>
                <w:szCs w:val="9"/>
                <w:color w:val="auto"/>
              </w:rPr>
              <w:t>Avenue of the Americas</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2025</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Young &amp; Rubicam, Inc.</w:t>
            </w:r>
          </w:p>
        </w:tc>
        <w:tc>
          <w:tcPr>
            <w:tcW w:w="2420" w:type="dxa"/>
            <w:vAlign w:val="bottom"/>
            <w:gridSpan w:val="3"/>
          </w:tcPr>
          <w:p>
            <w:pPr>
              <w:ind w:left="80"/>
              <w:spacing w:after="0"/>
              <w:rPr>
                <w:sz w:val="20"/>
                <w:szCs w:val="20"/>
                <w:color w:val="auto"/>
              </w:rPr>
            </w:pPr>
            <w:r>
              <w:rPr>
                <w:rFonts w:ascii="Arial" w:cs="Arial" w:eastAsia="Arial" w:hAnsi="Arial"/>
                <w:sz w:val="9"/>
                <w:szCs w:val="9"/>
                <w:color w:val="auto"/>
              </w:rPr>
              <w:t>3 Columbus Circle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2033</w:t>
            </w:r>
          </w:p>
        </w:tc>
        <w:tc>
          <w:tcPr>
            <w:tcW w:w="0" w:type="dxa"/>
            <w:vAlign w:val="bottom"/>
          </w:tcPr>
          <w:p>
            <w:pPr>
              <w:spacing w:after="0"/>
              <w:rPr>
                <w:sz w:val="1"/>
                <w:szCs w:val="1"/>
                <w:color w:val="auto"/>
              </w:rPr>
            </w:pPr>
          </w:p>
        </w:tc>
      </w:tr>
      <w:tr>
        <w:trPr>
          <w:trHeight w:val="197"/>
        </w:trPr>
        <w:tc>
          <w:tcPr>
            <w:tcW w:w="1980" w:type="dxa"/>
            <w:vAlign w:val="bottom"/>
          </w:tcPr>
          <w:p>
            <w:pPr>
              <w:spacing w:after="0"/>
              <w:rPr>
                <w:sz w:val="20"/>
                <w:szCs w:val="20"/>
                <w:color w:val="auto"/>
              </w:rPr>
            </w:pPr>
            <w:r>
              <w:rPr>
                <w:rFonts w:ascii="Arial" w:cs="Arial" w:eastAsia="Arial" w:hAnsi="Arial"/>
                <w:sz w:val="9"/>
                <w:szCs w:val="9"/>
                <w:color w:val="auto"/>
              </w:rPr>
              <w:t>Yelp, Inc.</w:t>
            </w:r>
          </w:p>
        </w:tc>
        <w:tc>
          <w:tcPr>
            <w:tcW w:w="2420" w:type="dxa"/>
            <w:vAlign w:val="bottom"/>
            <w:gridSpan w:val="3"/>
          </w:tcPr>
          <w:p>
            <w:pPr>
              <w:ind w:left="80"/>
              <w:spacing w:after="0"/>
              <w:rPr>
                <w:sz w:val="20"/>
                <w:szCs w:val="20"/>
                <w:color w:val="auto"/>
              </w:rPr>
            </w:pPr>
            <w:r>
              <w:rPr>
                <w:rFonts w:ascii="Arial" w:cs="Arial" w:eastAsia="Arial" w:hAnsi="Arial"/>
                <w:sz w:val="9"/>
                <w:szCs w:val="9"/>
                <w:color w:val="auto"/>
              </w:rPr>
              <w:t>11 Madison Avenue</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2025</w:t>
            </w:r>
          </w:p>
        </w:tc>
        <w:tc>
          <w:tcPr>
            <w:tcW w:w="0" w:type="dxa"/>
            <w:vAlign w:val="bottom"/>
          </w:tcPr>
          <w:p>
            <w:pPr>
              <w:spacing w:after="0"/>
              <w:rPr>
                <w:sz w:val="1"/>
                <w:szCs w:val="1"/>
                <w:color w:val="auto"/>
              </w:rPr>
            </w:pPr>
          </w:p>
        </w:tc>
      </w:tr>
      <w:tr>
        <w:trPr>
          <w:trHeight w:val="219"/>
        </w:trPr>
        <w:tc>
          <w:tcPr>
            <w:tcW w:w="1980" w:type="dxa"/>
            <w:vAlign w:val="bottom"/>
          </w:tcPr>
          <w:p>
            <w:pPr>
              <w:spacing w:after="0"/>
              <w:rPr>
                <w:sz w:val="20"/>
                <w:szCs w:val="20"/>
                <w:color w:val="auto"/>
              </w:rPr>
            </w:pPr>
            <w:r>
              <w:rPr>
                <w:rFonts w:ascii="Arial" w:cs="Arial" w:eastAsia="Arial" w:hAnsi="Arial"/>
                <w:sz w:val="9"/>
                <w:szCs w:val="9"/>
                <w:color w:val="auto"/>
              </w:rPr>
              <w:t>National Hockey League</w:t>
            </w:r>
          </w:p>
        </w:tc>
        <w:tc>
          <w:tcPr>
            <w:tcW w:w="300" w:type="dxa"/>
            <w:vAlign w:val="bottom"/>
            <w:gridSpan w:val="2"/>
          </w:tcPr>
          <w:p>
            <w:pPr>
              <w:ind w:left="80"/>
              <w:spacing w:after="0"/>
              <w:rPr>
                <w:sz w:val="20"/>
                <w:szCs w:val="20"/>
                <w:color w:val="auto"/>
              </w:rPr>
            </w:pPr>
            <w:r>
              <w:rPr>
                <w:rFonts w:ascii="Arial" w:cs="Arial" w:eastAsia="Arial" w:hAnsi="Arial"/>
                <w:sz w:val="9"/>
                <w:szCs w:val="9"/>
                <w:color w:val="auto"/>
                <w:w w:val="99"/>
              </w:rPr>
              <w:t>1185</w:t>
            </w:r>
          </w:p>
        </w:tc>
        <w:tc>
          <w:tcPr>
            <w:tcW w:w="2120" w:type="dxa"/>
            <w:vAlign w:val="bottom"/>
          </w:tcPr>
          <w:p>
            <w:pPr>
              <w:spacing w:after="0"/>
              <w:rPr>
                <w:sz w:val="20"/>
                <w:szCs w:val="20"/>
                <w:color w:val="auto"/>
              </w:rPr>
            </w:pPr>
            <w:r>
              <w:rPr>
                <w:rFonts w:ascii="Arial" w:cs="Arial" w:eastAsia="Arial" w:hAnsi="Arial"/>
                <w:sz w:val="9"/>
                <w:szCs w:val="9"/>
                <w:color w:val="auto"/>
              </w:rPr>
              <w:t>Avenue of the Americas</w:t>
            </w:r>
          </w:p>
        </w:tc>
        <w:tc>
          <w:tcPr>
            <w:tcW w:w="600" w:type="dxa"/>
            <w:vAlign w:val="bottom"/>
          </w:tcPr>
          <w:p>
            <w:pPr>
              <w:jc w:val="center"/>
              <w:ind w:left="36"/>
              <w:spacing w:after="0"/>
              <w:rPr>
                <w:sz w:val="20"/>
                <w:szCs w:val="20"/>
                <w:color w:val="auto"/>
              </w:rPr>
            </w:pPr>
            <w:r>
              <w:rPr>
                <w:rFonts w:ascii="Arial" w:cs="Arial" w:eastAsia="Arial" w:hAnsi="Arial"/>
                <w:sz w:val="9"/>
                <w:szCs w:val="9"/>
                <w:color w:val="auto"/>
                <w:w w:val="99"/>
              </w:rPr>
              <w:t>2022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2,401,307</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 xml:space="preserve">$ 125,968 </w:t>
            </w:r>
            <w:r>
              <w:rPr>
                <w:rFonts w:ascii="Arial" w:cs="Arial" w:eastAsia="Arial" w:hAnsi="Arial"/>
                <w:sz w:val="5"/>
                <w:szCs w:val="5"/>
                <w:color w:val="auto"/>
              </w:rPr>
              <w:t>(2)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$52.46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7.9%</w:t>
            </w:r>
          </w:p>
        </w:tc>
        <w:tc>
          <w:tcPr>
            <w:tcW w:w="34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102,150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7.8%</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A</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1,330,735</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89,080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$66.94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5.6%</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89,080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6.8%</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175"/>
        </w:trPr>
        <w:tc>
          <w:tcPr>
            <w:tcW w:w="820" w:type="dxa"/>
            <w:vAlign w:val="bottom"/>
          </w:tcPr>
          <w:p>
            <w:pPr>
              <w:jc w:val="right"/>
              <w:ind w:right="76"/>
              <w:spacing w:after="0"/>
              <w:rPr>
                <w:sz w:val="20"/>
                <w:szCs w:val="20"/>
                <w:color w:val="auto"/>
              </w:rPr>
            </w:pPr>
            <w:r>
              <w:rPr>
                <w:rFonts w:ascii="Arial" w:cs="Arial" w:eastAsia="Arial" w:hAnsi="Arial"/>
                <w:sz w:val="9"/>
                <w:szCs w:val="9"/>
                <w:color w:val="auto"/>
              </w:rPr>
              <w:t>644,598</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43,512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$67.50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2.7%</w:t>
            </w:r>
          </w:p>
        </w:tc>
        <w:tc>
          <w:tcPr>
            <w:tcW w:w="3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24,745</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1.9%</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175"/>
        </w:trPr>
        <w:tc>
          <w:tcPr>
            <w:tcW w:w="820" w:type="dxa"/>
            <w:vAlign w:val="bottom"/>
          </w:tcPr>
          <w:p>
            <w:pPr>
              <w:jc w:val="right"/>
              <w:ind w:right="76"/>
              <w:spacing w:after="0"/>
              <w:rPr>
                <w:sz w:val="20"/>
                <w:szCs w:val="20"/>
                <w:color w:val="auto"/>
              </w:rPr>
            </w:pPr>
            <w:r>
              <w:rPr>
                <w:rFonts w:ascii="Arial" w:cs="Arial" w:eastAsia="Arial" w:hAnsi="Arial"/>
                <w:sz w:val="9"/>
                <w:szCs w:val="9"/>
                <w:color w:val="auto"/>
              </w:rPr>
              <w:t>578,791</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42,857</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$74.05</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2.7%</w:t>
            </w:r>
          </w:p>
        </w:tc>
        <w:tc>
          <w:tcPr>
            <w:tcW w:w="3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25,714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2.0%</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575,324</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44,407</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$77.19</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2.8%</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22,648</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1.7%</w:t>
            </w:r>
          </w:p>
        </w:tc>
        <w:tc>
          <w:tcPr>
            <w:tcW w:w="520" w:type="dxa"/>
            <w:vAlign w:val="bottom"/>
          </w:tcPr>
          <w:p>
            <w:pPr>
              <w:spacing w:after="0"/>
              <w:rPr>
                <w:sz w:val="17"/>
                <w:szCs w:val="17"/>
                <w:color w:val="auto"/>
              </w:rPr>
            </w:pPr>
          </w:p>
        </w:tc>
      </w:tr>
      <w:tr>
        <w:trPr>
          <w:trHeight w:val="229"/>
        </w:trPr>
        <w:tc>
          <w:tcPr>
            <w:tcW w:w="820" w:type="dxa"/>
            <w:vAlign w:val="bottom"/>
          </w:tcPr>
          <w:p>
            <w:pPr>
              <w:jc w:val="right"/>
              <w:ind w:right="76"/>
              <w:spacing w:after="0"/>
              <w:rPr>
                <w:sz w:val="20"/>
                <w:szCs w:val="20"/>
                <w:color w:val="auto"/>
              </w:rPr>
            </w:pPr>
            <w:r>
              <w:rPr>
                <w:rFonts w:ascii="Arial" w:cs="Arial" w:eastAsia="Arial" w:hAnsi="Arial"/>
                <w:sz w:val="9"/>
                <w:szCs w:val="9"/>
                <w:color w:val="auto"/>
              </w:rPr>
              <w:t>554,694</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19,759</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$35.62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1.2%</w:t>
            </w:r>
          </w:p>
        </w:tc>
        <w:tc>
          <w:tcPr>
            <w:tcW w:w="3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19,759</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1.5%</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Aa2</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403,457</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17,752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$44.00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17,752</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1.3%</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388,753</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23,032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$59.25</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1.4%</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20,942</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1.6%</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385,325</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28,916</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$75.04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1.8%</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28,916</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2.2%</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A</w:t>
            </w: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339,195</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17,800</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$52.48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17,800</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1.4%</w:t>
            </w:r>
          </w:p>
        </w:tc>
        <w:tc>
          <w:tcPr>
            <w:tcW w:w="520" w:type="dxa"/>
            <w:vAlign w:val="bottom"/>
          </w:tcPr>
          <w:p>
            <w:pPr>
              <w:spacing w:after="0"/>
              <w:rPr>
                <w:sz w:val="17"/>
                <w:szCs w:val="17"/>
                <w:color w:val="auto"/>
              </w:rPr>
            </w:pP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338,527</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15,023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$44.38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15,023</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1.1%</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BBB</w:t>
            </w:r>
          </w:p>
        </w:tc>
      </w:tr>
      <w:tr>
        <w:trPr>
          <w:trHeight w:val="175"/>
        </w:trPr>
        <w:tc>
          <w:tcPr>
            <w:tcW w:w="820" w:type="dxa"/>
            <w:vAlign w:val="bottom"/>
          </w:tcPr>
          <w:p>
            <w:pPr>
              <w:jc w:val="right"/>
              <w:ind w:right="76"/>
              <w:spacing w:after="0"/>
              <w:rPr>
                <w:sz w:val="20"/>
                <w:szCs w:val="20"/>
                <w:color w:val="auto"/>
              </w:rPr>
            </w:pPr>
            <w:r>
              <w:rPr>
                <w:rFonts w:ascii="Arial" w:cs="Arial" w:eastAsia="Arial" w:hAnsi="Arial"/>
                <w:sz w:val="9"/>
                <w:szCs w:val="9"/>
                <w:color w:val="auto"/>
              </w:rPr>
              <w:t>328,957</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17,371</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$52.80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1.1%</w:t>
            </w:r>
          </w:p>
        </w:tc>
        <w:tc>
          <w:tcPr>
            <w:tcW w:w="3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17,371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1.3%</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Aa2</w:t>
            </w: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263,186</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18,773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$71.33</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1.2%</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9,574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0.7%</w:t>
            </w:r>
          </w:p>
        </w:tc>
        <w:tc>
          <w:tcPr>
            <w:tcW w:w="520" w:type="dxa"/>
            <w:vAlign w:val="bottom"/>
          </w:tcPr>
          <w:p>
            <w:pPr>
              <w:spacing w:after="0"/>
              <w:rPr>
                <w:sz w:val="17"/>
                <w:szCs w:val="17"/>
                <w:color w:val="auto"/>
              </w:rPr>
            </w:pPr>
          </w:p>
        </w:tc>
      </w:tr>
      <w:tr>
        <w:trPr>
          <w:trHeight w:val="219"/>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256,107</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14,213</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$55.50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3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7,249</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0.6%</w:t>
            </w:r>
          </w:p>
        </w:tc>
        <w:tc>
          <w:tcPr>
            <w:tcW w:w="520" w:type="dxa"/>
            <w:vAlign w:val="bottom"/>
          </w:tcPr>
          <w:p>
            <w:pPr>
              <w:spacing w:after="0"/>
              <w:rPr>
                <w:sz w:val="19"/>
                <w:szCs w:val="19"/>
                <w:color w:val="auto"/>
              </w:rPr>
            </w:pPr>
          </w:p>
        </w:tc>
      </w:tr>
      <w:tr>
        <w:trPr>
          <w:trHeight w:val="219"/>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230,394</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7,802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$33.86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0.5%</w:t>
            </w:r>
          </w:p>
        </w:tc>
        <w:tc>
          <w:tcPr>
            <w:tcW w:w="3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7,802</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0.6%</w:t>
            </w:r>
          </w:p>
        </w:tc>
        <w:tc>
          <w:tcPr>
            <w:tcW w:w="520" w:type="dxa"/>
            <w:vAlign w:val="bottom"/>
          </w:tcPr>
          <w:p>
            <w:pPr>
              <w:spacing w:after="0"/>
              <w:rPr>
                <w:sz w:val="19"/>
                <w:szCs w:val="19"/>
                <w:color w:val="auto"/>
              </w:rPr>
            </w:pP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227,782</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6,964</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$30.57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0.4%</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6,964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0.5%</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rPr>
              <w:t>A+</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227,622</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9,532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$41.88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0.6%</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9,532</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0.7%</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Aa2</w:t>
            </w:r>
          </w:p>
        </w:tc>
      </w:tr>
      <w:tr>
        <w:trPr>
          <w:trHeight w:val="229"/>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214,707</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16,232</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$75.60</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1.0%</w:t>
            </w:r>
          </w:p>
        </w:tc>
        <w:tc>
          <w:tcPr>
            <w:tcW w:w="3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12,706</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1.0%</w:t>
            </w:r>
          </w:p>
        </w:tc>
        <w:tc>
          <w:tcPr>
            <w:tcW w:w="520" w:type="dxa"/>
            <w:vAlign w:val="bottom"/>
          </w:tcPr>
          <w:p>
            <w:pPr>
              <w:spacing w:after="0"/>
              <w:rPr>
                <w:sz w:val="19"/>
                <w:szCs w:val="19"/>
                <w:color w:val="auto"/>
              </w:rPr>
            </w:pP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205,821</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11,879</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$57.72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6,058</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0.5%</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BBB</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182,696</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10,466</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$57.28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10,257</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0.8%</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181,569</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14,566</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$80.22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14,566</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1.1%</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4"/>
              </w:rPr>
              <w:t>BBB-</w:t>
            </w:r>
          </w:p>
        </w:tc>
      </w:tr>
      <w:tr>
        <w:trPr>
          <w:trHeight w:val="175"/>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176,838</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11,306</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$63.94</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340" w:type="dxa"/>
            <w:vAlign w:val="bottom"/>
          </w:tcPr>
          <w:p>
            <w:pPr>
              <w:spacing w:after="0"/>
              <w:rPr>
                <w:sz w:val="15"/>
                <w:szCs w:val="15"/>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11,306</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0.9%</w:t>
            </w:r>
          </w:p>
        </w:tc>
        <w:tc>
          <w:tcPr>
            <w:tcW w:w="520" w:type="dxa"/>
            <w:vAlign w:val="bottom"/>
          </w:tcPr>
          <w:p>
            <w:pPr>
              <w:jc w:val="center"/>
              <w:ind w:left="236"/>
              <w:spacing w:after="0"/>
              <w:rPr>
                <w:sz w:val="20"/>
                <w:szCs w:val="20"/>
                <w:color w:val="auto"/>
              </w:rPr>
            </w:pPr>
            <w:r>
              <w:rPr>
                <w:rFonts w:ascii="Arial" w:cs="Arial" w:eastAsia="Arial" w:hAnsi="Arial"/>
                <w:sz w:val="9"/>
                <w:szCs w:val="9"/>
                <w:color w:val="auto"/>
                <w:w w:val="99"/>
              </w:rPr>
              <w:t>AA</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171,091</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8,581</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$50.16</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0.5%</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8,581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0.7%</w:t>
            </w:r>
          </w:p>
        </w:tc>
        <w:tc>
          <w:tcPr>
            <w:tcW w:w="520" w:type="dxa"/>
            <w:vAlign w:val="bottom"/>
          </w:tcPr>
          <w:p>
            <w:pPr>
              <w:spacing w:after="0"/>
              <w:rPr>
                <w:sz w:val="18"/>
                <w:szCs w:val="18"/>
                <w:color w:val="auto"/>
              </w:rPr>
            </w:pPr>
          </w:p>
        </w:tc>
      </w:tr>
      <w:tr>
        <w:trPr>
          <w:trHeight w:val="229"/>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164,771</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11,061</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$67.13</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0.7%</w:t>
            </w:r>
          </w:p>
        </w:tc>
        <w:tc>
          <w:tcPr>
            <w:tcW w:w="3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11,061</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0.8%</w:t>
            </w:r>
          </w:p>
        </w:tc>
        <w:tc>
          <w:tcPr>
            <w:tcW w:w="520" w:type="dxa"/>
            <w:vAlign w:val="bottom"/>
          </w:tcPr>
          <w:p>
            <w:pPr>
              <w:spacing w:after="0"/>
              <w:rPr>
                <w:sz w:val="19"/>
                <w:szCs w:val="19"/>
                <w:color w:val="auto"/>
              </w:rPr>
            </w:pPr>
          </w:p>
        </w:tc>
      </w:tr>
      <w:tr>
        <w:trPr>
          <w:trHeight w:val="230"/>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162,409</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4,514</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$27.79</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0.3%</w:t>
            </w:r>
          </w:p>
        </w:tc>
        <w:tc>
          <w:tcPr>
            <w:tcW w:w="3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4,514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0.3%</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208"/>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161,722</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15,958</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$98.68</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1.0%</w:t>
            </w:r>
          </w:p>
        </w:tc>
        <w:tc>
          <w:tcPr>
            <w:tcW w:w="340" w:type="dxa"/>
            <w:vAlign w:val="bottom"/>
          </w:tcPr>
          <w:p>
            <w:pPr>
              <w:spacing w:after="0"/>
              <w:rPr>
                <w:sz w:val="18"/>
                <w:szCs w:val="18"/>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15,958</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1.2%</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4"/>
              </w:rPr>
              <w:t>BBB+</w:t>
            </w: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159,943</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14,828</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$92.71</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14,828</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1.1%</w:t>
            </w:r>
          </w:p>
        </w:tc>
        <w:tc>
          <w:tcPr>
            <w:tcW w:w="520" w:type="dxa"/>
            <w:vAlign w:val="bottom"/>
          </w:tcPr>
          <w:p>
            <w:pPr>
              <w:spacing w:after="0"/>
              <w:rPr>
                <w:sz w:val="17"/>
                <w:szCs w:val="17"/>
                <w:color w:val="auto"/>
              </w:rPr>
            </w:pP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159,394</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9,909</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$62.17</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0.6%</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4,846</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0.4%</w:t>
            </w:r>
          </w:p>
        </w:tc>
        <w:tc>
          <w:tcPr>
            <w:tcW w:w="520" w:type="dxa"/>
            <w:vAlign w:val="bottom"/>
          </w:tcPr>
          <w:p>
            <w:pPr>
              <w:jc w:val="center"/>
              <w:ind w:left="256"/>
              <w:spacing w:after="0"/>
              <w:rPr>
                <w:sz w:val="20"/>
                <w:szCs w:val="20"/>
                <w:color w:val="auto"/>
              </w:rPr>
            </w:pPr>
            <w:r>
              <w:rPr>
                <w:rFonts w:ascii="Arial" w:cs="Arial" w:eastAsia="Arial" w:hAnsi="Arial"/>
                <w:sz w:val="9"/>
                <w:szCs w:val="9"/>
                <w:color w:val="auto"/>
                <w:w w:val="99"/>
              </w:rPr>
              <w:t>BBB</w:t>
            </w:r>
          </w:p>
        </w:tc>
      </w:tr>
      <w:tr>
        <w:trPr>
          <w:trHeight w:val="197"/>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152,232</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12,974</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$85.22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0.8%</w:t>
            </w:r>
          </w:p>
        </w:tc>
        <w:tc>
          <w:tcPr>
            <w:tcW w:w="340" w:type="dxa"/>
            <w:vAlign w:val="bottom"/>
          </w:tcPr>
          <w:p>
            <w:pPr>
              <w:spacing w:after="0"/>
              <w:rPr>
                <w:sz w:val="17"/>
                <w:szCs w:val="17"/>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7,784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0.6%</w:t>
            </w:r>
          </w:p>
        </w:tc>
        <w:tc>
          <w:tcPr>
            <w:tcW w:w="520" w:type="dxa"/>
            <w:vAlign w:val="bottom"/>
          </w:tcPr>
          <w:p>
            <w:pPr>
              <w:spacing w:after="0"/>
              <w:rPr>
                <w:sz w:val="17"/>
                <w:szCs w:val="17"/>
                <w:color w:val="auto"/>
              </w:rPr>
            </w:pPr>
          </w:p>
        </w:tc>
      </w:tr>
      <w:tr>
        <w:trPr>
          <w:trHeight w:val="219"/>
        </w:trPr>
        <w:tc>
          <w:tcPr>
            <w:tcW w:w="820" w:type="dxa"/>
            <w:vAlign w:val="bottom"/>
          </w:tcPr>
          <w:p>
            <w:pPr>
              <w:jc w:val="right"/>
              <w:ind w:right="76"/>
              <w:spacing w:after="0"/>
              <w:rPr>
                <w:sz w:val="20"/>
                <w:szCs w:val="20"/>
                <w:color w:val="auto"/>
              </w:rPr>
            </w:pPr>
            <w:r>
              <w:rPr>
                <w:rFonts w:ascii="Arial" w:cs="Arial" w:eastAsia="Arial" w:hAnsi="Arial"/>
                <w:sz w:val="9"/>
                <w:szCs w:val="9"/>
                <w:color w:val="auto"/>
              </w:rPr>
              <w:t>148,217</w:t>
            </w:r>
          </w:p>
        </w:tc>
        <w:tc>
          <w:tcPr>
            <w:tcW w:w="700" w:type="dxa"/>
            <w:vAlign w:val="bottom"/>
          </w:tcPr>
          <w:p>
            <w:pPr>
              <w:jc w:val="right"/>
              <w:ind w:right="56"/>
              <w:spacing w:after="0"/>
              <w:rPr>
                <w:sz w:val="20"/>
                <w:szCs w:val="20"/>
                <w:color w:val="auto"/>
              </w:rPr>
            </w:pPr>
            <w:r>
              <w:rPr>
                <w:rFonts w:ascii="Arial" w:cs="Arial" w:eastAsia="Arial" w:hAnsi="Arial"/>
                <w:sz w:val="9"/>
                <w:szCs w:val="9"/>
                <w:color w:val="auto"/>
              </w:rPr>
              <w:t>13,684</w:t>
            </w:r>
          </w:p>
        </w:tc>
        <w:tc>
          <w:tcPr>
            <w:tcW w:w="580" w:type="dxa"/>
            <w:vAlign w:val="bottom"/>
          </w:tcPr>
          <w:p>
            <w:pPr>
              <w:jc w:val="right"/>
              <w:ind w:right="156"/>
              <w:spacing w:after="0"/>
              <w:rPr>
                <w:sz w:val="20"/>
                <w:szCs w:val="20"/>
                <w:color w:val="auto"/>
              </w:rPr>
            </w:pPr>
            <w:r>
              <w:rPr>
                <w:rFonts w:ascii="Arial" w:cs="Arial" w:eastAsia="Arial" w:hAnsi="Arial"/>
                <w:sz w:val="9"/>
                <w:szCs w:val="9"/>
                <w:color w:val="auto"/>
              </w:rPr>
              <w:t>$92.32</w:t>
            </w:r>
          </w:p>
        </w:tc>
        <w:tc>
          <w:tcPr>
            <w:tcW w:w="520" w:type="dxa"/>
            <w:vAlign w:val="bottom"/>
          </w:tcPr>
          <w:p>
            <w:pPr>
              <w:jc w:val="right"/>
              <w:ind w:right="76"/>
              <w:spacing w:after="0"/>
              <w:rPr>
                <w:sz w:val="20"/>
                <w:szCs w:val="20"/>
                <w:color w:val="auto"/>
              </w:rPr>
            </w:pPr>
            <w:r>
              <w:rPr>
                <w:rFonts w:ascii="Arial" w:cs="Arial" w:eastAsia="Arial" w:hAnsi="Arial"/>
                <w:sz w:val="9"/>
                <w:szCs w:val="9"/>
                <w:color w:val="auto"/>
              </w:rPr>
              <w:t>0.9%</w:t>
            </w:r>
          </w:p>
        </w:tc>
        <w:tc>
          <w:tcPr>
            <w:tcW w:w="340" w:type="dxa"/>
            <w:vAlign w:val="bottom"/>
          </w:tcPr>
          <w:p>
            <w:pPr>
              <w:spacing w:after="0"/>
              <w:rPr>
                <w:sz w:val="19"/>
                <w:szCs w:val="19"/>
                <w:color w:val="auto"/>
              </w:rPr>
            </w:pPr>
          </w:p>
        </w:tc>
        <w:tc>
          <w:tcPr>
            <w:tcW w:w="620" w:type="dxa"/>
            <w:vAlign w:val="bottom"/>
          </w:tcPr>
          <w:p>
            <w:pPr>
              <w:jc w:val="right"/>
              <w:ind w:right="96"/>
              <w:spacing w:after="0"/>
              <w:rPr>
                <w:sz w:val="20"/>
                <w:szCs w:val="20"/>
                <w:color w:val="auto"/>
              </w:rPr>
            </w:pPr>
            <w:r>
              <w:rPr>
                <w:rFonts w:ascii="Arial" w:cs="Arial" w:eastAsia="Arial" w:hAnsi="Arial"/>
                <w:sz w:val="9"/>
                <w:szCs w:val="9"/>
                <w:color w:val="auto"/>
              </w:rPr>
              <w:t>13,684</w:t>
            </w:r>
          </w:p>
        </w:tc>
        <w:tc>
          <w:tcPr>
            <w:tcW w:w="620" w:type="dxa"/>
            <w:vAlign w:val="bottom"/>
          </w:tcPr>
          <w:p>
            <w:pPr>
              <w:jc w:val="right"/>
              <w:ind w:right="236"/>
              <w:spacing w:after="0"/>
              <w:rPr>
                <w:sz w:val="20"/>
                <w:szCs w:val="20"/>
                <w:color w:val="auto"/>
              </w:rPr>
            </w:pPr>
            <w:r>
              <w:rPr>
                <w:rFonts w:ascii="Arial" w:cs="Arial" w:eastAsia="Arial" w:hAnsi="Arial"/>
                <w:sz w:val="9"/>
                <w:szCs w:val="9"/>
                <w:color w:val="auto"/>
              </w:rPr>
              <w:t>1.0%</w:t>
            </w:r>
          </w:p>
        </w:tc>
        <w:tc>
          <w:tcPr>
            <w:tcW w:w="520" w:type="dxa"/>
            <w:vAlign w:val="bottom"/>
          </w:tcPr>
          <w:p>
            <w:pPr>
              <w:spacing w:after="0"/>
              <w:rPr>
                <w:sz w:val="19"/>
                <w:szCs w:val="19"/>
                <w:color w:val="auto"/>
              </w:rPr>
            </w:pPr>
          </w:p>
        </w:tc>
      </w:tr>
      <w:tr>
        <w:trPr>
          <w:trHeight w:val="61"/>
        </w:trPr>
        <w:tc>
          <w:tcPr>
            <w:tcW w:w="82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520" w:type="dxa"/>
            <w:vAlign w:val="bottom"/>
          </w:tcPr>
          <w:p>
            <w:pPr>
              <w:spacing w:after="0"/>
              <w:rPr>
                <w:sz w:val="5"/>
                <w:szCs w:val="5"/>
                <w:color w:val="auto"/>
              </w:rPr>
            </w:pPr>
          </w:p>
        </w:tc>
      </w:tr>
    </w:tbl>
    <w:p>
      <w:pPr>
        <w:spacing w:after="0" w:line="184" w:lineRule="exact"/>
        <w:rPr>
          <w:sz w:val="20"/>
          <w:szCs w:val="20"/>
          <w:color w:val="auto"/>
        </w:rPr>
      </w:pPr>
    </w:p>
    <w:p>
      <w:pPr>
        <w:sectPr>
          <w:pgSz w:w="11900" w:h="16838" w:orient="portrait"/>
          <w:cols w:equalWidth="0" w:num="2">
            <w:col w:w="5020" w:space="80"/>
            <w:col w:w="4980"/>
          </w:cols>
          <w:pgMar w:left="900" w:top="338" w:right="919" w:bottom="1440" w:gutter="0" w:footer="0" w:header="0"/>
          <w:type w:val="continuous"/>
        </w:sectPr>
      </w:pPr>
    </w:p>
    <w:p>
      <w:pPr>
        <w:ind w:left="20"/>
        <w:spacing w:after="0"/>
        <w:tabs>
          <w:tab w:leader="none" w:pos="5340" w:val="left"/>
          <w:tab w:leader="none" w:pos="6020" w:val="left"/>
          <w:tab w:leader="none" w:pos="6700" w:val="left"/>
          <w:tab w:leader="none" w:pos="7360" w:val="left"/>
          <w:tab w:leader="none" w:pos="7820" w:val="left"/>
          <w:tab w:leader="none" w:pos="8200" w:val="left"/>
          <w:tab w:leader="none" w:pos="8780" w:val="left"/>
        </w:tabs>
        <w:rPr>
          <w:sz w:val="20"/>
          <w:szCs w:val="20"/>
          <w:color w:val="auto"/>
        </w:rPr>
      </w:pPr>
      <w:r>
        <w:rPr>
          <w:rFonts w:ascii="Arial" w:cs="Arial" w:eastAsia="Arial" w:hAnsi="Arial"/>
          <w:sz w:val="9"/>
          <w:szCs w:val="9"/>
          <w:b w:val="1"/>
          <w:bCs w:val="1"/>
          <w:color w:val="auto"/>
        </w:rPr>
        <w:t>Total</w:t>
      </w:r>
      <w:r>
        <w:rPr>
          <w:sz w:val="20"/>
          <w:szCs w:val="20"/>
          <w:color w:val="auto"/>
        </w:rPr>
        <w:tab/>
      </w:r>
      <w:r>
        <w:rPr>
          <w:rFonts w:ascii="Arial" w:cs="Arial" w:eastAsia="Arial" w:hAnsi="Arial"/>
          <w:sz w:val="9"/>
          <w:szCs w:val="9"/>
          <w:b w:val="1"/>
          <w:bCs w:val="1"/>
          <w:color w:val="auto"/>
        </w:rPr>
        <w:t>11,716,164</w:t>
      </w:r>
      <w:r>
        <w:rPr>
          <w:sz w:val="20"/>
          <w:szCs w:val="20"/>
          <w:color w:val="auto"/>
        </w:rPr>
        <w:tab/>
      </w:r>
      <w:r>
        <w:rPr>
          <w:rFonts w:ascii="Arial" w:cs="Arial" w:eastAsia="Arial" w:hAnsi="Arial"/>
          <w:sz w:val="9"/>
          <w:szCs w:val="9"/>
          <w:b w:val="1"/>
          <w:bCs w:val="1"/>
          <w:color w:val="auto"/>
        </w:rPr>
        <w:t xml:space="preserve">$ 698,720 </w:t>
      </w:r>
      <w:r>
        <w:rPr>
          <w:rFonts w:ascii="Arial" w:cs="Arial" w:eastAsia="Arial" w:hAnsi="Arial"/>
          <w:sz w:val="5"/>
          <w:szCs w:val="5"/>
          <w:b w:val="1"/>
          <w:bCs w:val="1"/>
          <w:color w:val="auto"/>
        </w:rPr>
        <w:t>(2)</w:t>
      </w:r>
      <w:r>
        <w:rPr>
          <w:sz w:val="20"/>
          <w:szCs w:val="20"/>
          <w:color w:val="auto"/>
        </w:rPr>
        <w:tab/>
      </w:r>
      <w:r>
        <w:rPr>
          <w:rFonts w:ascii="Arial" w:cs="Arial" w:eastAsia="Arial" w:hAnsi="Arial"/>
          <w:sz w:val="9"/>
          <w:szCs w:val="9"/>
          <w:b w:val="1"/>
          <w:bCs w:val="1"/>
          <w:color w:val="auto"/>
        </w:rPr>
        <w:t>$59.64</w:t>
      </w:r>
      <w:r>
        <w:rPr>
          <w:sz w:val="20"/>
          <w:szCs w:val="20"/>
          <w:color w:val="auto"/>
        </w:rPr>
        <w:tab/>
      </w:r>
      <w:r>
        <w:rPr>
          <w:rFonts w:ascii="Arial" w:cs="Arial" w:eastAsia="Arial" w:hAnsi="Arial"/>
          <w:sz w:val="9"/>
          <w:szCs w:val="9"/>
          <w:b w:val="1"/>
          <w:bCs w:val="1"/>
          <w:color w:val="auto"/>
        </w:rPr>
        <w:t>43.9%</w:t>
      </w:r>
      <w:r>
        <w:rPr>
          <w:sz w:val="20"/>
          <w:szCs w:val="20"/>
          <w:color w:val="auto"/>
        </w:rPr>
        <w:tab/>
      </w:r>
      <w:r>
        <w:rPr>
          <w:rFonts w:ascii="Arial" w:cs="Arial" w:eastAsia="Arial" w:hAnsi="Arial"/>
          <w:sz w:val="9"/>
          <w:szCs w:val="9"/>
          <w:b w:val="1"/>
          <w:bCs w:val="1"/>
          <w:color w:val="auto"/>
        </w:rPr>
        <w:t>$</w:t>
      </w:r>
      <w:r>
        <w:rPr>
          <w:sz w:val="20"/>
          <w:szCs w:val="20"/>
          <w:color w:val="auto"/>
        </w:rPr>
        <w:tab/>
      </w:r>
      <w:r>
        <w:rPr>
          <w:rFonts w:ascii="Arial" w:cs="Arial" w:eastAsia="Arial" w:hAnsi="Arial"/>
          <w:sz w:val="9"/>
          <w:szCs w:val="9"/>
          <w:b w:val="1"/>
          <w:bCs w:val="1"/>
          <w:color w:val="auto"/>
        </w:rPr>
        <w:t>579,170</w:t>
      </w:r>
      <w:r>
        <w:rPr>
          <w:sz w:val="20"/>
          <w:szCs w:val="20"/>
          <w:color w:val="auto"/>
        </w:rPr>
        <w:tab/>
      </w:r>
      <w:r>
        <w:rPr>
          <w:rFonts w:ascii="Arial" w:cs="Arial" w:eastAsia="Arial" w:hAnsi="Arial"/>
          <w:sz w:val="9"/>
          <w:szCs w:val="9"/>
          <w:b w:val="1"/>
          <w:bCs w:val="1"/>
          <w:color w:val="auto"/>
        </w:rPr>
        <w:t>44.0%</w:t>
      </w:r>
    </w:p>
    <w:p>
      <w:pPr>
        <w:spacing w:after="0" w:line="223" w:lineRule="exact"/>
        <w:rPr>
          <w:sz w:val="20"/>
          <w:szCs w:val="20"/>
          <w:color w:val="auto"/>
        </w:rPr>
      </w:pPr>
    </w:p>
    <w:p>
      <w:pPr>
        <w:ind w:left="140" w:hanging="130"/>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9"/>
          <w:szCs w:val="9"/>
          <w:color w:val="auto"/>
        </w:rPr>
        <w:t>Corporate or bond rating from S&amp;P or Moody's.</w:t>
      </w:r>
    </w:p>
    <w:p>
      <w:pPr>
        <w:spacing w:after="0" w:line="38" w:lineRule="exact"/>
        <w:rPr>
          <w:rFonts w:ascii="Arial" w:cs="Arial" w:eastAsia="Arial" w:hAnsi="Arial"/>
          <w:sz w:val="9"/>
          <w:szCs w:val="9"/>
          <w:color w:val="auto"/>
        </w:rPr>
      </w:pPr>
    </w:p>
    <w:p>
      <w:pPr>
        <w:ind w:left="140" w:hanging="130"/>
        <w:spacing w:after="0"/>
        <w:tabs>
          <w:tab w:leader="none" w:pos="140" w:val="left"/>
        </w:tabs>
        <w:numPr>
          <w:ilvl w:val="0"/>
          <w:numId w:val="26"/>
        </w:numPr>
        <w:rPr>
          <w:rFonts w:ascii="Arial" w:cs="Arial" w:eastAsia="Arial" w:hAnsi="Arial"/>
          <w:sz w:val="9"/>
          <w:szCs w:val="9"/>
          <w:color w:val="auto"/>
        </w:rPr>
      </w:pPr>
      <w:r>
        <w:rPr>
          <w:rFonts w:ascii="Arial" w:cs="Arial" w:eastAsia="Arial" w:hAnsi="Arial"/>
          <w:sz w:val="9"/>
          <w:szCs w:val="9"/>
          <w:color w:val="auto"/>
        </w:rPr>
        <w:t>Reflects the net rent for the 1 Madison Avenue lease. If this lease were included on a gross basis, Credit Suisse's total PSF annualized rent would be $60.63 and total PSF annualized rent for the largest tenants would be $61.31.</w:t>
      </w:r>
    </w:p>
    <w:p>
      <w:pPr>
        <w:spacing w:after="0" w:line="342"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41</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TENANT DIVERSIFICATION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Based on SLG Share of Annualized Cash Rent</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1640" w:type="dxa"/>
            <w:vAlign w:val="bottom"/>
            <w:gridSpan w:val="2"/>
          </w:tcPr>
          <w:p>
            <w:pPr>
              <w:spacing w:after="0"/>
              <w:rPr>
                <w:sz w:val="20"/>
                <w:szCs w:val="20"/>
                <w:color w:val="auto"/>
              </w:rPr>
            </w:pPr>
            <w:r>
              <w:rPr>
                <w:rFonts w:ascii="Arial" w:cs="Arial" w:eastAsia="Arial" w:hAnsi="Arial"/>
                <w:sz w:val="13"/>
                <w:szCs w:val="13"/>
                <w:b w:val="1"/>
                <w:bCs w:val="1"/>
                <w:color w:val="auto"/>
              </w:rPr>
              <w:t>Category</w:t>
            </w:r>
          </w:p>
        </w:tc>
        <w:tc>
          <w:tcPr>
            <w:tcW w:w="2920" w:type="dxa"/>
            <w:vAlign w:val="bottom"/>
            <w:gridSpan w:val="3"/>
          </w:tcPr>
          <w:p>
            <w:pPr>
              <w:jc w:val="right"/>
              <w:ind w:right="860"/>
              <w:spacing w:after="0"/>
              <w:rPr>
                <w:sz w:val="20"/>
                <w:szCs w:val="20"/>
                <w:color w:val="auto"/>
              </w:rPr>
            </w:pPr>
            <w:r>
              <w:rPr>
                <w:rFonts w:ascii="Arial" w:cs="Arial" w:eastAsia="Arial" w:hAnsi="Arial"/>
                <w:sz w:val="13"/>
                <w:szCs w:val="13"/>
                <w:b w:val="1"/>
                <w:bCs w:val="1"/>
                <w:color w:val="auto"/>
              </w:rPr>
              <w:t>Manhattan Properties</w:t>
            </w:r>
          </w:p>
        </w:tc>
        <w:tc>
          <w:tcPr>
            <w:tcW w:w="4200" w:type="dxa"/>
            <w:vAlign w:val="bottom"/>
            <w:gridSpan w:val="4"/>
          </w:tcPr>
          <w:p>
            <w:pPr>
              <w:ind w:left="780"/>
              <w:spacing w:after="0"/>
              <w:rPr>
                <w:sz w:val="20"/>
                <w:szCs w:val="20"/>
                <w:color w:val="auto"/>
              </w:rPr>
            </w:pPr>
            <w:r>
              <w:rPr>
                <w:rFonts w:ascii="Arial" w:cs="Arial" w:eastAsia="Arial" w:hAnsi="Arial"/>
                <w:sz w:val="13"/>
                <w:szCs w:val="13"/>
                <w:b w:val="1"/>
                <w:bCs w:val="1"/>
                <w:color w:val="auto"/>
              </w:rPr>
              <w:t>Suburban Properties</w:t>
            </w:r>
          </w:p>
        </w:tc>
      </w:tr>
      <w:tr>
        <w:trPr>
          <w:trHeight w:val="20"/>
        </w:trPr>
        <w:tc>
          <w:tcPr>
            <w:tcW w:w="12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488"/>
        </w:trPr>
        <w:tc>
          <w:tcPr>
            <w:tcW w:w="2920" w:type="dxa"/>
            <w:vAlign w:val="bottom"/>
            <w:gridSpan w:val="3"/>
          </w:tcPr>
          <w:p>
            <w:pPr>
              <w:ind w:left="1280"/>
              <w:spacing w:after="0"/>
              <w:rPr>
                <w:sz w:val="20"/>
                <w:szCs w:val="20"/>
                <w:color w:val="auto"/>
              </w:rPr>
            </w:pPr>
            <w:r>
              <w:rPr>
                <w:rFonts w:ascii="Arial" w:cs="Arial" w:eastAsia="Arial" w:hAnsi="Arial"/>
                <w:sz w:val="13"/>
                <w:szCs w:val="13"/>
                <w:color w:val="auto"/>
              </w:rPr>
              <w:t>Arts, Ent. &amp; Recreation</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4.4%</w:t>
            </w:r>
          </w:p>
        </w:tc>
        <w:tc>
          <w:tcPr>
            <w:tcW w:w="860" w:type="dxa"/>
            <w:vAlign w:val="bottom"/>
          </w:tcPr>
          <w:p>
            <w:pPr>
              <w:spacing w:after="0"/>
              <w:rPr>
                <w:sz w:val="24"/>
                <w:szCs w:val="24"/>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0.2%</w:t>
            </w: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Business Services</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2.7%</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2.9%</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Financial Services</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32.6%</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31.4%</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Government / Non Profit</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3.6%</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4.8%</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Legal</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7.7%</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13.2%</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Manufacturing</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2.4%</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5.8%</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Medical</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2.4%</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2.1%</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Other</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7.1%</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3.1%</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Professional Services</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6.6%</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12.8%</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1640" w:type="dxa"/>
            <w:vAlign w:val="bottom"/>
            <w:gridSpan w:val="2"/>
          </w:tcPr>
          <w:p>
            <w:pPr>
              <w:spacing w:after="0"/>
              <w:rPr>
                <w:sz w:val="20"/>
                <w:szCs w:val="20"/>
                <w:color w:val="auto"/>
              </w:rPr>
            </w:pPr>
            <w:r>
              <w:rPr>
                <w:rFonts w:ascii="Arial" w:cs="Arial" w:eastAsia="Arial" w:hAnsi="Arial"/>
                <w:sz w:val="13"/>
                <w:szCs w:val="13"/>
                <w:color w:val="auto"/>
              </w:rPr>
              <w:t>Retail</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6.9%</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3.3%</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481"/>
        </w:trPr>
        <w:tc>
          <w:tcPr>
            <w:tcW w:w="2920" w:type="dxa"/>
            <w:vAlign w:val="bottom"/>
            <w:gridSpan w:val="3"/>
          </w:tcPr>
          <w:p>
            <w:pPr>
              <w:ind w:left="1200"/>
              <w:spacing w:after="0"/>
              <w:rPr>
                <w:sz w:val="20"/>
                <w:szCs w:val="20"/>
                <w:color w:val="auto"/>
              </w:rPr>
            </w:pPr>
            <w:r>
              <w:rPr>
                <w:rFonts w:ascii="Arial" w:cs="Arial" w:eastAsia="Arial" w:hAnsi="Arial"/>
                <w:sz w:val="13"/>
                <w:szCs w:val="13"/>
                <w:color w:val="auto"/>
              </w:rPr>
              <w:t>TAMI</w:t>
            </w:r>
          </w:p>
        </w:tc>
        <w:tc>
          <w:tcPr>
            <w:tcW w:w="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Technology</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1.7%</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6.7%</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Advertising</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4.3%</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0.9%</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Media</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17.3%</w:t>
            </w:r>
          </w:p>
        </w:tc>
        <w:tc>
          <w:tcPr>
            <w:tcW w:w="860" w:type="dxa"/>
            <w:vAlign w:val="bottom"/>
          </w:tcPr>
          <w:p>
            <w:pPr>
              <w:spacing w:after="0"/>
              <w:rPr>
                <w:sz w:val="19"/>
                <w:szCs w:val="19"/>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3"/>
                <w:szCs w:val="13"/>
                <w:color w:val="auto"/>
              </w:rPr>
              <w:t>12.6%</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19"/>
        </w:trPr>
        <w:tc>
          <w:tcPr>
            <w:tcW w:w="12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Information</w:t>
            </w:r>
          </w:p>
        </w:tc>
        <w:tc>
          <w:tcPr>
            <w:tcW w:w="2060" w:type="dxa"/>
            <w:vAlign w:val="bottom"/>
            <w:gridSpan w:val="2"/>
          </w:tcPr>
          <w:p>
            <w:pPr>
              <w:jc w:val="right"/>
              <w:ind w:right="240"/>
              <w:spacing w:after="0"/>
              <w:rPr>
                <w:sz w:val="20"/>
                <w:szCs w:val="20"/>
                <w:color w:val="auto"/>
              </w:rPr>
            </w:pPr>
            <w:r>
              <w:rPr>
                <w:rFonts w:ascii="Arial" w:cs="Arial" w:eastAsia="Arial" w:hAnsi="Arial"/>
                <w:sz w:val="13"/>
                <w:szCs w:val="13"/>
                <w:color w:val="auto"/>
              </w:rPr>
              <w:t>0.4%</w:t>
            </w:r>
          </w:p>
        </w:tc>
        <w:tc>
          <w:tcPr>
            <w:tcW w:w="860" w:type="dxa"/>
            <w:vAlign w:val="bottom"/>
          </w:tcPr>
          <w:p>
            <w:pPr>
              <w:spacing w:after="0"/>
              <w:rPr>
                <w:sz w:val="19"/>
                <w:szCs w:val="19"/>
                <w:color w:val="auto"/>
              </w:rPr>
            </w:pPr>
          </w:p>
        </w:tc>
        <w:tc>
          <w:tcPr>
            <w:tcW w:w="1900" w:type="dxa"/>
            <w:vAlign w:val="bottom"/>
            <w:gridSpan w:val="2"/>
          </w:tcPr>
          <w:p>
            <w:pPr>
              <w:jc w:val="right"/>
              <w:ind w:right="160"/>
              <w:spacing w:after="0"/>
              <w:rPr>
                <w:sz w:val="20"/>
                <w:szCs w:val="20"/>
                <w:color w:val="auto"/>
              </w:rPr>
            </w:pPr>
            <w:r>
              <w:rPr>
                <w:rFonts w:ascii="Arial" w:cs="Arial" w:eastAsia="Arial" w:hAnsi="Arial"/>
                <w:sz w:val="13"/>
                <w:szCs w:val="13"/>
                <w:color w:val="auto"/>
              </w:rPr>
              <w:t>0.0%</w:t>
            </w:r>
          </w:p>
        </w:tc>
        <w:tc>
          <w:tcPr>
            <w:tcW w:w="180" w:type="dxa"/>
            <w:vAlign w:val="bottom"/>
          </w:tcPr>
          <w:p>
            <w:pPr>
              <w:spacing w:after="0"/>
              <w:rPr>
                <w:sz w:val="19"/>
                <w:szCs w:val="19"/>
                <w:color w:val="auto"/>
              </w:rPr>
            </w:pPr>
          </w:p>
        </w:tc>
        <w:tc>
          <w:tcPr>
            <w:tcW w:w="2120" w:type="dxa"/>
            <w:vAlign w:val="bottom"/>
          </w:tcPr>
          <w:p>
            <w:pPr>
              <w:spacing w:after="0"/>
              <w:rPr>
                <w:sz w:val="19"/>
                <w:szCs w:val="19"/>
                <w:color w:val="auto"/>
              </w:rPr>
            </w:pPr>
          </w:p>
        </w:tc>
      </w:tr>
      <w:tr>
        <w:trPr>
          <w:trHeight w:val="279"/>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207"/>
        </w:trPr>
        <w:tc>
          <w:tcPr>
            <w:tcW w:w="1280" w:type="dxa"/>
            <w:vAlign w:val="bottom"/>
          </w:tcPr>
          <w:p>
            <w:pPr>
              <w:spacing w:after="0"/>
              <w:rPr>
                <w:sz w:val="17"/>
                <w:szCs w:val="17"/>
                <w:color w:val="auto"/>
              </w:rPr>
            </w:pPr>
          </w:p>
        </w:tc>
        <w:tc>
          <w:tcPr>
            <w:tcW w:w="1640" w:type="dxa"/>
            <w:vAlign w:val="bottom"/>
            <w:gridSpan w:val="2"/>
          </w:tcPr>
          <w:p>
            <w:pPr>
              <w:ind w:left="340"/>
              <w:spacing w:after="0"/>
              <w:rPr>
                <w:sz w:val="20"/>
                <w:szCs w:val="20"/>
                <w:color w:val="auto"/>
              </w:rPr>
            </w:pPr>
            <w:r>
              <w:rPr>
                <w:rFonts w:ascii="Arial" w:cs="Arial" w:eastAsia="Arial" w:hAnsi="Arial"/>
                <w:sz w:val="13"/>
                <w:szCs w:val="13"/>
                <w:b w:val="1"/>
                <w:bCs w:val="1"/>
                <w:color w:val="auto"/>
              </w:rPr>
              <w:t>Total</w:t>
            </w:r>
          </w:p>
        </w:tc>
        <w:tc>
          <w:tcPr>
            <w:tcW w:w="20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3"/>
                <w:szCs w:val="13"/>
                <w:b w:val="1"/>
                <w:bCs w:val="1"/>
                <w:color w:val="auto"/>
              </w:rPr>
              <w:t>100.0%</w:t>
            </w:r>
          </w:p>
        </w:tc>
        <w:tc>
          <w:tcPr>
            <w:tcW w:w="86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3"/>
                <w:szCs w:val="13"/>
                <w:b w:val="1"/>
                <w:bCs w:val="1"/>
                <w:color w:val="auto"/>
              </w:rPr>
              <w:t>100.0%</w:t>
            </w:r>
          </w:p>
        </w:tc>
        <w:tc>
          <w:tcPr>
            <w:tcW w:w="18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596"/>
        </w:trPr>
        <w:tc>
          <w:tcPr>
            <w:tcW w:w="2920" w:type="dxa"/>
            <w:vAlign w:val="bottom"/>
            <w:gridSpan w:val="3"/>
          </w:tcPr>
          <w:p>
            <w:pPr>
              <w:spacing w:after="0"/>
              <w:rPr>
                <w:sz w:val="20"/>
                <w:szCs w:val="20"/>
                <w:color w:val="auto"/>
              </w:rPr>
            </w:pPr>
            <w:r>
              <w:rPr>
                <w:rFonts w:ascii="Arial" w:cs="Arial" w:eastAsia="Arial" w:hAnsi="Arial"/>
                <w:sz w:val="10"/>
                <w:szCs w:val="10"/>
                <w:color w:val="auto"/>
              </w:rPr>
              <w:t>Supplemental Information</w:t>
            </w:r>
          </w:p>
        </w:tc>
        <w:tc>
          <w:tcPr>
            <w:tcW w:w="2920" w:type="dxa"/>
            <w:vAlign w:val="bottom"/>
            <w:gridSpan w:val="3"/>
          </w:tcPr>
          <w:p>
            <w:pPr>
              <w:jc w:val="right"/>
              <w:ind w:right="780"/>
              <w:spacing w:after="0"/>
              <w:rPr>
                <w:sz w:val="20"/>
                <w:szCs w:val="20"/>
                <w:color w:val="auto"/>
              </w:rPr>
            </w:pPr>
            <w:r>
              <w:rPr>
                <w:rFonts w:ascii="Arial" w:cs="Arial" w:eastAsia="Arial" w:hAnsi="Arial"/>
                <w:sz w:val="10"/>
                <w:szCs w:val="10"/>
                <w:color w:val="auto"/>
              </w:rPr>
              <w:t>42</w:t>
            </w: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tcPr>
          <w:p>
            <w:pPr>
              <w:ind w:left="1260"/>
              <w:spacing w:after="0"/>
              <w:rPr>
                <w:sz w:val="20"/>
                <w:szCs w:val="20"/>
                <w:color w:val="auto"/>
              </w:rPr>
            </w:pPr>
            <w:r>
              <w:rPr>
                <w:rFonts w:ascii="Arial" w:cs="Arial" w:eastAsia="Arial" w:hAnsi="Arial"/>
                <w:sz w:val="10"/>
                <w:szCs w:val="10"/>
                <w:color w:val="auto"/>
                <w:w w:val="99"/>
              </w:rPr>
              <w:t>Third Quarter 2016</w:t>
            </w:r>
          </w:p>
        </w:tc>
      </w:tr>
    </w:tbl>
    <w:p>
      <w:pPr>
        <w:sectPr>
          <w:pgSz w:w="11900" w:h="16838" w:orient="portrait"/>
          <w:cols w:equalWidth="0" w:num="1">
            <w:col w:w="10080"/>
          </w:cols>
          <w:pgMar w:left="900" w:top="338" w:right="919" w:bottom="1440" w:gutter="0" w:footer="0" w:header="0"/>
        </w:sectPr>
      </w:pPr>
    </w:p>
    <w:bookmarkStart w:id="58" w:name="page59"/>
    <w:bookmarkEnd w:id="5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Space</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9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9"/>
                <w:szCs w:val="9"/>
                <w:b w:val="1"/>
                <w:bCs w:val="1"/>
                <w:color w:val="auto"/>
              </w:rPr>
              <w:t>Escalated</w:t>
            </w:r>
          </w:p>
        </w:tc>
      </w:tr>
      <w:tr>
        <w:trPr>
          <w:trHeight w:val="100"/>
        </w:trPr>
        <w:tc>
          <w:tcPr>
            <w:tcW w:w="2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Arial" w:cs="Arial" w:eastAsia="Arial" w:hAnsi="Arial"/>
                <w:sz w:val="9"/>
                <w:szCs w:val="9"/>
                <w:b w:val="1"/>
                <w:bCs w:val="1"/>
                <w:color w:val="auto"/>
                <w:w w:val="92"/>
              </w:rPr>
              <w:t>Activity</w:t>
            </w:r>
          </w:p>
        </w:tc>
        <w:tc>
          <w:tcPr>
            <w:tcW w:w="10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w w:val="93"/>
              </w:rPr>
              <w:t>Building Address</w:t>
            </w:r>
          </w:p>
        </w:tc>
        <w:tc>
          <w:tcPr>
            <w:tcW w:w="1720" w:type="dxa"/>
            <w:vAlign w:val="bottom"/>
          </w:tcPr>
          <w:p>
            <w:pPr>
              <w:spacing w:after="0"/>
              <w:rPr>
                <w:sz w:val="8"/>
                <w:szCs w:val="8"/>
                <w:color w:val="auto"/>
              </w:rPr>
            </w:pPr>
          </w:p>
        </w:tc>
        <w:tc>
          <w:tcPr>
            <w:tcW w:w="1200" w:type="dxa"/>
            <w:vAlign w:val="bottom"/>
            <w:gridSpan w:val="3"/>
          </w:tcPr>
          <w:p>
            <w:pPr>
              <w:ind w:left="220"/>
              <w:spacing w:after="0" w:line="101" w:lineRule="exact"/>
              <w:rPr>
                <w:sz w:val="20"/>
                <w:szCs w:val="20"/>
                <w:color w:val="auto"/>
              </w:rPr>
            </w:pPr>
            <w:r>
              <w:rPr>
                <w:rFonts w:ascii="Arial" w:cs="Arial" w:eastAsia="Arial" w:hAnsi="Arial"/>
                <w:sz w:val="9"/>
                <w:szCs w:val="9"/>
                <w:b w:val="1"/>
                <w:bCs w:val="1"/>
                <w:color w:val="auto"/>
              </w:rPr>
              <w:t># of Leases</w:t>
            </w:r>
          </w:p>
        </w:tc>
        <w:tc>
          <w:tcPr>
            <w:tcW w:w="1900" w:type="dxa"/>
            <w:vAlign w:val="bottom"/>
            <w:gridSpan w:val="3"/>
          </w:tcPr>
          <w:p>
            <w:pPr>
              <w:jc w:val="right"/>
              <w:ind w:right="920"/>
              <w:spacing w:after="0" w:line="101" w:lineRule="exact"/>
              <w:rPr>
                <w:sz w:val="20"/>
                <w:szCs w:val="20"/>
                <w:color w:val="auto"/>
              </w:rPr>
            </w:pPr>
            <w:r>
              <w:rPr>
                <w:rFonts w:ascii="Arial" w:cs="Arial" w:eastAsia="Arial" w:hAnsi="Arial"/>
                <w:sz w:val="9"/>
                <w:szCs w:val="9"/>
                <w:b w:val="1"/>
                <w:bCs w:val="1"/>
                <w:color w:val="auto"/>
              </w:rPr>
              <w:t>Useable SF</w:t>
            </w:r>
          </w:p>
        </w:tc>
        <w:tc>
          <w:tcPr>
            <w:tcW w:w="15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Rentable SF</w:t>
            </w:r>
          </w:p>
        </w:tc>
        <w:tc>
          <w:tcPr>
            <w:tcW w:w="1080" w:type="dxa"/>
            <w:vAlign w:val="bottom"/>
            <w:gridSpan w:val="2"/>
          </w:tcPr>
          <w:p>
            <w:pPr>
              <w:jc w:val="right"/>
              <w:ind w:right="40"/>
              <w:spacing w:after="0" w:line="101" w:lineRule="exact"/>
              <w:rPr>
                <w:sz w:val="20"/>
                <w:szCs w:val="20"/>
                <w:color w:val="auto"/>
              </w:rPr>
            </w:pPr>
            <w:r>
              <w:rPr>
                <w:rFonts w:ascii="Arial" w:cs="Arial" w:eastAsia="Arial" w:hAnsi="Arial"/>
                <w:sz w:val="9"/>
                <w:szCs w:val="9"/>
                <w:b w:val="1"/>
                <w:bCs w:val="1"/>
                <w:color w:val="auto"/>
                <w:w w:val="96"/>
              </w:rPr>
              <w:t xml:space="preserve">Rent/Rentable SF </w:t>
            </w:r>
            <w:r>
              <w:rPr>
                <w:rFonts w:ascii="Arial" w:cs="Arial" w:eastAsia="Arial" w:hAnsi="Arial"/>
                <w:sz w:val="9"/>
                <w:szCs w:val="9"/>
                <w:b w:val="1"/>
                <w:bCs w:val="1"/>
                <w:u w:val="single" w:color="auto"/>
                <w:color w:val="auto"/>
                <w:w w:val="96"/>
              </w:rPr>
              <w:t>($</w:t>
            </w:r>
            <w:r>
              <w:rPr>
                <w:rFonts w:ascii="Arial" w:cs="Arial" w:eastAsia="Arial" w:hAnsi="Arial"/>
                <w:sz w:val="9"/>
                <w:szCs w:val="9"/>
                <w:b w:val="1"/>
                <w:bCs w:val="1"/>
                <w:color w:val="auto"/>
                <w:w w:val="96"/>
              </w:rPr>
              <w:t>'s)(1)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2"/>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9"/>
                <w:szCs w:val="9"/>
                <w:b w:val="1"/>
                <w:bCs w:val="1"/>
                <w:i w:val="1"/>
                <w:iCs w:val="1"/>
                <w:color w:val="auto"/>
              </w:rPr>
              <w:t>Available Space at 6/30/16</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gridSpan w:val="3"/>
          </w:tcPr>
          <w:p>
            <w:pPr>
              <w:jc w:val="right"/>
              <w:ind w:right="920"/>
              <w:spacing w:after="0"/>
              <w:rPr>
                <w:sz w:val="20"/>
                <w:szCs w:val="20"/>
                <w:color w:val="auto"/>
              </w:rPr>
            </w:pPr>
            <w:r>
              <w:rPr>
                <w:rFonts w:ascii="Arial" w:cs="Arial" w:eastAsia="Arial" w:hAnsi="Arial"/>
                <w:sz w:val="9"/>
                <w:szCs w:val="9"/>
                <w:b w:val="1"/>
                <w:bCs w:val="1"/>
                <w:color w:val="auto"/>
              </w:rPr>
              <w:t>991,894</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6"/>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gridSpan w:val="7"/>
          </w:tcPr>
          <w:p>
            <w:pPr>
              <w:spacing w:after="0"/>
              <w:rPr>
                <w:sz w:val="20"/>
                <w:szCs w:val="20"/>
                <w:color w:val="auto"/>
              </w:rPr>
            </w:pPr>
            <w:r>
              <w:rPr>
                <w:rFonts w:ascii="Arial" w:cs="Arial" w:eastAsia="Arial" w:hAnsi="Arial"/>
                <w:sz w:val="9"/>
                <w:szCs w:val="9"/>
                <w:b w:val="1"/>
                <w:bCs w:val="1"/>
                <w:i w:val="1"/>
                <w:iCs w:val="1"/>
                <w:color w:val="auto"/>
              </w:rPr>
              <w:t>Space which became available during the Quarter (2):</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0" w:type="dxa"/>
            <w:vAlign w:val="bottom"/>
            <w:gridSpan w:val="3"/>
          </w:tcPr>
          <w:p>
            <w:pPr>
              <w:jc w:val="right"/>
              <w:ind w:right="156"/>
              <w:spacing w:after="0"/>
              <w:rPr>
                <w:sz w:val="20"/>
                <w:szCs w:val="20"/>
                <w:color w:val="auto"/>
              </w:rPr>
            </w:pPr>
            <w:r>
              <w:rPr>
                <w:rFonts w:ascii="Arial" w:cs="Arial" w:eastAsia="Arial" w:hAnsi="Arial"/>
                <w:sz w:val="9"/>
                <w:szCs w:val="9"/>
                <w:b w:val="1"/>
                <w:bCs w:val="1"/>
                <w:i w:val="1"/>
                <w:iCs w:val="1"/>
                <w:color w:val="auto"/>
              </w:rPr>
              <w:t>Office</w:t>
            </w: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Arial" w:cs="Arial" w:eastAsia="Arial" w:hAnsi="Arial"/>
                <w:sz w:val="9"/>
                <w:szCs w:val="9"/>
                <w:color w:val="auto"/>
              </w:rPr>
              <w:t>3 Columbus Circle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2</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6,703</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8,007</w:t>
            </w:r>
          </w:p>
        </w:tc>
        <w:tc>
          <w:tcPr>
            <w:tcW w:w="1080" w:type="dxa"/>
            <w:vAlign w:val="bottom"/>
            <w:gridSpan w:val="2"/>
          </w:tcPr>
          <w:p>
            <w:pPr>
              <w:jc w:val="right"/>
              <w:ind w:right="20"/>
              <w:spacing w:after="0"/>
              <w:rPr>
                <w:sz w:val="20"/>
                <w:szCs w:val="20"/>
                <w:color w:val="auto"/>
              </w:rPr>
            </w:pPr>
            <w:r>
              <w:rPr>
                <w:rFonts w:ascii="Arial" w:cs="Arial" w:eastAsia="Arial" w:hAnsi="Arial"/>
                <w:sz w:val="9"/>
                <w:szCs w:val="9"/>
                <w:color w:val="auto"/>
              </w:rPr>
              <w:t>$77.28</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Arial" w:cs="Arial" w:eastAsia="Arial" w:hAnsi="Arial"/>
                <w:sz w:val="9"/>
                <w:szCs w:val="9"/>
                <w:color w:val="auto"/>
              </w:rPr>
              <w:t>30 East 40th Street</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4</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4,540</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4,540</w:t>
            </w: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60.03</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100</w:t>
            </w:r>
          </w:p>
        </w:tc>
        <w:tc>
          <w:tcPr>
            <w:tcW w:w="2280" w:type="dxa"/>
            <w:vAlign w:val="bottom"/>
            <w:gridSpan w:val="2"/>
          </w:tcPr>
          <w:p>
            <w:pPr>
              <w:spacing w:after="0"/>
              <w:rPr>
                <w:sz w:val="20"/>
                <w:szCs w:val="20"/>
                <w:color w:val="auto"/>
              </w:rPr>
            </w:pPr>
            <w:r>
              <w:rPr>
                <w:rFonts w:ascii="Arial" w:cs="Arial" w:eastAsia="Arial" w:hAnsi="Arial"/>
                <w:sz w:val="9"/>
                <w:szCs w:val="9"/>
                <w:color w:val="auto"/>
              </w:rPr>
              <w:t>Park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10,370</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10,889</w:t>
            </w:r>
          </w:p>
        </w:tc>
        <w:tc>
          <w:tcPr>
            <w:tcW w:w="10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64.78</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110</w:t>
            </w:r>
          </w:p>
        </w:tc>
        <w:tc>
          <w:tcPr>
            <w:tcW w:w="2280" w:type="dxa"/>
            <w:vAlign w:val="bottom"/>
            <w:gridSpan w:val="2"/>
          </w:tcPr>
          <w:p>
            <w:pPr>
              <w:spacing w:after="0"/>
              <w:rPr>
                <w:sz w:val="20"/>
                <w:szCs w:val="20"/>
                <w:color w:val="auto"/>
              </w:rPr>
            </w:pPr>
            <w:r>
              <w:rPr>
                <w:rFonts w:ascii="Arial" w:cs="Arial" w:eastAsia="Arial" w:hAnsi="Arial"/>
                <w:sz w:val="9"/>
                <w:szCs w:val="9"/>
                <w:color w:val="auto"/>
              </w:rPr>
              <w:t>East 42nd Street</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3</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24,849</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24,849</w:t>
            </w:r>
          </w:p>
        </w:tc>
        <w:tc>
          <w:tcPr>
            <w:tcW w:w="10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63.64</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110</w:t>
            </w:r>
          </w:p>
        </w:tc>
        <w:tc>
          <w:tcPr>
            <w:tcW w:w="2280" w:type="dxa"/>
            <w:vAlign w:val="bottom"/>
            <w:gridSpan w:val="2"/>
          </w:tcPr>
          <w:p>
            <w:pPr>
              <w:spacing w:after="0"/>
              <w:rPr>
                <w:sz w:val="20"/>
                <w:szCs w:val="20"/>
                <w:color w:val="auto"/>
              </w:rPr>
            </w:pPr>
            <w:r>
              <w:rPr>
                <w:rFonts w:ascii="Arial" w:cs="Arial" w:eastAsia="Arial" w:hAnsi="Arial"/>
                <w:sz w:val="9"/>
                <w:szCs w:val="9"/>
                <w:color w:val="auto"/>
              </w:rPr>
              <w:t>Greene Street</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5</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8,232</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5,498</w:t>
            </w: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71.54</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220</w:t>
            </w:r>
          </w:p>
        </w:tc>
        <w:tc>
          <w:tcPr>
            <w:tcW w:w="2280" w:type="dxa"/>
            <w:vAlign w:val="bottom"/>
            <w:gridSpan w:val="2"/>
          </w:tcPr>
          <w:p>
            <w:pPr>
              <w:spacing w:after="0"/>
              <w:rPr>
                <w:sz w:val="20"/>
                <w:szCs w:val="20"/>
                <w:color w:val="auto"/>
              </w:rPr>
            </w:pPr>
            <w:r>
              <w:rPr>
                <w:rFonts w:ascii="Arial" w:cs="Arial" w:eastAsia="Arial" w:hAnsi="Arial"/>
                <w:sz w:val="9"/>
                <w:szCs w:val="9"/>
                <w:color w:val="auto"/>
              </w:rPr>
              <w:t>East 42nd Street</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4</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90,103</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90,103</w:t>
            </w:r>
          </w:p>
        </w:tc>
        <w:tc>
          <w:tcPr>
            <w:tcW w:w="10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41.16</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420</w:t>
            </w:r>
          </w:p>
        </w:tc>
        <w:tc>
          <w:tcPr>
            <w:tcW w:w="2280" w:type="dxa"/>
            <w:vAlign w:val="bottom"/>
            <w:gridSpan w:val="2"/>
          </w:tcPr>
          <w:p>
            <w:pPr>
              <w:spacing w:after="0"/>
              <w:rPr>
                <w:sz w:val="20"/>
                <w:szCs w:val="20"/>
                <w:color w:val="auto"/>
              </w:rPr>
            </w:pPr>
            <w:r>
              <w:rPr>
                <w:rFonts w:ascii="Arial" w:cs="Arial" w:eastAsia="Arial" w:hAnsi="Arial"/>
                <w:sz w:val="9"/>
                <w:szCs w:val="9"/>
                <w:color w:val="auto"/>
              </w:rPr>
              <w:t>Lexington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1</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1,891</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2,129</w:t>
            </w: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66.58</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485</w:t>
            </w:r>
          </w:p>
        </w:tc>
        <w:tc>
          <w:tcPr>
            <w:tcW w:w="2280" w:type="dxa"/>
            <w:vAlign w:val="bottom"/>
            <w:gridSpan w:val="2"/>
          </w:tcPr>
          <w:p>
            <w:pPr>
              <w:spacing w:after="0"/>
              <w:rPr>
                <w:sz w:val="20"/>
                <w:szCs w:val="20"/>
                <w:color w:val="auto"/>
              </w:rPr>
            </w:pPr>
            <w:r>
              <w:rPr>
                <w:rFonts w:ascii="Arial" w:cs="Arial" w:eastAsia="Arial" w:hAnsi="Arial"/>
                <w:sz w:val="9"/>
                <w:szCs w:val="9"/>
                <w:color w:val="auto"/>
              </w:rPr>
              <w:t>Lexington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13,827</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13,827</w:t>
            </w:r>
          </w:p>
        </w:tc>
        <w:tc>
          <w:tcPr>
            <w:tcW w:w="10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72.06</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521</w:t>
            </w:r>
          </w:p>
        </w:tc>
        <w:tc>
          <w:tcPr>
            <w:tcW w:w="2280" w:type="dxa"/>
            <w:vAlign w:val="bottom"/>
            <w:gridSpan w:val="2"/>
          </w:tcPr>
          <w:p>
            <w:pPr>
              <w:spacing w:after="0"/>
              <w:rPr>
                <w:sz w:val="20"/>
                <w:szCs w:val="20"/>
                <w:color w:val="auto"/>
              </w:rPr>
            </w:pPr>
            <w:r>
              <w:rPr>
                <w:rFonts w:ascii="Arial" w:cs="Arial" w:eastAsia="Arial" w:hAnsi="Arial"/>
                <w:sz w:val="9"/>
                <w:szCs w:val="9"/>
                <w:color w:val="auto"/>
              </w:rPr>
              <w:t>Fifth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1</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3,000</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3,665</w:t>
            </w: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59.57</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600</w:t>
            </w:r>
          </w:p>
        </w:tc>
        <w:tc>
          <w:tcPr>
            <w:tcW w:w="2280" w:type="dxa"/>
            <w:vAlign w:val="bottom"/>
            <w:gridSpan w:val="2"/>
          </w:tcPr>
          <w:p>
            <w:pPr>
              <w:spacing w:after="0"/>
              <w:rPr>
                <w:sz w:val="20"/>
                <w:szCs w:val="20"/>
                <w:color w:val="auto"/>
              </w:rPr>
            </w:pPr>
            <w:r>
              <w:rPr>
                <w:rFonts w:ascii="Arial" w:cs="Arial" w:eastAsia="Arial" w:hAnsi="Arial"/>
                <w:sz w:val="9"/>
                <w:szCs w:val="9"/>
                <w:color w:val="auto"/>
              </w:rPr>
              <w:t>Lexington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1</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6,780</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6,334</w:t>
            </w: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74.24</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800</w:t>
            </w:r>
          </w:p>
        </w:tc>
        <w:tc>
          <w:tcPr>
            <w:tcW w:w="2280" w:type="dxa"/>
            <w:vAlign w:val="bottom"/>
            <w:gridSpan w:val="2"/>
          </w:tcPr>
          <w:p>
            <w:pPr>
              <w:spacing w:after="0"/>
              <w:rPr>
                <w:sz w:val="20"/>
                <w:szCs w:val="20"/>
                <w:color w:val="auto"/>
              </w:rPr>
            </w:pPr>
            <w:r>
              <w:rPr>
                <w:rFonts w:ascii="Arial" w:cs="Arial" w:eastAsia="Arial" w:hAnsi="Arial"/>
                <w:sz w:val="9"/>
                <w:szCs w:val="9"/>
                <w:color w:val="auto"/>
              </w:rPr>
              <w:t>Third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2</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7,350</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8,227</w:t>
            </w: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61.30</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810</w:t>
            </w:r>
          </w:p>
        </w:tc>
        <w:tc>
          <w:tcPr>
            <w:tcW w:w="2280" w:type="dxa"/>
            <w:vAlign w:val="bottom"/>
            <w:gridSpan w:val="2"/>
          </w:tcPr>
          <w:p>
            <w:pPr>
              <w:spacing w:after="0"/>
              <w:rPr>
                <w:sz w:val="20"/>
                <w:szCs w:val="20"/>
                <w:color w:val="auto"/>
              </w:rPr>
            </w:pPr>
            <w:r>
              <w:rPr>
                <w:rFonts w:ascii="Arial" w:cs="Arial" w:eastAsia="Arial" w:hAnsi="Arial"/>
                <w:sz w:val="9"/>
                <w:szCs w:val="9"/>
                <w:color w:val="auto"/>
              </w:rPr>
              <w:t>Seventh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1</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15,500</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17,320</w:t>
            </w:r>
          </w:p>
        </w:tc>
        <w:tc>
          <w:tcPr>
            <w:tcW w:w="10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62.00</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919</w:t>
            </w:r>
          </w:p>
        </w:tc>
        <w:tc>
          <w:tcPr>
            <w:tcW w:w="2280" w:type="dxa"/>
            <w:vAlign w:val="bottom"/>
            <w:gridSpan w:val="2"/>
          </w:tcPr>
          <w:p>
            <w:pPr>
              <w:spacing w:after="0"/>
              <w:rPr>
                <w:sz w:val="20"/>
                <w:szCs w:val="20"/>
                <w:color w:val="auto"/>
              </w:rPr>
            </w:pPr>
            <w:r>
              <w:rPr>
                <w:rFonts w:ascii="Arial" w:cs="Arial" w:eastAsia="Arial" w:hAnsi="Arial"/>
                <w:sz w:val="9"/>
                <w:szCs w:val="9"/>
                <w:color w:val="auto"/>
              </w:rPr>
              <w:t>Third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2</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160,894</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161,797</w:t>
            </w: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71.83</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Arial" w:cs="Arial" w:eastAsia="Arial" w:hAnsi="Arial"/>
                <w:sz w:val="9"/>
                <w:szCs w:val="9"/>
                <w:color w:val="auto"/>
              </w:rPr>
              <w:t>1185 Avenue of the Americas</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2</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50,000</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55,272</w:t>
            </w:r>
          </w:p>
        </w:tc>
        <w:tc>
          <w:tcPr>
            <w:tcW w:w="100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9"/>
                <w:szCs w:val="9"/>
                <w:color w:val="auto"/>
              </w:rPr>
              <w:t>67.35</w:t>
            </w: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Arial" w:cs="Arial" w:eastAsia="Arial" w:hAnsi="Arial"/>
                <w:sz w:val="9"/>
                <w:szCs w:val="9"/>
                <w:color w:val="auto"/>
              </w:rPr>
              <w:t>1350 Avenue of the Americas</w:t>
            </w:r>
          </w:p>
        </w:tc>
        <w:tc>
          <w:tcPr>
            <w:tcW w:w="12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9"/>
                <w:szCs w:val="9"/>
                <w:color w:val="auto"/>
              </w:rPr>
              <w:t>1</w:t>
            </w:r>
          </w:p>
        </w:tc>
        <w:tc>
          <w:tcPr>
            <w:tcW w:w="19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9"/>
                <w:szCs w:val="9"/>
                <w:color w:val="auto"/>
              </w:rPr>
              <w:t>2,102</w:t>
            </w:r>
          </w:p>
        </w:tc>
        <w:tc>
          <w:tcPr>
            <w:tcW w:w="150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9"/>
                <w:szCs w:val="9"/>
                <w:color w:val="auto"/>
              </w:rPr>
              <w:t>2,102</w:t>
            </w:r>
          </w:p>
        </w:tc>
        <w:tc>
          <w:tcPr>
            <w:tcW w:w="10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9"/>
                <w:szCs w:val="9"/>
                <w:color w:val="auto"/>
              </w:rPr>
              <w:t>71.39</w:t>
            </w: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9"/>
                <w:szCs w:val="9"/>
                <w:b w:val="1"/>
                <w:bCs w:val="1"/>
                <w:i w:val="1"/>
                <w:iCs w:val="1"/>
                <w:color w:val="auto"/>
                <w:w w:val="97"/>
              </w:rPr>
              <w:t>Total/Weighted Average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31</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b w:val="1"/>
                <w:bCs w:val="1"/>
                <w:color w:val="auto"/>
              </w:rPr>
              <w:t>406,141</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b w:val="1"/>
                <w:bCs w:val="1"/>
                <w:color w:val="auto"/>
              </w:rPr>
              <w:t>414,559</w:t>
            </w:r>
          </w:p>
        </w:tc>
        <w:tc>
          <w:tcPr>
            <w:tcW w:w="10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$63.15</w:t>
            </w:r>
          </w:p>
        </w:tc>
      </w:tr>
      <w:tr>
        <w:trPr>
          <w:trHeight w:val="31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gridSpan w:val="3"/>
          </w:tcPr>
          <w:p>
            <w:pPr>
              <w:jc w:val="right"/>
              <w:ind w:right="156"/>
              <w:spacing w:after="0"/>
              <w:rPr>
                <w:sz w:val="20"/>
                <w:szCs w:val="20"/>
                <w:color w:val="auto"/>
              </w:rPr>
            </w:pPr>
            <w:r>
              <w:rPr>
                <w:rFonts w:ascii="Arial" w:cs="Arial" w:eastAsia="Arial" w:hAnsi="Arial"/>
                <w:sz w:val="9"/>
                <w:szCs w:val="9"/>
                <w:b w:val="1"/>
                <w:bCs w:val="1"/>
                <w:i w:val="1"/>
                <w:iCs w:val="1"/>
                <w:color w:val="auto"/>
              </w:rPr>
              <w:t>Retail</w:t>
            </w: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220</w:t>
            </w:r>
          </w:p>
        </w:tc>
        <w:tc>
          <w:tcPr>
            <w:tcW w:w="2280" w:type="dxa"/>
            <w:vAlign w:val="bottom"/>
            <w:gridSpan w:val="2"/>
          </w:tcPr>
          <w:p>
            <w:pPr>
              <w:spacing w:after="0"/>
              <w:rPr>
                <w:sz w:val="20"/>
                <w:szCs w:val="20"/>
                <w:color w:val="auto"/>
              </w:rPr>
            </w:pPr>
            <w:r>
              <w:rPr>
                <w:rFonts w:ascii="Arial" w:cs="Arial" w:eastAsia="Arial" w:hAnsi="Arial"/>
                <w:sz w:val="9"/>
                <w:szCs w:val="9"/>
                <w:color w:val="auto"/>
              </w:rPr>
              <w:t>East 42nd Street</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3</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17,938</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color w:val="auto"/>
              </w:rPr>
              <w:t>17,938</w:t>
            </w:r>
          </w:p>
        </w:tc>
        <w:tc>
          <w:tcPr>
            <w:tcW w:w="10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9"/>
                <w:szCs w:val="9"/>
                <w:color w:val="auto"/>
              </w:rPr>
              <w:t>$61.07</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304</w:t>
            </w:r>
          </w:p>
        </w:tc>
        <w:tc>
          <w:tcPr>
            <w:tcW w:w="2280" w:type="dxa"/>
            <w:vAlign w:val="bottom"/>
            <w:gridSpan w:val="2"/>
          </w:tcPr>
          <w:p>
            <w:pPr>
              <w:spacing w:after="0"/>
              <w:rPr>
                <w:sz w:val="20"/>
                <w:szCs w:val="20"/>
                <w:color w:val="auto"/>
              </w:rPr>
            </w:pPr>
            <w:r>
              <w:rPr>
                <w:rFonts w:ascii="Arial" w:cs="Arial" w:eastAsia="Arial" w:hAnsi="Arial"/>
                <w:sz w:val="9"/>
                <w:szCs w:val="9"/>
                <w:color w:val="auto"/>
              </w:rPr>
              <w:t>Park Avenue South</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1</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3,070</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3,070</w:t>
            </w:r>
          </w:p>
        </w:tc>
        <w:tc>
          <w:tcPr>
            <w:tcW w:w="1040" w:type="dxa"/>
            <w:vAlign w:val="bottom"/>
          </w:tcPr>
          <w:p>
            <w:pPr>
              <w:jc w:val="right"/>
              <w:spacing w:after="0"/>
              <w:rPr>
                <w:sz w:val="20"/>
                <w:szCs w:val="20"/>
                <w:color w:val="auto"/>
              </w:rPr>
            </w:pPr>
            <w:r>
              <w:rPr>
                <w:rFonts w:ascii="Arial" w:cs="Arial" w:eastAsia="Arial" w:hAnsi="Arial"/>
                <w:sz w:val="9"/>
                <w:szCs w:val="9"/>
                <w:color w:val="auto"/>
              </w:rPr>
              <w:t>147.31</w:t>
            </w:r>
          </w:p>
        </w:tc>
        <w:tc>
          <w:tcPr>
            <w:tcW w:w="4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420</w:t>
            </w:r>
          </w:p>
        </w:tc>
        <w:tc>
          <w:tcPr>
            <w:tcW w:w="2280" w:type="dxa"/>
            <w:vAlign w:val="bottom"/>
            <w:gridSpan w:val="2"/>
          </w:tcPr>
          <w:p>
            <w:pPr>
              <w:spacing w:after="0"/>
              <w:rPr>
                <w:sz w:val="20"/>
                <w:szCs w:val="20"/>
                <w:color w:val="auto"/>
              </w:rPr>
            </w:pPr>
            <w:r>
              <w:rPr>
                <w:rFonts w:ascii="Arial" w:cs="Arial" w:eastAsia="Arial" w:hAnsi="Arial"/>
                <w:sz w:val="9"/>
                <w:szCs w:val="9"/>
                <w:color w:val="auto"/>
              </w:rPr>
              <w:t>Lexington Avenue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color w:val="auto"/>
              </w:rPr>
              <w:t>2</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color w:val="auto"/>
              </w:rPr>
              <w:t>1,741</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color w:val="auto"/>
              </w:rPr>
              <w:t>1,866</w:t>
            </w:r>
          </w:p>
        </w:tc>
        <w:tc>
          <w:tcPr>
            <w:tcW w:w="1040" w:type="dxa"/>
            <w:vAlign w:val="bottom"/>
          </w:tcPr>
          <w:p>
            <w:pPr>
              <w:jc w:val="right"/>
              <w:spacing w:after="0"/>
              <w:rPr>
                <w:sz w:val="20"/>
                <w:szCs w:val="20"/>
                <w:color w:val="auto"/>
              </w:rPr>
            </w:pPr>
            <w:r>
              <w:rPr>
                <w:rFonts w:ascii="Arial" w:cs="Arial" w:eastAsia="Arial" w:hAnsi="Arial"/>
                <w:sz w:val="9"/>
                <w:szCs w:val="9"/>
                <w:color w:val="auto"/>
              </w:rPr>
              <w:t>173.45</w:t>
            </w:r>
          </w:p>
        </w:tc>
        <w:tc>
          <w:tcPr>
            <w:tcW w:w="4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tcPr>
          <w:p>
            <w:pPr>
              <w:spacing w:after="0"/>
              <w:rPr>
                <w:sz w:val="20"/>
                <w:szCs w:val="20"/>
                <w:color w:val="auto"/>
              </w:rPr>
            </w:pPr>
            <w:r>
              <w:rPr>
                <w:rFonts w:ascii="Arial" w:cs="Arial" w:eastAsia="Arial" w:hAnsi="Arial"/>
                <w:sz w:val="9"/>
                <w:szCs w:val="9"/>
                <w:color w:val="auto"/>
              </w:rPr>
              <w:t>1515 Broadway</w:t>
            </w:r>
          </w:p>
        </w:tc>
        <w:tc>
          <w:tcPr>
            <w:tcW w:w="12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9"/>
                <w:szCs w:val="9"/>
                <w:color w:val="auto"/>
              </w:rPr>
              <w:t>1</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19,538</w:t>
            </w:r>
          </w:p>
        </w:tc>
        <w:tc>
          <w:tcPr>
            <w:tcW w:w="9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19,487</w:t>
            </w:r>
          </w:p>
        </w:tc>
        <w:tc>
          <w:tcPr>
            <w:tcW w:w="10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503.08</w:t>
            </w:r>
          </w:p>
        </w:tc>
        <w:tc>
          <w:tcPr>
            <w:tcW w:w="4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9"/>
                <w:szCs w:val="9"/>
                <w:b w:val="1"/>
                <w:bCs w:val="1"/>
                <w:i w:val="1"/>
                <w:iCs w:val="1"/>
                <w:color w:val="auto"/>
                <w:w w:val="97"/>
              </w:rPr>
              <w:t>Total/Weighted Average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7</w:t>
            </w: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42,287</w:t>
            </w:r>
          </w:p>
        </w:tc>
        <w:tc>
          <w:tcPr>
            <w:tcW w:w="9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42,361</w:t>
            </w:r>
          </w:p>
        </w:tc>
        <w:tc>
          <w:tcPr>
            <w:tcW w:w="1000" w:type="dxa"/>
            <w:vAlign w:val="bottom"/>
          </w:tcPr>
          <w:p>
            <w:pPr>
              <w:spacing w:after="0"/>
              <w:rPr>
                <w:sz w:val="17"/>
                <w:szCs w:val="17"/>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$275.60</w:t>
            </w:r>
          </w:p>
        </w:tc>
      </w:tr>
      <w:tr>
        <w:trPr>
          <w:trHeight w:val="317"/>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gridSpan w:val="3"/>
          </w:tcPr>
          <w:p>
            <w:pPr>
              <w:jc w:val="right"/>
              <w:ind w:right="156"/>
              <w:spacing w:after="0"/>
              <w:rPr>
                <w:sz w:val="20"/>
                <w:szCs w:val="20"/>
                <w:color w:val="auto"/>
              </w:rPr>
            </w:pPr>
            <w:r>
              <w:rPr>
                <w:rFonts w:ascii="Arial" w:cs="Arial" w:eastAsia="Arial" w:hAnsi="Arial"/>
                <w:sz w:val="9"/>
                <w:szCs w:val="9"/>
                <w:b w:val="1"/>
                <w:bCs w:val="1"/>
                <w:i w:val="1"/>
                <w:iCs w:val="1"/>
                <w:color w:val="auto"/>
              </w:rPr>
              <w:t>Storage</w:t>
            </w:r>
          </w:p>
        </w:tc>
        <w:tc>
          <w:tcPr>
            <w:tcW w:w="5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0" w:type="dxa"/>
            <w:vAlign w:val="bottom"/>
            <w:gridSpan w:val="3"/>
          </w:tcPr>
          <w:p>
            <w:pPr>
              <w:ind w:left="640"/>
              <w:spacing w:after="0"/>
              <w:rPr>
                <w:sz w:val="20"/>
                <w:szCs w:val="20"/>
                <w:color w:val="auto"/>
              </w:rPr>
            </w:pPr>
            <w:r>
              <w:rPr>
                <w:rFonts w:ascii="Arial" w:cs="Arial" w:eastAsia="Arial" w:hAnsi="Arial"/>
                <w:sz w:val="9"/>
                <w:szCs w:val="9"/>
                <w:color w:val="auto"/>
                <w:w w:val="92"/>
              </w:rPr>
              <w:t>919</w:t>
            </w:r>
          </w:p>
        </w:tc>
        <w:tc>
          <w:tcPr>
            <w:tcW w:w="2280" w:type="dxa"/>
            <w:vAlign w:val="bottom"/>
            <w:gridSpan w:val="2"/>
          </w:tcPr>
          <w:p>
            <w:pPr>
              <w:spacing w:after="0"/>
              <w:rPr>
                <w:sz w:val="20"/>
                <w:szCs w:val="20"/>
                <w:color w:val="auto"/>
              </w:rPr>
            </w:pPr>
            <w:r>
              <w:rPr>
                <w:rFonts w:ascii="Arial" w:cs="Arial" w:eastAsia="Arial" w:hAnsi="Arial"/>
                <w:sz w:val="9"/>
                <w:szCs w:val="9"/>
                <w:color w:val="auto"/>
              </w:rPr>
              <w:t>Third Avenue</w:t>
            </w:r>
          </w:p>
        </w:tc>
        <w:tc>
          <w:tcPr>
            <w:tcW w:w="12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9"/>
                <w:szCs w:val="9"/>
                <w:color w:val="auto"/>
              </w:rPr>
              <w:t>1</w:t>
            </w:r>
          </w:p>
        </w:tc>
        <w:tc>
          <w:tcPr>
            <w:tcW w:w="19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9"/>
                <w:szCs w:val="9"/>
                <w:color w:val="auto"/>
              </w:rPr>
              <w:t>1,500</w:t>
            </w:r>
          </w:p>
        </w:tc>
        <w:tc>
          <w:tcPr>
            <w:tcW w:w="150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9"/>
                <w:szCs w:val="9"/>
                <w:color w:val="auto"/>
              </w:rPr>
              <w:t>1,500</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$27.50</w:t>
            </w: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ind w:left="700"/>
              <w:spacing w:after="0"/>
              <w:rPr>
                <w:sz w:val="20"/>
                <w:szCs w:val="20"/>
                <w:color w:val="auto"/>
              </w:rPr>
            </w:pPr>
            <w:r>
              <w:rPr>
                <w:rFonts w:ascii="Arial" w:cs="Arial" w:eastAsia="Arial" w:hAnsi="Arial"/>
                <w:sz w:val="9"/>
                <w:szCs w:val="9"/>
                <w:b w:val="1"/>
                <w:bCs w:val="1"/>
                <w:i w:val="1"/>
                <w:iCs w:val="1"/>
                <w:color w:val="auto"/>
                <w:w w:val="97"/>
              </w:rPr>
              <w:t>Total/Weighted Average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1</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b w:val="1"/>
                <w:bCs w:val="1"/>
                <w:color w:val="auto"/>
              </w:rPr>
              <w:t>1,500</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b w:val="1"/>
                <w:bCs w:val="1"/>
                <w:color w:val="auto"/>
              </w:rPr>
              <w:t>1,500</w:t>
            </w:r>
          </w:p>
        </w:tc>
        <w:tc>
          <w:tcPr>
            <w:tcW w:w="10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$27.50</w:t>
            </w:r>
          </w:p>
        </w:tc>
      </w:tr>
      <w:tr>
        <w:trPr>
          <w:trHeight w:val="501"/>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3"/>
          </w:tcPr>
          <w:p>
            <w:pPr>
              <w:spacing w:after="0"/>
              <w:rPr>
                <w:sz w:val="20"/>
                <w:szCs w:val="20"/>
                <w:color w:val="auto"/>
              </w:rPr>
            </w:pPr>
            <w:r>
              <w:rPr>
                <w:rFonts w:ascii="Arial" w:cs="Arial" w:eastAsia="Arial" w:hAnsi="Arial"/>
                <w:sz w:val="9"/>
                <w:szCs w:val="9"/>
                <w:b w:val="1"/>
                <w:bCs w:val="1"/>
                <w:color w:val="auto"/>
              </w:rPr>
              <w:t>Total Space which became available during the quarter</w:t>
            </w:r>
          </w:p>
        </w:tc>
        <w:tc>
          <w:tcPr>
            <w:tcW w:w="2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jc w:val="center"/>
              <w:ind w:right="716"/>
              <w:spacing w:after="0"/>
              <w:rPr>
                <w:sz w:val="20"/>
                <w:szCs w:val="20"/>
                <w:color w:val="auto"/>
              </w:rPr>
            </w:pPr>
            <w:r>
              <w:rPr>
                <w:rFonts w:ascii="Arial" w:cs="Arial" w:eastAsia="Arial" w:hAnsi="Arial"/>
                <w:sz w:val="9"/>
                <w:szCs w:val="9"/>
                <w:b w:val="1"/>
                <w:bCs w:val="1"/>
                <w:i w:val="1"/>
                <w:iCs w:val="1"/>
                <w:color w:val="auto"/>
                <w:w w:val="93"/>
              </w:rPr>
              <w:t>Office</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31</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b w:val="1"/>
                <w:bCs w:val="1"/>
                <w:color w:val="auto"/>
              </w:rPr>
              <w:t>406,141</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b w:val="1"/>
                <w:bCs w:val="1"/>
                <w:color w:val="auto"/>
              </w:rPr>
              <w:t>414,559</w:t>
            </w:r>
          </w:p>
        </w:tc>
        <w:tc>
          <w:tcPr>
            <w:tcW w:w="10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$63.15</w:t>
            </w: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jc w:val="center"/>
              <w:ind w:right="716"/>
              <w:spacing w:after="0"/>
              <w:rPr>
                <w:sz w:val="20"/>
                <w:szCs w:val="20"/>
                <w:color w:val="auto"/>
              </w:rPr>
            </w:pPr>
            <w:r>
              <w:rPr>
                <w:rFonts w:ascii="Arial" w:cs="Arial" w:eastAsia="Arial" w:hAnsi="Arial"/>
                <w:sz w:val="9"/>
                <w:szCs w:val="9"/>
                <w:b w:val="1"/>
                <w:bCs w:val="1"/>
                <w:i w:val="1"/>
                <w:iCs w:val="1"/>
                <w:color w:val="auto"/>
                <w:w w:val="97"/>
              </w:rPr>
              <w:t>Retail</w:t>
            </w:r>
          </w:p>
        </w:tc>
        <w:tc>
          <w:tcPr>
            <w:tcW w:w="120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7</w:t>
            </w: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42,287</w:t>
            </w:r>
          </w:p>
        </w:tc>
        <w:tc>
          <w:tcPr>
            <w:tcW w:w="9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9"/>
                <w:szCs w:val="9"/>
                <w:b w:val="1"/>
                <w:bCs w:val="1"/>
                <w:color w:val="auto"/>
              </w:rPr>
              <w:t>42,361</w:t>
            </w:r>
          </w:p>
        </w:tc>
        <w:tc>
          <w:tcPr>
            <w:tcW w:w="10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$275.60</w:t>
            </w: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720" w:type="dxa"/>
            <w:vAlign w:val="bottom"/>
          </w:tcPr>
          <w:p>
            <w:pPr>
              <w:jc w:val="center"/>
              <w:ind w:right="716"/>
              <w:spacing w:after="0"/>
              <w:rPr>
                <w:sz w:val="20"/>
                <w:szCs w:val="20"/>
                <w:color w:val="auto"/>
              </w:rPr>
            </w:pPr>
            <w:r>
              <w:rPr>
                <w:rFonts w:ascii="Arial" w:cs="Arial" w:eastAsia="Arial" w:hAnsi="Arial"/>
                <w:sz w:val="9"/>
                <w:szCs w:val="9"/>
                <w:b w:val="1"/>
                <w:bCs w:val="1"/>
                <w:i w:val="1"/>
                <w:iCs w:val="1"/>
                <w:color w:val="auto"/>
                <w:w w:val="95"/>
              </w:rPr>
              <w:t>Storage</w:t>
            </w:r>
          </w:p>
        </w:tc>
        <w:tc>
          <w:tcPr>
            <w:tcW w:w="120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9"/>
                <w:szCs w:val="9"/>
                <w:b w:val="1"/>
                <w:bCs w:val="1"/>
                <w:color w:val="auto"/>
              </w:rPr>
              <w:t>1</w:t>
            </w:r>
          </w:p>
        </w:tc>
        <w:tc>
          <w:tcPr>
            <w:tcW w:w="1900" w:type="dxa"/>
            <w:vAlign w:val="bottom"/>
            <w:tcBorders>
              <w:bottom w:val="single" w:sz="8" w:color="auto"/>
            </w:tcBorders>
            <w:gridSpan w:val="3"/>
          </w:tcPr>
          <w:p>
            <w:pPr>
              <w:jc w:val="right"/>
              <w:ind w:right="920"/>
              <w:spacing w:after="0"/>
              <w:rPr>
                <w:sz w:val="20"/>
                <w:szCs w:val="20"/>
                <w:color w:val="auto"/>
              </w:rPr>
            </w:pPr>
            <w:r>
              <w:rPr>
                <w:rFonts w:ascii="Arial" w:cs="Arial" w:eastAsia="Arial" w:hAnsi="Arial"/>
                <w:sz w:val="9"/>
                <w:szCs w:val="9"/>
                <w:b w:val="1"/>
                <w:bCs w:val="1"/>
                <w:color w:val="auto"/>
              </w:rPr>
              <w:t>1,500</w:t>
            </w:r>
          </w:p>
        </w:tc>
        <w:tc>
          <w:tcPr>
            <w:tcW w:w="1500" w:type="dxa"/>
            <w:vAlign w:val="bottom"/>
            <w:tcBorders>
              <w:bottom w:val="single" w:sz="8" w:color="auto"/>
            </w:tcBorders>
            <w:gridSpan w:val="2"/>
          </w:tcPr>
          <w:p>
            <w:pPr>
              <w:jc w:val="right"/>
              <w:ind w:right="1000"/>
              <w:spacing w:after="0"/>
              <w:rPr>
                <w:sz w:val="20"/>
                <w:szCs w:val="20"/>
                <w:color w:val="auto"/>
              </w:rPr>
            </w:pPr>
            <w:r>
              <w:rPr>
                <w:rFonts w:ascii="Arial" w:cs="Arial" w:eastAsia="Arial" w:hAnsi="Arial"/>
                <w:sz w:val="9"/>
                <w:szCs w:val="9"/>
                <w:b w:val="1"/>
                <w:bCs w:val="1"/>
                <w:color w:val="auto"/>
              </w:rPr>
              <w:t>1,500</w:t>
            </w: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b w:val="1"/>
                <w:bCs w:val="1"/>
                <w:color w:val="auto"/>
              </w:rPr>
              <w:t>$27.50</w:t>
            </w: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200" w:type="dxa"/>
            <w:vAlign w:val="bottom"/>
            <w:gridSpan w:val="3"/>
          </w:tcPr>
          <w:p>
            <w:pPr>
              <w:jc w:val="right"/>
              <w:ind w:right="500"/>
              <w:spacing w:after="0"/>
              <w:rPr>
                <w:sz w:val="20"/>
                <w:szCs w:val="20"/>
                <w:color w:val="auto"/>
              </w:rPr>
            </w:pPr>
            <w:r>
              <w:rPr>
                <w:rFonts w:ascii="Arial" w:cs="Arial" w:eastAsia="Arial" w:hAnsi="Arial"/>
                <w:sz w:val="9"/>
                <w:szCs w:val="9"/>
                <w:b w:val="1"/>
                <w:bCs w:val="1"/>
                <w:color w:val="auto"/>
              </w:rPr>
              <w:t>39</w:t>
            </w:r>
          </w:p>
        </w:tc>
        <w:tc>
          <w:tcPr>
            <w:tcW w:w="1900" w:type="dxa"/>
            <w:vAlign w:val="bottom"/>
            <w:gridSpan w:val="3"/>
          </w:tcPr>
          <w:p>
            <w:pPr>
              <w:jc w:val="right"/>
              <w:ind w:right="920"/>
              <w:spacing w:after="0"/>
              <w:rPr>
                <w:sz w:val="20"/>
                <w:szCs w:val="20"/>
                <w:color w:val="auto"/>
              </w:rPr>
            </w:pPr>
            <w:r>
              <w:rPr>
                <w:rFonts w:ascii="Arial" w:cs="Arial" w:eastAsia="Arial" w:hAnsi="Arial"/>
                <w:sz w:val="9"/>
                <w:szCs w:val="9"/>
                <w:b w:val="1"/>
                <w:bCs w:val="1"/>
                <w:color w:val="auto"/>
              </w:rPr>
              <w:t>449,928</w:t>
            </w:r>
          </w:p>
        </w:tc>
        <w:tc>
          <w:tcPr>
            <w:tcW w:w="1500" w:type="dxa"/>
            <w:vAlign w:val="bottom"/>
            <w:gridSpan w:val="2"/>
          </w:tcPr>
          <w:p>
            <w:pPr>
              <w:jc w:val="right"/>
              <w:ind w:right="1000"/>
              <w:spacing w:after="0"/>
              <w:rPr>
                <w:sz w:val="20"/>
                <w:szCs w:val="20"/>
                <w:color w:val="auto"/>
              </w:rPr>
            </w:pPr>
            <w:r>
              <w:rPr>
                <w:rFonts w:ascii="Arial" w:cs="Arial" w:eastAsia="Arial" w:hAnsi="Arial"/>
                <w:sz w:val="9"/>
                <w:szCs w:val="9"/>
                <w:b w:val="1"/>
                <w:bCs w:val="1"/>
                <w:color w:val="auto"/>
              </w:rPr>
              <w:t>458,420</w:t>
            </w:r>
          </w:p>
        </w:tc>
        <w:tc>
          <w:tcPr>
            <w:tcW w:w="10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$82.67</w:t>
            </w:r>
          </w:p>
        </w:tc>
      </w:tr>
      <w:tr>
        <w:trPr>
          <w:trHeight w:val="393"/>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20" w:type="dxa"/>
            <w:vAlign w:val="bottom"/>
          </w:tcPr>
          <w:p>
            <w:pPr>
              <w:jc w:val="center"/>
              <w:ind w:right="716"/>
              <w:spacing w:after="0"/>
              <w:rPr>
                <w:sz w:val="20"/>
                <w:szCs w:val="20"/>
                <w:color w:val="auto"/>
              </w:rPr>
            </w:pPr>
            <w:r>
              <w:rPr>
                <w:rFonts w:ascii="Arial" w:cs="Arial" w:eastAsia="Arial" w:hAnsi="Arial"/>
                <w:sz w:val="9"/>
                <w:szCs w:val="9"/>
                <w:b w:val="1"/>
                <w:bCs w:val="1"/>
                <w:i w:val="1"/>
                <w:iCs w:val="1"/>
                <w:color w:val="auto"/>
                <w:w w:val="95"/>
              </w:rPr>
              <w:t>Total Available Space</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900" w:type="dxa"/>
            <w:vAlign w:val="bottom"/>
            <w:gridSpan w:val="3"/>
          </w:tcPr>
          <w:p>
            <w:pPr>
              <w:jc w:val="right"/>
              <w:ind w:right="920"/>
              <w:spacing w:after="0"/>
              <w:rPr>
                <w:sz w:val="20"/>
                <w:szCs w:val="20"/>
                <w:color w:val="auto"/>
              </w:rPr>
            </w:pPr>
            <w:r>
              <w:rPr>
                <w:rFonts w:ascii="Arial" w:cs="Arial" w:eastAsia="Arial" w:hAnsi="Arial"/>
                <w:sz w:val="9"/>
                <w:szCs w:val="9"/>
                <w:b w:val="1"/>
                <w:bCs w:val="1"/>
                <w:color w:val="auto"/>
              </w:rPr>
              <w:t>1,441,822</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88" w:lineRule="exact"/>
        <w:rPr>
          <w:sz w:val="20"/>
          <w:szCs w:val="20"/>
          <w:color w:val="auto"/>
        </w:rPr>
      </w:pPr>
    </w:p>
    <w:p>
      <w:pPr>
        <w:ind w:left="140" w:hanging="124"/>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9"/>
          <w:szCs w:val="9"/>
          <w:color w:val="auto"/>
        </w:rPr>
        <w:t>Escalated rent is calculated as total annual lease related income excluding electric charges.</w:t>
      </w:r>
    </w:p>
    <w:p>
      <w:pPr>
        <w:spacing w:after="0" w:line="115" w:lineRule="exact"/>
        <w:rPr>
          <w:rFonts w:ascii="Arial" w:cs="Arial" w:eastAsia="Arial" w:hAnsi="Arial"/>
          <w:sz w:val="9"/>
          <w:szCs w:val="9"/>
          <w:color w:val="auto"/>
        </w:rPr>
      </w:pPr>
    </w:p>
    <w:p>
      <w:pPr>
        <w:ind w:left="140" w:hanging="124"/>
        <w:spacing w:after="0"/>
        <w:tabs>
          <w:tab w:leader="none" w:pos="140" w:val="left"/>
        </w:tabs>
        <w:numPr>
          <w:ilvl w:val="0"/>
          <w:numId w:val="27"/>
        </w:numPr>
        <w:rPr>
          <w:rFonts w:ascii="Arial" w:cs="Arial" w:eastAsia="Arial" w:hAnsi="Arial"/>
          <w:sz w:val="9"/>
          <w:szCs w:val="9"/>
          <w:color w:val="auto"/>
        </w:rPr>
      </w:pPr>
      <w:r>
        <w:rPr>
          <w:rFonts w:ascii="Arial" w:cs="Arial" w:eastAsia="Arial" w:hAnsi="Arial"/>
          <w:sz w:val="9"/>
          <w:szCs w:val="9"/>
          <w:color w:val="auto"/>
        </w:rPr>
        <w:t>Includes expiring space, relocating tenants and move-outs where tenants vacated. Excludes lease expirations where tenants heldover.</w:t>
      </w: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43</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20"/>
          </w:cols>
          <w:pgMar w:left="900" w:top="338" w:right="879" w:bottom="1440" w:gutter="0" w:footer="0" w:header="0"/>
        </w:sectPr>
      </w:pPr>
    </w:p>
    <w:bookmarkStart w:id="59" w:name="page60"/>
    <w:bookmarkEnd w:id="5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Commenced Leasing</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0" w:type="dxa"/>
        <w:tblCellMar>
          <w:top w:w="0" w:type="dxa"/>
          <w:left w:w="0" w:type="dxa"/>
          <w:bottom w:w="0" w:type="dxa"/>
          <w:right w:w="0" w:type="dxa"/>
        </w:tblCellMar>
      </w:tblPr>
      <w:tr>
        <w:trPr>
          <w:trHeight w:val="80"/>
        </w:trPr>
        <w:tc>
          <w:tcPr>
            <w:tcW w:w="1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7"/>
                <w:szCs w:val="7"/>
                <w:b w:val="1"/>
                <w:bCs w:val="1"/>
                <w:color w:val="auto"/>
              </w:rPr>
              <w:t>New Cash Rent /</w:t>
            </w:r>
          </w:p>
        </w:tc>
        <w:tc>
          <w:tcPr>
            <w:tcW w:w="102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Prev. Escalated Rent/</w:t>
            </w: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Free Rent</w:t>
            </w:r>
          </w:p>
        </w:tc>
      </w:tr>
      <w:tr>
        <w:trPr>
          <w:trHeight w:val="100"/>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Activity</w:t>
            </w:r>
          </w:p>
        </w:tc>
        <w:tc>
          <w:tcPr>
            <w:tcW w:w="1840" w:type="dxa"/>
            <w:vAlign w:val="bottom"/>
            <w:tcBorders>
              <w:bottom w:val="single" w:sz="8" w:color="auto"/>
            </w:tcBorders>
            <w:gridSpan w:val="2"/>
          </w:tcPr>
          <w:p>
            <w:pPr>
              <w:ind w:left="20"/>
              <w:spacing w:after="0"/>
              <w:rPr>
                <w:sz w:val="20"/>
                <w:szCs w:val="20"/>
                <w:color w:val="auto"/>
              </w:rPr>
            </w:pPr>
            <w:r>
              <w:rPr>
                <w:rFonts w:ascii="Arial" w:cs="Arial" w:eastAsia="Arial" w:hAnsi="Arial"/>
                <w:sz w:val="7"/>
                <w:szCs w:val="7"/>
                <w:b w:val="1"/>
                <w:bCs w:val="1"/>
                <w:color w:val="auto"/>
              </w:rPr>
              <w:t>Building Address</w:t>
            </w:r>
          </w:p>
        </w:tc>
        <w:tc>
          <w:tcPr>
            <w:tcW w:w="720" w:type="dxa"/>
            <w:vAlign w:val="bottom"/>
            <w:tcBorders>
              <w:bottom w:val="single" w:sz="8" w:color="auto"/>
            </w:tcBorders>
            <w:gridSpan w:val="2"/>
          </w:tcPr>
          <w:p>
            <w:pPr>
              <w:ind w:left="220"/>
              <w:spacing w:after="0"/>
              <w:rPr>
                <w:sz w:val="20"/>
                <w:szCs w:val="20"/>
                <w:color w:val="auto"/>
              </w:rPr>
            </w:pPr>
            <w:r>
              <w:rPr>
                <w:rFonts w:ascii="Arial" w:cs="Arial" w:eastAsia="Arial" w:hAnsi="Arial"/>
                <w:sz w:val="7"/>
                <w:szCs w:val="7"/>
                <w:b w:val="1"/>
                <w:bCs w:val="1"/>
                <w:color w:val="auto"/>
              </w:rPr>
              <w:t># of Leases</w:t>
            </w:r>
          </w:p>
        </w:tc>
        <w:tc>
          <w:tcPr>
            <w:tcW w:w="720" w:type="dxa"/>
            <w:vAlign w:val="bottom"/>
            <w:tcBorders>
              <w:bottom w:val="single" w:sz="8" w:color="auto"/>
            </w:tcBorders>
            <w:gridSpan w:val="2"/>
          </w:tcPr>
          <w:p>
            <w:pPr>
              <w:ind w:left="260"/>
              <w:spacing w:after="0"/>
              <w:rPr>
                <w:sz w:val="20"/>
                <w:szCs w:val="20"/>
                <w:color w:val="auto"/>
              </w:rPr>
            </w:pPr>
            <w:r>
              <w:rPr>
                <w:rFonts w:ascii="Arial" w:cs="Arial" w:eastAsia="Arial" w:hAnsi="Arial"/>
                <w:sz w:val="7"/>
                <w:szCs w:val="7"/>
                <w:b w:val="1"/>
                <w:bCs w:val="1"/>
                <w:color w:val="auto"/>
              </w:rPr>
              <w:t>Term (Yrs)</w:t>
            </w:r>
          </w:p>
        </w:tc>
        <w:tc>
          <w:tcPr>
            <w:tcW w:w="780" w:type="dxa"/>
            <w:vAlign w:val="bottom"/>
            <w:tcBorders>
              <w:bottom w:val="single" w:sz="8" w:color="auto"/>
            </w:tcBorders>
            <w:gridSpan w:val="2"/>
          </w:tcPr>
          <w:p>
            <w:pPr>
              <w:ind w:left="260"/>
              <w:spacing w:after="0"/>
              <w:rPr>
                <w:sz w:val="20"/>
                <w:szCs w:val="20"/>
                <w:color w:val="auto"/>
              </w:rPr>
            </w:pPr>
            <w:r>
              <w:rPr>
                <w:rFonts w:ascii="Arial" w:cs="Arial" w:eastAsia="Arial" w:hAnsi="Arial"/>
                <w:sz w:val="7"/>
                <w:szCs w:val="7"/>
                <w:b w:val="1"/>
                <w:bCs w:val="1"/>
                <w:color w:val="auto"/>
              </w:rPr>
              <w:t>Useable SF</w:t>
            </w:r>
          </w:p>
        </w:tc>
        <w:tc>
          <w:tcPr>
            <w:tcW w:w="840" w:type="dxa"/>
            <w:vAlign w:val="bottom"/>
            <w:tcBorders>
              <w:bottom w:val="single" w:sz="8" w:color="auto"/>
            </w:tcBorders>
            <w:gridSpan w:val="2"/>
          </w:tcPr>
          <w:p>
            <w:pPr>
              <w:ind w:left="300"/>
              <w:spacing w:after="0"/>
              <w:rPr>
                <w:sz w:val="20"/>
                <w:szCs w:val="20"/>
                <w:color w:val="auto"/>
              </w:rPr>
            </w:pPr>
            <w:r>
              <w:rPr>
                <w:rFonts w:ascii="Arial" w:cs="Arial" w:eastAsia="Arial" w:hAnsi="Arial"/>
                <w:sz w:val="7"/>
                <w:szCs w:val="7"/>
                <w:b w:val="1"/>
                <w:bCs w:val="1"/>
                <w:color w:val="auto"/>
              </w:rPr>
              <w:t>Rentable SF</w:t>
            </w:r>
          </w:p>
        </w:tc>
        <w:tc>
          <w:tcPr>
            <w:tcW w:w="8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7"/>
                <w:szCs w:val="7"/>
                <w:b w:val="1"/>
                <w:bCs w:val="1"/>
                <w:color w:val="auto"/>
              </w:rPr>
              <w:t>Rentable SF(1)</w:t>
            </w:r>
          </w:p>
        </w:tc>
        <w:tc>
          <w:tcPr>
            <w:tcW w:w="10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7"/>
                <w:szCs w:val="7"/>
                <w:b w:val="1"/>
                <w:bCs w:val="1"/>
                <w:color w:val="auto"/>
              </w:rPr>
              <w:t>Rentable SF(2)</w:t>
            </w:r>
          </w:p>
        </w:tc>
        <w:tc>
          <w:tcPr>
            <w:tcW w:w="840" w:type="dxa"/>
            <w:vAlign w:val="bottom"/>
            <w:tcBorders>
              <w:bottom w:val="single" w:sz="8" w:color="auto"/>
            </w:tcBorders>
            <w:gridSpan w:val="2"/>
          </w:tcPr>
          <w:p>
            <w:pPr>
              <w:ind w:left="180"/>
              <w:spacing w:after="0"/>
              <w:rPr>
                <w:sz w:val="20"/>
                <w:szCs w:val="20"/>
                <w:color w:val="auto"/>
              </w:rPr>
            </w:pPr>
            <w:r>
              <w:rPr>
                <w:rFonts w:ascii="Arial" w:cs="Arial" w:eastAsia="Arial" w:hAnsi="Arial"/>
                <w:sz w:val="7"/>
                <w:szCs w:val="7"/>
                <w:b w:val="1"/>
                <w:bCs w:val="1"/>
                <w:color w:val="auto"/>
              </w:rPr>
              <w:t>TI / Rentable SF</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 of Months</w:t>
            </w:r>
          </w:p>
        </w:tc>
      </w:tr>
      <w:tr>
        <w:trPr>
          <w:trHeight w:val="301"/>
        </w:trPr>
        <w:tc>
          <w:tcPr>
            <w:tcW w:w="1360" w:type="dxa"/>
            <w:vAlign w:val="bottom"/>
          </w:tcPr>
          <w:p>
            <w:pPr>
              <w:ind w:left="20"/>
              <w:spacing w:after="0"/>
              <w:rPr>
                <w:sz w:val="20"/>
                <w:szCs w:val="20"/>
                <w:color w:val="auto"/>
              </w:rPr>
            </w:pPr>
            <w:r>
              <w:rPr>
                <w:rFonts w:ascii="Arial" w:cs="Arial" w:eastAsia="Arial" w:hAnsi="Arial"/>
                <w:sz w:val="7"/>
                <w:szCs w:val="7"/>
                <w:b w:val="1"/>
                <w:bCs w:val="1"/>
                <w:color w:val="auto"/>
              </w:rPr>
              <w:t>Available Space</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1,441,822</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11"/>
        </w:trPr>
        <w:tc>
          <w:tcPr>
            <w:tcW w:w="13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r>
      <w:tr>
        <w:trPr>
          <w:trHeight w:val="197"/>
        </w:trPr>
        <w:tc>
          <w:tcPr>
            <w:tcW w:w="1360" w:type="dxa"/>
            <w:vAlign w:val="bottom"/>
          </w:tcPr>
          <w:p>
            <w:pPr>
              <w:jc w:val="right"/>
              <w:ind w:right="4"/>
              <w:spacing w:after="0"/>
              <w:rPr>
                <w:sz w:val="20"/>
                <w:szCs w:val="20"/>
                <w:color w:val="auto"/>
              </w:rPr>
            </w:pPr>
            <w:r>
              <w:rPr>
                <w:rFonts w:ascii="Arial" w:cs="Arial" w:eastAsia="Arial" w:hAnsi="Arial"/>
                <w:sz w:val="7"/>
                <w:szCs w:val="7"/>
                <w:b w:val="1"/>
                <w:bCs w:val="1"/>
                <w:color w:val="auto"/>
              </w:rPr>
              <w:t>Office</w:t>
            </w:r>
          </w:p>
        </w:tc>
        <w:tc>
          <w:tcPr>
            <w:tcW w:w="1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19"/>
        </w:trPr>
        <w:tc>
          <w:tcPr>
            <w:tcW w:w="13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7"/>
                <w:szCs w:val="7"/>
                <w:color w:val="auto"/>
              </w:rPr>
              <w:t>3 Columbus Circle</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5,930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6,190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$77.00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$51.88</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13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7"/>
                <w:szCs w:val="7"/>
                <w:color w:val="auto"/>
              </w:rPr>
              <w:t>30 East 40th Street</w:t>
            </w:r>
          </w:p>
        </w:tc>
        <w:tc>
          <w:tcPr>
            <w:tcW w:w="640" w:type="dxa"/>
            <w:vAlign w:val="bottom"/>
          </w:tcPr>
          <w:p>
            <w:pPr>
              <w:jc w:val="right"/>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9.5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2,540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3,083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$67.01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$49.06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$32.44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6.4</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110</w:t>
            </w:r>
          </w:p>
        </w:tc>
        <w:tc>
          <w:tcPr>
            <w:tcW w:w="170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640" w:type="dxa"/>
            <w:vAlign w:val="bottom"/>
          </w:tcPr>
          <w:p>
            <w:pPr>
              <w:jc w:val="right"/>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9.2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42,354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46,634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$54.91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$53.42</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$43.01</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5.8</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110</w:t>
            </w:r>
          </w:p>
        </w:tc>
        <w:tc>
          <w:tcPr>
            <w:tcW w:w="1700" w:type="dxa"/>
            <w:vAlign w:val="bottom"/>
          </w:tcPr>
          <w:p>
            <w:pPr>
              <w:ind w:left="20"/>
              <w:spacing w:after="0"/>
              <w:rPr>
                <w:sz w:val="20"/>
                <w:szCs w:val="20"/>
                <w:color w:val="auto"/>
              </w:rPr>
            </w:pPr>
            <w:r>
              <w:rPr>
                <w:rFonts w:ascii="Arial" w:cs="Arial" w:eastAsia="Arial" w:hAnsi="Arial"/>
                <w:sz w:val="7"/>
                <w:szCs w:val="7"/>
                <w:color w:val="auto"/>
              </w:rPr>
              <w:t>Greene Street</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2,426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2,426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$82.60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$57.51</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$21.78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125</w:t>
            </w:r>
          </w:p>
        </w:tc>
        <w:tc>
          <w:tcPr>
            <w:tcW w:w="1700" w:type="dxa"/>
            <w:vAlign w:val="bottom"/>
          </w:tcPr>
          <w:p>
            <w:pPr>
              <w:ind w:left="20"/>
              <w:spacing w:after="0"/>
              <w:rPr>
                <w:sz w:val="20"/>
                <w:szCs w:val="20"/>
                <w:color w:val="auto"/>
              </w:rPr>
            </w:pPr>
            <w:r>
              <w:rPr>
                <w:rFonts w:ascii="Arial" w:cs="Arial" w:eastAsia="Arial" w:hAnsi="Arial"/>
                <w:sz w:val="7"/>
                <w:szCs w:val="7"/>
                <w:color w:val="auto"/>
              </w:rPr>
              <w:t>Park Avenue</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10.4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7,340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7,786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$63.00</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$89.98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220</w:t>
            </w:r>
          </w:p>
        </w:tc>
        <w:tc>
          <w:tcPr>
            <w:tcW w:w="170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10.3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8,754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9,809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$67.00</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$110.38</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280</w:t>
            </w:r>
          </w:p>
        </w:tc>
        <w:tc>
          <w:tcPr>
            <w:tcW w:w="1700" w:type="dxa"/>
            <w:vAlign w:val="bottom"/>
          </w:tcPr>
          <w:p>
            <w:pPr>
              <w:ind w:left="20"/>
              <w:spacing w:after="0"/>
              <w:rPr>
                <w:sz w:val="20"/>
                <w:szCs w:val="20"/>
                <w:color w:val="auto"/>
              </w:rPr>
            </w:pPr>
            <w:r>
              <w:rPr>
                <w:rFonts w:ascii="Arial" w:cs="Arial" w:eastAsia="Arial" w:hAnsi="Arial"/>
                <w:sz w:val="7"/>
                <w:szCs w:val="7"/>
                <w:color w:val="auto"/>
              </w:rPr>
              <w:t>Park Avenue</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10.0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7,926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8,941</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$120.00</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$110.63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420</w:t>
            </w:r>
          </w:p>
        </w:tc>
        <w:tc>
          <w:tcPr>
            <w:tcW w:w="170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640" w:type="dxa"/>
            <w:vAlign w:val="bottom"/>
          </w:tcPr>
          <w:p>
            <w:pPr>
              <w:jc w:val="right"/>
              <w:spacing w:after="0"/>
              <w:rPr>
                <w:sz w:val="20"/>
                <w:szCs w:val="20"/>
                <w:color w:val="auto"/>
              </w:rPr>
            </w:pPr>
            <w:r>
              <w:rPr>
                <w:rFonts w:ascii="Arial" w:cs="Arial" w:eastAsia="Arial" w:hAnsi="Arial"/>
                <w:sz w:val="7"/>
                <w:szCs w:val="7"/>
                <w:color w:val="auto"/>
              </w:rPr>
              <w:t>6</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3.7</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8,376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12,268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$59.70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$56.30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$14.94</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1.4</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521</w:t>
            </w:r>
          </w:p>
        </w:tc>
        <w:tc>
          <w:tcPr>
            <w:tcW w:w="170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640" w:type="dxa"/>
            <w:vAlign w:val="bottom"/>
          </w:tcPr>
          <w:p>
            <w:pPr>
              <w:jc w:val="right"/>
              <w:spacing w:after="0"/>
              <w:rPr>
                <w:sz w:val="20"/>
                <w:szCs w:val="20"/>
                <w:color w:val="auto"/>
              </w:rPr>
            </w:pPr>
            <w:r>
              <w:rPr>
                <w:rFonts w:ascii="Arial" w:cs="Arial" w:eastAsia="Arial" w:hAnsi="Arial"/>
                <w:sz w:val="7"/>
                <w:szCs w:val="7"/>
                <w:color w:val="auto"/>
              </w:rPr>
              <w:t>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7.4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14,022</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16,106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$68.14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$52.88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$84.27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609</w:t>
            </w:r>
          </w:p>
        </w:tc>
        <w:tc>
          <w:tcPr>
            <w:tcW w:w="170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2.1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695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746</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$60.00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$76.84</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711</w:t>
            </w:r>
          </w:p>
        </w:tc>
        <w:tc>
          <w:tcPr>
            <w:tcW w:w="170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640" w:type="dxa"/>
            <w:vAlign w:val="bottom"/>
          </w:tcPr>
          <w:p>
            <w:pPr>
              <w:jc w:val="right"/>
              <w:spacing w:after="0"/>
              <w:rPr>
                <w:sz w:val="20"/>
                <w:szCs w:val="20"/>
                <w:color w:val="auto"/>
              </w:rPr>
            </w:pPr>
            <w:r>
              <w:rPr>
                <w:rFonts w:ascii="Arial" w:cs="Arial" w:eastAsia="Arial" w:hAnsi="Arial"/>
                <w:sz w:val="7"/>
                <w:szCs w:val="7"/>
                <w:color w:val="auto"/>
              </w:rPr>
              <w:t>4</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13.3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106,945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128,314</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$60.95</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$46.77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$91.75</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6.0</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800</w:t>
            </w:r>
          </w:p>
        </w:tc>
        <w:tc>
          <w:tcPr>
            <w:tcW w:w="170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640" w:type="dxa"/>
            <w:vAlign w:val="bottom"/>
          </w:tcPr>
          <w:p>
            <w:pPr>
              <w:jc w:val="right"/>
              <w:spacing w:after="0"/>
              <w:rPr>
                <w:sz w:val="20"/>
                <w:szCs w:val="20"/>
                <w:color w:val="auto"/>
              </w:rPr>
            </w:pPr>
            <w:r>
              <w:rPr>
                <w:rFonts w:ascii="Arial" w:cs="Arial" w:eastAsia="Arial" w:hAnsi="Arial"/>
                <w:sz w:val="7"/>
                <w:szCs w:val="7"/>
                <w:color w:val="auto"/>
              </w:rPr>
              <w:t>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6.0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12,209</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13,138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$61.77</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$51.56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$12.73</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1.6</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810</w:t>
            </w:r>
          </w:p>
        </w:tc>
        <w:tc>
          <w:tcPr>
            <w:tcW w:w="1700" w:type="dxa"/>
            <w:vAlign w:val="bottom"/>
          </w:tcPr>
          <w:p>
            <w:pPr>
              <w:ind w:left="20"/>
              <w:spacing w:after="0"/>
              <w:rPr>
                <w:sz w:val="20"/>
                <w:szCs w:val="20"/>
                <w:color w:val="auto"/>
              </w:rPr>
            </w:pPr>
            <w:r>
              <w:rPr>
                <w:rFonts w:ascii="Arial" w:cs="Arial" w:eastAsia="Arial" w:hAnsi="Arial"/>
                <w:sz w:val="7"/>
                <w:szCs w:val="7"/>
                <w:color w:val="auto"/>
              </w:rPr>
              <w:t>Seventh Avenue</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10.6</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15,500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17,320</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$69.00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$68.40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$25.00</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7.0</w:t>
            </w:r>
          </w:p>
        </w:tc>
      </w:tr>
      <w:tr>
        <w:trPr>
          <w:trHeight w:val="225"/>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919</w:t>
            </w:r>
          </w:p>
        </w:tc>
        <w:tc>
          <w:tcPr>
            <w:tcW w:w="170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5.2</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160,868</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174,005</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$58.10</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$66.47</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$17.28</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2.9</w:t>
            </w:r>
          </w:p>
        </w:tc>
      </w:tr>
      <w:tr>
        <w:trPr>
          <w:trHeight w:val="192"/>
        </w:trPr>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Total/Weighted Average</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32</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8.5</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395,885</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446,766</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$61.50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7"/>
                <w:szCs w:val="7"/>
                <w:b w:val="1"/>
                <w:bCs w:val="1"/>
                <w:color w:val="auto"/>
              </w:rPr>
              <w:t>$59.81</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$48.91</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4.3</w:t>
            </w:r>
          </w:p>
        </w:tc>
      </w:tr>
      <w:tr>
        <w:trPr>
          <w:trHeight w:val="317"/>
        </w:trPr>
        <w:tc>
          <w:tcPr>
            <w:tcW w:w="1360" w:type="dxa"/>
            <w:vAlign w:val="bottom"/>
          </w:tcPr>
          <w:p>
            <w:pPr>
              <w:jc w:val="right"/>
              <w:ind w:right="4"/>
              <w:spacing w:after="0"/>
              <w:rPr>
                <w:sz w:val="20"/>
                <w:szCs w:val="20"/>
                <w:color w:val="auto"/>
              </w:rPr>
            </w:pPr>
            <w:r>
              <w:rPr>
                <w:rFonts w:ascii="Arial" w:cs="Arial" w:eastAsia="Arial" w:hAnsi="Arial"/>
                <w:sz w:val="7"/>
                <w:szCs w:val="7"/>
                <w:b w:val="1"/>
                <w:bCs w:val="1"/>
                <w:color w:val="auto"/>
              </w:rPr>
              <w:t>Retail</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304</w:t>
            </w:r>
          </w:p>
        </w:tc>
        <w:tc>
          <w:tcPr>
            <w:tcW w:w="1700" w:type="dxa"/>
            <w:vAlign w:val="bottom"/>
          </w:tcPr>
          <w:p>
            <w:pPr>
              <w:ind w:left="20"/>
              <w:spacing w:after="0"/>
              <w:rPr>
                <w:sz w:val="20"/>
                <w:szCs w:val="20"/>
                <w:color w:val="auto"/>
              </w:rPr>
            </w:pPr>
            <w:r>
              <w:rPr>
                <w:rFonts w:ascii="Arial" w:cs="Arial" w:eastAsia="Arial" w:hAnsi="Arial"/>
                <w:sz w:val="7"/>
                <w:szCs w:val="7"/>
                <w:color w:val="auto"/>
              </w:rPr>
              <w:t>Park Avenue South</w:t>
            </w:r>
          </w:p>
        </w:tc>
        <w:tc>
          <w:tcPr>
            <w:tcW w:w="640" w:type="dxa"/>
            <w:vAlign w:val="bottom"/>
          </w:tcPr>
          <w:p>
            <w:pPr>
              <w:jc w:val="right"/>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10.5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5,070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5,733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$185.14</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$113.70</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6.0</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420</w:t>
            </w:r>
          </w:p>
        </w:tc>
        <w:tc>
          <w:tcPr>
            <w:tcW w:w="170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274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205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$91.00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$157.78</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0.4</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625</w:t>
            </w:r>
          </w:p>
        </w:tc>
        <w:tc>
          <w:tcPr>
            <w:tcW w:w="170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640" w:type="dxa"/>
            <w:vAlign w:val="bottom"/>
          </w:tcPr>
          <w:p>
            <w:pPr>
              <w:jc w:val="right"/>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10.4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3,313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3,313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$71.26</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60" w:type="dxa"/>
            <w:vAlign w:val="bottom"/>
          </w:tcPr>
          <w:p>
            <w:pPr>
              <w:jc w:val="right"/>
              <w:spacing w:after="0"/>
              <w:rPr>
                <w:sz w:val="20"/>
                <w:szCs w:val="20"/>
                <w:color w:val="auto"/>
              </w:rPr>
            </w:pPr>
            <w:r>
              <w:rPr>
                <w:rFonts w:ascii="Arial" w:cs="Arial" w:eastAsia="Arial" w:hAnsi="Arial"/>
                <w:sz w:val="7"/>
                <w:szCs w:val="7"/>
                <w:color w:val="auto"/>
              </w:rPr>
              <w:t>$26.27</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225"/>
        </w:trPr>
        <w:tc>
          <w:tcPr>
            <w:tcW w:w="13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7"/>
                <w:szCs w:val="7"/>
                <w:color w:val="auto"/>
              </w:rPr>
              <w:t>1350 Avenue of the Americas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15.0</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2,874</w:t>
            </w:r>
          </w:p>
        </w:tc>
        <w:tc>
          <w:tcPr>
            <w:tcW w:w="10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2,874</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$332.77</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$119.05</w:t>
            </w:r>
          </w:p>
        </w:tc>
        <w:tc>
          <w:tcPr>
            <w:tcW w:w="1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$20.29</w:t>
            </w:r>
          </w:p>
        </w:tc>
        <w:tc>
          <w:tcPr>
            <w:tcW w:w="8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3.1</w:t>
            </w:r>
          </w:p>
        </w:tc>
      </w:tr>
      <w:tr>
        <w:trPr>
          <w:trHeight w:val="192"/>
        </w:trPr>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Total/Weighted Average</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7</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11.5</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11,531</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12,125</w:t>
            </w: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$187.42</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7"/>
                <w:szCs w:val="7"/>
                <w:b w:val="1"/>
                <w:bCs w:val="1"/>
                <w:color w:val="auto"/>
              </w:rPr>
              <w:t>$116.47</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$11.99</w:t>
            </w:r>
          </w:p>
        </w:tc>
        <w:tc>
          <w:tcPr>
            <w:tcW w:w="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4.9</w:t>
            </w:r>
          </w:p>
        </w:tc>
      </w:tr>
      <w:tr>
        <w:trPr>
          <w:trHeight w:val="317"/>
        </w:trPr>
        <w:tc>
          <w:tcPr>
            <w:tcW w:w="1360" w:type="dxa"/>
            <w:vAlign w:val="bottom"/>
          </w:tcPr>
          <w:p>
            <w:pPr>
              <w:jc w:val="right"/>
              <w:ind w:right="4"/>
              <w:spacing w:after="0"/>
              <w:rPr>
                <w:sz w:val="20"/>
                <w:szCs w:val="20"/>
                <w:color w:val="auto"/>
              </w:rPr>
            </w:pPr>
            <w:r>
              <w:rPr>
                <w:rFonts w:ascii="Arial" w:cs="Arial" w:eastAsia="Arial" w:hAnsi="Arial"/>
                <w:sz w:val="7"/>
                <w:szCs w:val="7"/>
                <w:b w:val="1"/>
                <w:bCs w:val="1"/>
                <w:color w:val="auto"/>
              </w:rPr>
              <w:t>Storage</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220</w:t>
            </w:r>
          </w:p>
        </w:tc>
        <w:tc>
          <w:tcPr>
            <w:tcW w:w="170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16.3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875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848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$25.00</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136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Arial" w:cs="Arial" w:eastAsia="Arial" w:hAnsi="Arial"/>
                <w:sz w:val="7"/>
                <w:szCs w:val="7"/>
                <w:color w:val="auto"/>
                <w:w w:val="85"/>
              </w:rPr>
              <w:t>919</w:t>
            </w:r>
          </w:p>
        </w:tc>
        <w:tc>
          <w:tcPr>
            <w:tcW w:w="170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5.4</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1,500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1,543</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$25.00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color w:val="auto"/>
              </w:rPr>
              <w:t>$26.73</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225"/>
        </w:trPr>
        <w:tc>
          <w:tcPr>
            <w:tcW w:w="13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7"/>
                <w:szCs w:val="7"/>
                <w:color w:val="auto"/>
              </w:rPr>
              <w:t>1350 Avenue of the Americas</w:t>
            </w:r>
          </w:p>
        </w:tc>
        <w:tc>
          <w:tcPr>
            <w:tcW w:w="640" w:type="dxa"/>
            <w:vAlign w:val="bottom"/>
          </w:tcPr>
          <w:p>
            <w:pPr>
              <w:jc w:val="right"/>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15.0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428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color w:val="auto"/>
              </w:rPr>
              <w:t>428</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color w:val="auto"/>
              </w:rPr>
              <w:t>$25.00</w:t>
            </w: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color w:val="auto"/>
              </w:rPr>
              <w:t>5.0</w:t>
            </w:r>
          </w:p>
        </w:tc>
      </w:tr>
      <w:tr>
        <w:trPr>
          <w:trHeight w:val="192"/>
        </w:trPr>
        <w:tc>
          <w:tcPr>
            <w:tcW w:w="1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Total/Weighted Average</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3</w:t>
            </w:r>
          </w:p>
        </w:tc>
        <w:tc>
          <w:tcPr>
            <w:tcW w:w="80" w:type="dxa"/>
            <w:vAlign w:val="bottom"/>
          </w:tcPr>
          <w:p>
            <w:pPr>
              <w:spacing w:after="0"/>
              <w:rPr>
                <w:sz w:val="16"/>
                <w:szCs w:val="16"/>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10.2</w:t>
            </w:r>
          </w:p>
        </w:tc>
        <w:tc>
          <w:tcPr>
            <w:tcW w:w="80" w:type="dxa"/>
            <w:vAlign w:val="bottom"/>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2,803</w:t>
            </w:r>
          </w:p>
        </w:tc>
        <w:tc>
          <w:tcPr>
            <w:tcW w:w="10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2,819</w:t>
            </w:r>
          </w:p>
        </w:tc>
        <w:tc>
          <w:tcPr>
            <w:tcW w:w="100" w:type="dxa"/>
            <w:vAlign w:val="bottom"/>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$25.00</w:t>
            </w:r>
          </w:p>
        </w:tc>
        <w:tc>
          <w:tcPr>
            <w:tcW w:w="80" w:type="dxa"/>
            <w:vAlign w:val="bottom"/>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$26.73</w:t>
            </w:r>
          </w:p>
        </w:tc>
        <w:tc>
          <w:tcPr>
            <w:tcW w:w="100" w:type="dxa"/>
            <w:vAlign w:val="bottom"/>
          </w:tcPr>
          <w:p>
            <w:pPr>
              <w:spacing w:after="0"/>
              <w:rPr>
                <w:sz w:val="16"/>
                <w:szCs w:val="16"/>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$0.00</w:t>
            </w:r>
          </w:p>
        </w:tc>
        <w:tc>
          <w:tcPr>
            <w:tcW w:w="80" w:type="dxa"/>
            <w:vAlign w:val="bottom"/>
          </w:tcPr>
          <w:p>
            <w:pPr>
              <w:spacing w:after="0"/>
              <w:rPr>
                <w:sz w:val="16"/>
                <w:szCs w:val="16"/>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7"/>
                <w:szCs w:val="7"/>
                <w:b w:val="1"/>
                <w:bCs w:val="1"/>
                <w:color w:val="auto"/>
              </w:rPr>
              <w:t>2.4</w:t>
            </w:r>
          </w:p>
        </w:tc>
      </w:tr>
      <w:tr>
        <w:trPr>
          <w:trHeight w:val="225"/>
        </w:trPr>
        <w:tc>
          <w:tcPr>
            <w:tcW w:w="1360" w:type="dxa"/>
            <w:vAlign w:val="bottom"/>
            <w:tcBorders>
              <w:bottom w:val="single" w:sz="8" w:color="auto"/>
            </w:tcBorders>
          </w:tcPr>
          <w:p>
            <w:pPr>
              <w:ind w:left="40"/>
              <w:spacing w:after="0"/>
              <w:rPr>
                <w:sz w:val="20"/>
                <w:szCs w:val="20"/>
                <w:color w:val="auto"/>
              </w:rPr>
            </w:pPr>
            <w:r>
              <w:rPr>
                <w:rFonts w:ascii="Arial" w:cs="Arial" w:eastAsia="Arial" w:hAnsi="Arial"/>
                <w:sz w:val="7"/>
                <w:szCs w:val="7"/>
                <w:b w:val="1"/>
                <w:bCs w:val="1"/>
                <w:color w:val="auto"/>
              </w:rPr>
              <w:t>Leased Space</w:t>
            </w:r>
          </w:p>
        </w:tc>
        <w:tc>
          <w:tcPr>
            <w:tcW w:w="1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r>
      <w:tr>
        <w:trPr>
          <w:trHeight w:val="203"/>
        </w:trPr>
        <w:tc>
          <w:tcPr>
            <w:tcW w:w="1360" w:type="dxa"/>
            <w:vAlign w:val="bottom"/>
          </w:tcPr>
          <w:p>
            <w:pPr>
              <w:spacing w:after="0"/>
              <w:rPr>
                <w:sz w:val="17"/>
                <w:szCs w:val="17"/>
                <w:color w:val="auto"/>
              </w:rPr>
            </w:pPr>
          </w:p>
        </w:tc>
        <w:tc>
          <w:tcPr>
            <w:tcW w:w="184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Office (3)</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32</w:t>
            </w:r>
          </w:p>
        </w:tc>
        <w:tc>
          <w:tcPr>
            <w:tcW w:w="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8.5</w:t>
            </w:r>
          </w:p>
        </w:tc>
        <w:tc>
          <w:tcPr>
            <w:tcW w:w="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395,885</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446,766</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$61.50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7"/>
                <w:szCs w:val="7"/>
                <w:b w:val="1"/>
                <w:bCs w:val="1"/>
                <w:color w:val="auto"/>
              </w:rPr>
              <w:t>$59.81</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$48.91</w:t>
            </w:r>
          </w:p>
        </w:tc>
        <w:tc>
          <w:tcPr>
            <w:tcW w:w="8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4.3</w:t>
            </w:r>
          </w:p>
        </w:tc>
      </w:tr>
      <w:tr>
        <w:trPr>
          <w:trHeight w:val="219"/>
        </w:trPr>
        <w:tc>
          <w:tcPr>
            <w:tcW w:w="13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Retail</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7</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11.5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11,531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12,125</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$187.42</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b w:val="1"/>
                <w:bCs w:val="1"/>
                <w:color w:val="auto"/>
              </w:rPr>
              <w:t>$116.47</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$11.99</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4.9</w:t>
            </w:r>
          </w:p>
        </w:tc>
      </w:tr>
      <w:tr>
        <w:trPr>
          <w:trHeight w:val="225"/>
        </w:trPr>
        <w:tc>
          <w:tcPr>
            <w:tcW w:w="1360" w:type="dxa"/>
            <w:vAlign w:val="bottom"/>
          </w:tcPr>
          <w:p>
            <w:pPr>
              <w:spacing w:after="0"/>
              <w:rPr>
                <w:sz w:val="19"/>
                <w:szCs w:val="19"/>
                <w:color w:val="auto"/>
              </w:rPr>
            </w:pPr>
          </w:p>
        </w:tc>
        <w:tc>
          <w:tcPr>
            <w:tcW w:w="1840" w:type="dxa"/>
            <w:vAlign w:val="bottom"/>
            <w:gridSpan w:val="2"/>
          </w:tcPr>
          <w:p>
            <w:pPr>
              <w:ind w:left="20"/>
              <w:spacing w:after="0"/>
              <w:rPr>
                <w:sz w:val="20"/>
                <w:szCs w:val="20"/>
                <w:color w:val="auto"/>
              </w:rPr>
            </w:pPr>
            <w:r>
              <w:rPr>
                <w:rFonts w:ascii="Arial" w:cs="Arial" w:eastAsia="Arial" w:hAnsi="Arial"/>
                <w:sz w:val="7"/>
                <w:szCs w:val="7"/>
                <w:b w:val="1"/>
                <w:bCs w:val="1"/>
                <w:i w:val="1"/>
                <w:iCs w:val="1"/>
                <w:color w:val="auto"/>
              </w:rPr>
              <w:t>Storage</w:t>
            </w: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10.2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2,803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7"/>
                <w:szCs w:val="7"/>
                <w:b w:val="1"/>
                <w:bCs w:val="1"/>
                <w:color w:val="auto"/>
              </w:rPr>
              <w:t>2,819</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7"/>
                <w:szCs w:val="7"/>
                <w:b w:val="1"/>
                <w:bCs w:val="1"/>
                <w:color w:val="auto"/>
              </w:rPr>
              <w:t>$25.00</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7"/>
                <w:szCs w:val="7"/>
                <w:b w:val="1"/>
                <w:bCs w:val="1"/>
                <w:color w:val="auto"/>
              </w:rPr>
              <w:t>$26.73</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7"/>
                <w:szCs w:val="7"/>
                <w:color w:val="auto"/>
              </w:rPr>
              <w:t>—</w:t>
            </w:r>
          </w:p>
        </w:tc>
        <w:tc>
          <w:tcPr>
            <w:tcW w:w="720" w:type="dxa"/>
            <w:vAlign w:val="bottom"/>
          </w:tcPr>
          <w:p>
            <w:pPr>
              <w:jc w:val="right"/>
              <w:spacing w:after="0"/>
              <w:rPr>
                <w:sz w:val="20"/>
                <w:szCs w:val="20"/>
                <w:color w:val="auto"/>
              </w:rPr>
            </w:pPr>
            <w:r>
              <w:rPr>
                <w:rFonts w:ascii="Arial" w:cs="Arial" w:eastAsia="Arial" w:hAnsi="Arial"/>
                <w:sz w:val="7"/>
                <w:szCs w:val="7"/>
                <w:b w:val="1"/>
                <w:bCs w:val="1"/>
                <w:color w:val="auto"/>
              </w:rPr>
              <w:t>2.4</w:t>
            </w:r>
          </w:p>
        </w:tc>
      </w:tr>
      <w:tr>
        <w:trPr>
          <w:trHeight w:val="199"/>
        </w:trPr>
        <w:tc>
          <w:tcPr>
            <w:tcW w:w="1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42</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8.6</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410,219</w:t>
            </w: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461,710</w:t>
            </w:r>
          </w:p>
        </w:tc>
        <w:tc>
          <w:tcPr>
            <w:tcW w:w="10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$64.58</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$61.10</w:t>
            </w:r>
          </w:p>
        </w:tc>
        <w:tc>
          <w:tcPr>
            <w:tcW w:w="10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$47.64</w:t>
            </w:r>
          </w:p>
        </w:tc>
        <w:tc>
          <w:tcPr>
            <w:tcW w:w="8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4.3</w:t>
            </w:r>
          </w:p>
        </w:tc>
      </w:tr>
      <w:tr>
        <w:trPr>
          <w:trHeight w:val="301"/>
        </w:trPr>
        <w:tc>
          <w:tcPr>
            <w:tcW w:w="1360" w:type="dxa"/>
            <w:vAlign w:val="bottom"/>
          </w:tcPr>
          <w:p>
            <w:pPr>
              <w:ind w:left="20"/>
              <w:spacing w:after="0"/>
              <w:rPr>
                <w:sz w:val="20"/>
                <w:szCs w:val="20"/>
                <w:color w:val="auto"/>
              </w:rPr>
            </w:pPr>
            <w:r>
              <w:rPr>
                <w:rFonts w:ascii="Arial" w:cs="Arial" w:eastAsia="Arial" w:hAnsi="Arial"/>
                <w:sz w:val="7"/>
                <w:szCs w:val="7"/>
                <w:b w:val="1"/>
                <w:bCs w:val="1"/>
                <w:i w:val="1"/>
                <w:iCs w:val="1"/>
                <w:color w:val="auto"/>
              </w:rPr>
              <w:t>Total Available Space as of 9/30/16</w:t>
            </w:r>
          </w:p>
        </w:tc>
        <w:tc>
          <w:tcPr>
            <w:tcW w:w="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1,031,603</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133" w:lineRule="exact"/>
        <w:rPr>
          <w:sz w:val="20"/>
          <w:szCs w:val="20"/>
          <w:color w:val="auto"/>
        </w:rPr>
      </w:pPr>
    </w:p>
    <w:p>
      <w:pPr>
        <w:ind w:left="320" w:hanging="102"/>
        <w:spacing w:after="0"/>
        <w:tabs>
          <w:tab w:leader="none" w:pos="320" w:val="left"/>
        </w:tabs>
        <w:numPr>
          <w:ilvl w:val="0"/>
          <w:numId w:val="28"/>
        </w:numPr>
        <w:rPr>
          <w:rFonts w:ascii="Arial" w:cs="Arial" w:eastAsia="Arial" w:hAnsi="Arial"/>
          <w:sz w:val="7"/>
          <w:szCs w:val="7"/>
          <w:color w:val="auto"/>
        </w:rPr>
      </w:pPr>
      <w:r>
        <w:rPr>
          <w:rFonts w:ascii="Arial" w:cs="Arial" w:eastAsia="Arial" w:hAnsi="Arial"/>
          <w:sz w:val="7"/>
          <w:szCs w:val="7"/>
          <w:color w:val="auto"/>
        </w:rPr>
        <w:t>Annual initial base rent.</w:t>
      </w:r>
    </w:p>
    <w:p>
      <w:pPr>
        <w:spacing w:after="0" w:line="39" w:lineRule="exact"/>
        <w:rPr>
          <w:rFonts w:ascii="Arial" w:cs="Arial" w:eastAsia="Arial" w:hAnsi="Arial"/>
          <w:sz w:val="7"/>
          <w:szCs w:val="7"/>
          <w:color w:val="auto"/>
        </w:rPr>
      </w:pPr>
    </w:p>
    <w:p>
      <w:pPr>
        <w:ind w:left="320" w:hanging="102"/>
        <w:spacing w:after="0"/>
        <w:tabs>
          <w:tab w:leader="none" w:pos="320" w:val="left"/>
        </w:tabs>
        <w:numPr>
          <w:ilvl w:val="0"/>
          <w:numId w:val="28"/>
        </w:numPr>
        <w:rPr>
          <w:rFonts w:ascii="Arial" w:cs="Arial" w:eastAsia="Arial" w:hAnsi="Arial"/>
          <w:sz w:val="7"/>
          <w:szCs w:val="7"/>
          <w:color w:val="auto"/>
        </w:rPr>
      </w:pPr>
      <w:r>
        <w:rPr>
          <w:rFonts w:ascii="Arial" w:cs="Arial" w:eastAsia="Arial" w:hAnsi="Arial"/>
          <w:sz w:val="7"/>
          <w:szCs w:val="7"/>
          <w:color w:val="auto"/>
        </w:rPr>
        <w:t>Escalated rent is calculated as total annual lease related income excluding electric charges.</w:t>
      </w:r>
    </w:p>
    <w:p>
      <w:pPr>
        <w:spacing w:after="0" w:line="39" w:lineRule="exact"/>
        <w:rPr>
          <w:rFonts w:ascii="Arial" w:cs="Arial" w:eastAsia="Arial" w:hAnsi="Arial"/>
          <w:sz w:val="7"/>
          <w:szCs w:val="7"/>
          <w:color w:val="auto"/>
        </w:rPr>
      </w:pPr>
    </w:p>
    <w:p>
      <w:pPr>
        <w:ind w:left="320" w:hanging="102"/>
        <w:spacing w:after="0"/>
        <w:tabs>
          <w:tab w:leader="none" w:pos="320" w:val="left"/>
        </w:tabs>
        <w:numPr>
          <w:ilvl w:val="0"/>
          <w:numId w:val="28"/>
        </w:numPr>
        <w:rPr>
          <w:rFonts w:ascii="Arial" w:cs="Arial" w:eastAsia="Arial" w:hAnsi="Arial"/>
          <w:sz w:val="7"/>
          <w:szCs w:val="7"/>
          <w:color w:val="auto"/>
        </w:rPr>
      </w:pPr>
      <w:r>
        <w:rPr>
          <w:rFonts w:ascii="Arial" w:cs="Arial" w:eastAsia="Arial" w:hAnsi="Arial"/>
          <w:sz w:val="7"/>
          <w:szCs w:val="7"/>
          <w:color w:val="auto"/>
        </w:rPr>
        <w:t>Average starting office rent excluding new tenants replacing vacancies is $59.69/rsf for 337,519 rentable SF. Average starting office rent for office space (leased and early renewals, excluding new tenants replacing vacancies) is $73.22/rsf for 1,085,757 rentable SF.</w:t>
      </w:r>
    </w:p>
    <w:p>
      <w:pPr>
        <w:spacing w:after="0" w:line="200" w:lineRule="exact"/>
        <w:rPr>
          <w:sz w:val="20"/>
          <w:szCs w:val="20"/>
          <w:color w:val="auto"/>
        </w:rPr>
      </w:pPr>
    </w:p>
    <w:p>
      <w:pPr>
        <w:spacing w:after="0" w:line="316"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44</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sectPr>
      </w:pPr>
    </w:p>
    <w:bookmarkStart w:id="60" w:name="page61"/>
    <w:bookmarkEnd w:id="6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Commenced Leasing</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793115</wp:posOffset>
            </wp:positionV>
            <wp:extent cx="609981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9981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260" w:type="dxa"/>
        <w:tblCellMar>
          <w:top w:w="0" w:type="dxa"/>
          <w:left w:w="0" w:type="dxa"/>
          <w:bottom w:w="0" w:type="dxa"/>
          <w:right w:w="0" w:type="dxa"/>
        </w:tblCellMar>
      </w:tblPr>
      <w:tr>
        <w:trPr>
          <w:trHeight w:val="80"/>
        </w:trPr>
        <w:tc>
          <w:tcPr>
            <w:tcW w:w="540" w:type="dxa"/>
            <w:vAlign w:val="bottom"/>
          </w:tcPr>
          <w:p>
            <w:pPr>
              <w:spacing w:after="0"/>
              <w:rPr>
                <w:sz w:val="7"/>
                <w:szCs w:val="7"/>
                <w:color w:val="auto"/>
              </w:rPr>
            </w:pPr>
          </w:p>
        </w:tc>
        <w:tc>
          <w:tcPr>
            <w:tcW w:w="960" w:type="dxa"/>
            <w:vAlign w:val="bottom"/>
          </w:tcPr>
          <w:p>
            <w:pPr>
              <w:spacing w:after="0"/>
              <w:rPr>
                <w:sz w:val="7"/>
                <w:szCs w:val="7"/>
                <w:color w:val="auto"/>
              </w:rPr>
            </w:pPr>
          </w:p>
        </w:tc>
        <w:tc>
          <w:tcPr>
            <w:tcW w:w="1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New Cash Rent /</w:t>
            </w:r>
          </w:p>
        </w:tc>
        <w:tc>
          <w:tcPr>
            <w:tcW w:w="100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Prev. Escalated Rent/</w:t>
            </w: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Free Rent</w:t>
            </w:r>
          </w:p>
        </w:tc>
      </w:tr>
      <w:tr>
        <w:trPr>
          <w:trHeight w:val="100"/>
        </w:trPr>
        <w:tc>
          <w:tcPr>
            <w:tcW w:w="54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Activity</w:t>
            </w:r>
          </w:p>
        </w:tc>
        <w:tc>
          <w:tcPr>
            <w:tcW w:w="2660" w:type="dxa"/>
            <w:vAlign w:val="bottom"/>
            <w:tcBorders>
              <w:bottom w:val="single" w:sz="8" w:color="auto"/>
            </w:tcBorders>
            <w:gridSpan w:val="2"/>
          </w:tcPr>
          <w:p>
            <w:pPr>
              <w:ind w:left="820"/>
              <w:spacing w:after="0"/>
              <w:rPr>
                <w:sz w:val="20"/>
                <w:szCs w:val="20"/>
                <w:color w:val="auto"/>
              </w:rPr>
            </w:pPr>
            <w:r>
              <w:rPr>
                <w:rFonts w:ascii="Arial" w:cs="Arial" w:eastAsia="Arial" w:hAnsi="Arial"/>
                <w:sz w:val="7"/>
                <w:szCs w:val="7"/>
                <w:b w:val="1"/>
                <w:bCs w:val="1"/>
                <w:color w:val="auto"/>
              </w:rPr>
              <w:t>Building Address</w:t>
            </w:r>
          </w:p>
        </w:tc>
        <w:tc>
          <w:tcPr>
            <w:tcW w:w="720" w:type="dxa"/>
            <w:vAlign w:val="bottom"/>
            <w:tcBorders>
              <w:bottom w:val="single" w:sz="8" w:color="auto"/>
            </w:tcBorders>
            <w:gridSpan w:val="2"/>
          </w:tcPr>
          <w:p>
            <w:pPr>
              <w:ind w:left="200"/>
              <w:spacing w:after="0"/>
              <w:rPr>
                <w:sz w:val="20"/>
                <w:szCs w:val="20"/>
                <w:color w:val="auto"/>
              </w:rPr>
            </w:pPr>
            <w:r>
              <w:rPr>
                <w:rFonts w:ascii="Arial" w:cs="Arial" w:eastAsia="Arial" w:hAnsi="Arial"/>
                <w:sz w:val="7"/>
                <w:szCs w:val="7"/>
                <w:b w:val="1"/>
                <w:bCs w:val="1"/>
                <w:color w:val="auto"/>
              </w:rPr>
              <w:t># of Leases</w:t>
            </w:r>
          </w:p>
        </w:tc>
        <w:tc>
          <w:tcPr>
            <w:tcW w:w="720" w:type="dxa"/>
            <w:vAlign w:val="bottom"/>
            <w:tcBorders>
              <w:bottom w:val="single" w:sz="8" w:color="auto"/>
            </w:tcBorders>
            <w:gridSpan w:val="2"/>
          </w:tcPr>
          <w:p>
            <w:pPr>
              <w:ind w:left="240"/>
              <w:spacing w:after="0"/>
              <w:rPr>
                <w:sz w:val="20"/>
                <w:szCs w:val="20"/>
                <w:color w:val="auto"/>
              </w:rPr>
            </w:pPr>
            <w:r>
              <w:rPr>
                <w:rFonts w:ascii="Arial" w:cs="Arial" w:eastAsia="Arial" w:hAnsi="Arial"/>
                <w:sz w:val="7"/>
                <w:szCs w:val="7"/>
                <w:b w:val="1"/>
                <w:bCs w:val="1"/>
                <w:color w:val="auto"/>
              </w:rPr>
              <w:t>Term (Yrs)</w:t>
            </w:r>
          </w:p>
        </w:tc>
        <w:tc>
          <w:tcPr>
            <w:tcW w:w="760" w:type="dxa"/>
            <w:vAlign w:val="bottom"/>
            <w:tcBorders>
              <w:bottom w:val="single" w:sz="8" w:color="auto"/>
            </w:tcBorders>
            <w:gridSpan w:val="2"/>
          </w:tcPr>
          <w:p>
            <w:pPr>
              <w:ind w:left="260"/>
              <w:spacing w:after="0"/>
              <w:rPr>
                <w:sz w:val="20"/>
                <w:szCs w:val="20"/>
                <w:color w:val="auto"/>
              </w:rPr>
            </w:pPr>
            <w:r>
              <w:rPr>
                <w:rFonts w:ascii="Arial" w:cs="Arial" w:eastAsia="Arial" w:hAnsi="Arial"/>
                <w:sz w:val="7"/>
                <w:szCs w:val="7"/>
                <w:b w:val="1"/>
                <w:bCs w:val="1"/>
                <w:color w:val="auto"/>
              </w:rPr>
              <w:t>Useable SF</w:t>
            </w:r>
          </w:p>
        </w:tc>
        <w:tc>
          <w:tcPr>
            <w:tcW w:w="840" w:type="dxa"/>
            <w:vAlign w:val="bottom"/>
            <w:tcBorders>
              <w:bottom w:val="single" w:sz="8" w:color="auto"/>
            </w:tcBorders>
            <w:gridSpan w:val="2"/>
          </w:tcPr>
          <w:p>
            <w:pPr>
              <w:ind w:left="320"/>
              <w:spacing w:after="0"/>
              <w:rPr>
                <w:sz w:val="20"/>
                <w:szCs w:val="20"/>
                <w:color w:val="auto"/>
              </w:rPr>
            </w:pPr>
            <w:r>
              <w:rPr>
                <w:rFonts w:ascii="Arial" w:cs="Arial" w:eastAsia="Arial" w:hAnsi="Arial"/>
                <w:sz w:val="7"/>
                <w:szCs w:val="7"/>
                <w:b w:val="1"/>
                <w:bCs w:val="1"/>
                <w:color w:val="auto"/>
              </w:rPr>
              <w:t>Rentable SF</w:t>
            </w:r>
          </w:p>
        </w:tc>
        <w:tc>
          <w:tcPr>
            <w:tcW w:w="9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7"/>
                <w:szCs w:val="7"/>
                <w:b w:val="1"/>
                <w:bCs w:val="1"/>
                <w:color w:val="auto"/>
              </w:rPr>
              <w:t>Rentable SF(1)</w:t>
            </w:r>
          </w:p>
        </w:tc>
        <w:tc>
          <w:tcPr>
            <w:tcW w:w="10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7"/>
                <w:szCs w:val="7"/>
                <w:b w:val="1"/>
                <w:bCs w:val="1"/>
                <w:color w:val="auto"/>
              </w:rPr>
              <w:t>Rentable SF(2)</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7"/>
                <w:szCs w:val="7"/>
                <w:b w:val="1"/>
                <w:bCs w:val="1"/>
                <w:color w:val="auto"/>
              </w:rPr>
              <w:t>TI / Rentable SF</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b w:val="1"/>
                <w:bCs w:val="1"/>
                <w:color w:val="auto"/>
              </w:rPr>
              <w:t># of Months</w:t>
            </w:r>
          </w:p>
        </w:tc>
      </w:tr>
      <w:tr>
        <w:trPr>
          <w:trHeight w:val="450"/>
        </w:trPr>
        <w:tc>
          <w:tcPr>
            <w:tcW w:w="5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Early Renewals</w:t>
            </w:r>
          </w:p>
        </w:tc>
        <w:tc>
          <w:tcPr>
            <w:tcW w:w="17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960" w:type="dxa"/>
            <w:vAlign w:val="bottom"/>
          </w:tcPr>
          <w:p>
            <w:pPr>
              <w:jc w:val="right"/>
              <w:ind w:right="144"/>
              <w:spacing w:after="0"/>
              <w:rPr>
                <w:sz w:val="20"/>
                <w:szCs w:val="20"/>
                <w:color w:val="auto"/>
              </w:rPr>
            </w:pPr>
            <w:r>
              <w:rPr>
                <w:rFonts w:ascii="Arial" w:cs="Arial" w:eastAsia="Arial" w:hAnsi="Arial"/>
                <w:sz w:val="7"/>
                <w:szCs w:val="7"/>
                <w:b w:val="1"/>
                <w:bCs w:val="1"/>
                <w:color w:val="auto"/>
              </w:rPr>
              <w:t>Office</w:t>
            </w:r>
          </w:p>
        </w:tc>
        <w:tc>
          <w:tcPr>
            <w:tcW w:w="1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9"/>
        </w:trPr>
        <w:tc>
          <w:tcPr>
            <w:tcW w:w="540" w:type="dxa"/>
            <w:vAlign w:val="bottom"/>
          </w:tcPr>
          <w:p>
            <w:pPr>
              <w:spacing w:after="0"/>
              <w:rPr>
                <w:sz w:val="19"/>
                <w:szCs w:val="19"/>
                <w:color w:val="auto"/>
              </w:rPr>
            </w:pPr>
          </w:p>
        </w:tc>
        <w:tc>
          <w:tcPr>
            <w:tcW w:w="2660" w:type="dxa"/>
            <w:vAlign w:val="bottom"/>
            <w:gridSpan w:val="2"/>
          </w:tcPr>
          <w:p>
            <w:pPr>
              <w:ind w:left="820"/>
              <w:spacing w:after="0"/>
              <w:rPr>
                <w:sz w:val="20"/>
                <w:szCs w:val="20"/>
                <w:color w:val="auto"/>
              </w:rPr>
            </w:pPr>
            <w:r>
              <w:rPr>
                <w:rFonts w:ascii="Arial" w:cs="Arial" w:eastAsia="Arial" w:hAnsi="Arial"/>
                <w:sz w:val="7"/>
                <w:szCs w:val="7"/>
                <w:color w:val="auto"/>
              </w:rPr>
              <w:t>3 Columbus Circle</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5,930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6,190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$85.00</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$85.00</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110</w:t>
            </w:r>
          </w:p>
        </w:tc>
        <w:tc>
          <w:tcPr>
            <w:tcW w:w="1700" w:type="dxa"/>
            <w:vAlign w:val="bottom"/>
          </w:tcPr>
          <w:p>
            <w:pPr>
              <w:spacing w:after="0"/>
              <w:rPr>
                <w:sz w:val="20"/>
                <w:szCs w:val="20"/>
                <w:color w:val="auto"/>
              </w:rPr>
            </w:pPr>
            <w:r>
              <w:rPr>
                <w:rFonts w:ascii="Arial" w:cs="Arial" w:eastAsia="Arial" w:hAnsi="Arial"/>
                <w:sz w:val="7"/>
                <w:szCs w:val="7"/>
                <w:color w:val="auto"/>
              </w:rPr>
              <w:t>East 42nd Street</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5.2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4,154</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4,240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$60.00</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$60.56</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2.0</w:t>
            </w:r>
          </w:p>
        </w:tc>
      </w:tr>
      <w:tr>
        <w:trPr>
          <w:trHeight w:val="219"/>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220</w:t>
            </w:r>
          </w:p>
        </w:tc>
        <w:tc>
          <w:tcPr>
            <w:tcW w:w="1700" w:type="dxa"/>
            <w:vAlign w:val="bottom"/>
          </w:tcPr>
          <w:p>
            <w:pPr>
              <w:spacing w:after="0"/>
              <w:rPr>
                <w:sz w:val="20"/>
                <w:szCs w:val="20"/>
                <w:color w:val="auto"/>
              </w:rPr>
            </w:pPr>
            <w:r>
              <w:rPr>
                <w:rFonts w:ascii="Arial" w:cs="Arial" w:eastAsia="Arial" w:hAnsi="Arial"/>
                <w:sz w:val="7"/>
                <w:szCs w:val="7"/>
                <w:color w:val="auto"/>
              </w:rPr>
              <w:t>East 42nd Street</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15.2</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88,193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97,566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$61.31</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$52.17</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$68.35</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5.3</w:t>
            </w:r>
          </w:p>
        </w:tc>
      </w:tr>
      <w:tr>
        <w:trPr>
          <w:trHeight w:val="219"/>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420</w:t>
            </w:r>
          </w:p>
        </w:tc>
        <w:tc>
          <w:tcPr>
            <w:tcW w:w="1700" w:type="dxa"/>
            <w:vAlign w:val="bottom"/>
          </w:tcPr>
          <w:p>
            <w:pPr>
              <w:spacing w:after="0"/>
              <w:rPr>
                <w:sz w:val="20"/>
                <w:szCs w:val="20"/>
                <w:color w:val="auto"/>
              </w:rPr>
            </w:pPr>
            <w:r>
              <w:rPr>
                <w:rFonts w:ascii="Arial" w:cs="Arial" w:eastAsia="Arial" w:hAnsi="Arial"/>
                <w:sz w:val="7"/>
                <w:szCs w:val="7"/>
                <w:color w:val="auto"/>
              </w:rPr>
              <w:t>Lexington Avenue</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3.5</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4,655</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5,981</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$57.24</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$48.07</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1.8</w:t>
            </w:r>
          </w:p>
        </w:tc>
      </w:tr>
      <w:tr>
        <w:trPr>
          <w:trHeight w:val="219"/>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600</w:t>
            </w:r>
          </w:p>
        </w:tc>
        <w:tc>
          <w:tcPr>
            <w:tcW w:w="1700" w:type="dxa"/>
            <w:vAlign w:val="bottom"/>
          </w:tcPr>
          <w:p>
            <w:pPr>
              <w:spacing w:after="0"/>
              <w:rPr>
                <w:sz w:val="20"/>
                <w:szCs w:val="20"/>
                <w:color w:val="auto"/>
              </w:rPr>
            </w:pPr>
            <w:r>
              <w:rPr>
                <w:rFonts w:ascii="Arial" w:cs="Arial" w:eastAsia="Arial" w:hAnsi="Arial"/>
                <w:sz w:val="7"/>
                <w:szCs w:val="7"/>
                <w:color w:val="auto"/>
              </w:rPr>
              <w:t>Lexington Avenue</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5.3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25,482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25,995</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$80.00</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$94.35</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7"/>
                <w:szCs w:val="7"/>
                <w:color w:val="auto"/>
              </w:rPr>
              <w:t>$40.01</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7"/>
                <w:szCs w:val="7"/>
                <w:color w:val="auto"/>
              </w:rPr>
              <w:t>3.0</w:t>
            </w:r>
          </w:p>
        </w:tc>
      </w:tr>
      <w:tr>
        <w:trPr>
          <w:trHeight w:val="219"/>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800</w:t>
            </w:r>
          </w:p>
        </w:tc>
        <w:tc>
          <w:tcPr>
            <w:tcW w:w="1700" w:type="dxa"/>
            <w:vAlign w:val="bottom"/>
          </w:tcPr>
          <w:p>
            <w:pPr>
              <w:spacing w:after="0"/>
              <w:rPr>
                <w:sz w:val="20"/>
                <w:szCs w:val="20"/>
                <w:color w:val="auto"/>
              </w:rPr>
            </w:pPr>
            <w:r>
              <w:rPr>
                <w:rFonts w:ascii="Arial" w:cs="Arial" w:eastAsia="Arial" w:hAnsi="Arial"/>
                <w:sz w:val="7"/>
                <w:szCs w:val="7"/>
                <w:color w:val="auto"/>
              </w:rPr>
              <w:t>Third Avenue</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4,616</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4,616</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$65.44</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$66.00</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1.0</w:t>
            </w:r>
          </w:p>
        </w:tc>
      </w:tr>
      <w:tr>
        <w:trPr>
          <w:trHeight w:val="225"/>
        </w:trPr>
        <w:tc>
          <w:tcPr>
            <w:tcW w:w="540" w:type="dxa"/>
            <w:vAlign w:val="bottom"/>
          </w:tcPr>
          <w:p>
            <w:pPr>
              <w:spacing w:after="0"/>
              <w:rPr>
                <w:sz w:val="19"/>
                <w:szCs w:val="19"/>
                <w:color w:val="auto"/>
              </w:rPr>
            </w:pPr>
          </w:p>
        </w:tc>
        <w:tc>
          <w:tcPr>
            <w:tcW w:w="2660" w:type="dxa"/>
            <w:vAlign w:val="bottom"/>
            <w:gridSpan w:val="2"/>
          </w:tcPr>
          <w:p>
            <w:pPr>
              <w:ind w:left="820"/>
              <w:spacing w:after="0"/>
              <w:rPr>
                <w:sz w:val="20"/>
                <w:szCs w:val="20"/>
                <w:color w:val="auto"/>
              </w:rPr>
            </w:pPr>
            <w:r>
              <w:rPr>
                <w:rFonts w:ascii="Arial" w:cs="Arial" w:eastAsia="Arial" w:hAnsi="Arial"/>
                <w:sz w:val="7"/>
                <w:szCs w:val="7"/>
                <w:color w:val="auto"/>
              </w:rPr>
              <w:t>1745 Broadway</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11.6</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567,561</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603,650</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$82.60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$63.01</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$31.01</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4.1</w:t>
            </w:r>
          </w:p>
        </w:tc>
      </w:tr>
      <w:tr>
        <w:trPr>
          <w:trHeight w:val="192"/>
        </w:trPr>
        <w:tc>
          <w:tcPr>
            <w:tcW w:w="540" w:type="dxa"/>
            <w:vAlign w:val="bottom"/>
          </w:tcPr>
          <w:p>
            <w:pPr>
              <w:spacing w:after="0"/>
              <w:rPr>
                <w:sz w:val="16"/>
                <w:szCs w:val="16"/>
                <w:color w:val="auto"/>
              </w:rPr>
            </w:pPr>
          </w:p>
        </w:tc>
        <w:tc>
          <w:tcPr>
            <w:tcW w:w="2660" w:type="dxa"/>
            <w:vAlign w:val="bottom"/>
            <w:gridSpan w:val="2"/>
          </w:tcPr>
          <w:p>
            <w:pPr>
              <w:ind w:left="820"/>
              <w:spacing w:after="0"/>
              <w:rPr>
                <w:sz w:val="20"/>
                <w:szCs w:val="20"/>
                <w:color w:val="auto"/>
              </w:rPr>
            </w:pPr>
            <w:r>
              <w:rPr>
                <w:rFonts w:ascii="Arial" w:cs="Arial" w:eastAsia="Arial" w:hAnsi="Arial"/>
                <w:sz w:val="7"/>
                <w:szCs w:val="7"/>
                <w:b w:val="1"/>
                <w:bCs w:val="1"/>
                <w:i w:val="1"/>
                <w:iCs w:val="1"/>
                <w:color w:val="auto"/>
              </w:rPr>
              <w:t>Total/Weighted Average</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10</w:t>
            </w:r>
          </w:p>
        </w:tc>
        <w:tc>
          <w:tcPr>
            <w:tcW w:w="8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11.6</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700,591</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748,238</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7"/>
                <w:szCs w:val="7"/>
                <w:b w:val="1"/>
                <w:bCs w:val="1"/>
                <w:color w:val="auto"/>
              </w:rPr>
              <w:t>$79.32</w:t>
            </w:r>
          </w:p>
        </w:tc>
        <w:tc>
          <w:tcPr>
            <w:tcW w:w="10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$62.75</w:t>
            </w:r>
          </w:p>
        </w:tc>
        <w:tc>
          <w:tcPr>
            <w:tcW w:w="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$35.32</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4.2</w:t>
            </w:r>
          </w:p>
        </w:tc>
      </w:tr>
      <w:tr>
        <w:trPr>
          <w:trHeight w:val="317"/>
        </w:trPr>
        <w:tc>
          <w:tcPr>
            <w:tcW w:w="540" w:type="dxa"/>
            <w:vAlign w:val="bottom"/>
          </w:tcPr>
          <w:p>
            <w:pPr>
              <w:spacing w:after="0"/>
              <w:rPr>
                <w:sz w:val="24"/>
                <w:szCs w:val="24"/>
                <w:color w:val="auto"/>
              </w:rPr>
            </w:pPr>
          </w:p>
        </w:tc>
        <w:tc>
          <w:tcPr>
            <w:tcW w:w="960" w:type="dxa"/>
            <w:vAlign w:val="bottom"/>
          </w:tcPr>
          <w:p>
            <w:pPr>
              <w:jc w:val="right"/>
              <w:ind w:right="144"/>
              <w:spacing w:after="0"/>
              <w:rPr>
                <w:sz w:val="20"/>
                <w:szCs w:val="20"/>
                <w:color w:val="auto"/>
              </w:rPr>
            </w:pPr>
            <w:r>
              <w:rPr>
                <w:rFonts w:ascii="Arial" w:cs="Arial" w:eastAsia="Arial" w:hAnsi="Arial"/>
                <w:sz w:val="7"/>
                <w:szCs w:val="7"/>
                <w:b w:val="1"/>
                <w:bCs w:val="1"/>
                <w:color w:val="auto"/>
              </w:rPr>
              <w:t>Retail</w:t>
            </w:r>
          </w:p>
        </w:tc>
        <w:tc>
          <w:tcPr>
            <w:tcW w:w="1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9"/>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711</w:t>
            </w:r>
          </w:p>
        </w:tc>
        <w:tc>
          <w:tcPr>
            <w:tcW w:w="1700" w:type="dxa"/>
            <w:vAlign w:val="bottom"/>
          </w:tcPr>
          <w:p>
            <w:pPr>
              <w:spacing w:after="0"/>
              <w:rPr>
                <w:sz w:val="20"/>
                <w:szCs w:val="20"/>
                <w:color w:val="auto"/>
              </w:rPr>
            </w:pPr>
            <w:r>
              <w:rPr>
                <w:rFonts w:ascii="Arial" w:cs="Arial" w:eastAsia="Arial" w:hAnsi="Arial"/>
                <w:sz w:val="7"/>
                <w:szCs w:val="7"/>
                <w:color w:val="auto"/>
              </w:rPr>
              <w:t>Third Avenue</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10.1</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3,187</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3,100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$102.00</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$95.21</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25"/>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810</w:t>
            </w:r>
          </w:p>
        </w:tc>
        <w:tc>
          <w:tcPr>
            <w:tcW w:w="1700" w:type="dxa"/>
            <w:vAlign w:val="bottom"/>
          </w:tcPr>
          <w:p>
            <w:pPr>
              <w:spacing w:after="0"/>
              <w:rPr>
                <w:sz w:val="20"/>
                <w:szCs w:val="20"/>
                <w:color w:val="auto"/>
              </w:rPr>
            </w:pPr>
            <w:r>
              <w:rPr>
                <w:rFonts w:ascii="Arial" w:cs="Arial" w:eastAsia="Arial" w:hAnsi="Arial"/>
                <w:sz w:val="7"/>
                <w:szCs w:val="7"/>
                <w:color w:val="auto"/>
              </w:rPr>
              <w:t>Seventh Avenue</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10.0</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6,356</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11,058</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$187.00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$155.53</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r>
      <w:tr>
        <w:trPr>
          <w:trHeight w:val="192"/>
        </w:trPr>
        <w:tc>
          <w:tcPr>
            <w:tcW w:w="540" w:type="dxa"/>
            <w:vAlign w:val="bottom"/>
          </w:tcPr>
          <w:p>
            <w:pPr>
              <w:spacing w:after="0"/>
              <w:rPr>
                <w:sz w:val="16"/>
                <w:szCs w:val="16"/>
                <w:color w:val="auto"/>
              </w:rPr>
            </w:pPr>
          </w:p>
        </w:tc>
        <w:tc>
          <w:tcPr>
            <w:tcW w:w="2660" w:type="dxa"/>
            <w:vAlign w:val="bottom"/>
            <w:gridSpan w:val="2"/>
          </w:tcPr>
          <w:p>
            <w:pPr>
              <w:ind w:left="820"/>
              <w:spacing w:after="0"/>
              <w:rPr>
                <w:sz w:val="20"/>
                <w:szCs w:val="20"/>
                <w:color w:val="auto"/>
              </w:rPr>
            </w:pPr>
            <w:r>
              <w:rPr>
                <w:rFonts w:ascii="Arial" w:cs="Arial" w:eastAsia="Arial" w:hAnsi="Arial"/>
                <w:sz w:val="7"/>
                <w:szCs w:val="7"/>
                <w:b w:val="1"/>
                <w:bCs w:val="1"/>
                <w:i w:val="1"/>
                <w:iCs w:val="1"/>
                <w:color w:val="auto"/>
              </w:rPr>
              <w:t>Total/Weighted Average</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2</w:t>
            </w:r>
          </w:p>
        </w:tc>
        <w:tc>
          <w:tcPr>
            <w:tcW w:w="8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10.0</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9,543</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14,158</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7"/>
                <w:szCs w:val="7"/>
                <w:b w:val="1"/>
                <w:bCs w:val="1"/>
                <w:color w:val="auto"/>
              </w:rPr>
              <w:t>$168.39</w:t>
            </w:r>
          </w:p>
        </w:tc>
        <w:tc>
          <w:tcPr>
            <w:tcW w:w="10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$142.32</w:t>
            </w: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w:t>
            </w:r>
          </w:p>
        </w:tc>
      </w:tr>
      <w:tr>
        <w:trPr>
          <w:trHeight w:val="219"/>
        </w:trPr>
        <w:tc>
          <w:tcPr>
            <w:tcW w:w="540" w:type="dxa"/>
            <w:vAlign w:val="bottom"/>
          </w:tcPr>
          <w:p>
            <w:pPr>
              <w:spacing w:after="0"/>
              <w:rPr>
                <w:sz w:val="19"/>
                <w:szCs w:val="19"/>
                <w:color w:val="auto"/>
              </w:rPr>
            </w:pPr>
          </w:p>
        </w:tc>
        <w:tc>
          <w:tcPr>
            <w:tcW w:w="960" w:type="dxa"/>
            <w:vAlign w:val="bottom"/>
          </w:tcPr>
          <w:p>
            <w:pPr>
              <w:jc w:val="right"/>
              <w:ind w:right="144"/>
              <w:spacing w:after="0"/>
              <w:rPr>
                <w:sz w:val="20"/>
                <w:szCs w:val="20"/>
                <w:color w:val="auto"/>
              </w:rPr>
            </w:pPr>
            <w:r>
              <w:rPr>
                <w:rFonts w:ascii="Arial" w:cs="Arial" w:eastAsia="Arial" w:hAnsi="Arial"/>
                <w:sz w:val="7"/>
                <w:szCs w:val="7"/>
                <w:b w:val="1"/>
                <w:bCs w:val="1"/>
                <w:color w:val="auto"/>
              </w:rPr>
              <w:t>Storage</w:t>
            </w:r>
          </w:p>
        </w:tc>
        <w:tc>
          <w:tcPr>
            <w:tcW w:w="1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19"/>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220</w:t>
            </w:r>
          </w:p>
        </w:tc>
        <w:tc>
          <w:tcPr>
            <w:tcW w:w="1700" w:type="dxa"/>
            <w:vAlign w:val="bottom"/>
          </w:tcPr>
          <w:p>
            <w:pPr>
              <w:spacing w:after="0"/>
              <w:rPr>
                <w:sz w:val="20"/>
                <w:szCs w:val="20"/>
                <w:color w:val="auto"/>
              </w:rPr>
            </w:pPr>
            <w:r>
              <w:rPr>
                <w:rFonts w:ascii="Arial" w:cs="Arial" w:eastAsia="Arial" w:hAnsi="Arial"/>
                <w:sz w:val="7"/>
                <w:szCs w:val="7"/>
                <w:color w:val="auto"/>
              </w:rPr>
              <w:t>East 42nd Street</w:t>
            </w: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color w:val="auto"/>
              </w:rPr>
              <w:t>15.0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color w:val="auto"/>
              </w:rPr>
              <w:t>452</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color w:val="auto"/>
              </w:rPr>
              <w:t>452</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color w:val="auto"/>
              </w:rPr>
              <w:t>$25.00</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color w:val="auto"/>
              </w:rPr>
              <w:t>$29.99</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color w:val="auto"/>
              </w:rPr>
              <w:t>—</w:t>
            </w:r>
          </w:p>
        </w:tc>
        <w:tc>
          <w:tcPr>
            <w:tcW w:w="700" w:type="dxa"/>
            <w:vAlign w:val="bottom"/>
          </w:tcPr>
          <w:p>
            <w:pPr>
              <w:jc w:val="right"/>
              <w:spacing w:after="0"/>
              <w:rPr>
                <w:sz w:val="20"/>
                <w:szCs w:val="20"/>
                <w:color w:val="auto"/>
              </w:rPr>
            </w:pPr>
            <w:r>
              <w:rPr>
                <w:rFonts w:ascii="Arial" w:cs="Arial" w:eastAsia="Arial" w:hAnsi="Arial"/>
                <w:sz w:val="7"/>
                <w:szCs w:val="7"/>
                <w:color w:val="auto"/>
              </w:rPr>
              <w:t>4.0</w:t>
            </w:r>
          </w:p>
        </w:tc>
      </w:tr>
      <w:tr>
        <w:trPr>
          <w:trHeight w:val="225"/>
        </w:trPr>
        <w:tc>
          <w:tcPr>
            <w:tcW w:w="540" w:type="dxa"/>
            <w:vAlign w:val="bottom"/>
          </w:tcPr>
          <w:p>
            <w:pPr>
              <w:spacing w:after="0"/>
              <w:rPr>
                <w:sz w:val="19"/>
                <w:szCs w:val="19"/>
                <w:color w:val="auto"/>
              </w:rPr>
            </w:pPr>
          </w:p>
        </w:tc>
        <w:tc>
          <w:tcPr>
            <w:tcW w:w="960" w:type="dxa"/>
            <w:vAlign w:val="bottom"/>
          </w:tcPr>
          <w:p>
            <w:pPr>
              <w:ind w:left="820"/>
              <w:spacing w:after="0"/>
              <w:rPr>
                <w:sz w:val="20"/>
                <w:szCs w:val="20"/>
                <w:color w:val="auto"/>
              </w:rPr>
            </w:pPr>
            <w:r>
              <w:rPr>
                <w:rFonts w:ascii="Arial" w:cs="Arial" w:eastAsia="Arial" w:hAnsi="Arial"/>
                <w:sz w:val="7"/>
                <w:szCs w:val="7"/>
                <w:color w:val="auto"/>
              </w:rPr>
              <w:t>420</w:t>
            </w:r>
          </w:p>
        </w:tc>
        <w:tc>
          <w:tcPr>
            <w:tcW w:w="1700" w:type="dxa"/>
            <w:vAlign w:val="bottom"/>
          </w:tcPr>
          <w:p>
            <w:pPr>
              <w:spacing w:after="0"/>
              <w:rPr>
                <w:sz w:val="20"/>
                <w:szCs w:val="20"/>
                <w:color w:val="auto"/>
              </w:rPr>
            </w:pPr>
            <w:r>
              <w:rPr>
                <w:rFonts w:ascii="Arial" w:cs="Arial" w:eastAsia="Arial" w:hAnsi="Arial"/>
                <w:sz w:val="7"/>
                <w:szCs w:val="7"/>
                <w:color w:val="auto"/>
              </w:rPr>
              <w:t>Lexington Avenue</w:t>
            </w: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1</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6.0</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198</w:t>
            </w:r>
          </w:p>
        </w:tc>
        <w:tc>
          <w:tcPr>
            <w:tcW w:w="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198</w:t>
            </w:r>
          </w:p>
        </w:tc>
        <w:tc>
          <w:tcPr>
            <w:tcW w:w="8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$25.00</w:t>
            </w:r>
          </w:p>
        </w:tc>
        <w:tc>
          <w:tcPr>
            <w:tcW w:w="100" w:type="dxa"/>
            <w:vAlign w:val="bottom"/>
          </w:tcPr>
          <w:p>
            <w:pPr>
              <w:spacing w:after="0"/>
              <w:rPr>
                <w:sz w:val="19"/>
                <w:szCs w:val="19"/>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color w:val="auto"/>
              </w:rPr>
              <w:t>$22.84</w:t>
            </w:r>
          </w:p>
        </w:tc>
        <w:tc>
          <w:tcPr>
            <w:tcW w:w="8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w:t>
            </w:r>
          </w:p>
        </w:tc>
      </w:tr>
      <w:tr>
        <w:trPr>
          <w:trHeight w:val="192"/>
        </w:trPr>
        <w:tc>
          <w:tcPr>
            <w:tcW w:w="540" w:type="dxa"/>
            <w:vAlign w:val="bottom"/>
          </w:tcPr>
          <w:p>
            <w:pPr>
              <w:spacing w:after="0"/>
              <w:rPr>
                <w:sz w:val="16"/>
                <w:szCs w:val="16"/>
                <w:color w:val="auto"/>
              </w:rPr>
            </w:pPr>
          </w:p>
        </w:tc>
        <w:tc>
          <w:tcPr>
            <w:tcW w:w="2660" w:type="dxa"/>
            <w:vAlign w:val="bottom"/>
            <w:gridSpan w:val="2"/>
          </w:tcPr>
          <w:p>
            <w:pPr>
              <w:ind w:left="820"/>
              <w:spacing w:after="0"/>
              <w:rPr>
                <w:sz w:val="20"/>
                <w:szCs w:val="20"/>
                <w:color w:val="auto"/>
              </w:rPr>
            </w:pPr>
            <w:r>
              <w:rPr>
                <w:rFonts w:ascii="Arial" w:cs="Arial" w:eastAsia="Arial" w:hAnsi="Arial"/>
                <w:sz w:val="7"/>
                <w:szCs w:val="7"/>
                <w:b w:val="1"/>
                <w:bCs w:val="1"/>
                <w:i w:val="1"/>
                <w:iCs w:val="1"/>
                <w:color w:val="auto"/>
              </w:rPr>
              <w:t>Total/Weighted Average</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2</w:t>
            </w:r>
          </w:p>
        </w:tc>
        <w:tc>
          <w:tcPr>
            <w:tcW w:w="80" w:type="dxa"/>
            <w:vAlign w:val="bottom"/>
          </w:tcPr>
          <w:p>
            <w:pPr>
              <w:spacing w:after="0"/>
              <w:rPr>
                <w:sz w:val="16"/>
                <w:szCs w:val="16"/>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12.3</w:t>
            </w:r>
          </w:p>
        </w:tc>
        <w:tc>
          <w:tcPr>
            <w:tcW w:w="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650</w:t>
            </w:r>
          </w:p>
        </w:tc>
        <w:tc>
          <w:tcPr>
            <w:tcW w:w="8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650</w:t>
            </w: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7"/>
                <w:szCs w:val="7"/>
                <w:b w:val="1"/>
                <w:bCs w:val="1"/>
                <w:color w:val="auto"/>
              </w:rPr>
              <w:t>$25.00</w:t>
            </w:r>
          </w:p>
        </w:tc>
        <w:tc>
          <w:tcPr>
            <w:tcW w:w="10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$27.81</w:t>
            </w:r>
          </w:p>
        </w:tc>
        <w:tc>
          <w:tcPr>
            <w:tcW w:w="80" w:type="dxa"/>
            <w:vAlign w:val="bottom"/>
          </w:tcPr>
          <w:p>
            <w:pPr>
              <w:spacing w:after="0"/>
              <w:rPr>
                <w:sz w:val="16"/>
                <w:szCs w:val="16"/>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2.8</w:t>
            </w:r>
          </w:p>
        </w:tc>
      </w:tr>
      <w:tr>
        <w:trPr>
          <w:trHeight w:val="225"/>
        </w:trPr>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44"/>
              <w:spacing w:after="0"/>
              <w:rPr>
                <w:sz w:val="20"/>
                <w:szCs w:val="20"/>
                <w:color w:val="auto"/>
              </w:rPr>
            </w:pPr>
            <w:r>
              <w:rPr>
                <w:rFonts w:ascii="Arial" w:cs="Arial" w:eastAsia="Arial" w:hAnsi="Arial"/>
                <w:sz w:val="7"/>
                <w:szCs w:val="7"/>
                <w:b w:val="1"/>
                <w:bCs w:val="1"/>
                <w:color w:val="auto"/>
              </w:rPr>
              <w:t>Renewals</w:t>
            </w:r>
          </w:p>
        </w:tc>
        <w:tc>
          <w:tcPr>
            <w:tcW w:w="17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r>
      <w:tr>
        <w:trPr>
          <w:trHeight w:val="105"/>
        </w:trPr>
        <w:tc>
          <w:tcPr>
            <w:tcW w:w="5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10</w:t>
            </w:r>
          </w:p>
        </w:tc>
        <w:tc>
          <w:tcPr>
            <w:tcW w:w="80" w:type="dxa"/>
            <w:vAlign w:val="bottom"/>
          </w:tcPr>
          <w:p>
            <w:pPr>
              <w:spacing w:after="0"/>
              <w:rPr>
                <w:sz w:val="9"/>
                <w:szCs w:val="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11.6</w:t>
            </w:r>
          </w:p>
        </w:tc>
        <w:tc>
          <w:tcPr>
            <w:tcW w:w="80" w:type="dxa"/>
            <w:vAlign w:val="bottom"/>
          </w:tcPr>
          <w:p>
            <w:pPr>
              <w:spacing w:after="0"/>
              <w:rPr>
                <w:sz w:val="9"/>
                <w:szCs w:val="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700,591</w:t>
            </w:r>
          </w:p>
        </w:tc>
        <w:tc>
          <w:tcPr>
            <w:tcW w:w="80" w:type="dxa"/>
            <w:vAlign w:val="bottom"/>
          </w:tcPr>
          <w:p>
            <w:pPr>
              <w:spacing w:after="0"/>
              <w:rPr>
                <w:sz w:val="9"/>
                <w:szCs w:val="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748,238</w:t>
            </w:r>
          </w:p>
        </w:tc>
        <w:tc>
          <w:tcPr>
            <w:tcW w:w="80" w:type="dxa"/>
            <w:vAlign w:val="bottom"/>
          </w:tcPr>
          <w:p>
            <w:pPr>
              <w:spacing w:after="0"/>
              <w:rPr>
                <w:sz w:val="9"/>
                <w:szCs w:val="9"/>
                <w:color w:val="auto"/>
              </w:rPr>
            </w:pPr>
          </w:p>
        </w:tc>
        <w:tc>
          <w:tcPr>
            <w:tcW w:w="820" w:type="dxa"/>
            <w:vAlign w:val="bottom"/>
          </w:tcPr>
          <w:p>
            <w:pPr>
              <w:jc w:val="right"/>
              <w:spacing w:after="0"/>
              <w:rPr>
                <w:sz w:val="20"/>
                <w:szCs w:val="20"/>
                <w:color w:val="auto"/>
              </w:rPr>
            </w:pPr>
            <w:r>
              <w:rPr>
                <w:rFonts w:ascii="Arial" w:cs="Arial" w:eastAsia="Arial" w:hAnsi="Arial"/>
                <w:sz w:val="7"/>
                <w:szCs w:val="7"/>
                <w:b w:val="1"/>
                <w:bCs w:val="1"/>
                <w:color w:val="auto"/>
              </w:rPr>
              <w:t>$79.32</w:t>
            </w:r>
          </w:p>
        </w:tc>
        <w:tc>
          <w:tcPr>
            <w:tcW w:w="100" w:type="dxa"/>
            <w:vAlign w:val="bottom"/>
          </w:tcPr>
          <w:p>
            <w:pPr>
              <w:spacing w:after="0"/>
              <w:rPr>
                <w:sz w:val="9"/>
                <w:szCs w:val="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$62.75</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r>
      <w:tr>
        <w:trPr>
          <w:trHeight w:val="98"/>
        </w:trPr>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Early Renewals Office</w:t>
            </w: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$35.32</w:t>
            </w:r>
          </w:p>
        </w:tc>
        <w:tc>
          <w:tcPr>
            <w:tcW w:w="100" w:type="dxa"/>
            <w:vAlign w:val="bottom"/>
          </w:tcPr>
          <w:p>
            <w:pPr>
              <w:spacing w:after="0"/>
              <w:rPr>
                <w:sz w:val="8"/>
                <w:szCs w:val="8"/>
                <w:color w:val="auto"/>
              </w:rPr>
            </w:pP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4.2</w:t>
            </w:r>
          </w:p>
        </w:tc>
      </w:tr>
      <w:tr>
        <w:trPr>
          <w:trHeight w:val="219"/>
        </w:trPr>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Early Renewals Retail</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2</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10.0</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9,543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14,158</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b w:val="1"/>
                <w:bCs w:val="1"/>
                <w:color w:val="auto"/>
              </w:rPr>
              <w:t>$168.39</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$142.32</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w:t>
            </w:r>
          </w:p>
        </w:tc>
      </w:tr>
      <w:tr>
        <w:trPr>
          <w:trHeight w:val="225"/>
        </w:trPr>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Early Renewals Storage</w:t>
            </w: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2</w:t>
            </w:r>
          </w:p>
        </w:tc>
        <w:tc>
          <w:tcPr>
            <w:tcW w:w="80" w:type="dxa"/>
            <w:vAlign w:val="bottom"/>
          </w:tcPr>
          <w:p>
            <w:pPr>
              <w:spacing w:after="0"/>
              <w:rPr>
                <w:sz w:val="19"/>
                <w:szCs w:val="19"/>
                <w:color w:val="auto"/>
              </w:rPr>
            </w:pPr>
          </w:p>
        </w:tc>
        <w:tc>
          <w:tcPr>
            <w:tcW w:w="640" w:type="dxa"/>
            <w:vAlign w:val="bottom"/>
          </w:tcPr>
          <w:p>
            <w:pPr>
              <w:jc w:val="right"/>
              <w:ind w:right="4"/>
              <w:spacing w:after="0"/>
              <w:rPr>
                <w:sz w:val="20"/>
                <w:szCs w:val="20"/>
                <w:color w:val="auto"/>
              </w:rPr>
            </w:pPr>
            <w:r>
              <w:rPr>
                <w:rFonts w:ascii="Arial" w:cs="Arial" w:eastAsia="Arial" w:hAnsi="Arial"/>
                <w:sz w:val="7"/>
                <w:szCs w:val="7"/>
                <w:b w:val="1"/>
                <w:bCs w:val="1"/>
                <w:color w:val="auto"/>
              </w:rPr>
              <w:t>12.3</w:t>
            </w:r>
          </w:p>
        </w:tc>
        <w:tc>
          <w:tcPr>
            <w:tcW w:w="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7"/>
                <w:szCs w:val="7"/>
                <w:b w:val="1"/>
                <w:bCs w:val="1"/>
                <w:color w:val="auto"/>
              </w:rPr>
              <w:t>650</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7"/>
                <w:szCs w:val="7"/>
                <w:b w:val="1"/>
                <w:bCs w:val="1"/>
                <w:color w:val="auto"/>
              </w:rPr>
              <w:t>650</w:t>
            </w: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7"/>
                <w:szCs w:val="7"/>
                <w:b w:val="1"/>
                <w:bCs w:val="1"/>
                <w:color w:val="auto"/>
              </w:rPr>
              <w:t>$25.00</w:t>
            </w:r>
          </w:p>
        </w:tc>
        <w:tc>
          <w:tcPr>
            <w:tcW w:w="100" w:type="dxa"/>
            <w:vAlign w:val="bottom"/>
          </w:tcPr>
          <w:p>
            <w:pPr>
              <w:spacing w:after="0"/>
              <w:rPr>
                <w:sz w:val="19"/>
                <w:szCs w:val="19"/>
                <w:color w:val="auto"/>
              </w:rPr>
            </w:pPr>
          </w:p>
        </w:tc>
        <w:tc>
          <w:tcPr>
            <w:tcW w:w="920" w:type="dxa"/>
            <w:vAlign w:val="bottom"/>
          </w:tcPr>
          <w:p>
            <w:pPr>
              <w:jc w:val="right"/>
              <w:ind w:right="4"/>
              <w:spacing w:after="0"/>
              <w:rPr>
                <w:sz w:val="20"/>
                <w:szCs w:val="20"/>
                <w:color w:val="auto"/>
              </w:rPr>
            </w:pPr>
            <w:r>
              <w:rPr>
                <w:rFonts w:ascii="Arial" w:cs="Arial" w:eastAsia="Arial" w:hAnsi="Arial"/>
                <w:sz w:val="7"/>
                <w:szCs w:val="7"/>
                <w:b w:val="1"/>
                <w:bCs w:val="1"/>
                <w:color w:val="auto"/>
              </w:rPr>
              <w:t>$27.81</w:t>
            </w:r>
          </w:p>
        </w:tc>
        <w:tc>
          <w:tcPr>
            <w:tcW w:w="8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7"/>
                <w:szCs w:val="7"/>
                <w:b w:val="1"/>
                <w:bCs w:val="1"/>
                <w:color w:val="auto"/>
              </w:rPr>
              <w:t>—</w:t>
            </w:r>
          </w:p>
        </w:tc>
        <w:tc>
          <w:tcPr>
            <w:tcW w:w="700" w:type="dxa"/>
            <w:vAlign w:val="bottom"/>
          </w:tcPr>
          <w:p>
            <w:pPr>
              <w:jc w:val="right"/>
              <w:spacing w:after="0"/>
              <w:rPr>
                <w:sz w:val="20"/>
                <w:szCs w:val="20"/>
                <w:color w:val="auto"/>
              </w:rPr>
            </w:pPr>
            <w:r>
              <w:rPr>
                <w:rFonts w:ascii="Arial" w:cs="Arial" w:eastAsia="Arial" w:hAnsi="Arial"/>
                <w:sz w:val="7"/>
                <w:szCs w:val="7"/>
                <w:b w:val="1"/>
                <w:bCs w:val="1"/>
                <w:color w:val="auto"/>
              </w:rPr>
              <w:t>2.8</w:t>
            </w:r>
          </w:p>
        </w:tc>
      </w:tr>
      <w:tr>
        <w:trPr>
          <w:trHeight w:val="199"/>
        </w:trPr>
        <w:tc>
          <w:tcPr>
            <w:tcW w:w="5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00" w:type="dxa"/>
            <w:vAlign w:val="bottom"/>
          </w:tcPr>
          <w:p>
            <w:pPr>
              <w:jc w:val="right"/>
              <w:ind w:right="84"/>
              <w:spacing w:after="0"/>
              <w:rPr>
                <w:sz w:val="20"/>
                <w:szCs w:val="20"/>
                <w:color w:val="auto"/>
              </w:rPr>
            </w:pPr>
            <w:r>
              <w:rPr>
                <w:rFonts w:ascii="Arial" w:cs="Arial" w:eastAsia="Arial" w:hAnsi="Arial"/>
                <w:sz w:val="7"/>
                <w:szCs w:val="7"/>
                <w:b w:val="1"/>
                <w:bCs w:val="1"/>
                <w:i w:val="1"/>
                <w:iCs w:val="1"/>
                <w:color w:val="auto"/>
              </w:rPr>
              <w:t>Total</w:t>
            </w: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14</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11.6</w:t>
            </w:r>
          </w:p>
        </w:tc>
        <w:tc>
          <w:tcPr>
            <w:tcW w:w="80" w:type="dxa"/>
            <w:vAlign w:val="bottom"/>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710,784</w:t>
            </w:r>
          </w:p>
        </w:tc>
        <w:tc>
          <w:tcPr>
            <w:tcW w:w="80" w:type="dxa"/>
            <w:vAlign w:val="bottom"/>
          </w:tcPr>
          <w:p>
            <w:pPr>
              <w:spacing w:after="0"/>
              <w:rPr>
                <w:sz w:val="17"/>
                <w:szCs w:val="17"/>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763,046</w:t>
            </w:r>
          </w:p>
        </w:tc>
        <w:tc>
          <w:tcPr>
            <w:tcW w:w="8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$80.92</w:t>
            </w:r>
          </w:p>
        </w:tc>
        <w:tc>
          <w:tcPr>
            <w:tcW w:w="10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$64.20</w:t>
            </w:r>
          </w:p>
        </w:tc>
        <w:tc>
          <w:tcPr>
            <w:tcW w:w="80" w:type="dxa"/>
            <w:vAlign w:val="bottom"/>
          </w:tcPr>
          <w:p>
            <w:pPr>
              <w:spacing w:after="0"/>
              <w:rPr>
                <w:sz w:val="17"/>
                <w:szCs w:val="17"/>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$34.64</w:t>
            </w:r>
          </w:p>
        </w:tc>
        <w:tc>
          <w:tcPr>
            <w:tcW w:w="10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7"/>
                <w:szCs w:val="7"/>
                <w:b w:val="1"/>
                <w:bCs w:val="1"/>
                <w:color w:val="auto"/>
              </w:rPr>
              <w:t>4.1</w:t>
            </w:r>
          </w:p>
        </w:tc>
      </w:tr>
    </w:tbl>
    <w:p>
      <w:pPr>
        <w:spacing w:after="0" w:line="262" w:lineRule="exact"/>
        <w:rPr>
          <w:sz w:val="20"/>
          <w:szCs w:val="20"/>
          <w:color w:val="auto"/>
        </w:rPr>
      </w:pPr>
    </w:p>
    <w:p>
      <w:pPr>
        <w:ind w:left="380" w:hanging="107"/>
        <w:spacing w:after="0"/>
        <w:tabs>
          <w:tab w:leader="none" w:pos="380" w:val="left"/>
        </w:tabs>
        <w:numPr>
          <w:ilvl w:val="0"/>
          <w:numId w:val="29"/>
        </w:numPr>
        <w:rPr>
          <w:rFonts w:ascii="Arial" w:cs="Arial" w:eastAsia="Arial" w:hAnsi="Arial"/>
          <w:sz w:val="7"/>
          <w:szCs w:val="7"/>
          <w:color w:val="auto"/>
        </w:rPr>
      </w:pPr>
      <w:r>
        <w:rPr>
          <w:rFonts w:ascii="Arial" w:cs="Arial" w:eastAsia="Arial" w:hAnsi="Arial"/>
          <w:sz w:val="7"/>
          <w:szCs w:val="7"/>
          <w:color w:val="auto"/>
        </w:rPr>
        <w:t>Annual initial base rent.</w:t>
      </w:r>
    </w:p>
    <w:p>
      <w:pPr>
        <w:spacing w:after="0" w:line="39" w:lineRule="exact"/>
        <w:rPr>
          <w:rFonts w:ascii="Arial" w:cs="Arial" w:eastAsia="Arial" w:hAnsi="Arial"/>
          <w:sz w:val="7"/>
          <w:szCs w:val="7"/>
          <w:color w:val="auto"/>
        </w:rPr>
      </w:pPr>
    </w:p>
    <w:p>
      <w:pPr>
        <w:ind w:left="380" w:hanging="107"/>
        <w:spacing w:after="0"/>
        <w:tabs>
          <w:tab w:leader="none" w:pos="380" w:val="left"/>
        </w:tabs>
        <w:numPr>
          <w:ilvl w:val="0"/>
          <w:numId w:val="29"/>
        </w:numPr>
        <w:rPr>
          <w:rFonts w:ascii="Arial" w:cs="Arial" w:eastAsia="Arial" w:hAnsi="Arial"/>
          <w:sz w:val="7"/>
          <w:szCs w:val="7"/>
          <w:color w:val="auto"/>
        </w:rPr>
      </w:pPr>
      <w:r>
        <w:rPr>
          <w:rFonts w:ascii="Arial" w:cs="Arial" w:eastAsia="Arial" w:hAnsi="Arial"/>
          <w:sz w:val="7"/>
          <w:szCs w:val="7"/>
          <w:color w:val="auto"/>
        </w:rPr>
        <w:t>Escalated rent is calculated as total annual lease related income excluding electric charges.</w:t>
      </w:r>
    </w:p>
    <w:p>
      <w:pPr>
        <w:spacing w:after="0" w:line="39" w:lineRule="exact"/>
        <w:rPr>
          <w:rFonts w:ascii="Arial" w:cs="Arial" w:eastAsia="Arial" w:hAnsi="Arial"/>
          <w:sz w:val="7"/>
          <w:szCs w:val="7"/>
          <w:color w:val="auto"/>
        </w:rPr>
      </w:pPr>
    </w:p>
    <w:p>
      <w:pPr>
        <w:ind w:left="380" w:hanging="107"/>
        <w:spacing w:after="0"/>
        <w:tabs>
          <w:tab w:leader="none" w:pos="380" w:val="left"/>
        </w:tabs>
        <w:numPr>
          <w:ilvl w:val="0"/>
          <w:numId w:val="29"/>
        </w:numPr>
        <w:rPr>
          <w:rFonts w:ascii="Arial" w:cs="Arial" w:eastAsia="Arial" w:hAnsi="Arial"/>
          <w:sz w:val="7"/>
          <w:szCs w:val="7"/>
          <w:color w:val="auto"/>
        </w:rPr>
      </w:pPr>
      <w:r>
        <w:rPr>
          <w:rFonts w:ascii="Arial" w:cs="Arial" w:eastAsia="Arial" w:hAnsi="Arial"/>
          <w:sz w:val="7"/>
          <w:szCs w:val="7"/>
          <w:color w:val="auto"/>
        </w:rPr>
        <w:t>Average starting office rent excluding new tenants replacing vacancies is $59.69/rsf for 337,519 rentable SF. Average starting office rent for office space (leased and early renewals, excluding new tenants replacing vacancies) is $73.22/rsf for 1,085,757 rentable SF.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45</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SUBURBAN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Available Space</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Escalated</w:t>
            </w:r>
          </w:p>
        </w:tc>
      </w:tr>
      <w:tr>
        <w:trPr>
          <w:trHeight w:val="100"/>
        </w:trPr>
        <w:tc>
          <w:tcPr>
            <w:tcW w:w="20" w:type="dxa"/>
            <w:vAlign w:val="bottom"/>
          </w:tcPr>
          <w:p>
            <w:pPr>
              <w:spacing w:after="0"/>
              <w:rPr>
                <w:sz w:val="8"/>
                <w:szCs w:val="8"/>
                <w:color w:val="auto"/>
              </w:rPr>
            </w:pPr>
          </w:p>
        </w:tc>
        <w:tc>
          <w:tcPr>
            <w:tcW w:w="320" w:type="dxa"/>
            <w:vAlign w:val="bottom"/>
          </w:tcPr>
          <w:p>
            <w:pPr>
              <w:spacing w:after="0" w:line="101" w:lineRule="exact"/>
              <w:rPr>
                <w:sz w:val="20"/>
                <w:szCs w:val="20"/>
                <w:color w:val="auto"/>
              </w:rPr>
            </w:pPr>
            <w:r>
              <w:rPr>
                <w:rFonts w:ascii="Arial" w:cs="Arial" w:eastAsia="Arial" w:hAnsi="Arial"/>
                <w:sz w:val="9"/>
                <w:szCs w:val="9"/>
                <w:b w:val="1"/>
                <w:bCs w:val="1"/>
                <w:color w:val="auto"/>
                <w:w w:val="92"/>
              </w:rPr>
              <w:t>Activity</w:t>
            </w:r>
          </w:p>
        </w:tc>
        <w:tc>
          <w:tcPr>
            <w:tcW w:w="10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2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Building Address</w:t>
            </w:r>
          </w:p>
        </w:tc>
        <w:tc>
          <w:tcPr>
            <w:tcW w:w="240" w:type="dxa"/>
            <w:vAlign w:val="bottom"/>
          </w:tcPr>
          <w:p>
            <w:pPr>
              <w:spacing w:after="0"/>
              <w:rPr>
                <w:sz w:val="8"/>
                <w:szCs w:val="8"/>
                <w:color w:val="auto"/>
              </w:rPr>
            </w:pPr>
          </w:p>
        </w:tc>
        <w:tc>
          <w:tcPr>
            <w:tcW w:w="980" w:type="dxa"/>
            <w:vAlign w:val="bottom"/>
            <w:gridSpan w:val="2"/>
          </w:tcPr>
          <w:p>
            <w:pPr>
              <w:jc w:val="right"/>
              <w:ind w:right="520"/>
              <w:spacing w:after="0" w:line="101" w:lineRule="exact"/>
              <w:rPr>
                <w:sz w:val="20"/>
                <w:szCs w:val="20"/>
                <w:color w:val="auto"/>
              </w:rPr>
            </w:pPr>
            <w:r>
              <w:rPr>
                <w:rFonts w:ascii="Arial" w:cs="Arial" w:eastAsia="Arial" w:hAnsi="Arial"/>
                <w:sz w:val="9"/>
                <w:szCs w:val="9"/>
                <w:b w:val="1"/>
                <w:bCs w:val="1"/>
                <w:color w:val="auto"/>
                <w:w w:val="89"/>
              </w:rPr>
              <w:t># of Leases</w:t>
            </w:r>
          </w:p>
        </w:tc>
        <w:tc>
          <w:tcPr>
            <w:tcW w:w="1940" w:type="dxa"/>
            <w:vAlign w:val="bottom"/>
            <w:gridSpan w:val="3"/>
          </w:tcPr>
          <w:p>
            <w:pPr>
              <w:jc w:val="right"/>
              <w:ind w:right="960"/>
              <w:spacing w:after="0" w:line="101" w:lineRule="exact"/>
              <w:rPr>
                <w:sz w:val="20"/>
                <w:szCs w:val="20"/>
                <w:color w:val="auto"/>
              </w:rPr>
            </w:pPr>
            <w:r>
              <w:rPr>
                <w:rFonts w:ascii="Arial" w:cs="Arial" w:eastAsia="Arial" w:hAnsi="Arial"/>
                <w:sz w:val="9"/>
                <w:szCs w:val="9"/>
                <w:b w:val="1"/>
                <w:bCs w:val="1"/>
                <w:color w:val="auto"/>
              </w:rPr>
              <w:t>Useable SF</w:t>
            </w:r>
          </w:p>
        </w:tc>
        <w:tc>
          <w:tcPr>
            <w:tcW w:w="1000" w:type="dxa"/>
            <w:vAlign w:val="bottom"/>
            <w:gridSpan w:val="2"/>
          </w:tcPr>
          <w:p>
            <w:pPr>
              <w:spacing w:after="0" w:line="101" w:lineRule="exact"/>
              <w:rPr>
                <w:sz w:val="20"/>
                <w:szCs w:val="20"/>
                <w:color w:val="auto"/>
              </w:rPr>
            </w:pPr>
            <w:r>
              <w:rPr>
                <w:rFonts w:ascii="Arial" w:cs="Arial" w:eastAsia="Arial" w:hAnsi="Arial"/>
                <w:sz w:val="9"/>
                <w:szCs w:val="9"/>
                <w:b w:val="1"/>
                <w:bCs w:val="1"/>
                <w:color w:val="auto"/>
              </w:rPr>
              <w:t>Rentable SF</w:t>
            </w:r>
          </w:p>
        </w:tc>
        <w:tc>
          <w:tcPr>
            <w:tcW w:w="1560" w:type="dxa"/>
            <w:vAlign w:val="bottom"/>
            <w:gridSpan w:val="3"/>
          </w:tcPr>
          <w:p>
            <w:pPr>
              <w:jc w:val="right"/>
              <w:ind w:right="20"/>
              <w:spacing w:after="0" w:line="101" w:lineRule="exact"/>
              <w:rPr>
                <w:sz w:val="20"/>
                <w:szCs w:val="20"/>
                <w:color w:val="auto"/>
              </w:rPr>
            </w:pPr>
            <w:r>
              <w:rPr>
                <w:rFonts w:ascii="Arial" w:cs="Arial" w:eastAsia="Arial" w:hAnsi="Arial"/>
                <w:sz w:val="9"/>
                <w:szCs w:val="9"/>
                <w:b w:val="1"/>
                <w:bCs w:val="1"/>
                <w:color w:val="auto"/>
              </w:rPr>
              <w:t xml:space="preserve">Rent/Rentable SF </w:t>
            </w:r>
            <w:r>
              <w:rPr>
                <w:rFonts w:ascii="Arial" w:cs="Arial" w:eastAsia="Arial" w:hAnsi="Arial"/>
                <w:sz w:val="9"/>
                <w:szCs w:val="9"/>
                <w:b w:val="1"/>
                <w:bCs w:val="1"/>
                <w:u w:val="single" w:color="auto"/>
                <w:color w:val="auto"/>
              </w:rPr>
              <w:t>($</w:t>
            </w:r>
            <w:r>
              <w:rPr>
                <w:rFonts w:ascii="Arial" w:cs="Arial" w:eastAsia="Arial" w:hAnsi="Arial"/>
                <w:sz w:val="9"/>
                <w:szCs w:val="9"/>
                <w:b w:val="1"/>
                <w:bCs w:val="1"/>
                <w:color w:val="auto"/>
              </w:rPr>
              <w:t>'s)(1)</w:t>
            </w:r>
          </w:p>
        </w:tc>
      </w:tr>
      <w:tr>
        <w:trPr>
          <w:trHeight w:val="20"/>
        </w:trPr>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9"/>
                <w:szCs w:val="9"/>
                <w:b w:val="1"/>
                <w:bCs w:val="1"/>
                <w:i w:val="1"/>
                <w:iCs w:val="1"/>
                <w:color w:val="auto"/>
              </w:rPr>
              <w:t>Available Space at 6/30/16</w:t>
            </w: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gridSpan w:val="3"/>
          </w:tcPr>
          <w:p>
            <w:pPr>
              <w:jc w:val="right"/>
              <w:ind w:right="960"/>
              <w:spacing w:after="0"/>
              <w:rPr>
                <w:sz w:val="20"/>
                <w:szCs w:val="20"/>
                <w:color w:val="auto"/>
              </w:rPr>
            </w:pPr>
            <w:r>
              <w:rPr>
                <w:rFonts w:ascii="Arial" w:cs="Arial" w:eastAsia="Arial" w:hAnsi="Arial"/>
                <w:sz w:val="9"/>
                <w:szCs w:val="9"/>
                <w:b w:val="1"/>
                <w:bCs w:val="1"/>
                <w:color w:val="auto"/>
              </w:rPr>
              <w:t>1,080,414</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4"/>
        </w:trPr>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9"/>
                <w:szCs w:val="9"/>
                <w:i w:val="1"/>
                <w:iCs w:val="1"/>
                <w:color w:val="auto"/>
              </w:rPr>
              <w:t>Less: Sold Vacancies</w:t>
            </w:r>
          </w:p>
        </w:tc>
        <w:tc>
          <w:tcPr>
            <w:tcW w:w="600" w:type="dxa"/>
            <w:vAlign w:val="bottom"/>
          </w:tcPr>
          <w:p>
            <w:pPr>
              <w:spacing w:after="0"/>
              <w:rPr>
                <w:sz w:val="24"/>
                <w:szCs w:val="24"/>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500 West Putnam Avenue, Greenwich, Connecticut</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gridSpan w:val="3"/>
          </w:tcPr>
          <w:p>
            <w:pPr>
              <w:jc w:val="right"/>
              <w:ind w:right="940"/>
              <w:spacing w:after="0"/>
              <w:rPr>
                <w:sz w:val="20"/>
                <w:szCs w:val="20"/>
                <w:color w:val="auto"/>
              </w:rPr>
            </w:pPr>
            <w:r>
              <w:rPr>
                <w:rFonts w:ascii="Arial" w:cs="Arial" w:eastAsia="Arial" w:hAnsi="Arial"/>
                <w:sz w:val="9"/>
                <w:szCs w:val="9"/>
                <w:color w:val="auto"/>
              </w:rPr>
              <w:t>(56,158)</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61"/>
        </w:trPr>
        <w:tc>
          <w:tcPr>
            <w:tcW w:w="20" w:type="dxa"/>
            <w:vAlign w:val="bottom"/>
          </w:tcPr>
          <w:p>
            <w:pPr>
              <w:spacing w:after="0"/>
              <w:rPr>
                <w:sz w:val="24"/>
                <w:szCs w:val="24"/>
                <w:color w:val="auto"/>
              </w:rPr>
            </w:pPr>
          </w:p>
        </w:tc>
        <w:tc>
          <w:tcPr>
            <w:tcW w:w="4380" w:type="dxa"/>
            <w:vAlign w:val="bottom"/>
            <w:gridSpan w:val="6"/>
          </w:tcPr>
          <w:p>
            <w:pPr>
              <w:spacing w:after="0"/>
              <w:rPr>
                <w:sz w:val="20"/>
                <w:szCs w:val="20"/>
                <w:color w:val="auto"/>
              </w:rPr>
            </w:pPr>
            <w:r>
              <w:rPr>
                <w:rFonts w:ascii="Arial" w:cs="Arial" w:eastAsia="Arial" w:hAnsi="Arial"/>
                <w:sz w:val="9"/>
                <w:szCs w:val="9"/>
                <w:b w:val="1"/>
                <w:bCs w:val="1"/>
                <w:i w:val="1"/>
                <w:iCs w:val="1"/>
                <w:color w:val="auto"/>
              </w:rPr>
              <w:t>Space which became available during the Quarter (2):</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1"/>
        </w:trPr>
        <w:tc>
          <w:tcPr>
            <w:tcW w:w="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gridSpan w:val="2"/>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r>
      <w:tr>
        <w:trPr>
          <w:trHeight w:val="192"/>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40" w:type="dxa"/>
            <w:vAlign w:val="bottom"/>
            <w:gridSpan w:val="4"/>
          </w:tcPr>
          <w:p>
            <w:pPr>
              <w:jc w:val="right"/>
              <w:ind w:right="2416"/>
              <w:spacing w:after="0"/>
              <w:rPr>
                <w:sz w:val="20"/>
                <w:szCs w:val="20"/>
                <w:color w:val="auto"/>
              </w:rPr>
            </w:pPr>
            <w:r>
              <w:rPr>
                <w:rFonts w:ascii="Arial" w:cs="Arial" w:eastAsia="Arial" w:hAnsi="Arial"/>
                <w:sz w:val="9"/>
                <w:szCs w:val="9"/>
                <w:b w:val="1"/>
                <w:bCs w:val="1"/>
                <w:i w:val="1"/>
                <w:iCs w:val="1"/>
                <w:color w:val="auto"/>
              </w:rPr>
              <w:t>Office</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1100 King Street - 5 Int'l Drive, Rye Brook, New York</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940" w:type="dxa"/>
            <w:vAlign w:val="bottom"/>
            <w:gridSpan w:val="3"/>
          </w:tcPr>
          <w:p>
            <w:pPr>
              <w:jc w:val="right"/>
              <w:ind w:right="960"/>
              <w:spacing w:after="0"/>
              <w:rPr>
                <w:sz w:val="20"/>
                <w:szCs w:val="20"/>
                <w:color w:val="auto"/>
              </w:rPr>
            </w:pPr>
            <w:r>
              <w:rPr>
                <w:rFonts w:ascii="Arial" w:cs="Arial" w:eastAsia="Arial" w:hAnsi="Arial"/>
                <w:sz w:val="9"/>
                <w:szCs w:val="9"/>
                <w:color w:val="auto"/>
              </w:rPr>
              <w:t>520</w:t>
            </w:r>
          </w:p>
        </w:tc>
        <w:tc>
          <w:tcPr>
            <w:tcW w:w="520" w:type="dxa"/>
            <w:vAlign w:val="bottom"/>
          </w:tcPr>
          <w:p>
            <w:pPr>
              <w:jc w:val="right"/>
              <w:spacing w:after="0"/>
              <w:rPr>
                <w:sz w:val="20"/>
                <w:szCs w:val="20"/>
                <w:color w:val="auto"/>
              </w:rPr>
            </w:pPr>
            <w:r>
              <w:rPr>
                <w:rFonts w:ascii="Arial" w:cs="Arial" w:eastAsia="Arial" w:hAnsi="Arial"/>
                <w:sz w:val="9"/>
                <w:szCs w:val="9"/>
                <w:color w:val="auto"/>
              </w:rPr>
              <w:t>520</w:t>
            </w:r>
          </w:p>
        </w:tc>
        <w:tc>
          <w:tcPr>
            <w:tcW w:w="4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color w:val="auto"/>
              </w:rPr>
              <w:t>$27.76</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2 Landmark Square,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940" w:type="dxa"/>
            <w:vAlign w:val="bottom"/>
            <w:gridSpan w:val="3"/>
          </w:tcPr>
          <w:p>
            <w:pPr>
              <w:jc w:val="right"/>
              <w:ind w:right="960"/>
              <w:spacing w:after="0"/>
              <w:rPr>
                <w:sz w:val="20"/>
                <w:szCs w:val="20"/>
                <w:color w:val="auto"/>
              </w:rPr>
            </w:pPr>
            <w:r>
              <w:rPr>
                <w:rFonts w:ascii="Arial" w:cs="Arial" w:eastAsia="Arial" w:hAnsi="Arial"/>
                <w:sz w:val="9"/>
                <w:szCs w:val="9"/>
                <w:color w:val="auto"/>
              </w:rPr>
              <w:t>2,550</w:t>
            </w:r>
          </w:p>
        </w:tc>
        <w:tc>
          <w:tcPr>
            <w:tcW w:w="520" w:type="dxa"/>
            <w:vAlign w:val="bottom"/>
          </w:tcPr>
          <w:p>
            <w:pPr>
              <w:jc w:val="right"/>
              <w:spacing w:after="0"/>
              <w:rPr>
                <w:sz w:val="20"/>
                <w:szCs w:val="20"/>
                <w:color w:val="auto"/>
              </w:rPr>
            </w:pPr>
            <w:r>
              <w:rPr>
                <w:rFonts w:ascii="Arial" w:cs="Arial" w:eastAsia="Arial" w:hAnsi="Arial"/>
                <w:sz w:val="9"/>
                <w:szCs w:val="9"/>
                <w:color w:val="auto"/>
              </w:rPr>
              <w:t>2,550</w:t>
            </w:r>
          </w:p>
        </w:tc>
        <w:tc>
          <w:tcPr>
            <w:tcW w:w="4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color w:val="auto"/>
              </w:rPr>
              <w:t>36.32</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4 Landmark Square,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940" w:type="dxa"/>
            <w:vAlign w:val="bottom"/>
            <w:gridSpan w:val="3"/>
          </w:tcPr>
          <w:p>
            <w:pPr>
              <w:jc w:val="right"/>
              <w:ind w:right="960"/>
              <w:spacing w:after="0"/>
              <w:rPr>
                <w:sz w:val="20"/>
                <w:szCs w:val="20"/>
                <w:color w:val="auto"/>
              </w:rPr>
            </w:pPr>
            <w:r>
              <w:rPr>
                <w:rFonts w:ascii="Arial" w:cs="Arial" w:eastAsia="Arial" w:hAnsi="Arial"/>
                <w:sz w:val="9"/>
                <w:szCs w:val="9"/>
                <w:color w:val="auto"/>
              </w:rPr>
              <w:t>4,570</w:t>
            </w:r>
          </w:p>
        </w:tc>
        <w:tc>
          <w:tcPr>
            <w:tcW w:w="520" w:type="dxa"/>
            <w:vAlign w:val="bottom"/>
          </w:tcPr>
          <w:p>
            <w:pPr>
              <w:jc w:val="right"/>
              <w:spacing w:after="0"/>
              <w:rPr>
                <w:sz w:val="20"/>
                <w:szCs w:val="20"/>
                <w:color w:val="auto"/>
              </w:rPr>
            </w:pPr>
            <w:r>
              <w:rPr>
                <w:rFonts w:ascii="Arial" w:cs="Arial" w:eastAsia="Arial" w:hAnsi="Arial"/>
                <w:sz w:val="9"/>
                <w:szCs w:val="9"/>
                <w:color w:val="auto"/>
              </w:rPr>
              <w:t>4,570</w:t>
            </w:r>
          </w:p>
        </w:tc>
        <w:tc>
          <w:tcPr>
            <w:tcW w:w="4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color w:val="auto"/>
              </w:rPr>
              <w:t>33.05</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680 Washington Boulevard,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2</w:t>
            </w:r>
          </w:p>
        </w:tc>
        <w:tc>
          <w:tcPr>
            <w:tcW w:w="980" w:type="dxa"/>
            <w:vAlign w:val="bottom"/>
            <w:gridSpan w:val="2"/>
          </w:tcPr>
          <w:p>
            <w:pPr>
              <w:jc w:val="right"/>
              <w:spacing w:after="0"/>
              <w:rPr>
                <w:sz w:val="20"/>
                <w:szCs w:val="20"/>
                <w:color w:val="auto"/>
              </w:rPr>
            </w:pPr>
            <w:r>
              <w:rPr>
                <w:rFonts w:ascii="Arial" w:cs="Arial" w:eastAsia="Arial" w:hAnsi="Arial"/>
                <w:sz w:val="9"/>
                <w:szCs w:val="9"/>
                <w:color w:val="auto"/>
              </w:rPr>
              <w:t>21,017</w:t>
            </w:r>
          </w:p>
        </w:tc>
        <w:tc>
          <w:tcPr>
            <w:tcW w:w="9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9"/>
                <w:szCs w:val="9"/>
                <w:color w:val="auto"/>
              </w:rPr>
              <w:t>21,017</w:t>
            </w:r>
          </w:p>
        </w:tc>
        <w:tc>
          <w:tcPr>
            <w:tcW w:w="4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color w:val="auto"/>
              </w:rPr>
              <w:t>42.55</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1055 Washington Boulevard,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2</w:t>
            </w:r>
          </w:p>
        </w:tc>
        <w:tc>
          <w:tcPr>
            <w:tcW w:w="1940" w:type="dxa"/>
            <w:vAlign w:val="bottom"/>
            <w:gridSpan w:val="3"/>
          </w:tcPr>
          <w:p>
            <w:pPr>
              <w:jc w:val="right"/>
              <w:ind w:right="960"/>
              <w:spacing w:after="0"/>
              <w:rPr>
                <w:sz w:val="20"/>
                <w:szCs w:val="20"/>
                <w:color w:val="auto"/>
              </w:rPr>
            </w:pPr>
            <w:r>
              <w:rPr>
                <w:rFonts w:ascii="Arial" w:cs="Arial" w:eastAsia="Arial" w:hAnsi="Arial"/>
                <w:sz w:val="9"/>
                <w:szCs w:val="9"/>
                <w:color w:val="auto"/>
              </w:rPr>
              <w:t>5,782</w:t>
            </w:r>
          </w:p>
        </w:tc>
        <w:tc>
          <w:tcPr>
            <w:tcW w:w="520" w:type="dxa"/>
            <w:vAlign w:val="bottom"/>
          </w:tcPr>
          <w:p>
            <w:pPr>
              <w:jc w:val="right"/>
              <w:spacing w:after="0"/>
              <w:rPr>
                <w:sz w:val="20"/>
                <w:szCs w:val="20"/>
                <w:color w:val="auto"/>
              </w:rPr>
            </w:pPr>
            <w:r>
              <w:rPr>
                <w:rFonts w:ascii="Arial" w:cs="Arial" w:eastAsia="Arial" w:hAnsi="Arial"/>
                <w:sz w:val="9"/>
                <w:szCs w:val="9"/>
                <w:color w:val="auto"/>
              </w:rPr>
              <w:t>5,782</w:t>
            </w:r>
          </w:p>
        </w:tc>
        <w:tc>
          <w:tcPr>
            <w:tcW w:w="4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color w:val="auto"/>
              </w:rPr>
              <w:t>22.21</w:t>
            </w:r>
          </w:p>
        </w:tc>
        <w:tc>
          <w:tcPr>
            <w:tcW w:w="20" w:type="dxa"/>
            <w:vAlign w:val="bottom"/>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125 Chubb Way, Lyndhurst, New Jersey</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940" w:type="dxa"/>
            <w:vAlign w:val="bottom"/>
            <w:gridSpan w:val="3"/>
          </w:tcPr>
          <w:p>
            <w:pPr>
              <w:jc w:val="right"/>
              <w:ind w:right="960"/>
              <w:spacing w:after="0"/>
              <w:rPr>
                <w:sz w:val="20"/>
                <w:szCs w:val="20"/>
                <w:color w:val="auto"/>
              </w:rPr>
            </w:pPr>
            <w:r>
              <w:rPr>
                <w:rFonts w:ascii="Arial" w:cs="Arial" w:eastAsia="Arial" w:hAnsi="Arial"/>
                <w:sz w:val="9"/>
                <w:szCs w:val="9"/>
                <w:color w:val="auto"/>
              </w:rPr>
              <w:t>2,573</w:t>
            </w:r>
          </w:p>
        </w:tc>
        <w:tc>
          <w:tcPr>
            <w:tcW w:w="520" w:type="dxa"/>
            <w:vAlign w:val="bottom"/>
          </w:tcPr>
          <w:p>
            <w:pPr>
              <w:jc w:val="right"/>
              <w:spacing w:after="0"/>
              <w:rPr>
                <w:sz w:val="20"/>
                <w:szCs w:val="20"/>
                <w:color w:val="auto"/>
              </w:rPr>
            </w:pPr>
            <w:r>
              <w:rPr>
                <w:rFonts w:ascii="Arial" w:cs="Arial" w:eastAsia="Arial" w:hAnsi="Arial"/>
                <w:sz w:val="9"/>
                <w:szCs w:val="9"/>
                <w:color w:val="auto"/>
              </w:rPr>
              <w:t>3,308</w:t>
            </w:r>
          </w:p>
        </w:tc>
        <w:tc>
          <w:tcPr>
            <w:tcW w:w="4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color w:val="auto"/>
              </w:rPr>
              <w:t>24.26</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16 Court Street, Brooklyn, New York</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color w:val="auto"/>
              </w:rPr>
              <w:t>4</w:t>
            </w:r>
          </w:p>
        </w:tc>
        <w:tc>
          <w:tcPr>
            <w:tcW w:w="19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9"/>
                <w:szCs w:val="9"/>
                <w:color w:val="auto"/>
              </w:rPr>
              <w:t>5,990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7,094</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45.16</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ind w:left="700"/>
              <w:spacing w:after="0"/>
              <w:rPr>
                <w:sz w:val="20"/>
                <w:szCs w:val="20"/>
                <w:color w:val="auto"/>
              </w:rPr>
            </w:pPr>
            <w:r>
              <w:rPr>
                <w:rFonts w:ascii="Arial" w:cs="Arial" w:eastAsia="Arial" w:hAnsi="Arial"/>
                <w:sz w:val="9"/>
                <w:szCs w:val="9"/>
                <w:b w:val="1"/>
                <w:bCs w:val="1"/>
                <w:color w:val="auto"/>
                <w:w w:val="95"/>
              </w:rPr>
              <w:t>Total/Weighted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12</w:t>
            </w: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43,002</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44,841</w:t>
            </w:r>
          </w:p>
        </w:tc>
        <w:tc>
          <w:tcPr>
            <w:tcW w:w="48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b w:val="1"/>
                <w:bCs w:val="1"/>
                <w:color w:val="auto"/>
              </w:rPr>
              <w:t>$37.50</w:t>
            </w:r>
          </w:p>
        </w:tc>
        <w:tc>
          <w:tcPr>
            <w:tcW w:w="20" w:type="dxa"/>
            <w:vAlign w:val="bottom"/>
          </w:tcPr>
          <w:p>
            <w:pPr>
              <w:spacing w:after="0"/>
              <w:rPr>
                <w:sz w:val="17"/>
                <w:szCs w:val="17"/>
                <w:color w:val="auto"/>
              </w:rPr>
            </w:pPr>
          </w:p>
        </w:tc>
      </w:tr>
      <w:tr>
        <w:trPr>
          <w:trHeight w:val="4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40" w:type="dxa"/>
            <w:vAlign w:val="bottom"/>
            <w:gridSpan w:val="4"/>
          </w:tcPr>
          <w:p>
            <w:pPr>
              <w:jc w:val="right"/>
              <w:ind w:right="2416"/>
              <w:spacing w:after="0"/>
              <w:rPr>
                <w:sz w:val="20"/>
                <w:szCs w:val="20"/>
                <w:color w:val="auto"/>
              </w:rPr>
            </w:pPr>
            <w:r>
              <w:rPr>
                <w:rFonts w:ascii="Arial" w:cs="Arial" w:eastAsia="Arial" w:hAnsi="Arial"/>
                <w:sz w:val="9"/>
                <w:szCs w:val="9"/>
                <w:b w:val="1"/>
                <w:bCs w:val="1"/>
                <w:i w:val="1"/>
                <w:iCs w:val="1"/>
                <w:color w:val="auto"/>
              </w:rPr>
              <w:t>Storage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9"/>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4 Landmark Square, Stamford, Connecticut</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color w:val="auto"/>
              </w:rPr>
              <w:t>1</w:t>
            </w:r>
          </w:p>
        </w:tc>
        <w:tc>
          <w:tcPr>
            <w:tcW w:w="1940" w:type="dxa"/>
            <w:vAlign w:val="bottom"/>
            <w:gridSpan w:val="3"/>
          </w:tcPr>
          <w:p>
            <w:pPr>
              <w:jc w:val="right"/>
              <w:ind w:right="960"/>
              <w:spacing w:after="0"/>
              <w:rPr>
                <w:sz w:val="20"/>
                <w:szCs w:val="20"/>
                <w:color w:val="auto"/>
              </w:rPr>
            </w:pPr>
            <w:r>
              <w:rPr>
                <w:rFonts w:ascii="Arial" w:cs="Arial" w:eastAsia="Arial" w:hAnsi="Arial"/>
                <w:sz w:val="9"/>
                <w:szCs w:val="9"/>
                <w:color w:val="auto"/>
              </w:rPr>
              <w:t>200</w:t>
            </w:r>
          </w:p>
        </w:tc>
        <w:tc>
          <w:tcPr>
            <w:tcW w:w="520" w:type="dxa"/>
            <w:vAlign w:val="bottom"/>
          </w:tcPr>
          <w:p>
            <w:pPr>
              <w:jc w:val="right"/>
              <w:spacing w:after="0"/>
              <w:rPr>
                <w:sz w:val="20"/>
                <w:szCs w:val="20"/>
                <w:color w:val="auto"/>
              </w:rPr>
            </w:pPr>
            <w:r>
              <w:rPr>
                <w:rFonts w:ascii="Arial" w:cs="Arial" w:eastAsia="Arial" w:hAnsi="Arial"/>
                <w:sz w:val="9"/>
                <w:szCs w:val="9"/>
                <w:color w:val="auto"/>
              </w:rPr>
              <w:t>200</w:t>
            </w:r>
          </w:p>
        </w:tc>
        <w:tc>
          <w:tcPr>
            <w:tcW w:w="48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color w:val="auto"/>
              </w:rPr>
              <w:t>12.00</w:t>
            </w:r>
          </w:p>
        </w:tc>
        <w:tc>
          <w:tcPr>
            <w:tcW w:w="20" w:type="dxa"/>
            <w:vAlign w:val="bottom"/>
          </w:tcPr>
          <w:p>
            <w:pPr>
              <w:spacing w:after="0"/>
              <w:rPr>
                <w:sz w:val="19"/>
                <w:szCs w:val="19"/>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color w:val="auto"/>
              </w:rPr>
              <w:t>16 Court Street, Brooklyn, New York</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color w:val="auto"/>
              </w:rPr>
              <w:t>1</w:t>
            </w:r>
          </w:p>
        </w:tc>
        <w:tc>
          <w:tcPr>
            <w:tcW w:w="19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9"/>
                <w:szCs w:val="9"/>
                <w:color w:val="auto"/>
              </w:rPr>
              <w:t>160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160</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color w:val="auto"/>
              </w:rPr>
              <w:t>22.51</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ind w:left="700"/>
              <w:spacing w:after="0"/>
              <w:rPr>
                <w:sz w:val="20"/>
                <w:szCs w:val="20"/>
                <w:color w:val="auto"/>
              </w:rPr>
            </w:pPr>
            <w:r>
              <w:rPr>
                <w:rFonts w:ascii="Arial" w:cs="Arial" w:eastAsia="Arial" w:hAnsi="Arial"/>
                <w:sz w:val="9"/>
                <w:szCs w:val="9"/>
                <w:b w:val="1"/>
                <w:bCs w:val="1"/>
                <w:color w:val="auto"/>
                <w:w w:val="95"/>
              </w:rPr>
              <w:t>Total/Weighted Average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2</w:t>
            </w:r>
          </w:p>
        </w:tc>
        <w:tc>
          <w:tcPr>
            <w:tcW w:w="1940" w:type="dxa"/>
            <w:vAlign w:val="bottom"/>
            <w:gridSpan w:val="3"/>
          </w:tcPr>
          <w:p>
            <w:pPr>
              <w:jc w:val="right"/>
              <w:ind w:right="960"/>
              <w:spacing w:after="0"/>
              <w:rPr>
                <w:sz w:val="20"/>
                <w:szCs w:val="20"/>
                <w:color w:val="auto"/>
              </w:rPr>
            </w:pPr>
            <w:r>
              <w:rPr>
                <w:rFonts w:ascii="Arial" w:cs="Arial" w:eastAsia="Arial" w:hAnsi="Arial"/>
                <w:sz w:val="9"/>
                <w:szCs w:val="9"/>
                <w:b w:val="1"/>
                <w:bCs w:val="1"/>
                <w:color w:val="auto"/>
              </w:rPr>
              <w:t>360</w:t>
            </w: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360</w:t>
            </w:r>
          </w:p>
        </w:tc>
        <w:tc>
          <w:tcPr>
            <w:tcW w:w="48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b w:val="1"/>
                <w:bCs w:val="1"/>
                <w:color w:val="auto"/>
              </w:rPr>
              <w:t>$16.67</w:t>
            </w:r>
          </w:p>
        </w:tc>
        <w:tc>
          <w:tcPr>
            <w:tcW w:w="20" w:type="dxa"/>
            <w:vAlign w:val="bottom"/>
          </w:tcPr>
          <w:p>
            <w:pPr>
              <w:spacing w:after="0"/>
              <w:rPr>
                <w:sz w:val="17"/>
                <w:szCs w:val="17"/>
                <w:color w:val="auto"/>
              </w:rPr>
            </w:pPr>
          </w:p>
        </w:tc>
      </w:tr>
      <w:tr>
        <w:trPr>
          <w:trHeight w:val="599"/>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tcBorders>
              <w:bottom w:val="single" w:sz="8" w:color="auto"/>
            </w:tcBorders>
            <w:gridSpan w:val="3"/>
          </w:tcPr>
          <w:p>
            <w:pPr>
              <w:ind w:left="20"/>
              <w:spacing w:after="0"/>
              <w:rPr>
                <w:sz w:val="20"/>
                <w:szCs w:val="20"/>
                <w:color w:val="auto"/>
              </w:rPr>
            </w:pPr>
            <w:r>
              <w:rPr>
                <w:rFonts w:ascii="Arial" w:cs="Arial" w:eastAsia="Arial" w:hAnsi="Arial"/>
                <w:sz w:val="9"/>
                <w:szCs w:val="9"/>
                <w:b w:val="1"/>
                <w:bCs w:val="1"/>
                <w:color w:val="auto"/>
              </w:rPr>
              <w:t>Total Space which became available during the Quarter</w:t>
            </w: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ind w:left="360"/>
              <w:spacing w:after="0"/>
              <w:rPr>
                <w:sz w:val="20"/>
                <w:szCs w:val="20"/>
                <w:color w:val="auto"/>
              </w:rPr>
            </w:pPr>
            <w:r>
              <w:rPr>
                <w:rFonts w:ascii="Arial" w:cs="Arial" w:eastAsia="Arial" w:hAnsi="Arial"/>
                <w:sz w:val="9"/>
                <w:szCs w:val="9"/>
                <w:b w:val="1"/>
                <w:bCs w:val="1"/>
                <w:i w:val="1"/>
                <w:iCs w:val="1"/>
                <w:color w:val="auto"/>
              </w:rPr>
              <w:t>Office</w:t>
            </w: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12</w:t>
            </w: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43,002</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44,841</w:t>
            </w:r>
          </w:p>
        </w:tc>
        <w:tc>
          <w:tcPr>
            <w:tcW w:w="48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b w:val="1"/>
                <w:bCs w:val="1"/>
                <w:color w:val="auto"/>
              </w:rPr>
              <w:t>$37.50</w:t>
            </w:r>
          </w:p>
        </w:tc>
        <w:tc>
          <w:tcPr>
            <w:tcW w:w="20" w:type="dxa"/>
            <w:vAlign w:val="bottom"/>
          </w:tcPr>
          <w:p>
            <w:pPr>
              <w:spacing w:after="0"/>
              <w:rPr>
                <w:sz w:val="17"/>
                <w:szCs w:val="17"/>
                <w:color w:val="auto"/>
              </w:rPr>
            </w:pPr>
          </w:p>
        </w:tc>
      </w:tr>
      <w:tr>
        <w:trPr>
          <w:trHeight w:val="227"/>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700" w:type="dxa"/>
            <w:vAlign w:val="bottom"/>
          </w:tcPr>
          <w:p>
            <w:pPr>
              <w:ind w:left="360"/>
              <w:spacing w:after="0"/>
              <w:rPr>
                <w:sz w:val="20"/>
                <w:szCs w:val="20"/>
                <w:color w:val="auto"/>
              </w:rPr>
            </w:pPr>
            <w:r>
              <w:rPr>
                <w:rFonts w:ascii="Arial" w:cs="Arial" w:eastAsia="Arial" w:hAnsi="Arial"/>
                <w:sz w:val="9"/>
                <w:szCs w:val="9"/>
                <w:b w:val="1"/>
                <w:bCs w:val="1"/>
                <w:i w:val="1"/>
                <w:iCs w:val="1"/>
                <w:color w:val="auto"/>
              </w:rPr>
              <w:t>Retail</w:t>
            </w:r>
          </w:p>
        </w:tc>
        <w:tc>
          <w:tcPr>
            <w:tcW w:w="122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9"/>
                <w:szCs w:val="9"/>
                <w:b w:val="1"/>
                <w:bCs w:val="1"/>
                <w:color w:val="auto"/>
              </w:rPr>
              <w:t>2</w:t>
            </w:r>
          </w:p>
        </w:tc>
        <w:tc>
          <w:tcPr>
            <w:tcW w:w="1940" w:type="dxa"/>
            <w:vAlign w:val="bottom"/>
            <w:tcBorders>
              <w:bottom w:val="single" w:sz="8" w:color="auto"/>
            </w:tcBorders>
            <w:gridSpan w:val="3"/>
          </w:tcPr>
          <w:p>
            <w:pPr>
              <w:jc w:val="right"/>
              <w:ind w:right="960"/>
              <w:spacing w:after="0"/>
              <w:rPr>
                <w:sz w:val="20"/>
                <w:szCs w:val="20"/>
                <w:color w:val="auto"/>
              </w:rPr>
            </w:pPr>
            <w:r>
              <w:rPr>
                <w:rFonts w:ascii="Arial" w:cs="Arial" w:eastAsia="Arial" w:hAnsi="Arial"/>
                <w:sz w:val="9"/>
                <w:szCs w:val="9"/>
                <w:b w:val="1"/>
                <w:bCs w:val="1"/>
                <w:color w:val="auto"/>
              </w:rPr>
              <w:t>360</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360</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$16.67</w:t>
            </w:r>
          </w:p>
        </w:tc>
        <w:tc>
          <w:tcPr>
            <w:tcW w:w="20" w:type="dxa"/>
            <w:vAlign w:val="bottom"/>
            <w:tcBorders>
              <w:bottom w:val="single" w:sz="8" w:color="auto"/>
            </w:tcBorders>
          </w:tcPr>
          <w:p>
            <w:pPr>
              <w:spacing w:after="0"/>
              <w:rPr>
                <w:sz w:val="19"/>
                <w:szCs w:val="19"/>
                <w:color w:val="auto"/>
              </w:rPr>
            </w:pPr>
          </w:p>
        </w:tc>
      </w:tr>
      <w:tr>
        <w:trPr>
          <w:trHeight w:val="201"/>
        </w:trPr>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9"/>
                <w:szCs w:val="9"/>
                <w:b w:val="1"/>
                <w:bCs w:val="1"/>
                <w:color w:val="auto"/>
              </w:rPr>
              <w:t>14</w:t>
            </w:r>
          </w:p>
        </w:tc>
        <w:tc>
          <w:tcPr>
            <w:tcW w:w="980" w:type="dxa"/>
            <w:vAlign w:val="bottom"/>
            <w:gridSpan w:val="2"/>
          </w:tcPr>
          <w:p>
            <w:pPr>
              <w:jc w:val="right"/>
              <w:spacing w:after="0"/>
              <w:rPr>
                <w:sz w:val="20"/>
                <w:szCs w:val="20"/>
                <w:color w:val="auto"/>
              </w:rPr>
            </w:pPr>
            <w:r>
              <w:rPr>
                <w:rFonts w:ascii="Arial" w:cs="Arial" w:eastAsia="Arial" w:hAnsi="Arial"/>
                <w:sz w:val="9"/>
                <w:szCs w:val="9"/>
                <w:b w:val="1"/>
                <w:bCs w:val="1"/>
                <w:color w:val="auto"/>
              </w:rPr>
              <w:t>43,362</w:t>
            </w:r>
          </w:p>
        </w:tc>
        <w:tc>
          <w:tcPr>
            <w:tcW w:w="96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9"/>
                <w:szCs w:val="9"/>
                <w:b w:val="1"/>
                <w:bCs w:val="1"/>
                <w:color w:val="auto"/>
              </w:rPr>
              <w:t>45,201</w:t>
            </w:r>
          </w:p>
        </w:tc>
        <w:tc>
          <w:tcPr>
            <w:tcW w:w="480" w:type="dxa"/>
            <w:vAlign w:val="bottom"/>
          </w:tcPr>
          <w:p>
            <w:pPr>
              <w:spacing w:after="0"/>
              <w:rPr>
                <w:sz w:val="17"/>
                <w:szCs w:val="17"/>
                <w:color w:val="auto"/>
              </w:rPr>
            </w:pPr>
          </w:p>
        </w:tc>
        <w:tc>
          <w:tcPr>
            <w:tcW w:w="1540" w:type="dxa"/>
            <w:vAlign w:val="bottom"/>
            <w:gridSpan w:val="2"/>
          </w:tcPr>
          <w:p>
            <w:pPr>
              <w:jc w:val="right"/>
              <w:spacing w:after="0"/>
              <w:rPr>
                <w:sz w:val="20"/>
                <w:szCs w:val="20"/>
                <w:color w:val="auto"/>
              </w:rPr>
            </w:pPr>
            <w:r>
              <w:rPr>
                <w:rFonts w:ascii="Arial" w:cs="Arial" w:eastAsia="Arial" w:hAnsi="Arial"/>
                <w:sz w:val="9"/>
                <w:szCs w:val="9"/>
                <w:b w:val="1"/>
                <w:bCs w:val="1"/>
                <w:color w:val="auto"/>
              </w:rPr>
              <w:t>$37.33</w:t>
            </w:r>
          </w:p>
        </w:tc>
        <w:tc>
          <w:tcPr>
            <w:tcW w:w="20" w:type="dxa"/>
            <w:vAlign w:val="bottom"/>
          </w:tcPr>
          <w:p>
            <w:pPr>
              <w:spacing w:after="0"/>
              <w:rPr>
                <w:sz w:val="17"/>
                <w:szCs w:val="17"/>
                <w:color w:val="auto"/>
              </w:rPr>
            </w:pPr>
          </w:p>
        </w:tc>
      </w:tr>
      <w:tr>
        <w:trPr>
          <w:trHeight w:val="404"/>
        </w:trPr>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40" w:type="dxa"/>
            <w:vAlign w:val="bottom"/>
            <w:gridSpan w:val="3"/>
          </w:tcPr>
          <w:p>
            <w:pPr>
              <w:ind w:left="20"/>
              <w:spacing w:after="0"/>
              <w:rPr>
                <w:sz w:val="20"/>
                <w:szCs w:val="20"/>
                <w:color w:val="auto"/>
              </w:rPr>
            </w:pPr>
            <w:r>
              <w:rPr>
                <w:rFonts w:ascii="Arial" w:cs="Arial" w:eastAsia="Arial" w:hAnsi="Arial"/>
                <w:sz w:val="9"/>
                <w:szCs w:val="9"/>
                <w:b w:val="1"/>
                <w:bCs w:val="1"/>
                <w:color w:val="auto"/>
              </w:rPr>
              <w:t>Total Available Space</w:t>
            </w: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40" w:type="dxa"/>
            <w:vAlign w:val="bottom"/>
            <w:gridSpan w:val="3"/>
          </w:tcPr>
          <w:p>
            <w:pPr>
              <w:jc w:val="right"/>
              <w:ind w:right="960"/>
              <w:spacing w:after="0"/>
              <w:rPr>
                <w:sz w:val="20"/>
                <w:szCs w:val="20"/>
                <w:color w:val="auto"/>
              </w:rPr>
            </w:pPr>
            <w:r>
              <w:rPr>
                <w:rFonts w:ascii="Arial" w:cs="Arial" w:eastAsia="Arial" w:hAnsi="Arial"/>
                <w:sz w:val="9"/>
                <w:szCs w:val="9"/>
                <w:b w:val="1"/>
                <w:bCs w:val="1"/>
                <w:color w:val="auto"/>
              </w:rPr>
              <w:t>1,067,618</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pacing w:after="0" w:line="299" w:lineRule="exact"/>
        <w:rPr>
          <w:sz w:val="20"/>
          <w:szCs w:val="20"/>
          <w:color w:val="auto"/>
        </w:rPr>
      </w:pPr>
    </w:p>
    <w:p>
      <w:pPr>
        <w:ind w:left="140" w:hanging="124"/>
        <w:spacing w:after="0"/>
        <w:tabs>
          <w:tab w:leader="none" w:pos="140" w:val="left"/>
        </w:tabs>
        <w:numPr>
          <w:ilvl w:val="0"/>
          <w:numId w:val="30"/>
        </w:numPr>
        <w:rPr>
          <w:rFonts w:ascii="Arial" w:cs="Arial" w:eastAsia="Arial" w:hAnsi="Arial"/>
          <w:sz w:val="9"/>
          <w:szCs w:val="9"/>
          <w:color w:val="auto"/>
        </w:rPr>
      </w:pPr>
      <w:r>
        <w:rPr>
          <w:rFonts w:ascii="Arial" w:cs="Arial" w:eastAsia="Arial" w:hAnsi="Arial"/>
          <w:sz w:val="9"/>
          <w:szCs w:val="9"/>
          <w:color w:val="auto"/>
        </w:rPr>
        <w:t>Escalated rent is calculated as total annual lease related income excluding electric charges.</w:t>
      </w:r>
    </w:p>
    <w:p>
      <w:pPr>
        <w:spacing w:after="0" w:line="115" w:lineRule="exact"/>
        <w:rPr>
          <w:rFonts w:ascii="Arial" w:cs="Arial" w:eastAsia="Arial" w:hAnsi="Arial"/>
          <w:sz w:val="9"/>
          <w:szCs w:val="9"/>
          <w:color w:val="auto"/>
        </w:rPr>
      </w:pPr>
    </w:p>
    <w:p>
      <w:pPr>
        <w:ind w:left="140" w:hanging="124"/>
        <w:spacing w:after="0"/>
        <w:tabs>
          <w:tab w:leader="none" w:pos="140" w:val="left"/>
        </w:tabs>
        <w:numPr>
          <w:ilvl w:val="0"/>
          <w:numId w:val="30"/>
        </w:numPr>
        <w:rPr>
          <w:rFonts w:ascii="Arial" w:cs="Arial" w:eastAsia="Arial" w:hAnsi="Arial"/>
          <w:sz w:val="9"/>
          <w:szCs w:val="9"/>
          <w:color w:val="auto"/>
        </w:rPr>
      </w:pPr>
      <w:r>
        <w:rPr>
          <w:rFonts w:ascii="Arial" w:cs="Arial" w:eastAsia="Arial" w:hAnsi="Arial"/>
          <w:sz w:val="9"/>
          <w:szCs w:val="9"/>
          <w:color w:val="auto"/>
        </w:rPr>
        <w:t>Includes expiring space, relocating tenants and move-outs where tenants vacated. Excludes lease expirations where tenants heldover.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46</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20"/>
          </w:cols>
          <w:pgMar w:left="900" w:top="338" w:right="879" w:bottom="1440" w:gutter="0" w:footer="0" w:header="0"/>
        </w:sectPr>
      </w:pPr>
    </w:p>
    <w:bookmarkStart w:id="62" w:name="page63"/>
    <w:bookmarkEnd w:id="62"/>
    <w:p>
      <w:pPr>
        <w:ind w:left="2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LEASING ACTIVITY - SUBURBAN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5165090</wp:posOffset>
            </wp:positionH>
            <wp:positionV relativeFrom="paragraph">
              <wp:posOffset>-48895</wp:posOffset>
            </wp:positionV>
            <wp:extent cx="1263015" cy="36068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Commenced Leasing</w:t>
      </w:r>
    </w:p>
    <w:p>
      <w:pPr>
        <w:ind w:left="20"/>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106045</wp:posOffset>
            </wp:positionV>
            <wp:extent cx="641223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03"/>
        </w:trPr>
        <w:tc>
          <w:tcPr>
            <w:tcW w:w="700" w:type="dxa"/>
            <w:vAlign w:val="bottom"/>
          </w:tcPr>
          <w:p>
            <w:pPr>
              <w:spacing w:after="0"/>
              <w:rPr>
                <w:sz w:val="8"/>
                <w:szCs w:val="8"/>
                <w:color w:val="auto"/>
              </w:rPr>
            </w:pPr>
          </w:p>
        </w:tc>
        <w:tc>
          <w:tcPr>
            <w:tcW w:w="28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80" w:type="dxa"/>
            <w:vAlign w:val="bottom"/>
          </w:tcPr>
          <w:p>
            <w:pPr>
              <w:spacing w:after="0"/>
              <w:rPr>
                <w:sz w:val="8"/>
                <w:szCs w:val="8"/>
                <w:color w:val="auto"/>
              </w:rPr>
            </w:pP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New Cash Rent /</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Prev. Escalated Rent/</w:t>
            </w:r>
          </w:p>
        </w:tc>
        <w:tc>
          <w:tcPr>
            <w:tcW w:w="900" w:type="dxa"/>
            <w:vAlign w:val="bottom"/>
          </w:tcPr>
          <w:p>
            <w:pPr>
              <w:spacing w:after="0"/>
              <w:rPr>
                <w:sz w:val="8"/>
                <w:szCs w:val="8"/>
                <w:color w:val="auto"/>
              </w:rPr>
            </w:pP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Free Rent</w:t>
            </w:r>
          </w:p>
        </w:tc>
        <w:tc>
          <w:tcPr>
            <w:tcW w:w="0" w:type="dxa"/>
            <w:vAlign w:val="bottom"/>
          </w:tcPr>
          <w:p>
            <w:pPr>
              <w:spacing w:after="0"/>
              <w:rPr>
                <w:sz w:val="1"/>
                <w:szCs w:val="1"/>
                <w:color w:val="auto"/>
              </w:rPr>
            </w:pPr>
          </w:p>
        </w:tc>
      </w:tr>
      <w:tr>
        <w:trPr>
          <w:trHeight w:val="124"/>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Activity</w:t>
            </w:r>
          </w:p>
        </w:tc>
        <w:tc>
          <w:tcPr>
            <w:tcW w:w="2900" w:type="dxa"/>
            <w:vAlign w:val="bottom"/>
            <w:tcBorders>
              <w:bottom w:val="single" w:sz="8" w:color="auto"/>
            </w:tcBorders>
            <w:gridSpan w:val="2"/>
          </w:tcPr>
          <w:p>
            <w:pPr>
              <w:ind w:left="460"/>
              <w:spacing w:after="0"/>
              <w:rPr>
                <w:sz w:val="20"/>
                <w:szCs w:val="20"/>
                <w:color w:val="auto"/>
              </w:rPr>
            </w:pPr>
            <w:r>
              <w:rPr>
                <w:rFonts w:ascii="Arial" w:cs="Arial" w:eastAsia="Arial" w:hAnsi="Arial"/>
                <w:sz w:val="9"/>
                <w:szCs w:val="9"/>
                <w:b w:val="1"/>
                <w:bCs w:val="1"/>
                <w:color w:val="auto"/>
              </w:rPr>
              <w:t>Building Address</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 of Leases</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Term (Yrs)</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Useable SF</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Rentable SF</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Rentable SF(1)</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Rentable SF(2)</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TI / Rentable SF</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 of Months</w:t>
            </w:r>
          </w:p>
        </w:tc>
        <w:tc>
          <w:tcPr>
            <w:tcW w:w="0" w:type="dxa"/>
            <w:vAlign w:val="bottom"/>
          </w:tcPr>
          <w:p>
            <w:pPr>
              <w:spacing w:after="0"/>
              <w:rPr>
                <w:sz w:val="1"/>
                <w:szCs w:val="1"/>
                <w:color w:val="auto"/>
              </w:rPr>
            </w:pPr>
          </w:p>
        </w:tc>
      </w:tr>
      <w:tr>
        <w:trPr>
          <w:trHeight w:val="310"/>
        </w:trPr>
        <w:tc>
          <w:tcPr>
            <w:tcW w:w="700" w:type="dxa"/>
            <w:vAlign w:val="bottom"/>
          </w:tcPr>
          <w:p>
            <w:pPr>
              <w:ind w:left="20"/>
              <w:spacing w:after="0"/>
              <w:rPr>
                <w:sz w:val="20"/>
                <w:szCs w:val="20"/>
                <w:color w:val="auto"/>
              </w:rPr>
            </w:pPr>
            <w:r>
              <w:rPr>
                <w:rFonts w:ascii="Arial" w:cs="Arial" w:eastAsia="Arial" w:hAnsi="Arial"/>
                <w:sz w:val="9"/>
                <w:szCs w:val="9"/>
                <w:b w:val="1"/>
                <w:bCs w:val="1"/>
                <w:color w:val="auto"/>
                <w:w w:val="96"/>
              </w:rPr>
              <w:t>Available Space</w:t>
            </w:r>
          </w:p>
        </w:tc>
        <w:tc>
          <w:tcPr>
            <w:tcW w:w="2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1,067,618</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6"/>
        </w:trPr>
        <w:tc>
          <w:tcPr>
            <w:tcW w:w="70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gridSpan w:val="2"/>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700" w:type="dxa"/>
            <w:vAlign w:val="bottom"/>
          </w:tcPr>
          <w:p>
            <w:pPr>
              <w:spacing w:after="0"/>
              <w:rPr>
                <w:sz w:val="16"/>
                <w:szCs w:val="16"/>
                <w:color w:val="auto"/>
              </w:rPr>
            </w:pPr>
          </w:p>
        </w:tc>
        <w:tc>
          <w:tcPr>
            <w:tcW w:w="2900" w:type="dxa"/>
            <w:vAlign w:val="bottom"/>
            <w:gridSpan w:val="2"/>
          </w:tcPr>
          <w:p>
            <w:pPr>
              <w:jc w:val="right"/>
              <w:ind w:right="2480"/>
              <w:spacing w:after="0"/>
              <w:rPr>
                <w:sz w:val="20"/>
                <w:szCs w:val="20"/>
                <w:color w:val="auto"/>
              </w:rPr>
            </w:pPr>
            <w:r>
              <w:rPr>
                <w:rFonts w:ascii="Arial" w:cs="Arial" w:eastAsia="Arial" w:hAnsi="Arial"/>
                <w:sz w:val="9"/>
                <w:szCs w:val="9"/>
                <w:b w:val="1"/>
                <w:bCs w:val="1"/>
                <w:i w:val="1"/>
                <w:iCs w:val="1"/>
                <w:color w:val="auto"/>
              </w:rPr>
              <w:t>Office</w:t>
            </w: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1100 King Street - 5 Int'l Drive, Rye Brook, New York</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4.2</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1,725</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1,725</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$24.00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$2.00</w:t>
            </w:r>
          </w:p>
        </w:tc>
        <w:tc>
          <w:tcPr>
            <w:tcW w:w="680" w:type="dxa"/>
            <w:vAlign w:val="bottom"/>
          </w:tcPr>
          <w:p>
            <w:pPr>
              <w:jc w:val="right"/>
              <w:spacing w:after="0"/>
              <w:rPr>
                <w:sz w:val="20"/>
                <w:szCs w:val="20"/>
                <w:color w:val="auto"/>
              </w:rPr>
            </w:pPr>
            <w:r>
              <w:rPr>
                <w:rFonts w:ascii="Arial" w:cs="Arial" w:eastAsia="Arial" w:hAnsi="Arial"/>
                <w:sz w:val="9"/>
                <w:szCs w:val="9"/>
                <w:color w:val="auto"/>
              </w:rPr>
              <w:t>2.0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520 White Plains Road, Tarrytown, New York</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5.5</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3,138</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3,138</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$26.50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$30.66</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$23.07</w:t>
            </w:r>
          </w:p>
        </w:tc>
        <w:tc>
          <w:tcPr>
            <w:tcW w:w="680" w:type="dxa"/>
            <w:vAlign w:val="bottom"/>
          </w:tcPr>
          <w:p>
            <w:pPr>
              <w:jc w:val="right"/>
              <w:spacing w:after="0"/>
              <w:rPr>
                <w:sz w:val="20"/>
                <w:szCs w:val="20"/>
                <w:color w:val="auto"/>
              </w:rPr>
            </w:pPr>
            <w:r>
              <w:rPr>
                <w:rFonts w:ascii="Arial" w:cs="Arial" w:eastAsia="Arial" w:hAnsi="Arial"/>
                <w:sz w:val="9"/>
                <w:szCs w:val="9"/>
                <w:color w:val="auto"/>
              </w:rPr>
              <w:t>6.0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200 Summit Lake Drive, Valhalla, New York</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3.1</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3,110</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3,110</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$26.50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$48.95</w:t>
            </w:r>
          </w:p>
        </w:tc>
        <w:tc>
          <w:tcPr>
            <w:tcW w:w="680" w:type="dxa"/>
            <w:vAlign w:val="bottom"/>
          </w:tcPr>
          <w:p>
            <w:pPr>
              <w:jc w:val="right"/>
              <w:spacing w:after="0"/>
              <w:rPr>
                <w:sz w:val="20"/>
                <w:szCs w:val="20"/>
                <w:color w:val="auto"/>
              </w:rPr>
            </w:pPr>
            <w:r>
              <w:rPr>
                <w:rFonts w:ascii="Arial" w:cs="Arial" w:eastAsia="Arial" w:hAnsi="Arial"/>
                <w:sz w:val="9"/>
                <w:szCs w:val="9"/>
                <w:color w:val="auto"/>
              </w:rPr>
              <w:t>2.2</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360 Hamilton Avenue, White Plains, New York</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10.0</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2,419</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2,419</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$37.00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$23.02</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$32.96</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 Landmark Square, Stamford, Connecticut</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3.2</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1,900</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1,900</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$40.00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$52.90</w:t>
            </w:r>
          </w:p>
        </w:tc>
        <w:tc>
          <w:tcPr>
            <w:tcW w:w="680" w:type="dxa"/>
            <w:vAlign w:val="bottom"/>
          </w:tcPr>
          <w:p>
            <w:pPr>
              <w:jc w:val="right"/>
              <w:spacing w:after="0"/>
              <w:rPr>
                <w:sz w:val="20"/>
                <w:szCs w:val="20"/>
                <w:color w:val="auto"/>
              </w:rPr>
            </w:pPr>
            <w:r>
              <w:rPr>
                <w:rFonts w:ascii="Arial" w:cs="Arial" w:eastAsia="Arial" w:hAnsi="Arial"/>
                <w:sz w:val="9"/>
                <w:szCs w:val="9"/>
                <w:color w:val="auto"/>
              </w:rPr>
              <w:t>2.0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4 Landmark Square, Stamford, Connecticut</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6.3</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4,570</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4,570</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$33.00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$28.50</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$4.38</w:t>
            </w:r>
          </w:p>
        </w:tc>
        <w:tc>
          <w:tcPr>
            <w:tcW w:w="680" w:type="dxa"/>
            <w:vAlign w:val="bottom"/>
          </w:tcPr>
          <w:p>
            <w:pPr>
              <w:jc w:val="right"/>
              <w:spacing w:after="0"/>
              <w:rPr>
                <w:sz w:val="20"/>
                <w:szCs w:val="20"/>
                <w:color w:val="auto"/>
              </w:rPr>
            </w:pPr>
            <w:r>
              <w:rPr>
                <w:rFonts w:ascii="Arial" w:cs="Arial" w:eastAsia="Arial" w:hAnsi="Arial"/>
                <w:sz w:val="9"/>
                <w:szCs w:val="9"/>
                <w:color w:val="auto"/>
              </w:rPr>
              <w:t>6.0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680 Washington Boulevard, Stamford, Connecticut</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10.8</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20,217</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20,217</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$43.00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$43.05</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$55.00</w:t>
            </w:r>
          </w:p>
        </w:tc>
        <w:tc>
          <w:tcPr>
            <w:tcW w:w="680" w:type="dxa"/>
            <w:vAlign w:val="bottom"/>
          </w:tcPr>
          <w:p>
            <w:pPr>
              <w:jc w:val="right"/>
              <w:spacing w:after="0"/>
              <w:rPr>
                <w:sz w:val="20"/>
                <w:szCs w:val="20"/>
                <w:color w:val="auto"/>
              </w:rPr>
            </w:pPr>
            <w:r>
              <w:rPr>
                <w:rFonts w:ascii="Arial" w:cs="Arial" w:eastAsia="Arial" w:hAnsi="Arial"/>
                <w:sz w:val="9"/>
                <w:szCs w:val="9"/>
                <w:color w:val="auto"/>
              </w:rPr>
              <w:t>10.0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1010 Washington Boulevard, Stamford, Connecticut</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3</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7.2</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12,760</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12,760</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$33.53</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$31.96</w:t>
            </w:r>
          </w:p>
        </w:tc>
        <w:tc>
          <w:tcPr>
            <w:tcW w:w="680" w:type="dxa"/>
            <w:vAlign w:val="bottom"/>
          </w:tcPr>
          <w:p>
            <w:pPr>
              <w:jc w:val="right"/>
              <w:spacing w:after="0"/>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1055 Washington Boulevard, Stamford, Connecticut</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3.1</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901</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901</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$36.50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$35.32</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$12.50</w:t>
            </w:r>
          </w:p>
        </w:tc>
        <w:tc>
          <w:tcPr>
            <w:tcW w:w="680" w:type="dxa"/>
            <w:vAlign w:val="bottom"/>
          </w:tcPr>
          <w:p>
            <w:pPr>
              <w:jc w:val="right"/>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125 Chubb Way, Lyndhurst, New Jersey</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2</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7.6</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22,168</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21,819</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$23.76</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$49.54</w:t>
            </w:r>
          </w:p>
        </w:tc>
        <w:tc>
          <w:tcPr>
            <w:tcW w:w="680" w:type="dxa"/>
            <w:vAlign w:val="bottom"/>
          </w:tcPr>
          <w:p>
            <w:pPr>
              <w:jc w:val="right"/>
              <w:spacing w:after="0"/>
              <w:rPr>
                <w:sz w:val="20"/>
                <w:szCs w:val="20"/>
                <w:color w:val="auto"/>
              </w:rPr>
            </w:pPr>
            <w:r>
              <w:rPr>
                <w:rFonts w:ascii="Arial" w:cs="Arial" w:eastAsia="Arial" w:hAnsi="Arial"/>
                <w:sz w:val="9"/>
                <w:szCs w:val="9"/>
                <w:color w:val="auto"/>
              </w:rPr>
              <w:t>0.2</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16 Court Street, Brooklyn, New York</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2</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3.7</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1,605</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2,526</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$52.43</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$39.39</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$41.77</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0.7</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900" w:type="dxa"/>
            <w:vAlign w:val="bottom"/>
            <w:gridSpan w:val="2"/>
          </w:tcPr>
          <w:p>
            <w:pPr>
              <w:jc w:val="right"/>
              <w:ind w:right="120"/>
              <w:spacing w:after="0"/>
              <w:rPr>
                <w:sz w:val="20"/>
                <w:szCs w:val="20"/>
                <w:color w:val="auto"/>
              </w:rPr>
            </w:pPr>
            <w:r>
              <w:rPr>
                <w:rFonts w:ascii="Arial" w:cs="Arial" w:eastAsia="Arial" w:hAnsi="Arial"/>
                <w:sz w:val="9"/>
                <w:szCs w:val="9"/>
                <w:b w:val="1"/>
                <w:bCs w:val="1"/>
                <w:i w:val="1"/>
                <w:iCs w:val="1"/>
                <w:color w:val="auto"/>
              </w:rPr>
              <w:t>Total/Weighted Average</w:t>
            </w:r>
          </w:p>
        </w:tc>
        <w:tc>
          <w:tcPr>
            <w:tcW w:w="740" w:type="dxa"/>
            <w:vAlign w:val="bottom"/>
          </w:tcPr>
          <w:p>
            <w:pPr>
              <w:jc w:val="right"/>
              <w:ind w:right="96"/>
              <w:spacing w:after="0"/>
              <w:rPr>
                <w:sz w:val="20"/>
                <w:szCs w:val="20"/>
                <w:color w:val="auto"/>
              </w:rPr>
            </w:pPr>
            <w:r>
              <w:rPr>
                <w:rFonts w:ascii="Arial" w:cs="Arial" w:eastAsia="Arial" w:hAnsi="Arial"/>
                <w:sz w:val="9"/>
                <w:szCs w:val="9"/>
                <w:b w:val="1"/>
                <w:bCs w:val="1"/>
                <w:color w:val="auto"/>
              </w:rPr>
              <w:t>15</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7.7</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74,513</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75,085</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$33.35</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$37.94</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$41.90</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4.8</w:t>
            </w:r>
          </w:p>
        </w:tc>
        <w:tc>
          <w:tcPr>
            <w:tcW w:w="0" w:type="dxa"/>
            <w:vAlign w:val="bottom"/>
          </w:tcPr>
          <w:p>
            <w:pPr>
              <w:spacing w:after="0"/>
              <w:rPr>
                <w:sz w:val="1"/>
                <w:szCs w:val="1"/>
                <w:color w:val="auto"/>
              </w:rPr>
            </w:pPr>
          </w:p>
        </w:tc>
      </w:tr>
      <w:tr>
        <w:trPr>
          <w:trHeight w:val="328"/>
        </w:trPr>
        <w:tc>
          <w:tcPr>
            <w:tcW w:w="700" w:type="dxa"/>
            <w:vAlign w:val="bottom"/>
          </w:tcPr>
          <w:p>
            <w:pPr>
              <w:spacing w:after="0"/>
              <w:rPr>
                <w:sz w:val="24"/>
                <w:szCs w:val="24"/>
                <w:color w:val="auto"/>
              </w:rPr>
            </w:pPr>
          </w:p>
        </w:tc>
        <w:tc>
          <w:tcPr>
            <w:tcW w:w="2900" w:type="dxa"/>
            <w:vAlign w:val="bottom"/>
            <w:gridSpan w:val="2"/>
          </w:tcPr>
          <w:p>
            <w:pPr>
              <w:jc w:val="right"/>
              <w:ind w:right="2480"/>
              <w:spacing w:after="0"/>
              <w:rPr>
                <w:sz w:val="20"/>
                <w:szCs w:val="20"/>
                <w:color w:val="auto"/>
              </w:rPr>
            </w:pPr>
            <w:r>
              <w:rPr>
                <w:rFonts w:ascii="Arial" w:cs="Arial" w:eastAsia="Arial" w:hAnsi="Arial"/>
                <w:sz w:val="9"/>
                <w:szCs w:val="9"/>
                <w:b w:val="1"/>
                <w:bCs w:val="1"/>
                <w:i w:val="1"/>
                <w:iCs w:val="1"/>
                <w:color w:val="auto"/>
              </w:rPr>
              <w:t>Storage</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1100 King Street - 5 Int'l Drive, Rye Brook, New York</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0.4</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1,058</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1,058</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$13.00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4 Landmark Square, Stamford, Connecticut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6.3</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200</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200</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$12.00</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$12.00</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900" w:type="dxa"/>
            <w:vAlign w:val="bottom"/>
            <w:gridSpan w:val="2"/>
          </w:tcPr>
          <w:p>
            <w:pPr>
              <w:jc w:val="right"/>
              <w:ind w:right="120"/>
              <w:spacing w:after="0"/>
              <w:rPr>
                <w:sz w:val="20"/>
                <w:szCs w:val="20"/>
                <w:color w:val="auto"/>
              </w:rPr>
            </w:pPr>
            <w:r>
              <w:rPr>
                <w:rFonts w:ascii="Arial" w:cs="Arial" w:eastAsia="Arial" w:hAnsi="Arial"/>
                <w:sz w:val="9"/>
                <w:szCs w:val="9"/>
                <w:b w:val="1"/>
                <w:bCs w:val="1"/>
                <w:i w:val="1"/>
                <w:iCs w:val="1"/>
                <w:color w:val="auto"/>
              </w:rPr>
              <w:t>Total/Weighted Average</w:t>
            </w:r>
          </w:p>
        </w:tc>
        <w:tc>
          <w:tcPr>
            <w:tcW w:w="740" w:type="dxa"/>
            <w:vAlign w:val="bottom"/>
          </w:tcPr>
          <w:p>
            <w:pPr>
              <w:jc w:val="right"/>
              <w:ind w:right="96"/>
              <w:spacing w:after="0"/>
              <w:rPr>
                <w:sz w:val="20"/>
                <w:szCs w:val="20"/>
                <w:color w:val="auto"/>
              </w:rPr>
            </w:pPr>
            <w:r>
              <w:rPr>
                <w:rFonts w:ascii="Arial" w:cs="Arial" w:eastAsia="Arial" w:hAnsi="Arial"/>
                <w:sz w:val="9"/>
                <w:szCs w:val="9"/>
                <w:b w:val="1"/>
                <w:bCs w:val="1"/>
                <w:color w:val="auto"/>
              </w:rPr>
              <w:t>2</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1.4</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1,258</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1,258</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$12.84</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$12.00</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359"/>
        </w:trPr>
        <w:tc>
          <w:tcPr>
            <w:tcW w:w="7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rPr>
              <w:t>Leased Space</w:t>
            </w:r>
          </w:p>
        </w:tc>
        <w:tc>
          <w:tcPr>
            <w:tcW w:w="2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00" w:type="dxa"/>
            <w:vAlign w:val="bottom"/>
          </w:tcPr>
          <w:p>
            <w:pPr>
              <w:spacing w:after="0"/>
              <w:rPr>
                <w:sz w:val="13"/>
                <w:szCs w:val="13"/>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b w:val="1"/>
                <w:bCs w:val="1"/>
                <w:i w:val="1"/>
                <w:iCs w:val="1"/>
                <w:color w:val="auto"/>
              </w:rPr>
              <w:t>Office (3)</w:t>
            </w:r>
          </w:p>
        </w:tc>
        <w:tc>
          <w:tcPr>
            <w:tcW w:w="74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15</w:t>
            </w:r>
          </w:p>
        </w:tc>
        <w:tc>
          <w:tcPr>
            <w:tcW w:w="720" w:type="dxa"/>
            <w:vAlign w:val="bottom"/>
            <w:vMerge w:val="restart"/>
          </w:tcPr>
          <w:p>
            <w:pPr>
              <w:jc w:val="right"/>
              <w:ind w:right="116"/>
              <w:spacing w:after="0"/>
              <w:rPr>
                <w:sz w:val="20"/>
                <w:szCs w:val="20"/>
                <w:color w:val="auto"/>
              </w:rPr>
            </w:pPr>
            <w:r>
              <w:rPr>
                <w:rFonts w:ascii="Arial" w:cs="Arial" w:eastAsia="Arial" w:hAnsi="Arial"/>
                <w:sz w:val="9"/>
                <w:szCs w:val="9"/>
                <w:b w:val="1"/>
                <w:bCs w:val="1"/>
                <w:color w:val="auto"/>
              </w:rPr>
              <w:t>7.7</w:t>
            </w:r>
          </w:p>
        </w:tc>
        <w:tc>
          <w:tcPr>
            <w:tcW w:w="780" w:type="dxa"/>
            <w:vAlign w:val="bottom"/>
            <w:vMerge w:val="restart"/>
          </w:tcPr>
          <w:p>
            <w:pPr>
              <w:jc w:val="right"/>
              <w:ind w:right="136"/>
              <w:spacing w:after="0"/>
              <w:rPr>
                <w:sz w:val="20"/>
                <w:szCs w:val="20"/>
                <w:color w:val="auto"/>
              </w:rPr>
            </w:pPr>
            <w:r>
              <w:rPr>
                <w:rFonts w:ascii="Arial" w:cs="Arial" w:eastAsia="Arial" w:hAnsi="Arial"/>
                <w:sz w:val="9"/>
                <w:szCs w:val="9"/>
                <w:b w:val="1"/>
                <w:bCs w:val="1"/>
                <w:color w:val="auto"/>
              </w:rPr>
              <w:t>74,513</w:t>
            </w:r>
          </w:p>
        </w:tc>
        <w:tc>
          <w:tcPr>
            <w:tcW w:w="780" w:type="dxa"/>
            <w:vAlign w:val="bottom"/>
            <w:vMerge w:val="restart"/>
          </w:tcPr>
          <w:p>
            <w:pPr>
              <w:jc w:val="right"/>
              <w:ind w:right="76"/>
              <w:spacing w:after="0"/>
              <w:rPr>
                <w:sz w:val="20"/>
                <w:szCs w:val="20"/>
                <w:color w:val="auto"/>
              </w:rPr>
            </w:pPr>
            <w:r>
              <w:rPr>
                <w:rFonts w:ascii="Arial" w:cs="Arial" w:eastAsia="Arial" w:hAnsi="Arial"/>
                <w:sz w:val="9"/>
                <w:szCs w:val="9"/>
                <w:b w:val="1"/>
                <w:bCs w:val="1"/>
                <w:color w:val="auto"/>
              </w:rPr>
              <w:t>75,085</w:t>
            </w:r>
          </w:p>
        </w:tc>
        <w:tc>
          <w:tcPr>
            <w:tcW w:w="900" w:type="dxa"/>
            <w:vAlign w:val="bottom"/>
            <w:vMerge w:val="restart"/>
          </w:tcPr>
          <w:p>
            <w:pPr>
              <w:jc w:val="right"/>
              <w:ind w:right="36"/>
              <w:spacing w:after="0"/>
              <w:rPr>
                <w:sz w:val="20"/>
                <w:szCs w:val="20"/>
                <w:color w:val="auto"/>
              </w:rPr>
            </w:pPr>
            <w:r>
              <w:rPr>
                <w:rFonts w:ascii="Arial" w:cs="Arial" w:eastAsia="Arial" w:hAnsi="Arial"/>
                <w:sz w:val="9"/>
                <w:szCs w:val="9"/>
                <w:b w:val="1"/>
                <w:bCs w:val="1"/>
                <w:color w:val="auto"/>
              </w:rPr>
              <w:t>$33.35</w:t>
            </w:r>
          </w:p>
        </w:tc>
        <w:tc>
          <w:tcPr>
            <w:tcW w:w="1060" w:type="dxa"/>
            <w:vAlign w:val="bottom"/>
            <w:vMerge w:val="restart"/>
          </w:tcPr>
          <w:p>
            <w:pPr>
              <w:jc w:val="right"/>
              <w:ind w:right="56"/>
              <w:spacing w:after="0"/>
              <w:rPr>
                <w:sz w:val="20"/>
                <w:szCs w:val="20"/>
                <w:color w:val="auto"/>
              </w:rPr>
            </w:pPr>
            <w:r>
              <w:rPr>
                <w:rFonts w:ascii="Arial" w:cs="Arial" w:eastAsia="Arial" w:hAnsi="Arial"/>
                <w:sz w:val="9"/>
                <w:szCs w:val="9"/>
                <w:b w:val="1"/>
                <w:bCs w:val="1"/>
                <w:color w:val="auto"/>
              </w:rPr>
              <w:t>$37.94</w:t>
            </w:r>
          </w:p>
        </w:tc>
        <w:tc>
          <w:tcPr>
            <w:tcW w:w="900" w:type="dxa"/>
            <w:vAlign w:val="bottom"/>
            <w:vMerge w:val="restart"/>
          </w:tcPr>
          <w:p>
            <w:pPr>
              <w:jc w:val="right"/>
              <w:ind w:right="96"/>
              <w:spacing w:after="0"/>
              <w:rPr>
                <w:sz w:val="20"/>
                <w:szCs w:val="20"/>
                <w:color w:val="auto"/>
              </w:rPr>
            </w:pPr>
            <w:r>
              <w:rPr>
                <w:rFonts w:ascii="Arial" w:cs="Arial" w:eastAsia="Arial" w:hAnsi="Arial"/>
                <w:sz w:val="9"/>
                <w:szCs w:val="9"/>
                <w:b w:val="1"/>
                <w:bCs w:val="1"/>
                <w:color w:val="auto"/>
              </w:rPr>
              <w:t>$41.90</w:t>
            </w:r>
          </w:p>
        </w:tc>
        <w:tc>
          <w:tcPr>
            <w:tcW w:w="680" w:type="dxa"/>
            <w:vAlign w:val="bottom"/>
            <w:vMerge w:val="restart"/>
          </w:tcPr>
          <w:p>
            <w:pPr>
              <w:jc w:val="right"/>
              <w:spacing w:after="0"/>
              <w:rPr>
                <w:sz w:val="20"/>
                <w:szCs w:val="20"/>
                <w:color w:val="auto"/>
              </w:rPr>
            </w:pPr>
            <w:r>
              <w:rPr>
                <w:rFonts w:ascii="Arial" w:cs="Arial" w:eastAsia="Arial" w:hAnsi="Arial"/>
                <w:sz w:val="9"/>
                <w:szCs w:val="9"/>
                <w:b w:val="1"/>
                <w:bCs w:val="1"/>
                <w:color w:val="auto"/>
              </w:rPr>
              <w:t>4.8</w:t>
            </w:r>
          </w:p>
        </w:tc>
        <w:tc>
          <w:tcPr>
            <w:tcW w:w="0" w:type="dxa"/>
            <w:vAlign w:val="bottom"/>
          </w:tcPr>
          <w:p>
            <w:pPr>
              <w:spacing w:after="0"/>
              <w:rPr>
                <w:sz w:val="1"/>
                <w:szCs w:val="1"/>
                <w:color w:val="auto"/>
              </w:rPr>
            </w:pPr>
          </w:p>
        </w:tc>
      </w:tr>
      <w:tr>
        <w:trPr>
          <w:trHeight w:val="44"/>
        </w:trPr>
        <w:tc>
          <w:tcPr>
            <w:tcW w:w="700" w:type="dxa"/>
            <w:vAlign w:val="bottom"/>
          </w:tcPr>
          <w:p>
            <w:pPr>
              <w:spacing w:after="0"/>
              <w:rPr>
                <w:sz w:val="3"/>
                <w:szCs w:val="3"/>
                <w:color w:val="auto"/>
              </w:rPr>
            </w:pPr>
          </w:p>
        </w:tc>
        <w:tc>
          <w:tcPr>
            <w:tcW w:w="28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106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b w:val="1"/>
                <w:bCs w:val="1"/>
                <w:i w:val="1"/>
                <w:iCs w:val="1"/>
                <w:color w:val="auto"/>
              </w:rPr>
              <w:t>Storage</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2</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1.4</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1,258</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1,258</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$12.84</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$12.00</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90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rPr>
              <w:t>Total</w:t>
            </w:r>
          </w:p>
        </w:tc>
        <w:tc>
          <w:tcPr>
            <w:tcW w:w="740" w:type="dxa"/>
            <w:vAlign w:val="bottom"/>
          </w:tcPr>
          <w:p>
            <w:pPr>
              <w:jc w:val="right"/>
              <w:ind w:right="96"/>
              <w:spacing w:after="0"/>
              <w:rPr>
                <w:sz w:val="20"/>
                <w:szCs w:val="20"/>
                <w:color w:val="auto"/>
              </w:rPr>
            </w:pPr>
            <w:r>
              <w:rPr>
                <w:rFonts w:ascii="Arial" w:cs="Arial" w:eastAsia="Arial" w:hAnsi="Arial"/>
                <w:sz w:val="9"/>
                <w:szCs w:val="9"/>
                <w:b w:val="1"/>
                <w:bCs w:val="1"/>
                <w:color w:val="auto"/>
              </w:rPr>
              <w:t>17</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7.6</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75,771</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76,343</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$33.01</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$37.78</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$41.21</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4.8</w:t>
            </w:r>
          </w:p>
        </w:tc>
        <w:tc>
          <w:tcPr>
            <w:tcW w:w="0" w:type="dxa"/>
            <w:vAlign w:val="bottom"/>
          </w:tcPr>
          <w:p>
            <w:pPr>
              <w:spacing w:after="0"/>
              <w:rPr>
                <w:sz w:val="1"/>
                <w:szCs w:val="1"/>
                <w:color w:val="auto"/>
              </w:rPr>
            </w:pPr>
          </w:p>
        </w:tc>
      </w:tr>
      <w:tr>
        <w:trPr>
          <w:trHeight w:val="328"/>
        </w:trPr>
        <w:tc>
          <w:tcPr>
            <w:tcW w:w="3600" w:type="dxa"/>
            <w:vAlign w:val="bottom"/>
            <w:gridSpan w:val="3"/>
          </w:tcPr>
          <w:p>
            <w:pPr>
              <w:ind w:left="20"/>
              <w:spacing w:after="0"/>
              <w:rPr>
                <w:sz w:val="20"/>
                <w:szCs w:val="20"/>
                <w:color w:val="auto"/>
              </w:rPr>
            </w:pPr>
            <w:r>
              <w:rPr>
                <w:rFonts w:ascii="Arial" w:cs="Arial" w:eastAsia="Arial" w:hAnsi="Arial"/>
                <w:sz w:val="9"/>
                <w:szCs w:val="9"/>
                <w:b w:val="1"/>
                <w:bCs w:val="1"/>
                <w:color w:val="auto"/>
              </w:rPr>
              <w:t>Total Available Space as of 9/30/16</w:t>
            </w: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991,847</w:t>
            </w: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7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w w:val="99"/>
              </w:rPr>
              <w:t>Early Renewals</w:t>
            </w:r>
          </w:p>
        </w:tc>
        <w:tc>
          <w:tcPr>
            <w:tcW w:w="28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900" w:type="dxa"/>
            <w:vAlign w:val="bottom"/>
            <w:gridSpan w:val="2"/>
          </w:tcPr>
          <w:p>
            <w:pPr>
              <w:jc w:val="right"/>
              <w:ind w:right="2480"/>
              <w:spacing w:after="0"/>
              <w:rPr>
                <w:sz w:val="20"/>
                <w:szCs w:val="20"/>
                <w:color w:val="auto"/>
              </w:rPr>
            </w:pPr>
            <w:r>
              <w:rPr>
                <w:rFonts w:ascii="Arial" w:cs="Arial" w:eastAsia="Arial" w:hAnsi="Arial"/>
                <w:sz w:val="9"/>
                <w:szCs w:val="9"/>
                <w:b w:val="1"/>
                <w:bCs w:val="1"/>
                <w:i w:val="1"/>
                <w:iCs w:val="1"/>
                <w:color w:val="auto"/>
              </w:rPr>
              <w:t>Office</w:t>
            </w:r>
          </w:p>
        </w:tc>
        <w:tc>
          <w:tcPr>
            <w:tcW w:w="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1100 King Street - 4 Int'l Drive, Rye Brook, New York</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1.1</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1,740</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1,950</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$32.00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$32.00</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$2.00</w:t>
            </w:r>
          </w:p>
        </w:tc>
        <w:tc>
          <w:tcPr>
            <w:tcW w:w="680" w:type="dxa"/>
            <w:vAlign w:val="bottom"/>
          </w:tcPr>
          <w:p>
            <w:pPr>
              <w:jc w:val="right"/>
              <w:spacing w:after="0"/>
              <w:rPr>
                <w:sz w:val="20"/>
                <w:szCs w:val="20"/>
                <w:color w:val="auto"/>
              </w:rPr>
            </w:pPr>
            <w:r>
              <w:rPr>
                <w:rFonts w:ascii="Arial" w:cs="Arial" w:eastAsia="Arial" w:hAnsi="Arial"/>
                <w:sz w:val="9"/>
                <w:szCs w:val="9"/>
                <w:color w:val="auto"/>
              </w:rPr>
              <w:t>1.0</w:t>
            </w:r>
          </w:p>
        </w:tc>
        <w:tc>
          <w:tcPr>
            <w:tcW w:w="0" w:type="dxa"/>
            <w:vAlign w:val="bottom"/>
          </w:tcPr>
          <w:p>
            <w:pPr>
              <w:spacing w:after="0"/>
              <w:rPr>
                <w:sz w:val="1"/>
                <w:szCs w:val="1"/>
                <w:color w:val="auto"/>
              </w:rPr>
            </w:pPr>
          </w:p>
        </w:tc>
      </w:tr>
      <w:tr>
        <w:trPr>
          <w:trHeight w:val="219"/>
        </w:trPr>
        <w:tc>
          <w:tcPr>
            <w:tcW w:w="700" w:type="dxa"/>
            <w:vAlign w:val="bottom"/>
          </w:tcPr>
          <w:p>
            <w:pPr>
              <w:spacing w:after="0"/>
              <w:rPr>
                <w:sz w:val="19"/>
                <w:szCs w:val="19"/>
                <w:color w:val="auto"/>
              </w:rPr>
            </w:pPr>
          </w:p>
        </w:tc>
        <w:tc>
          <w:tcPr>
            <w:tcW w:w="2900" w:type="dxa"/>
            <w:vAlign w:val="bottom"/>
            <w:gridSpan w:val="2"/>
          </w:tcPr>
          <w:p>
            <w:pPr>
              <w:ind w:left="460"/>
              <w:spacing w:after="0"/>
              <w:rPr>
                <w:sz w:val="20"/>
                <w:szCs w:val="20"/>
                <w:color w:val="auto"/>
              </w:rPr>
            </w:pPr>
            <w:r>
              <w:rPr>
                <w:rFonts w:ascii="Arial" w:cs="Arial" w:eastAsia="Arial" w:hAnsi="Arial"/>
                <w:sz w:val="9"/>
                <w:szCs w:val="9"/>
                <w:color w:val="auto"/>
              </w:rPr>
              <w:t>1100 King Street - 6 Int'l Drive, Rye Brook, New York</w:t>
            </w:r>
          </w:p>
        </w:tc>
        <w:tc>
          <w:tcPr>
            <w:tcW w:w="740" w:type="dxa"/>
            <w:vAlign w:val="bottom"/>
          </w:tcPr>
          <w:p>
            <w:pPr>
              <w:jc w:val="right"/>
              <w:ind w:right="96"/>
              <w:spacing w:after="0"/>
              <w:rPr>
                <w:sz w:val="20"/>
                <w:szCs w:val="20"/>
                <w:color w:val="auto"/>
              </w:rPr>
            </w:pPr>
            <w:r>
              <w:rPr>
                <w:rFonts w:ascii="Arial" w:cs="Arial" w:eastAsia="Arial" w:hAnsi="Arial"/>
                <w:sz w:val="9"/>
                <w:szCs w:val="9"/>
                <w:color w:val="auto"/>
              </w:rPr>
              <w:t>1</w:t>
            </w:r>
          </w:p>
        </w:tc>
        <w:tc>
          <w:tcPr>
            <w:tcW w:w="720" w:type="dxa"/>
            <w:vAlign w:val="bottom"/>
          </w:tcPr>
          <w:p>
            <w:pPr>
              <w:jc w:val="right"/>
              <w:ind w:right="116"/>
              <w:spacing w:after="0"/>
              <w:rPr>
                <w:sz w:val="20"/>
                <w:szCs w:val="20"/>
                <w:color w:val="auto"/>
              </w:rPr>
            </w:pPr>
            <w:r>
              <w:rPr>
                <w:rFonts w:ascii="Arial" w:cs="Arial" w:eastAsia="Arial" w:hAnsi="Arial"/>
                <w:sz w:val="9"/>
                <w:szCs w:val="9"/>
                <w:color w:val="auto"/>
              </w:rPr>
              <w:t>1.0</w:t>
            </w:r>
          </w:p>
        </w:tc>
        <w:tc>
          <w:tcPr>
            <w:tcW w:w="780" w:type="dxa"/>
            <w:vAlign w:val="bottom"/>
          </w:tcPr>
          <w:p>
            <w:pPr>
              <w:jc w:val="right"/>
              <w:ind w:right="136"/>
              <w:spacing w:after="0"/>
              <w:rPr>
                <w:sz w:val="20"/>
                <w:szCs w:val="20"/>
                <w:color w:val="auto"/>
              </w:rPr>
            </w:pPr>
            <w:r>
              <w:rPr>
                <w:rFonts w:ascii="Arial" w:cs="Arial" w:eastAsia="Arial" w:hAnsi="Arial"/>
                <w:sz w:val="9"/>
                <w:szCs w:val="9"/>
                <w:color w:val="auto"/>
              </w:rPr>
              <w:t>31,520</w:t>
            </w:r>
          </w:p>
        </w:tc>
        <w:tc>
          <w:tcPr>
            <w:tcW w:w="780" w:type="dxa"/>
            <w:vAlign w:val="bottom"/>
          </w:tcPr>
          <w:p>
            <w:pPr>
              <w:jc w:val="right"/>
              <w:ind w:right="76"/>
              <w:spacing w:after="0"/>
              <w:rPr>
                <w:sz w:val="20"/>
                <w:szCs w:val="20"/>
                <w:color w:val="auto"/>
              </w:rPr>
            </w:pPr>
            <w:r>
              <w:rPr>
                <w:rFonts w:ascii="Arial" w:cs="Arial" w:eastAsia="Arial" w:hAnsi="Arial"/>
                <w:sz w:val="9"/>
                <w:szCs w:val="9"/>
                <w:color w:val="auto"/>
              </w:rPr>
              <w:t>31,520</w:t>
            </w:r>
          </w:p>
        </w:tc>
        <w:tc>
          <w:tcPr>
            <w:tcW w:w="900" w:type="dxa"/>
            <w:vAlign w:val="bottom"/>
          </w:tcPr>
          <w:p>
            <w:pPr>
              <w:jc w:val="right"/>
              <w:ind w:right="36"/>
              <w:spacing w:after="0"/>
              <w:rPr>
                <w:sz w:val="20"/>
                <w:szCs w:val="20"/>
                <w:color w:val="auto"/>
              </w:rPr>
            </w:pPr>
            <w:r>
              <w:rPr>
                <w:rFonts w:ascii="Arial" w:cs="Arial" w:eastAsia="Arial" w:hAnsi="Arial"/>
                <w:sz w:val="9"/>
                <w:szCs w:val="9"/>
                <w:color w:val="auto"/>
              </w:rPr>
              <w:t>$29.00</w:t>
            </w:r>
          </w:p>
        </w:tc>
        <w:tc>
          <w:tcPr>
            <w:tcW w:w="1060" w:type="dxa"/>
            <w:vAlign w:val="bottom"/>
          </w:tcPr>
          <w:p>
            <w:pPr>
              <w:jc w:val="right"/>
              <w:ind w:right="56"/>
              <w:spacing w:after="0"/>
              <w:rPr>
                <w:sz w:val="20"/>
                <w:szCs w:val="20"/>
                <w:color w:val="auto"/>
              </w:rPr>
            </w:pPr>
            <w:r>
              <w:rPr>
                <w:rFonts w:ascii="Arial" w:cs="Arial" w:eastAsia="Arial" w:hAnsi="Arial"/>
                <w:sz w:val="9"/>
                <w:szCs w:val="9"/>
                <w:color w:val="auto"/>
              </w:rPr>
              <w:t>$29.00</w:t>
            </w:r>
          </w:p>
        </w:tc>
        <w:tc>
          <w:tcPr>
            <w:tcW w:w="90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Pr>
          <w:p>
            <w:pPr>
              <w:jc w:val="right"/>
              <w:spacing w:after="0"/>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27"/>
        </w:trPr>
        <w:tc>
          <w:tcPr>
            <w:tcW w:w="700" w:type="dxa"/>
            <w:vAlign w:val="bottom"/>
          </w:tcPr>
          <w:p>
            <w:pPr>
              <w:spacing w:after="0"/>
              <w:rPr>
                <w:sz w:val="19"/>
                <w:szCs w:val="19"/>
                <w:color w:val="auto"/>
              </w:rPr>
            </w:pPr>
          </w:p>
        </w:tc>
        <w:tc>
          <w:tcPr>
            <w:tcW w:w="2820" w:type="dxa"/>
            <w:vAlign w:val="bottom"/>
          </w:tcPr>
          <w:p>
            <w:pPr>
              <w:ind w:left="460"/>
              <w:spacing w:after="0"/>
              <w:rPr>
                <w:sz w:val="20"/>
                <w:szCs w:val="20"/>
                <w:color w:val="auto"/>
              </w:rPr>
            </w:pPr>
            <w:r>
              <w:rPr>
                <w:rFonts w:ascii="Arial" w:cs="Arial" w:eastAsia="Arial" w:hAnsi="Arial"/>
                <w:sz w:val="9"/>
                <w:szCs w:val="9"/>
                <w:color w:val="auto"/>
              </w:rPr>
              <w:t>1 Landmark Square, Stamford, Connecticut</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3</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color w:val="auto"/>
              </w:rPr>
              <w:t>3.6</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11,894</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12,425</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$41.62</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$40.71</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0.9</w:t>
            </w:r>
          </w:p>
        </w:tc>
        <w:tc>
          <w:tcPr>
            <w:tcW w:w="0" w:type="dxa"/>
            <w:vAlign w:val="bottom"/>
          </w:tcPr>
          <w:p>
            <w:pPr>
              <w:spacing w:after="0"/>
              <w:rPr>
                <w:sz w:val="1"/>
                <w:szCs w:val="1"/>
                <w:color w:val="auto"/>
              </w:rPr>
            </w:pPr>
          </w:p>
        </w:tc>
      </w:tr>
      <w:tr>
        <w:trPr>
          <w:trHeight w:val="201"/>
        </w:trPr>
        <w:tc>
          <w:tcPr>
            <w:tcW w:w="700" w:type="dxa"/>
            <w:vAlign w:val="bottom"/>
          </w:tcPr>
          <w:p>
            <w:pPr>
              <w:spacing w:after="0"/>
              <w:rPr>
                <w:sz w:val="17"/>
                <w:szCs w:val="17"/>
                <w:color w:val="auto"/>
              </w:rPr>
            </w:pPr>
          </w:p>
        </w:tc>
        <w:tc>
          <w:tcPr>
            <w:tcW w:w="2900" w:type="dxa"/>
            <w:vAlign w:val="bottom"/>
            <w:gridSpan w:val="2"/>
          </w:tcPr>
          <w:p>
            <w:pPr>
              <w:jc w:val="right"/>
              <w:ind w:right="120"/>
              <w:spacing w:after="0"/>
              <w:rPr>
                <w:sz w:val="20"/>
                <w:szCs w:val="20"/>
                <w:color w:val="auto"/>
              </w:rPr>
            </w:pPr>
            <w:r>
              <w:rPr>
                <w:rFonts w:ascii="Arial" w:cs="Arial" w:eastAsia="Arial" w:hAnsi="Arial"/>
                <w:sz w:val="9"/>
                <w:szCs w:val="9"/>
                <w:b w:val="1"/>
                <w:bCs w:val="1"/>
                <w:i w:val="1"/>
                <w:iCs w:val="1"/>
                <w:color w:val="auto"/>
              </w:rPr>
              <w:t>Total/Weighted Average</w:t>
            </w:r>
          </w:p>
        </w:tc>
        <w:tc>
          <w:tcPr>
            <w:tcW w:w="740" w:type="dxa"/>
            <w:vAlign w:val="bottom"/>
          </w:tcPr>
          <w:p>
            <w:pPr>
              <w:jc w:val="right"/>
              <w:ind w:right="96"/>
              <w:spacing w:after="0"/>
              <w:rPr>
                <w:sz w:val="20"/>
                <w:szCs w:val="20"/>
                <w:color w:val="auto"/>
              </w:rPr>
            </w:pPr>
            <w:r>
              <w:rPr>
                <w:rFonts w:ascii="Arial" w:cs="Arial" w:eastAsia="Arial" w:hAnsi="Arial"/>
                <w:sz w:val="9"/>
                <w:szCs w:val="9"/>
                <w:b w:val="1"/>
                <w:bCs w:val="1"/>
                <w:color w:val="auto"/>
              </w:rPr>
              <w:t>5</w:t>
            </w:r>
          </w:p>
        </w:tc>
        <w:tc>
          <w:tcPr>
            <w:tcW w:w="720" w:type="dxa"/>
            <w:vAlign w:val="bottom"/>
          </w:tcPr>
          <w:p>
            <w:pPr>
              <w:jc w:val="right"/>
              <w:ind w:right="116"/>
              <w:spacing w:after="0"/>
              <w:rPr>
                <w:sz w:val="20"/>
                <w:szCs w:val="20"/>
                <w:color w:val="auto"/>
              </w:rPr>
            </w:pPr>
            <w:r>
              <w:rPr>
                <w:rFonts w:ascii="Arial" w:cs="Arial" w:eastAsia="Arial" w:hAnsi="Arial"/>
                <w:sz w:val="9"/>
                <w:szCs w:val="9"/>
                <w:b w:val="1"/>
                <w:bCs w:val="1"/>
                <w:color w:val="auto"/>
              </w:rPr>
              <w:t>1.7</w:t>
            </w:r>
          </w:p>
        </w:tc>
        <w:tc>
          <w:tcPr>
            <w:tcW w:w="780" w:type="dxa"/>
            <w:vAlign w:val="bottom"/>
          </w:tcPr>
          <w:p>
            <w:pPr>
              <w:jc w:val="right"/>
              <w:ind w:right="136"/>
              <w:spacing w:after="0"/>
              <w:rPr>
                <w:sz w:val="20"/>
                <w:szCs w:val="20"/>
                <w:color w:val="auto"/>
              </w:rPr>
            </w:pPr>
            <w:r>
              <w:rPr>
                <w:rFonts w:ascii="Arial" w:cs="Arial" w:eastAsia="Arial" w:hAnsi="Arial"/>
                <w:sz w:val="9"/>
                <w:szCs w:val="9"/>
                <w:b w:val="1"/>
                <w:bCs w:val="1"/>
                <w:color w:val="auto"/>
              </w:rPr>
              <w:t>45,154</w:t>
            </w:r>
          </w:p>
        </w:tc>
        <w:tc>
          <w:tcPr>
            <w:tcW w:w="780" w:type="dxa"/>
            <w:vAlign w:val="bottom"/>
          </w:tcPr>
          <w:p>
            <w:pPr>
              <w:jc w:val="right"/>
              <w:ind w:right="76"/>
              <w:spacing w:after="0"/>
              <w:rPr>
                <w:sz w:val="20"/>
                <w:szCs w:val="20"/>
                <w:color w:val="auto"/>
              </w:rPr>
            </w:pPr>
            <w:r>
              <w:rPr>
                <w:rFonts w:ascii="Arial" w:cs="Arial" w:eastAsia="Arial" w:hAnsi="Arial"/>
                <w:sz w:val="9"/>
                <w:szCs w:val="9"/>
                <w:b w:val="1"/>
                <w:bCs w:val="1"/>
                <w:color w:val="auto"/>
              </w:rPr>
              <w:t>45,895</w:t>
            </w:r>
          </w:p>
        </w:tc>
        <w:tc>
          <w:tcPr>
            <w:tcW w:w="900" w:type="dxa"/>
            <w:vAlign w:val="bottom"/>
          </w:tcPr>
          <w:p>
            <w:pPr>
              <w:jc w:val="right"/>
              <w:ind w:right="36"/>
              <w:spacing w:after="0"/>
              <w:rPr>
                <w:sz w:val="20"/>
                <w:szCs w:val="20"/>
                <w:color w:val="auto"/>
              </w:rPr>
            </w:pPr>
            <w:r>
              <w:rPr>
                <w:rFonts w:ascii="Arial" w:cs="Arial" w:eastAsia="Arial" w:hAnsi="Arial"/>
                <w:sz w:val="9"/>
                <w:szCs w:val="9"/>
                <w:b w:val="1"/>
                <w:bCs w:val="1"/>
                <w:color w:val="auto"/>
              </w:rPr>
              <w:t>$32.55</w:t>
            </w:r>
          </w:p>
        </w:tc>
        <w:tc>
          <w:tcPr>
            <w:tcW w:w="1060" w:type="dxa"/>
            <w:vAlign w:val="bottom"/>
          </w:tcPr>
          <w:p>
            <w:pPr>
              <w:jc w:val="right"/>
              <w:ind w:right="56"/>
              <w:spacing w:after="0"/>
              <w:rPr>
                <w:sz w:val="20"/>
                <w:szCs w:val="20"/>
                <w:color w:val="auto"/>
              </w:rPr>
            </w:pPr>
            <w:r>
              <w:rPr>
                <w:rFonts w:ascii="Arial" w:cs="Arial" w:eastAsia="Arial" w:hAnsi="Arial"/>
                <w:sz w:val="9"/>
                <w:szCs w:val="9"/>
                <w:b w:val="1"/>
                <w:bCs w:val="1"/>
                <w:color w:val="auto"/>
              </w:rPr>
              <w:t>$32.30</w:t>
            </w:r>
          </w:p>
        </w:tc>
        <w:tc>
          <w:tcPr>
            <w:tcW w:w="900" w:type="dxa"/>
            <w:vAlign w:val="bottom"/>
          </w:tcPr>
          <w:p>
            <w:pPr>
              <w:jc w:val="right"/>
              <w:ind w:right="96"/>
              <w:spacing w:after="0"/>
              <w:rPr>
                <w:sz w:val="20"/>
                <w:szCs w:val="20"/>
                <w:color w:val="auto"/>
              </w:rPr>
            </w:pPr>
            <w:r>
              <w:rPr>
                <w:rFonts w:ascii="Arial" w:cs="Arial" w:eastAsia="Arial" w:hAnsi="Arial"/>
                <w:sz w:val="9"/>
                <w:szCs w:val="9"/>
                <w:b w:val="1"/>
                <w:bCs w:val="1"/>
                <w:color w:val="auto"/>
              </w:rPr>
              <w:t>$0.08</w:t>
            </w:r>
          </w:p>
        </w:tc>
        <w:tc>
          <w:tcPr>
            <w:tcW w:w="680" w:type="dxa"/>
            <w:vAlign w:val="bottom"/>
          </w:tcPr>
          <w:p>
            <w:pPr>
              <w:jc w:val="right"/>
              <w:spacing w:after="0"/>
              <w:rPr>
                <w:sz w:val="20"/>
                <w:szCs w:val="20"/>
                <w:color w:val="auto"/>
              </w:rPr>
            </w:pPr>
            <w:r>
              <w:rPr>
                <w:rFonts w:ascii="Arial" w:cs="Arial" w:eastAsia="Arial" w:hAnsi="Arial"/>
                <w:sz w:val="9"/>
                <w:szCs w:val="9"/>
                <w:b w:val="1"/>
                <w:bCs w:val="1"/>
                <w:color w:val="auto"/>
              </w:rPr>
              <w:t>0.3</w:t>
            </w:r>
          </w:p>
        </w:tc>
        <w:tc>
          <w:tcPr>
            <w:tcW w:w="0" w:type="dxa"/>
            <w:vAlign w:val="bottom"/>
          </w:tcPr>
          <w:p>
            <w:pPr>
              <w:spacing w:after="0"/>
              <w:rPr>
                <w:sz w:val="1"/>
                <w:szCs w:val="1"/>
                <w:color w:val="auto"/>
              </w:rPr>
            </w:pPr>
          </w:p>
        </w:tc>
      </w:tr>
      <w:tr>
        <w:trPr>
          <w:trHeight w:val="326"/>
        </w:trPr>
        <w:tc>
          <w:tcPr>
            <w:tcW w:w="70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2"/>
          </w:tcPr>
          <w:p>
            <w:pPr>
              <w:jc w:val="right"/>
              <w:ind w:right="2480"/>
              <w:spacing w:after="0"/>
              <w:rPr>
                <w:sz w:val="20"/>
                <w:szCs w:val="20"/>
                <w:color w:val="auto"/>
              </w:rPr>
            </w:pPr>
            <w:r>
              <w:rPr>
                <w:rFonts w:ascii="Arial" w:cs="Arial" w:eastAsia="Arial" w:hAnsi="Arial"/>
                <w:sz w:val="9"/>
                <w:szCs w:val="9"/>
                <w:b w:val="1"/>
                <w:bCs w:val="1"/>
                <w:color w:val="auto"/>
                <w:w w:val="96"/>
              </w:rPr>
              <w:t>Renewals</w:t>
            </w: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700" w:type="dxa"/>
            <w:vAlign w:val="bottom"/>
          </w:tcPr>
          <w:p>
            <w:pPr>
              <w:spacing w:after="0"/>
              <w:rPr>
                <w:sz w:val="18"/>
                <w:szCs w:val="18"/>
                <w:color w:val="auto"/>
              </w:rPr>
            </w:pPr>
          </w:p>
        </w:tc>
        <w:tc>
          <w:tcPr>
            <w:tcW w:w="2820" w:type="dxa"/>
            <w:vAlign w:val="bottom"/>
          </w:tcPr>
          <w:p>
            <w:pPr>
              <w:jc w:val="right"/>
              <w:spacing w:after="0"/>
              <w:rPr>
                <w:sz w:val="20"/>
                <w:szCs w:val="20"/>
                <w:color w:val="auto"/>
              </w:rPr>
            </w:pPr>
            <w:r>
              <w:rPr>
                <w:rFonts w:ascii="Arial" w:cs="Arial" w:eastAsia="Arial" w:hAnsi="Arial"/>
                <w:sz w:val="9"/>
                <w:szCs w:val="9"/>
                <w:b w:val="1"/>
                <w:bCs w:val="1"/>
                <w:i w:val="1"/>
                <w:iCs w:val="1"/>
                <w:color w:val="auto"/>
              </w:rPr>
              <w:t>Early Renewals Office</w:t>
            </w: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5</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1.7</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45,154</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45,895</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$32.55</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$32.30</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$0.08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0.3</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18"/>
                <w:szCs w:val="18"/>
                <w:color w:val="auto"/>
              </w:rPr>
            </w:pPr>
          </w:p>
        </w:tc>
        <w:tc>
          <w:tcPr>
            <w:tcW w:w="2900" w:type="dxa"/>
            <w:vAlign w:val="bottom"/>
            <w:gridSpan w:val="2"/>
          </w:tcPr>
          <w:p>
            <w:pPr>
              <w:jc w:val="right"/>
              <w:ind w:right="120"/>
              <w:spacing w:after="0"/>
              <w:rPr>
                <w:sz w:val="20"/>
                <w:szCs w:val="20"/>
                <w:color w:val="auto"/>
              </w:rPr>
            </w:pPr>
            <w:r>
              <w:rPr>
                <w:rFonts w:ascii="Arial" w:cs="Arial" w:eastAsia="Arial" w:hAnsi="Arial"/>
                <w:sz w:val="9"/>
                <w:szCs w:val="9"/>
                <w:b w:val="1"/>
                <w:bCs w:val="1"/>
                <w:i w:val="1"/>
                <w:iCs w:val="1"/>
                <w:color w:val="auto"/>
              </w:rPr>
              <w:t>Total</w:t>
            </w:r>
          </w:p>
        </w:tc>
        <w:tc>
          <w:tcPr>
            <w:tcW w:w="7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5</w:t>
            </w:r>
          </w:p>
        </w:tc>
        <w:tc>
          <w:tcPr>
            <w:tcW w:w="720" w:type="dxa"/>
            <w:vAlign w:val="bottom"/>
            <w:tcBorders>
              <w:bottom w:val="single" w:sz="8" w:color="auto"/>
            </w:tcBorders>
          </w:tcPr>
          <w:p>
            <w:pPr>
              <w:jc w:val="right"/>
              <w:ind w:right="116"/>
              <w:spacing w:after="0"/>
              <w:rPr>
                <w:sz w:val="20"/>
                <w:szCs w:val="20"/>
                <w:color w:val="auto"/>
              </w:rPr>
            </w:pPr>
            <w:r>
              <w:rPr>
                <w:rFonts w:ascii="Arial" w:cs="Arial" w:eastAsia="Arial" w:hAnsi="Arial"/>
                <w:sz w:val="9"/>
                <w:szCs w:val="9"/>
                <w:b w:val="1"/>
                <w:bCs w:val="1"/>
                <w:color w:val="auto"/>
              </w:rPr>
              <w:t>1.7</w:t>
            </w: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45,154</w:t>
            </w:r>
          </w:p>
        </w:tc>
        <w:tc>
          <w:tcPr>
            <w:tcW w:w="7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45,895</w:t>
            </w:r>
          </w:p>
        </w:tc>
        <w:tc>
          <w:tcPr>
            <w:tcW w:w="9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$32.55</w:t>
            </w:r>
          </w:p>
        </w:tc>
        <w:tc>
          <w:tcPr>
            <w:tcW w:w="106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$32.30</w:t>
            </w:r>
          </w:p>
        </w:tc>
        <w:tc>
          <w:tcPr>
            <w:tcW w:w="90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$0.08</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0.3</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160" w:hanging="140"/>
        <w:spacing w:after="0"/>
        <w:tabs>
          <w:tab w:leader="none" w:pos="160" w:val="left"/>
        </w:tabs>
        <w:numPr>
          <w:ilvl w:val="0"/>
          <w:numId w:val="31"/>
        </w:numPr>
        <w:rPr>
          <w:rFonts w:ascii="Arial" w:cs="Arial" w:eastAsia="Arial" w:hAnsi="Arial"/>
          <w:sz w:val="9"/>
          <w:szCs w:val="9"/>
          <w:color w:val="auto"/>
        </w:rPr>
      </w:pPr>
      <w:r>
        <w:rPr>
          <w:rFonts w:ascii="Arial" w:cs="Arial" w:eastAsia="Arial" w:hAnsi="Arial"/>
          <w:sz w:val="9"/>
          <w:szCs w:val="9"/>
          <w:color w:val="auto"/>
        </w:rPr>
        <w:t>Annual initial base rent.</w:t>
      </w:r>
    </w:p>
    <w:p>
      <w:pPr>
        <w:spacing w:after="0" w:line="115" w:lineRule="exact"/>
        <w:rPr>
          <w:rFonts w:ascii="Arial" w:cs="Arial" w:eastAsia="Arial" w:hAnsi="Arial"/>
          <w:sz w:val="9"/>
          <w:szCs w:val="9"/>
          <w:color w:val="auto"/>
        </w:rPr>
      </w:pPr>
    </w:p>
    <w:p>
      <w:pPr>
        <w:ind w:left="160" w:hanging="140"/>
        <w:spacing w:after="0"/>
        <w:tabs>
          <w:tab w:leader="none" w:pos="160" w:val="left"/>
        </w:tabs>
        <w:numPr>
          <w:ilvl w:val="0"/>
          <w:numId w:val="31"/>
        </w:numPr>
        <w:rPr>
          <w:rFonts w:ascii="Arial" w:cs="Arial" w:eastAsia="Arial" w:hAnsi="Arial"/>
          <w:sz w:val="9"/>
          <w:szCs w:val="9"/>
          <w:color w:val="auto"/>
        </w:rPr>
      </w:pPr>
      <w:r>
        <w:rPr>
          <w:rFonts w:ascii="Arial" w:cs="Arial" w:eastAsia="Arial" w:hAnsi="Arial"/>
          <w:sz w:val="9"/>
          <w:szCs w:val="9"/>
          <w:color w:val="auto"/>
        </w:rPr>
        <w:t>Escalated rent is calculated as total annual lease related income excluding electric charges.</w:t>
      </w:r>
    </w:p>
    <w:p>
      <w:pPr>
        <w:spacing w:after="0" w:line="38" w:lineRule="exact"/>
        <w:rPr>
          <w:rFonts w:ascii="Arial" w:cs="Arial" w:eastAsia="Arial" w:hAnsi="Arial"/>
          <w:sz w:val="9"/>
          <w:szCs w:val="9"/>
          <w:color w:val="auto"/>
        </w:rPr>
      </w:pPr>
    </w:p>
    <w:p>
      <w:pPr>
        <w:ind w:left="160" w:hanging="140"/>
        <w:spacing w:after="0"/>
        <w:tabs>
          <w:tab w:leader="none" w:pos="160" w:val="left"/>
        </w:tabs>
        <w:numPr>
          <w:ilvl w:val="0"/>
          <w:numId w:val="31"/>
        </w:numPr>
        <w:rPr>
          <w:rFonts w:ascii="Arial" w:cs="Arial" w:eastAsia="Arial" w:hAnsi="Arial"/>
          <w:sz w:val="8"/>
          <w:szCs w:val="8"/>
          <w:color w:val="auto"/>
        </w:rPr>
      </w:pPr>
      <w:r>
        <w:rPr>
          <w:rFonts w:ascii="Arial" w:cs="Arial" w:eastAsia="Arial" w:hAnsi="Arial"/>
          <w:sz w:val="8"/>
          <w:szCs w:val="8"/>
          <w:color w:val="auto"/>
        </w:rPr>
        <w:t>Average starting office rent excluding new tenants replacing vacancies is $39.50/rsf for 31,974 rentable SF. Average starting office rent for office space (leased and early renewals, excluding new tenants replacing vacancies) is $35.40/rsf for 77,869 rentable</w:t>
      </w:r>
    </w:p>
    <w:p>
      <w:pPr>
        <w:spacing w:after="0" w:line="6" w:lineRule="exact"/>
        <w:rPr>
          <w:rFonts w:ascii="Arial" w:cs="Arial" w:eastAsia="Arial" w:hAnsi="Arial"/>
          <w:sz w:val="8"/>
          <w:szCs w:val="8"/>
          <w:color w:val="auto"/>
        </w:rPr>
      </w:pPr>
    </w:p>
    <w:p>
      <w:pPr>
        <w:ind w:left="20"/>
        <w:spacing w:after="0"/>
        <w:rPr>
          <w:rFonts w:ascii="Arial" w:cs="Arial" w:eastAsia="Arial" w:hAnsi="Arial"/>
          <w:sz w:val="8"/>
          <w:szCs w:val="8"/>
          <w:color w:val="auto"/>
        </w:rPr>
      </w:pPr>
      <w:r>
        <w:rPr>
          <w:rFonts w:ascii="Arial" w:cs="Arial" w:eastAsia="Arial" w:hAnsi="Arial"/>
          <w:sz w:val="9"/>
          <w:szCs w:val="9"/>
          <w:color w:val="auto"/>
        </w:rPr>
        <w:t>SF.</w:t>
      </w:r>
    </w:p>
    <w:p>
      <w:pPr>
        <w:spacing w:after="0" w:line="342" w:lineRule="exact"/>
        <w:rPr>
          <w:sz w:val="20"/>
          <w:szCs w:val="20"/>
          <w:color w:val="auto"/>
        </w:rPr>
      </w:pPr>
    </w:p>
    <w:p>
      <w:pPr>
        <w:ind w:left="60"/>
        <w:spacing w:after="0"/>
        <w:tabs>
          <w:tab w:leader="none" w:pos="4980" w:val="left"/>
          <w:tab w:leader="none" w:pos="922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47</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60"/>
          </w:cols>
          <w:pgMar w:left="880" w:top="338" w:right="859" w:bottom="1440" w:gutter="0" w:footer="0" w:header="0"/>
        </w:sectPr>
      </w:pPr>
    </w:p>
    <w:bookmarkStart w:id="63" w:name="page64"/>
    <w:bookmarkEnd w:id="6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ANNUAL LEASE EXPIRATIONS - MANHATTAN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Office, Retail and Storage Leases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3"/>
          </w:tcPr>
          <w:p>
            <w:pPr>
              <w:jc w:val="right"/>
              <w:ind w:right="1016"/>
              <w:spacing w:after="0"/>
              <w:rPr>
                <w:sz w:val="20"/>
                <w:szCs w:val="20"/>
                <w:color w:val="auto"/>
              </w:rPr>
            </w:pPr>
            <w:r>
              <w:rPr>
                <w:rFonts w:ascii="Arial" w:cs="Arial" w:eastAsia="Arial" w:hAnsi="Arial"/>
                <w:sz w:val="9"/>
                <w:szCs w:val="9"/>
                <w:b w:val="1"/>
                <w:bCs w:val="1"/>
                <w:color w:val="auto"/>
              </w:rPr>
              <w:t>Consolidated Properties</w:t>
            </w:r>
          </w:p>
        </w:tc>
        <w:tc>
          <w:tcPr>
            <w:tcW w:w="8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Joint Venture Properties</w:t>
            </w:r>
          </w:p>
        </w:tc>
        <w:tc>
          <w:tcPr>
            <w:tcW w:w="10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107"/>
        </w:trPr>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jc w:val="right"/>
              <w:ind w:right="136"/>
              <w:spacing w:after="0"/>
              <w:rPr>
                <w:sz w:val="20"/>
                <w:szCs w:val="20"/>
                <w:color w:val="auto"/>
              </w:rPr>
            </w:pPr>
            <w:r>
              <w:rPr>
                <w:rFonts w:ascii="Arial" w:cs="Arial" w:eastAsia="Arial" w:hAnsi="Arial"/>
                <w:sz w:val="9"/>
                <w:szCs w:val="9"/>
                <w:b w:val="1"/>
                <w:bCs w:val="1"/>
                <w:color w:val="auto"/>
              </w:rPr>
              <w:t>Annualized</w:t>
            </w:r>
          </w:p>
        </w:tc>
        <w:tc>
          <w:tcPr>
            <w:tcW w:w="1000" w:type="dxa"/>
            <w:vAlign w:val="bottom"/>
          </w:tcPr>
          <w:p>
            <w:pPr>
              <w:jc w:val="right"/>
              <w:ind w:right="16"/>
              <w:spacing w:after="0"/>
              <w:rPr>
                <w:sz w:val="20"/>
                <w:szCs w:val="20"/>
                <w:color w:val="auto"/>
              </w:rPr>
            </w:pPr>
            <w:r>
              <w:rPr>
                <w:rFonts w:ascii="Arial" w:cs="Arial" w:eastAsia="Arial" w:hAnsi="Arial"/>
                <w:sz w:val="9"/>
                <w:szCs w:val="9"/>
                <w:b w:val="1"/>
                <w:bCs w:val="1"/>
                <w:color w:val="auto"/>
                <w:w w:val="96"/>
              </w:rPr>
              <w:t>Annualized Cash Rent</w:t>
            </w: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Current</w:t>
            </w: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Year of</w:t>
            </w:r>
          </w:p>
        </w:tc>
        <w:tc>
          <w:tcPr>
            <w:tcW w:w="5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7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Rentable Square</w:t>
            </w:r>
          </w:p>
        </w:tc>
        <w:tc>
          <w:tcPr>
            <w:tcW w:w="60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w w:val="98"/>
              </w:rPr>
              <w:t>Percentage</w:t>
            </w:r>
          </w:p>
        </w:tc>
        <w:tc>
          <w:tcPr>
            <w:tcW w:w="80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Annualized</w:t>
            </w:r>
          </w:p>
        </w:tc>
        <w:tc>
          <w:tcPr>
            <w:tcW w:w="12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Annualized Cash Rent Per</w:t>
            </w: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b w:val="1"/>
                <w:bCs w:val="1"/>
                <w:color w:val="auto"/>
              </w:rPr>
              <w:t>Current Weighted</w:t>
            </w:r>
          </w:p>
        </w:tc>
        <w:tc>
          <w:tcPr>
            <w:tcW w:w="5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8"/>
              </w:rPr>
              <w:t>Rentable Square</w:t>
            </w:r>
          </w:p>
        </w:tc>
        <w:tc>
          <w:tcPr>
            <w:tcW w:w="640" w:type="dxa"/>
            <w:vAlign w:val="bottom"/>
          </w:tcPr>
          <w:p>
            <w:pPr>
              <w:jc w:val="right"/>
              <w:ind w:right="96"/>
              <w:spacing w:after="0" w:line="99" w:lineRule="exact"/>
              <w:rPr>
                <w:sz w:val="20"/>
                <w:szCs w:val="20"/>
                <w:color w:val="auto"/>
              </w:rPr>
            </w:pPr>
            <w:r>
              <w:rPr>
                <w:rFonts w:ascii="Arial" w:cs="Arial" w:eastAsia="Arial" w:hAnsi="Arial"/>
                <w:sz w:val="9"/>
                <w:szCs w:val="9"/>
                <w:b w:val="1"/>
                <w:bCs w:val="1"/>
                <w:color w:val="auto"/>
                <w:w w:val="98"/>
              </w:rPr>
              <w:t>Percentage</w:t>
            </w:r>
          </w:p>
        </w:tc>
        <w:tc>
          <w:tcPr>
            <w:tcW w:w="800" w:type="dxa"/>
            <w:vAlign w:val="bottom"/>
          </w:tcPr>
          <w:p>
            <w:pPr>
              <w:jc w:val="right"/>
              <w:ind w:right="136"/>
              <w:spacing w:after="0" w:line="99" w:lineRule="exact"/>
              <w:rPr>
                <w:sz w:val="20"/>
                <w:szCs w:val="20"/>
                <w:color w:val="auto"/>
              </w:rPr>
            </w:pPr>
            <w:r>
              <w:rPr>
                <w:rFonts w:ascii="Arial" w:cs="Arial" w:eastAsia="Arial" w:hAnsi="Arial"/>
                <w:sz w:val="9"/>
                <w:szCs w:val="9"/>
                <w:b w:val="1"/>
                <w:bCs w:val="1"/>
                <w:color w:val="auto"/>
              </w:rPr>
              <w:t>Cash Rent of</w:t>
            </w:r>
          </w:p>
        </w:tc>
        <w:tc>
          <w:tcPr>
            <w:tcW w:w="10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Per Square Foot of</w:t>
            </w:r>
          </w:p>
        </w:tc>
        <w:tc>
          <w:tcPr>
            <w:tcW w:w="7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Weighted</w:t>
            </w: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Lease</w:t>
            </w:r>
          </w:p>
        </w:tc>
        <w:tc>
          <w:tcPr>
            <w:tcW w:w="5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7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Footage of</w:t>
            </w:r>
          </w:p>
        </w:tc>
        <w:tc>
          <w:tcPr>
            <w:tcW w:w="60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of Total</w:t>
            </w:r>
          </w:p>
        </w:tc>
        <w:tc>
          <w:tcPr>
            <w:tcW w:w="80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Cash Rent of</w:t>
            </w:r>
          </w:p>
        </w:tc>
        <w:tc>
          <w:tcPr>
            <w:tcW w:w="12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Square Foot of Expiring</w:t>
            </w: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b w:val="1"/>
                <w:bCs w:val="1"/>
                <w:color w:val="auto"/>
              </w:rPr>
              <w:t>Average Asking</w:t>
            </w:r>
          </w:p>
        </w:tc>
        <w:tc>
          <w:tcPr>
            <w:tcW w:w="5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Footage of</w:t>
            </w:r>
          </w:p>
        </w:tc>
        <w:tc>
          <w:tcPr>
            <w:tcW w:w="640" w:type="dxa"/>
            <w:vAlign w:val="bottom"/>
          </w:tcPr>
          <w:p>
            <w:pPr>
              <w:jc w:val="right"/>
              <w:ind w:right="96"/>
              <w:spacing w:after="0" w:line="99" w:lineRule="exact"/>
              <w:rPr>
                <w:sz w:val="20"/>
                <w:szCs w:val="20"/>
                <w:color w:val="auto"/>
              </w:rPr>
            </w:pPr>
            <w:r>
              <w:rPr>
                <w:rFonts w:ascii="Arial" w:cs="Arial" w:eastAsia="Arial" w:hAnsi="Arial"/>
                <w:sz w:val="9"/>
                <w:szCs w:val="9"/>
                <w:b w:val="1"/>
                <w:bCs w:val="1"/>
                <w:color w:val="auto"/>
              </w:rPr>
              <w:t>of Total</w:t>
            </w:r>
          </w:p>
        </w:tc>
        <w:tc>
          <w:tcPr>
            <w:tcW w:w="800" w:type="dxa"/>
            <w:vAlign w:val="bottom"/>
          </w:tcPr>
          <w:p>
            <w:pPr>
              <w:jc w:val="right"/>
              <w:ind w:right="136"/>
              <w:spacing w:after="0" w:line="99" w:lineRule="exact"/>
              <w:rPr>
                <w:sz w:val="20"/>
                <w:szCs w:val="20"/>
                <w:color w:val="auto"/>
              </w:rPr>
            </w:pPr>
            <w:r>
              <w:rPr>
                <w:rFonts w:ascii="Arial" w:cs="Arial" w:eastAsia="Arial" w:hAnsi="Arial"/>
                <w:sz w:val="9"/>
                <w:szCs w:val="9"/>
                <w:b w:val="1"/>
                <w:bCs w:val="1"/>
                <w:color w:val="auto"/>
              </w:rPr>
              <w:t>Expiring</w:t>
            </w:r>
          </w:p>
        </w:tc>
        <w:tc>
          <w:tcPr>
            <w:tcW w:w="10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9"/>
              </w:rPr>
              <w:t>Expiring Leases $/psf</w:t>
            </w:r>
          </w:p>
        </w:tc>
        <w:tc>
          <w:tcPr>
            <w:tcW w:w="7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9"/>
              </w:rPr>
              <w:t>Average Asking</w:t>
            </w:r>
          </w:p>
        </w:tc>
      </w:tr>
      <w:tr>
        <w:trPr>
          <w:trHeight w:val="124"/>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5"/>
              </w:rPr>
              <w:t>Expiration</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Expiring Leases</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Sq. Ft.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Expiring Leases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$/psf (3)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$/psf (4)</w:t>
            </w:r>
          </w:p>
        </w:tc>
        <w:tc>
          <w:tcPr>
            <w:tcW w:w="300" w:type="dxa"/>
            <w:vAlign w:val="bottom"/>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Expiring Leases</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Sq. Ft.</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Leases</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$/psf (4)</w:t>
            </w:r>
          </w:p>
        </w:tc>
      </w:tr>
      <w:tr>
        <w:trPr>
          <w:trHeight w:val="456"/>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w w:val="93"/>
              </w:rPr>
              <w:t>1st Quarter</w:t>
            </w:r>
          </w:p>
        </w:tc>
        <w:tc>
          <w:tcPr>
            <w:tcW w:w="5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05"/>
        </w:trPr>
        <w:tc>
          <w:tcPr>
            <w:tcW w:w="48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5</w:t>
            </w:r>
          </w:p>
        </w:tc>
        <w:tc>
          <w:tcPr>
            <w:tcW w:w="780" w:type="dxa"/>
            <w:vAlign w:val="bottom"/>
          </w:tcPr>
          <w:p>
            <w:pPr>
              <w:jc w:val="right"/>
              <w:spacing w:after="0"/>
              <w:rPr>
                <w:sz w:val="20"/>
                <w:szCs w:val="20"/>
                <w:color w:val="auto"/>
              </w:rPr>
            </w:pPr>
            <w:r>
              <w:rPr>
                <w:rFonts w:ascii="Arial" w:cs="Arial" w:eastAsia="Arial" w:hAnsi="Arial"/>
                <w:sz w:val="9"/>
                <w:szCs w:val="9"/>
                <w:color w:val="auto"/>
              </w:rPr>
              <w:t>2,913</w:t>
            </w:r>
          </w:p>
        </w:tc>
        <w:tc>
          <w:tcPr>
            <w:tcW w:w="600" w:type="dxa"/>
            <w:vAlign w:val="bottom"/>
          </w:tcPr>
          <w:p>
            <w:pPr>
              <w:jc w:val="right"/>
              <w:spacing w:after="0"/>
              <w:rPr>
                <w:sz w:val="20"/>
                <w:szCs w:val="20"/>
                <w:color w:val="auto"/>
              </w:rPr>
            </w:pPr>
            <w:r>
              <w:rPr>
                <w:rFonts w:ascii="Arial" w:cs="Arial" w:eastAsia="Arial" w:hAnsi="Arial"/>
                <w:sz w:val="9"/>
                <w:szCs w:val="9"/>
                <w:color w:val="auto"/>
              </w:rPr>
              <w:t>0.02%</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$62,627</w:t>
            </w:r>
          </w:p>
        </w:tc>
        <w:tc>
          <w:tcPr>
            <w:tcW w:w="1200" w:type="dxa"/>
            <w:vAlign w:val="bottom"/>
          </w:tcPr>
          <w:p>
            <w:pPr>
              <w:jc w:val="right"/>
              <w:spacing w:after="0"/>
              <w:rPr>
                <w:sz w:val="20"/>
                <w:szCs w:val="20"/>
                <w:color w:val="auto"/>
              </w:rPr>
            </w:pPr>
            <w:r>
              <w:rPr>
                <w:rFonts w:ascii="Arial" w:cs="Arial" w:eastAsia="Arial" w:hAnsi="Arial"/>
                <w:sz w:val="9"/>
                <w:szCs w:val="9"/>
                <w:color w:val="auto"/>
              </w:rPr>
              <w:t>$21.50</w:t>
            </w:r>
          </w:p>
        </w:tc>
        <w:tc>
          <w:tcPr>
            <w:tcW w:w="820" w:type="dxa"/>
            <w:vAlign w:val="bottom"/>
          </w:tcPr>
          <w:p>
            <w:pPr>
              <w:jc w:val="right"/>
              <w:spacing w:after="0"/>
              <w:rPr>
                <w:sz w:val="20"/>
                <w:szCs w:val="20"/>
                <w:color w:val="auto"/>
              </w:rPr>
            </w:pPr>
            <w:r>
              <w:rPr>
                <w:rFonts w:ascii="Arial" w:cs="Arial" w:eastAsia="Arial" w:hAnsi="Arial"/>
                <w:sz w:val="9"/>
                <w:szCs w:val="9"/>
                <w:color w:val="auto"/>
              </w:rPr>
              <w:t>$30.56</w:t>
            </w:r>
          </w:p>
        </w:tc>
        <w:tc>
          <w:tcPr>
            <w:tcW w:w="3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w:t>
            </w:r>
          </w:p>
        </w:tc>
        <w:tc>
          <w:tcPr>
            <w:tcW w:w="760" w:type="dxa"/>
            <w:vAlign w:val="bottom"/>
          </w:tcPr>
          <w:p>
            <w:pPr>
              <w:jc w:val="right"/>
              <w:spacing w:after="0"/>
              <w:rPr>
                <w:sz w:val="20"/>
                <w:szCs w:val="20"/>
                <w:color w:val="auto"/>
              </w:rPr>
            </w:pPr>
            <w:r>
              <w:rPr>
                <w:rFonts w:ascii="Arial" w:cs="Arial" w:eastAsia="Arial" w:hAnsi="Arial"/>
                <w:sz w:val="9"/>
                <w:szCs w:val="9"/>
                <w:color w:val="auto"/>
              </w:rPr>
              <w:t>291</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$6,600</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$22.68</w:t>
            </w:r>
          </w:p>
        </w:tc>
        <w:tc>
          <w:tcPr>
            <w:tcW w:w="720" w:type="dxa"/>
            <w:vAlign w:val="bottom"/>
          </w:tcPr>
          <w:p>
            <w:pPr>
              <w:jc w:val="right"/>
              <w:spacing w:after="0"/>
              <w:rPr>
                <w:sz w:val="20"/>
                <w:szCs w:val="20"/>
                <w:color w:val="auto"/>
              </w:rPr>
            </w:pPr>
            <w:r>
              <w:rPr>
                <w:rFonts w:ascii="Arial" w:cs="Arial" w:eastAsia="Arial" w:hAnsi="Arial"/>
                <w:sz w:val="9"/>
                <w:szCs w:val="9"/>
                <w:color w:val="auto"/>
              </w:rPr>
              <w:t>$25.00</w:t>
            </w:r>
          </w:p>
        </w:tc>
      </w:tr>
      <w:tr>
        <w:trPr>
          <w:trHeight w:val="135"/>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2nd</w:t>
            </w: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Quarter</w:t>
            </w: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5"/>
        </w:trPr>
        <w:tc>
          <w:tcPr>
            <w:tcW w:w="48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w:t>
            </w:r>
          </w:p>
        </w:tc>
        <w:tc>
          <w:tcPr>
            <w:tcW w:w="780" w:type="dxa"/>
            <w:vAlign w:val="bottom"/>
          </w:tcPr>
          <w:p>
            <w:pPr>
              <w:jc w:val="right"/>
              <w:spacing w:after="0"/>
              <w:rPr>
                <w:sz w:val="20"/>
                <w:szCs w:val="20"/>
                <w:color w:val="auto"/>
              </w:rPr>
            </w:pPr>
            <w:r>
              <w:rPr>
                <w:rFonts w:ascii="Arial" w:cs="Arial" w:eastAsia="Arial" w:hAnsi="Arial"/>
                <w:sz w:val="9"/>
                <w:szCs w:val="9"/>
                <w:color w:val="auto"/>
              </w:rPr>
              <w:t>21,239</w:t>
            </w:r>
          </w:p>
        </w:tc>
        <w:tc>
          <w:tcPr>
            <w:tcW w:w="600" w:type="dxa"/>
            <w:vAlign w:val="bottom"/>
          </w:tcPr>
          <w:p>
            <w:pPr>
              <w:jc w:val="right"/>
              <w:spacing w:after="0"/>
              <w:rPr>
                <w:sz w:val="20"/>
                <w:szCs w:val="20"/>
                <w:color w:val="auto"/>
              </w:rPr>
            </w:pPr>
            <w:r>
              <w:rPr>
                <w:rFonts w:ascii="Arial" w:cs="Arial" w:eastAsia="Arial" w:hAnsi="Arial"/>
                <w:sz w:val="9"/>
                <w:szCs w:val="9"/>
                <w:color w:val="auto"/>
              </w:rPr>
              <w:t>0.13%</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1,642,843</w:t>
            </w:r>
          </w:p>
        </w:tc>
        <w:tc>
          <w:tcPr>
            <w:tcW w:w="1200" w:type="dxa"/>
            <w:vAlign w:val="bottom"/>
          </w:tcPr>
          <w:p>
            <w:pPr>
              <w:jc w:val="right"/>
              <w:spacing w:after="0"/>
              <w:rPr>
                <w:sz w:val="20"/>
                <w:szCs w:val="20"/>
                <w:color w:val="auto"/>
              </w:rPr>
            </w:pPr>
            <w:r>
              <w:rPr>
                <w:rFonts w:ascii="Arial" w:cs="Arial" w:eastAsia="Arial" w:hAnsi="Arial"/>
                <w:sz w:val="9"/>
                <w:szCs w:val="9"/>
                <w:color w:val="auto"/>
              </w:rPr>
              <w:t>77.35</w:t>
            </w:r>
          </w:p>
        </w:tc>
        <w:tc>
          <w:tcPr>
            <w:tcW w:w="820" w:type="dxa"/>
            <w:vAlign w:val="bottom"/>
          </w:tcPr>
          <w:p>
            <w:pPr>
              <w:jc w:val="right"/>
              <w:spacing w:after="0"/>
              <w:rPr>
                <w:sz w:val="20"/>
                <w:szCs w:val="20"/>
                <w:color w:val="auto"/>
              </w:rPr>
            </w:pPr>
            <w:r>
              <w:rPr>
                <w:rFonts w:ascii="Arial" w:cs="Arial" w:eastAsia="Arial" w:hAnsi="Arial"/>
                <w:sz w:val="9"/>
                <w:szCs w:val="9"/>
                <w:color w:val="auto"/>
              </w:rPr>
              <w:t>100.23</w:t>
            </w:r>
          </w:p>
        </w:tc>
        <w:tc>
          <w:tcPr>
            <w:tcW w:w="3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3rd</w:t>
            </w: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Quarter</w:t>
            </w: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5"/>
        </w:trPr>
        <w:tc>
          <w:tcPr>
            <w:tcW w:w="48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w:t>
            </w:r>
          </w:p>
        </w:tc>
        <w:tc>
          <w:tcPr>
            <w:tcW w:w="780" w:type="dxa"/>
            <w:vAlign w:val="bottom"/>
          </w:tcPr>
          <w:p>
            <w:pPr>
              <w:jc w:val="right"/>
              <w:spacing w:after="0"/>
              <w:rPr>
                <w:sz w:val="20"/>
                <w:szCs w:val="20"/>
                <w:color w:val="auto"/>
              </w:rPr>
            </w:pPr>
            <w:r>
              <w:rPr>
                <w:rFonts w:ascii="Arial" w:cs="Arial" w:eastAsia="Arial" w:hAnsi="Arial"/>
                <w:sz w:val="9"/>
                <w:szCs w:val="9"/>
                <w:color w:val="auto"/>
              </w:rPr>
              <w:t>20,161</w:t>
            </w:r>
          </w:p>
        </w:tc>
        <w:tc>
          <w:tcPr>
            <w:tcW w:w="600" w:type="dxa"/>
            <w:vAlign w:val="bottom"/>
          </w:tcPr>
          <w:p>
            <w:pPr>
              <w:jc w:val="right"/>
              <w:spacing w:after="0"/>
              <w:rPr>
                <w:sz w:val="20"/>
                <w:szCs w:val="20"/>
                <w:color w:val="auto"/>
              </w:rPr>
            </w:pPr>
            <w:r>
              <w:rPr>
                <w:rFonts w:ascii="Arial" w:cs="Arial" w:eastAsia="Arial" w:hAnsi="Arial"/>
                <w:sz w:val="9"/>
                <w:szCs w:val="9"/>
                <w:color w:val="auto"/>
              </w:rPr>
              <w:t>0.13%</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1,466,587</w:t>
            </w:r>
          </w:p>
        </w:tc>
        <w:tc>
          <w:tcPr>
            <w:tcW w:w="1200" w:type="dxa"/>
            <w:vAlign w:val="bottom"/>
          </w:tcPr>
          <w:p>
            <w:pPr>
              <w:jc w:val="right"/>
              <w:spacing w:after="0"/>
              <w:rPr>
                <w:sz w:val="20"/>
                <w:szCs w:val="20"/>
                <w:color w:val="auto"/>
              </w:rPr>
            </w:pPr>
            <w:r>
              <w:rPr>
                <w:rFonts w:ascii="Arial" w:cs="Arial" w:eastAsia="Arial" w:hAnsi="Arial"/>
                <w:sz w:val="9"/>
                <w:szCs w:val="9"/>
                <w:color w:val="auto"/>
              </w:rPr>
              <w:t>72.74</w:t>
            </w:r>
          </w:p>
        </w:tc>
        <w:tc>
          <w:tcPr>
            <w:tcW w:w="820" w:type="dxa"/>
            <w:vAlign w:val="bottom"/>
          </w:tcPr>
          <w:p>
            <w:pPr>
              <w:jc w:val="right"/>
              <w:spacing w:after="0"/>
              <w:rPr>
                <w:sz w:val="20"/>
                <w:szCs w:val="20"/>
                <w:color w:val="auto"/>
              </w:rPr>
            </w:pPr>
            <w:r>
              <w:rPr>
                <w:rFonts w:ascii="Arial" w:cs="Arial" w:eastAsia="Arial" w:hAnsi="Arial"/>
                <w:sz w:val="9"/>
                <w:szCs w:val="9"/>
                <w:color w:val="auto"/>
              </w:rPr>
              <w:t>76.83</w:t>
            </w:r>
          </w:p>
        </w:tc>
        <w:tc>
          <w:tcPr>
            <w:tcW w:w="3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4th</w:t>
            </w: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Quarter</w:t>
            </w: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14"/>
        </w:trPr>
        <w:tc>
          <w:tcPr>
            <w:tcW w:w="480" w:type="dxa"/>
            <w:vAlign w:val="bottom"/>
          </w:tcPr>
          <w:p>
            <w:pPr>
              <w:jc w:val="right"/>
              <w:spacing w:after="0"/>
              <w:rPr>
                <w:sz w:val="20"/>
                <w:szCs w:val="20"/>
                <w:color w:val="auto"/>
              </w:rPr>
            </w:pPr>
            <w:r>
              <w:rPr>
                <w:rFonts w:ascii="Arial" w:cs="Arial" w:eastAsia="Arial" w:hAnsi="Arial"/>
                <w:sz w:val="9"/>
                <w:szCs w:val="9"/>
                <w:color w:val="auto"/>
              </w:rPr>
              <w:t>2016</w:t>
            </w:r>
          </w:p>
        </w:tc>
        <w:tc>
          <w:tcPr>
            <w:tcW w:w="8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123,146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0.78%</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8,229,404</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66.83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71.67</w:t>
            </w:r>
          </w:p>
        </w:tc>
        <w:tc>
          <w:tcPr>
            <w:tcW w:w="300" w:type="dxa"/>
            <w:vAlign w:val="bottom"/>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44,490</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0.71%</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3,152,049</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70.85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70.70</w:t>
            </w:r>
          </w:p>
        </w:tc>
      </w:tr>
      <w:tr>
        <w:trPr>
          <w:trHeight w:val="375"/>
        </w:trPr>
        <w:tc>
          <w:tcPr>
            <w:tcW w:w="5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5"/>
              </w:rPr>
              <w:t>Total 2016</w:t>
            </w:r>
          </w:p>
        </w:tc>
        <w:tc>
          <w:tcPr>
            <w:tcW w:w="580" w:type="dxa"/>
            <w:vAlign w:val="bottom"/>
          </w:tcPr>
          <w:p>
            <w:pPr>
              <w:jc w:val="right"/>
              <w:spacing w:after="0"/>
              <w:rPr>
                <w:sz w:val="20"/>
                <w:szCs w:val="20"/>
                <w:color w:val="auto"/>
              </w:rPr>
            </w:pPr>
            <w:r>
              <w:rPr>
                <w:rFonts w:ascii="Arial" w:cs="Arial" w:eastAsia="Arial" w:hAnsi="Arial"/>
                <w:sz w:val="9"/>
                <w:szCs w:val="9"/>
                <w:b w:val="1"/>
                <w:bCs w:val="1"/>
                <w:color w:val="auto"/>
              </w:rPr>
              <w:t>33</w:t>
            </w:r>
          </w:p>
        </w:tc>
        <w:tc>
          <w:tcPr>
            <w:tcW w:w="780" w:type="dxa"/>
            <w:vAlign w:val="bottom"/>
          </w:tcPr>
          <w:p>
            <w:pPr>
              <w:jc w:val="right"/>
              <w:spacing w:after="0"/>
              <w:rPr>
                <w:sz w:val="20"/>
                <w:szCs w:val="20"/>
                <w:color w:val="auto"/>
              </w:rPr>
            </w:pPr>
            <w:r>
              <w:rPr>
                <w:rFonts w:ascii="Arial" w:cs="Arial" w:eastAsia="Arial" w:hAnsi="Arial"/>
                <w:sz w:val="9"/>
                <w:szCs w:val="9"/>
                <w:b w:val="1"/>
                <w:bCs w:val="1"/>
                <w:color w:val="auto"/>
              </w:rPr>
              <w:t>167,459</w:t>
            </w: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1.06%</w:t>
            </w:r>
          </w:p>
        </w:tc>
        <w:tc>
          <w:tcPr>
            <w:tcW w:w="800" w:type="dxa"/>
            <w:vAlign w:val="bottom"/>
          </w:tcPr>
          <w:p>
            <w:pPr>
              <w:jc w:val="right"/>
              <w:ind w:right="36"/>
              <w:spacing w:after="0"/>
              <w:rPr>
                <w:sz w:val="20"/>
                <w:szCs w:val="20"/>
                <w:color w:val="auto"/>
              </w:rPr>
            </w:pPr>
            <w:r>
              <w:rPr>
                <w:rFonts w:ascii="Arial" w:cs="Arial" w:eastAsia="Arial" w:hAnsi="Arial"/>
                <w:sz w:val="9"/>
                <w:szCs w:val="9"/>
                <w:b w:val="1"/>
                <w:bCs w:val="1"/>
                <w:color w:val="auto"/>
              </w:rPr>
              <w:t>$11,401,461</w:t>
            </w:r>
          </w:p>
        </w:tc>
        <w:tc>
          <w:tcPr>
            <w:tcW w:w="1200" w:type="dxa"/>
            <w:vAlign w:val="bottom"/>
          </w:tcPr>
          <w:p>
            <w:pPr>
              <w:jc w:val="right"/>
              <w:spacing w:after="0"/>
              <w:rPr>
                <w:sz w:val="20"/>
                <w:szCs w:val="20"/>
                <w:color w:val="auto"/>
              </w:rPr>
            </w:pPr>
            <w:r>
              <w:rPr>
                <w:rFonts w:ascii="Arial" w:cs="Arial" w:eastAsia="Arial" w:hAnsi="Arial"/>
                <w:sz w:val="9"/>
                <w:szCs w:val="9"/>
                <w:b w:val="1"/>
                <w:bCs w:val="1"/>
                <w:color w:val="auto"/>
              </w:rPr>
              <w:t>$68.09</w:t>
            </w: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$75.20</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4</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44,781</w:t>
            </w:r>
          </w:p>
        </w:tc>
        <w:tc>
          <w:tcPr>
            <w:tcW w:w="640" w:type="dxa"/>
            <w:vAlign w:val="bottom"/>
          </w:tcPr>
          <w:p>
            <w:pPr>
              <w:jc w:val="right"/>
              <w:ind w:right="16"/>
              <w:spacing w:after="0"/>
              <w:rPr>
                <w:sz w:val="20"/>
                <w:szCs w:val="20"/>
                <w:color w:val="auto"/>
              </w:rPr>
            </w:pPr>
            <w:r>
              <w:rPr>
                <w:rFonts w:ascii="Arial" w:cs="Arial" w:eastAsia="Arial" w:hAnsi="Arial"/>
                <w:sz w:val="9"/>
                <w:szCs w:val="9"/>
                <w:b w:val="1"/>
                <w:bCs w:val="1"/>
                <w:color w:val="auto"/>
              </w:rPr>
              <w:t>0.72%</w:t>
            </w:r>
          </w:p>
        </w:tc>
        <w:tc>
          <w:tcPr>
            <w:tcW w:w="800" w:type="dxa"/>
            <w:vAlign w:val="bottom"/>
          </w:tcPr>
          <w:p>
            <w:pPr>
              <w:jc w:val="right"/>
              <w:ind w:right="136"/>
              <w:spacing w:after="0"/>
              <w:rPr>
                <w:sz w:val="20"/>
                <w:szCs w:val="20"/>
                <w:color w:val="auto"/>
              </w:rPr>
            </w:pPr>
            <w:r>
              <w:rPr>
                <w:rFonts w:ascii="Arial" w:cs="Arial" w:eastAsia="Arial" w:hAnsi="Arial"/>
                <w:sz w:val="9"/>
                <w:szCs w:val="9"/>
                <w:b w:val="1"/>
                <w:bCs w:val="1"/>
                <w:color w:val="auto"/>
              </w:rPr>
              <w:t>$3,158,649</w:t>
            </w:r>
          </w:p>
        </w:tc>
        <w:tc>
          <w:tcPr>
            <w:tcW w:w="1000" w:type="dxa"/>
            <w:vAlign w:val="bottom"/>
          </w:tcPr>
          <w:p>
            <w:pPr>
              <w:jc w:val="right"/>
              <w:ind w:right="16"/>
              <w:spacing w:after="0"/>
              <w:rPr>
                <w:sz w:val="20"/>
                <w:szCs w:val="20"/>
                <w:color w:val="auto"/>
              </w:rPr>
            </w:pPr>
            <w:r>
              <w:rPr>
                <w:rFonts w:ascii="Arial" w:cs="Arial" w:eastAsia="Arial" w:hAnsi="Arial"/>
                <w:sz w:val="9"/>
                <w:szCs w:val="9"/>
                <w:b w:val="1"/>
                <w:bCs w:val="1"/>
                <w:color w:val="auto"/>
              </w:rPr>
              <w:t>$70.54</w:t>
            </w: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$70.40</w:t>
            </w:r>
          </w:p>
        </w:tc>
      </w:tr>
      <w:tr>
        <w:trPr>
          <w:trHeight w:val="393"/>
        </w:trPr>
        <w:tc>
          <w:tcPr>
            <w:tcW w:w="480" w:type="dxa"/>
            <w:vAlign w:val="bottom"/>
          </w:tcPr>
          <w:p>
            <w:pPr>
              <w:jc w:val="right"/>
              <w:spacing w:after="0"/>
              <w:rPr>
                <w:sz w:val="20"/>
                <w:szCs w:val="20"/>
                <w:color w:val="auto"/>
              </w:rPr>
            </w:pPr>
            <w:r>
              <w:rPr>
                <w:rFonts w:ascii="Arial" w:cs="Arial" w:eastAsia="Arial" w:hAnsi="Arial"/>
                <w:sz w:val="9"/>
                <w:szCs w:val="9"/>
                <w:color w:val="auto"/>
              </w:rPr>
              <w:t>2017</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96</w:t>
            </w:r>
          </w:p>
        </w:tc>
        <w:tc>
          <w:tcPr>
            <w:tcW w:w="780" w:type="dxa"/>
            <w:vAlign w:val="bottom"/>
          </w:tcPr>
          <w:p>
            <w:pPr>
              <w:jc w:val="right"/>
              <w:spacing w:after="0"/>
              <w:rPr>
                <w:sz w:val="20"/>
                <w:szCs w:val="20"/>
                <w:color w:val="auto"/>
              </w:rPr>
            </w:pPr>
            <w:r>
              <w:rPr>
                <w:rFonts w:ascii="Arial" w:cs="Arial" w:eastAsia="Arial" w:hAnsi="Arial"/>
                <w:sz w:val="9"/>
                <w:szCs w:val="9"/>
                <w:color w:val="auto"/>
              </w:rPr>
              <w:t>881,309</w:t>
            </w:r>
          </w:p>
        </w:tc>
        <w:tc>
          <w:tcPr>
            <w:tcW w:w="600" w:type="dxa"/>
            <w:vAlign w:val="bottom"/>
          </w:tcPr>
          <w:p>
            <w:pPr>
              <w:jc w:val="right"/>
              <w:spacing w:after="0"/>
              <w:rPr>
                <w:sz w:val="20"/>
                <w:szCs w:val="20"/>
                <w:color w:val="auto"/>
              </w:rPr>
            </w:pPr>
            <w:r>
              <w:rPr>
                <w:rFonts w:ascii="Arial" w:cs="Arial" w:eastAsia="Arial" w:hAnsi="Arial"/>
                <w:sz w:val="9"/>
                <w:szCs w:val="9"/>
                <w:color w:val="auto"/>
              </w:rPr>
              <w:t>5.56%</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$58,941,410</w:t>
            </w:r>
          </w:p>
        </w:tc>
        <w:tc>
          <w:tcPr>
            <w:tcW w:w="1200" w:type="dxa"/>
            <w:vAlign w:val="bottom"/>
          </w:tcPr>
          <w:p>
            <w:pPr>
              <w:jc w:val="right"/>
              <w:spacing w:after="0"/>
              <w:rPr>
                <w:sz w:val="20"/>
                <w:szCs w:val="20"/>
                <w:color w:val="auto"/>
              </w:rPr>
            </w:pPr>
            <w:r>
              <w:rPr>
                <w:rFonts w:ascii="Arial" w:cs="Arial" w:eastAsia="Arial" w:hAnsi="Arial"/>
                <w:sz w:val="9"/>
                <w:szCs w:val="9"/>
                <w:color w:val="auto"/>
              </w:rPr>
              <w:t>$66.88</w:t>
            </w:r>
          </w:p>
        </w:tc>
        <w:tc>
          <w:tcPr>
            <w:tcW w:w="820" w:type="dxa"/>
            <w:vAlign w:val="bottom"/>
          </w:tcPr>
          <w:p>
            <w:pPr>
              <w:jc w:val="right"/>
              <w:spacing w:after="0"/>
              <w:rPr>
                <w:sz w:val="20"/>
                <w:szCs w:val="20"/>
                <w:color w:val="auto"/>
              </w:rPr>
            </w:pPr>
            <w:r>
              <w:rPr>
                <w:rFonts w:ascii="Arial" w:cs="Arial" w:eastAsia="Arial" w:hAnsi="Arial"/>
                <w:sz w:val="9"/>
                <w:szCs w:val="9"/>
                <w:color w:val="auto"/>
              </w:rPr>
              <w:t>$69.72</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15</w:t>
            </w:r>
          </w:p>
        </w:tc>
        <w:tc>
          <w:tcPr>
            <w:tcW w:w="760" w:type="dxa"/>
            <w:vAlign w:val="bottom"/>
          </w:tcPr>
          <w:p>
            <w:pPr>
              <w:jc w:val="right"/>
              <w:spacing w:after="0"/>
              <w:rPr>
                <w:sz w:val="20"/>
                <w:szCs w:val="20"/>
                <w:color w:val="auto"/>
              </w:rPr>
            </w:pPr>
            <w:r>
              <w:rPr>
                <w:rFonts w:ascii="Arial" w:cs="Arial" w:eastAsia="Arial" w:hAnsi="Arial"/>
                <w:sz w:val="9"/>
                <w:szCs w:val="9"/>
                <w:color w:val="auto"/>
              </w:rPr>
              <w:t>175,154</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2.80%</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$13,403,155</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$76.52</w:t>
            </w:r>
          </w:p>
        </w:tc>
        <w:tc>
          <w:tcPr>
            <w:tcW w:w="720" w:type="dxa"/>
            <w:vAlign w:val="bottom"/>
          </w:tcPr>
          <w:p>
            <w:pPr>
              <w:jc w:val="right"/>
              <w:spacing w:after="0"/>
              <w:rPr>
                <w:sz w:val="20"/>
                <w:szCs w:val="20"/>
                <w:color w:val="auto"/>
              </w:rPr>
            </w:pPr>
            <w:r>
              <w:rPr>
                <w:rFonts w:ascii="Arial" w:cs="Arial" w:eastAsia="Arial" w:hAnsi="Arial"/>
                <w:sz w:val="9"/>
                <w:szCs w:val="9"/>
                <w:color w:val="auto"/>
              </w:rPr>
              <w:t>$78.30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2018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82</w:t>
            </w:r>
          </w:p>
        </w:tc>
        <w:tc>
          <w:tcPr>
            <w:tcW w:w="780" w:type="dxa"/>
            <w:vAlign w:val="bottom"/>
          </w:tcPr>
          <w:p>
            <w:pPr>
              <w:jc w:val="right"/>
              <w:spacing w:after="0"/>
              <w:rPr>
                <w:sz w:val="20"/>
                <w:szCs w:val="20"/>
                <w:color w:val="auto"/>
              </w:rPr>
            </w:pPr>
            <w:r>
              <w:rPr>
                <w:rFonts w:ascii="Arial" w:cs="Arial" w:eastAsia="Arial" w:hAnsi="Arial"/>
                <w:sz w:val="9"/>
                <w:szCs w:val="9"/>
                <w:color w:val="auto"/>
              </w:rPr>
              <w:t>629,092</w:t>
            </w:r>
          </w:p>
        </w:tc>
        <w:tc>
          <w:tcPr>
            <w:tcW w:w="600" w:type="dxa"/>
            <w:vAlign w:val="bottom"/>
          </w:tcPr>
          <w:p>
            <w:pPr>
              <w:jc w:val="right"/>
              <w:spacing w:after="0"/>
              <w:rPr>
                <w:sz w:val="20"/>
                <w:szCs w:val="20"/>
                <w:color w:val="auto"/>
              </w:rPr>
            </w:pPr>
            <w:r>
              <w:rPr>
                <w:rFonts w:ascii="Arial" w:cs="Arial" w:eastAsia="Arial" w:hAnsi="Arial"/>
                <w:sz w:val="9"/>
                <w:szCs w:val="9"/>
                <w:color w:val="auto"/>
              </w:rPr>
              <w:t>3.97%</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50,232,969</w:t>
            </w:r>
          </w:p>
        </w:tc>
        <w:tc>
          <w:tcPr>
            <w:tcW w:w="1200" w:type="dxa"/>
            <w:vAlign w:val="bottom"/>
          </w:tcPr>
          <w:p>
            <w:pPr>
              <w:jc w:val="right"/>
              <w:spacing w:after="0"/>
              <w:rPr>
                <w:sz w:val="20"/>
                <w:szCs w:val="20"/>
                <w:color w:val="auto"/>
              </w:rPr>
            </w:pPr>
            <w:r>
              <w:rPr>
                <w:rFonts w:ascii="Arial" w:cs="Arial" w:eastAsia="Arial" w:hAnsi="Arial"/>
                <w:sz w:val="9"/>
                <w:szCs w:val="9"/>
                <w:color w:val="auto"/>
              </w:rPr>
              <w:t>79.85</w:t>
            </w:r>
          </w:p>
        </w:tc>
        <w:tc>
          <w:tcPr>
            <w:tcW w:w="820" w:type="dxa"/>
            <w:vAlign w:val="bottom"/>
          </w:tcPr>
          <w:p>
            <w:pPr>
              <w:jc w:val="right"/>
              <w:spacing w:after="0"/>
              <w:rPr>
                <w:sz w:val="20"/>
                <w:szCs w:val="20"/>
                <w:color w:val="auto"/>
              </w:rPr>
            </w:pPr>
            <w:r>
              <w:rPr>
                <w:rFonts w:ascii="Arial" w:cs="Arial" w:eastAsia="Arial" w:hAnsi="Arial"/>
                <w:sz w:val="9"/>
                <w:szCs w:val="9"/>
                <w:color w:val="auto"/>
              </w:rPr>
              <w:t>115.80</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26</w:t>
            </w:r>
          </w:p>
        </w:tc>
        <w:tc>
          <w:tcPr>
            <w:tcW w:w="760" w:type="dxa"/>
            <w:vAlign w:val="bottom"/>
          </w:tcPr>
          <w:p>
            <w:pPr>
              <w:jc w:val="right"/>
              <w:spacing w:after="0"/>
              <w:rPr>
                <w:sz w:val="20"/>
                <w:szCs w:val="20"/>
                <w:color w:val="auto"/>
              </w:rPr>
            </w:pPr>
            <w:r>
              <w:rPr>
                <w:rFonts w:ascii="Arial" w:cs="Arial" w:eastAsia="Arial" w:hAnsi="Arial"/>
                <w:sz w:val="9"/>
                <w:szCs w:val="9"/>
                <w:color w:val="auto"/>
              </w:rPr>
              <w:t>235,358</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3.76%</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23,142,699</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98.33</w:t>
            </w:r>
          </w:p>
        </w:tc>
        <w:tc>
          <w:tcPr>
            <w:tcW w:w="720" w:type="dxa"/>
            <w:vAlign w:val="bottom"/>
          </w:tcPr>
          <w:p>
            <w:pPr>
              <w:jc w:val="right"/>
              <w:spacing w:after="0"/>
              <w:rPr>
                <w:sz w:val="20"/>
                <w:szCs w:val="20"/>
                <w:color w:val="auto"/>
              </w:rPr>
            </w:pPr>
            <w:r>
              <w:rPr>
                <w:rFonts w:ascii="Arial" w:cs="Arial" w:eastAsia="Arial" w:hAnsi="Arial"/>
                <w:sz w:val="9"/>
                <w:szCs w:val="9"/>
                <w:color w:val="auto"/>
              </w:rPr>
              <w:t>84.68</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2019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82</w:t>
            </w:r>
          </w:p>
        </w:tc>
        <w:tc>
          <w:tcPr>
            <w:tcW w:w="780" w:type="dxa"/>
            <w:vAlign w:val="bottom"/>
          </w:tcPr>
          <w:p>
            <w:pPr>
              <w:jc w:val="right"/>
              <w:spacing w:after="0"/>
              <w:rPr>
                <w:sz w:val="20"/>
                <w:szCs w:val="20"/>
                <w:color w:val="auto"/>
              </w:rPr>
            </w:pPr>
            <w:r>
              <w:rPr>
                <w:rFonts w:ascii="Arial" w:cs="Arial" w:eastAsia="Arial" w:hAnsi="Arial"/>
                <w:sz w:val="9"/>
                <w:szCs w:val="9"/>
                <w:color w:val="auto"/>
              </w:rPr>
              <w:t>1,073,622</w:t>
            </w:r>
          </w:p>
        </w:tc>
        <w:tc>
          <w:tcPr>
            <w:tcW w:w="600" w:type="dxa"/>
            <w:vAlign w:val="bottom"/>
          </w:tcPr>
          <w:p>
            <w:pPr>
              <w:jc w:val="right"/>
              <w:spacing w:after="0"/>
              <w:rPr>
                <w:sz w:val="20"/>
                <w:szCs w:val="20"/>
                <w:color w:val="auto"/>
              </w:rPr>
            </w:pPr>
            <w:r>
              <w:rPr>
                <w:rFonts w:ascii="Arial" w:cs="Arial" w:eastAsia="Arial" w:hAnsi="Arial"/>
                <w:sz w:val="9"/>
                <w:szCs w:val="9"/>
                <w:color w:val="auto"/>
              </w:rPr>
              <w:t>6.77%</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74,159,687</w:t>
            </w:r>
          </w:p>
        </w:tc>
        <w:tc>
          <w:tcPr>
            <w:tcW w:w="1200" w:type="dxa"/>
            <w:vAlign w:val="bottom"/>
          </w:tcPr>
          <w:p>
            <w:pPr>
              <w:jc w:val="right"/>
              <w:spacing w:after="0"/>
              <w:rPr>
                <w:sz w:val="20"/>
                <w:szCs w:val="20"/>
                <w:color w:val="auto"/>
              </w:rPr>
            </w:pPr>
            <w:r>
              <w:rPr>
                <w:rFonts w:ascii="Arial" w:cs="Arial" w:eastAsia="Arial" w:hAnsi="Arial"/>
                <w:sz w:val="9"/>
                <w:szCs w:val="9"/>
                <w:color w:val="auto"/>
              </w:rPr>
              <w:t>69.07</w:t>
            </w:r>
          </w:p>
        </w:tc>
        <w:tc>
          <w:tcPr>
            <w:tcW w:w="820" w:type="dxa"/>
            <w:vAlign w:val="bottom"/>
          </w:tcPr>
          <w:p>
            <w:pPr>
              <w:jc w:val="right"/>
              <w:spacing w:after="0"/>
              <w:rPr>
                <w:sz w:val="20"/>
                <w:szCs w:val="20"/>
                <w:color w:val="auto"/>
              </w:rPr>
            </w:pPr>
            <w:r>
              <w:rPr>
                <w:rFonts w:ascii="Arial" w:cs="Arial" w:eastAsia="Arial" w:hAnsi="Arial"/>
                <w:sz w:val="9"/>
                <w:szCs w:val="9"/>
                <w:color w:val="auto"/>
              </w:rPr>
              <w:t>74.33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23</w:t>
            </w:r>
          </w:p>
        </w:tc>
        <w:tc>
          <w:tcPr>
            <w:tcW w:w="760" w:type="dxa"/>
            <w:vAlign w:val="bottom"/>
          </w:tcPr>
          <w:p>
            <w:pPr>
              <w:jc w:val="right"/>
              <w:spacing w:after="0"/>
              <w:rPr>
                <w:sz w:val="20"/>
                <w:szCs w:val="20"/>
                <w:color w:val="auto"/>
              </w:rPr>
            </w:pPr>
            <w:r>
              <w:rPr>
                <w:rFonts w:ascii="Arial" w:cs="Arial" w:eastAsia="Arial" w:hAnsi="Arial"/>
                <w:sz w:val="9"/>
                <w:szCs w:val="9"/>
                <w:color w:val="auto"/>
              </w:rPr>
              <w:t>391,784</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6.26%</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31,280,404</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79.84</w:t>
            </w:r>
          </w:p>
        </w:tc>
        <w:tc>
          <w:tcPr>
            <w:tcW w:w="720" w:type="dxa"/>
            <w:vAlign w:val="bottom"/>
          </w:tcPr>
          <w:p>
            <w:pPr>
              <w:jc w:val="right"/>
              <w:spacing w:after="0"/>
              <w:rPr>
                <w:sz w:val="20"/>
                <w:szCs w:val="20"/>
                <w:color w:val="auto"/>
              </w:rPr>
            </w:pPr>
            <w:r>
              <w:rPr>
                <w:rFonts w:ascii="Arial" w:cs="Arial" w:eastAsia="Arial" w:hAnsi="Arial"/>
                <w:sz w:val="9"/>
                <w:szCs w:val="9"/>
                <w:color w:val="auto"/>
              </w:rPr>
              <w:t>84.97</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96</w:t>
            </w:r>
          </w:p>
        </w:tc>
        <w:tc>
          <w:tcPr>
            <w:tcW w:w="780" w:type="dxa"/>
            <w:vAlign w:val="bottom"/>
          </w:tcPr>
          <w:p>
            <w:pPr>
              <w:jc w:val="right"/>
              <w:spacing w:after="0"/>
              <w:rPr>
                <w:sz w:val="20"/>
                <w:szCs w:val="20"/>
                <w:color w:val="auto"/>
              </w:rPr>
            </w:pPr>
            <w:r>
              <w:rPr>
                <w:rFonts w:ascii="Arial" w:cs="Arial" w:eastAsia="Arial" w:hAnsi="Arial"/>
                <w:sz w:val="9"/>
                <w:szCs w:val="9"/>
                <w:color w:val="auto"/>
              </w:rPr>
              <w:t>2,384,035</w:t>
            </w:r>
          </w:p>
        </w:tc>
        <w:tc>
          <w:tcPr>
            <w:tcW w:w="600" w:type="dxa"/>
            <w:vAlign w:val="bottom"/>
          </w:tcPr>
          <w:p>
            <w:pPr>
              <w:jc w:val="right"/>
              <w:spacing w:after="0"/>
              <w:rPr>
                <w:sz w:val="20"/>
                <w:szCs w:val="20"/>
                <w:color w:val="auto"/>
              </w:rPr>
            </w:pPr>
            <w:r>
              <w:rPr>
                <w:rFonts w:ascii="Arial" w:cs="Arial" w:eastAsia="Arial" w:hAnsi="Arial"/>
                <w:sz w:val="9"/>
                <w:szCs w:val="9"/>
                <w:color w:val="auto"/>
              </w:rPr>
              <w:t>15.04%</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148,605,356</w:t>
            </w:r>
          </w:p>
        </w:tc>
        <w:tc>
          <w:tcPr>
            <w:tcW w:w="1200" w:type="dxa"/>
            <w:vAlign w:val="bottom"/>
          </w:tcPr>
          <w:p>
            <w:pPr>
              <w:jc w:val="right"/>
              <w:spacing w:after="0"/>
              <w:rPr>
                <w:sz w:val="20"/>
                <w:szCs w:val="20"/>
                <w:color w:val="auto"/>
              </w:rPr>
            </w:pPr>
            <w:r>
              <w:rPr>
                <w:rFonts w:ascii="Arial" w:cs="Arial" w:eastAsia="Arial" w:hAnsi="Arial"/>
                <w:sz w:val="9"/>
                <w:szCs w:val="9"/>
                <w:color w:val="auto"/>
              </w:rPr>
              <w:t>62.33</w:t>
            </w:r>
          </w:p>
        </w:tc>
        <w:tc>
          <w:tcPr>
            <w:tcW w:w="820" w:type="dxa"/>
            <w:vAlign w:val="bottom"/>
          </w:tcPr>
          <w:p>
            <w:pPr>
              <w:jc w:val="right"/>
              <w:spacing w:after="0"/>
              <w:rPr>
                <w:sz w:val="20"/>
                <w:szCs w:val="20"/>
                <w:color w:val="auto"/>
              </w:rPr>
            </w:pPr>
            <w:r>
              <w:rPr>
                <w:rFonts w:ascii="Arial" w:cs="Arial" w:eastAsia="Arial" w:hAnsi="Arial"/>
                <w:sz w:val="9"/>
                <w:szCs w:val="9"/>
                <w:color w:val="auto"/>
              </w:rPr>
              <w:t>69.39</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21</w:t>
            </w:r>
          </w:p>
        </w:tc>
        <w:tc>
          <w:tcPr>
            <w:tcW w:w="760" w:type="dxa"/>
            <w:vAlign w:val="bottom"/>
          </w:tcPr>
          <w:p>
            <w:pPr>
              <w:jc w:val="right"/>
              <w:spacing w:after="0"/>
              <w:rPr>
                <w:sz w:val="20"/>
                <w:szCs w:val="20"/>
                <w:color w:val="auto"/>
              </w:rPr>
            </w:pPr>
            <w:r>
              <w:rPr>
                <w:rFonts w:ascii="Arial" w:cs="Arial" w:eastAsia="Arial" w:hAnsi="Arial"/>
                <w:sz w:val="9"/>
                <w:szCs w:val="9"/>
                <w:color w:val="auto"/>
              </w:rPr>
              <w:t>254,363</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4.06%</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15,150,385</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59.56</w:t>
            </w:r>
          </w:p>
        </w:tc>
        <w:tc>
          <w:tcPr>
            <w:tcW w:w="720" w:type="dxa"/>
            <w:vAlign w:val="bottom"/>
          </w:tcPr>
          <w:p>
            <w:pPr>
              <w:jc w:val="right"/>
              <w:spacing w:after="0"/>
              <w:rPr>
                <w:sz w:val="20"/>
                <w:szCs w:val="20"/>
                <w:color w:val="auto"/>
              </w:rPr>
            </w:pPr>
            <w:r>
              <w:rPr>
                <w:rFonts w:ascii="Arial" w:cs="Arial" w:eastAsia="Arial" w:hAnsi="Arial"/>
                <w:sz w:val="9"/>
                <w:szCs w:val="9"/>
                <w:color w:val="auto"/>
              </w:rPr>
              <w:t>68.67</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89</w:t>
            </w:r>
          </w:p>
        </w:tc>
        <w:tc>
          <w:tcPr>
            <w:tcW w:w="780" w:type="dxa"/>
            <w:vAlign w:val="bottom"/>
          </w:tcPr>
          <w:p>
            <w:pPr>
              <w:jc w:val="right"/>
              <w:spacing w:after="0"/>
              <w:rPr>
                <w:sz w:val="20"/>
                <w:szCs w:val="20"/>
                <w:color w:val="auto"/>
              </w:rPr>
            </w:pPr>
            <w:r>
              <w:rPr>
                <w:rFonts w:ascii="Arial" w:cs="Arial" w:eastAsia="Arial" w:hAnsi="Arial"/>
                <w:sz w:val="9"/>
                <w:szCs w:val="9"/>
                <w:color w:val="auto"/>
              </w:rPr>
              <w:t>1,753,405</w:t>
            </w:r>
          </w:p>
        </w:tc>
        <w:tc>
          <w:tcPr>
            <w:tcW w:w="600" w:type="dxa"/>
            <w:vAlign w:val="bottom"/>
          </w:tcPr>
          <w:p>
            <w:pPr>
              <w:jc w:val="right"/>
              <w:spacing w:after="0"/>
              <w:rPr>
                <w:sz w:val="20"/>
                <w:szCs w:val="20"/>
                <w:color w:val="auto"/>
              </w:rPr>
            </w:pPr>
            <w:r>
              <w:rPr>
                <w:rFonts w:ascii="Arial" w:cs="Arial" w:eastAsia="Arial" w:hAnsi="Arial"/>
                <w:sz w:val="9"/>
                <w:szCs w:val="9"/>
                <w:color w:val="auto"/>
              </w:rPr>
              <w:t>11.06%</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109,753,498</w:t>
            </w:r>
          </w:p>
        </w:tc>
        <w:tc>
          <w:tcPr>
            <w:tcW w:w="1200" w:type="dxa"/>
            <w:vAlign w:val="bottom"/>
          </w:tcPr>
          <w:p>
            <w:pPr>
              <w:jc w:val="right"/>
              <w:spacing w:after="0"/>
              <w:rPr>
                <w:sz w:val="20"/>
                <w:szCs w:val="20"/>
                <w:color w:val="auto"/>
              </w:rPr>
            </w:pPr>
            <w:r>
              <w:rPr>
                <w:rFonts w:ascii="Arial" w:cs="Arial" w:eastAsia="Arial" w:hAnsi="Arial"/>
                <w:sz w:val="9"/>
                <w:szCs w:val="9"/>
                <w:color w:val="auto"/>
              </w:rPr>
              <w:t>62.59</w:t>
            </w:r>
          </w:p>
        </w:tc>
        <w:tc>
          <w:tcPr>
            <w:tcW w:w="820" w:type="dxa"/>
            <w:vAlign w:val="bottom"/>
          </w:tcPr>
          <w:p>
            <w:pPr>
              <w:jc w:val="right"/>
              <w:spacing w:after="0"/>
              <w:rPr>
                <w:sz w:val="20"/>
                <w:szCs w:val="20"/>
                <w:color w:val="auto"/>
              </w:rPr>
            </w:pPr>
            <w:r>
              <w:rPr>
                <w:rFonts w:ascii="Arial" w:cs="Arial" w:eastAsia="Arial" w:hAnsi="Arial"/>
                <w:sz w:val="9"/>
                <w:szCs w:val="9"/>
                <w:color w:val="auto"/>
              </w:rPr>
              <w:t>65.41</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17</w:t>
            </w:r>
          </w:p>
        </w:tc>
        <w:tc>
          <w:tcPr>
            <w:tcW w:w="760" w:type="dxa"/>
            <w:vAlign w:val="bottom"/>
          </w:tcPr>
          <w:p>
            <w:pPr>
              <w:jc w:val="right"/>
              <w:spacing w:after="0"/>
              <w:rPr>
                <w:sz w:val="20"/>
                <w:szCs w:val="20"/>
                <w:color w:val="auto"/>
              </w:rPr>
            </w:pPr>
            <w:r>
              <w:rPr>
                <w:rFonts w:ascii="Arial" w:cs="Arial" w:eastAsia="Arial" w:hAnsi="Arial"/>
                <w:sz w:val="9"/>
                <w:szCs w:val="9"/>
                <w:color w:val="auto"/>
              </w:rPr>
              <w:t>293,394</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4.69%</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17,587,359</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59.94</w:t>
            </w:r>
          </w:p>
        </w:tc>
        <w:tc>
          <w:tcPr>
            <w:tcW w:w="720" w:type="dxa"/>
            <w:vAlign w:val="bottom"/>
          </w:tcPr>
          <w:p>
            <w:pPr>
              <w:jc w:val="right"/>
              <w:spacing w:after="0"/>
              <w:rPr>
                <w:sz w:val="20"/>
                <w:szCs w:val="20"/>
                <w:color w:val="auto"/>
              </w:rPr>
            </w:pPr>
            <w:r>
              <w:rPr>
                <w:rFonts w:ascii="Arial" w:cs="Arial" w:eastAsia="Arial" w:hAnsi="Arial"/>
                <w:sz w:val="9"/>
                <w:szCs w:val="9"/>
                <w:color w:val="auto"/>
              </w:rPr>
              <w:t>69.67</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57</w:t>
            </w:r>
          </w:p>
        </w:tc>
        <w:tc>
          <w:tcPr>
            <w:tcW w:w="780" w:type="dxa"/>
            <w:vAlign w:val="bottom"/>
          </w:tcPr>
          <w:p>
            <w:pPr>
              <w:jc w:val="right"/>
              <w:spacing w:after="0"/>
              <w:rPr>
                <w:sz w:val="20"/>
                <w:szCs w:val="20"/>
                <w:color w:val="auto"/>
              </w:rPr>
            </w:pPr>
            <w:r>
              <w:rPr>
                <w:rFonts w:ascii="Arial" w:cs="Arial" w:eastAsia="Arial" w:hAnsi="Arial"/>
                <w:sz w:val="9"/>
                <w:szCs w:val="9"/>
                <w:color w:val="auto"/>
              </w:rPr>
              <w:t>964,091</w:t>
            </w:r>
          </w:p>
        </w:tc>
        <w:tc>
          <w:tcPr>
            <w:tcW w:w="600" w:type="dxa"/>
            <w:vAlign w:val="bottom"/>
          </w:tcPr>
          <w:p>
            <w:pPr>
              <w:jc w:val="right"/>
              <w:spacing w:after="0"/>
              <w:rPr>
                <w:sz w:val="20"/>
                <w:szCs w:val="20"/>
                <w:color w:val="auto"/>
              </w:rPr>
            </w:pPr>
            <w:r>
              <w:rPr>
                <w:rFonts w:ascii="Arial" w:cs="Arial" w:eastAsia="Arial" w:hAnsi="Arial"/>
                <w:sz w:val="9"/>
                <w:szCs w:val="9"/>
                <w:color w:val="auto"/>
              </w:rPr>
              <w:t>6.08%</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64,597,544</w:t>
            </w:r>
          </w:p>
        </w:tc>
        <w:tc>
          <w:tcPr>
            <w:tcW w:w="1200" w:type="dxa"/>
            <w:vAlign w:val="bottom"/>
          </w:tcPr>
          <w:p>
            <w:pPr>
              <w:jc w:val="right"/>
              <w:spacing w:after="0"/>
              <w:rPr>
                <w:sz w:val="20"/>
                <w:szCs w:val="20"/>
                <w:color w:val="auto"/>
              </w:rPr>
            </w:pPr>
            <w:r>
              <w:rPr>
                <w:rFonts w:ascii="Arial" w:cs="Arial" w:eastAsia="Arial" w:hAnsi="Arial"/>
                <w:sz w:val="9"/>
                <w:szCs w:val="9"/>
                <w:color w:val="auto"/>
              </w:rPr>
              <w:t>67.00</w:t>
            </w:r>
          </w:p>
        </w:tc>
        <w:tc>
          <w:tcPr>
            <w:tcW w:w="820" w:type="dxa"/>
            <w:vAlign w:val="bottom"/>
          </w:tcPr>
          <w:p>
            <w:pPr>
              <w:jc w:val="right"/>
              <w:spacing w:after="0"/>
              <w:rPr>
                <w:sz w:val="20"/>
                <w:szCs w:val="20"/>
                <w:color w:val="auto"/>
              </w:rPr>
            </w:pPr>
            <w:r>
              <w:rPr>
                <w:rFonts w:ascii="Arial" w:cs="Arial" w:eastAsia="Arial" w:hAnsi="Arial"/>
                <w:sz w:val="9"/>
                <w:szCs w:val="9"/>
                <w:color w:val="auto"/>
              </w:rPr>
              <w:t>79.06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17</w:t>
            </w:r>
          </w:p>
        </w:tc>
        <w:tc>
          <w:tcPr>
            <w:tcW w:w="760" w:type="dxa"/>
            <w:vAlign w:val="bottom"/>
          </w:tcPr>
          <w:p>
            <w:pPr>
              <w:jc w:val="right"/>
              <w:spacing w:after="0"/>
              <w:rPr>
                <w:sz w:val="20"/>
                <w:szCs w:val="20"/>
                <w:color w:val="auto"/>
              </w:rPr>
            </w:pPr>
            <w:r>
              <w:rPr>
                <w:rFonts w:ascii="Arial" w:cs="Arial" w:eastAsia="Arial" w:hAnsi="Arial"/>
                <w:sz w:val="9"/>
                <w:szCs w:val="9"/>
                <w:color w:val="auto"/>
              </w:rPr>
              <w:t>176,391</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2.82%</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12,279,431</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69.61</w:t>
            </w:r>
          </w:p>
        </w:tc>
        <w:tc>
          <w:tcPr>
            <w:tcW w:w="720" w:type="dxa"/>
            <w:vAlign w:val="bottom"/>
          </w:tcPr>
          <w:p>
            <w:pPr>
              <w:jc w:val="right"/>
              <w:spacing w:after="0"/>
              <w:rPr>
                <w:sz w:val="20"/>
                <w:szCs w:val="20"/>
                <w:color w:val="auto"/>
              </w:rPr>
            </w:pPr>
            <w:r>
              <w:rPr>
                <w:rFonts w:ascii="Arial" w:cs="Arial" w:eastAsia="Arial" w:hAnsi="Arial"/>
                <w:sz w:val="9"/>
                <w:szCs w:val="9"/>
                <w:color w:val="auto"/>
              </w:rPr>
              <w:t>76.50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38</w:t>
            </w:r>
          </w:p>
        </w:tc>
        <w:tc>
          <w:tcPr>
            <w:tcW w:w="780" w:type="dxa"/>
            <w:vAlign w:val="bottom"/>
          </w:tcPr>
          <w:p>
            <w:pPr>
              <w:jc w:val="right"/>
              <w:spacing w:after="0"/>
              <w:rPr>
                <w:sz w:val="20"/>
                <w:szCs w:val="20"/>
                <w:color w:val="auto"/>
              </w:rPr>
            </w:pPr>
            <w:r>
              <w:rPr>
                <w:rFonts w:ascii="Arial" w:cs="Arial" w:eastAsia="Arial" w:hAnsi="Arial"/>
                <w:sz w:val="9"/>
                <w:szCs w:val="9"/>
                <w:color w:val="auto"/>
              </w:rPr>
              <w:t>763,622</w:t>
            </w:r>
          </w:p>
        </w:tc>
        <w:tc>
          <w:tcPr>
            <w:tcW w:w="600" w:type="dxa"/>
            <w:vAlign w:val="bottom"/>
          </w:tcPr>
          <w:p>
            <w:pPr>
              <w:jc w:val="right"/>
              <w:spacing w:after="0"/>
              <w:rPr>
                <w:sz w:val="20"/>
                <w:szCs w:val="20"/>
                <w:color w:val="auto"/>
              </w:rPr>
            </w:pPr>
            <w:r>
              <w:rPr>
                <w:rFonts w:ascii="Arial" w:cs="Arial" w:eastAsia="Arial" w:hAnsi="Arial"/>
                <w:sz w:val="9"/>
                <w:szCs w:val="9"/>
                <w:color w:val="auto"/>
              </w:rPr>
              <w:t>4.82%</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44,525,734</w:t>
            </w:r>
          </w:p>
        </w:tc>
        <w:tc>
          <w:tcPr>
            <w:tcW w:w="1200" w:type="dxa"/>
            <w:vAlign w:val="bottom"/>
          </w:tcPr>
          <w:p>
            <w:pPr>
              <w:jc w:val="right"/>
              <w:spacing w:after="0"/>
              <w:rPr>
                <w:sz w:val="20"/>
                <w:szCs w:val="20"/>
                <w:color w:val="auto"/>
              </w:rPr>
            </w:pPr>
            <w:r>
              <w:rPr>
                <w:rFonts w:ascii="Arial" w:cs="Arial" w:eastAsia="Arial" w:hAnsi="Arial"/>
                <w:sz w:val="9"/>
                <w:szCs w:val="9"/>
                <w:color w:val="auto"/>
              </w:rPr>
              <w:t>58.31</w:t>
            </w:r>
          </w:p>
        </w:tc>
        <w:tc>
          <w:tcPr>
            <w:tcW w:w="820" w:type="dxa"/>
            <w:vAlign w:val="bottom"/>
          </w:tcPr>
          <w:p>
            <w:pPr>
              <w:jc w:val="right"/>
              <w:spacing w:after="0"/>
              <w:rPr>
                <w:sz w:val="20"/>
                <w:szCs w:val="20"/>
                <w:color w:val="auto"/>
              </w:rPr>
            </w:pPr>
            <w:r>
              <w:rPr>
                <w:rFonts w:ascii="Arial" w:cs="Arial" w:eastAsia="Arial" w:hAnsi="Arial"/>
                <w:sz w:val="9"/>
                <w:szCs w:val="9"/>
                <w:color w:val="auto"/>
              </w:rPr>
              <w:t>64.96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13</w:t>
            </w:r>
          </w:p>
        </w:tc>
        <w:tc>
          <w:tcPr>
            <w:tcW w:w="760" w:type="dxa"/>
            <w:vAlign w:val="bottom"/>
          </w:tcPr>
          <w:p>
            <w:pPr>
              <w:jc w:val="right"/>
              <w:spacing w:after="0"/>
              <w:rPr>
                <w:sz w:val="20"/>
                <w:szCs w:val="20"/>
                <w:color w:val="auto"/>
              </w:rPr>
            </w:pPr>
            <w:r>
              <w:rPr>
                <w:rFonts w:ascii="Arial" w:cs="Arial" w:eastAsia="Arial" w:hAnsi="Arial"/>
                <w:sz w:val="9"/>
                <w:szCs w:val="9"/>
                <w:color w:val="auto"/>
              </w:rPr>
              <w:t>468,116</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7.48%</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35,064,678</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74.91</w:t>
            </w:r>
          </w:p>
        </w:tc>
        <w:tc>
          <w:tcPr>
            <w:tcW w:w="720" w:type="dxa"/>
            <w:vAlign w:val="bottom"/>
          </w:tcPr>
          <w:p>
            <w:pPr>
              <w:jc w:val="right"/>
              <w:spacing w:after="0"/>
              <w:rPr>
                <w:sz w:val="20"/>
                <w:szCs w:val="20"/>
                <w:color w:val="auto"/>
              </w:rPr>
            </w:pPr>
            <w:r>
              <w:rPr>
                <w:rFonts w:ascii="Arial" w:cs="Arial" w:eastAsia="Arial" w:hAnsi="Arial"/>
                <w:sz w:val="9"/>
                <w:szCs w:val="9"/>
                <w:color w:val="auto"/>
              </w:rPr>
              <w:t>74.30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27</w:t>
            </w:r>
          </w:p>
        </w:tc>
        <w:tc>
          <w:tcPr>
            <w:tcW w:w="780" w:type="dxa"/>
            <w:vAlign w:val="bottom"/>
          </w:tcPr>
          <w:p>
            <w:pPr>
              <w:jc w:val="right"/>
              <w:spacing w:after="0"/>
              <w:rPr>
                <w:sz w:val="20"/>
                <w:szCs w:val="20"/>
                <w:color w:val="auto"/>
              </w:rPr>
            </w:pPr>
            <w:r>
              <w:rPr>
                <w:rFonts w:ascii="Arial" w:cs="Arial" w:eastAsia="Arial" w:hAnsi="Arial"/>
                <w:sz w:val="9"/>
                <w:szCs w:val="9"/>
                <w:color w:val="auto"/>
              </w:rPr>
              <w:t>263,374</w:t>
            </w:r>
          </w:p>
        </w:tc>
        <w:tc>
          <w:tcPr>
            <w:tcW w:w="600" w:type="dxa"/>
            <w:vAlign w:val="bottom"/>
          </w:tcPr>
          <w:p>
            <w:pPr>
              <w:jc w:val="right"/>
              <w:spacing w:after="0"/>
              <w:rPr>
                <w:sz w:val="20"/>
                <w:szCs w:val="20"/>
                <w:color w:val="auto"/>
              </w:rPr>
            </w:pPr>
            <w:r>
              <w:rPr>
                <w:rFonts w:ascii="Arial" w:cs="Arial" w:eastAsia="Arial" w:hAnsi="Arial"/>
                <w:sz w:val="9"/>
                <w:szCs w:val="9"/>
                <w:color w:val="auto"/>
              </w:rPr>
              <w:t>1.66%</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18,519,048</w:t>
            </w:r>
          </w:p>
        </w:tc>
        <w:tc>
          <w:tcPr>
            <w:tcW w:w="1200" w:type="dxa"/>
            <w:vAlign w:val="bottom"/>
          </w:tcPr>
          <w:p>
            <w:pPr>
              <w:jc w:val="right"/>
              <w:spacing w:after="0"/>
              <w:rPr>
                <w:sz w:val="20"/>
                <w:szCs w:val="20"/>
                <w:color w:val="auto"/>
              </w:rPr>
            </w:pPr>
            <w:r>
              <w:rPr>
                <w:rFonts w:ascii="Arial" w:cs="Arial" w:eastAsia="Arial" w:hAnsi="Arial"/>
                <w:sz w:val="9"/>
                <w:szCs w:val="9"/>
                <w:color w:val="auto"/>
              </w:rPr>
              <w:t>70.31</w:t>
            </w:r>
          </w:p>
        </w:tc>
        <w:tc>
          <w:tcPr>
            <w:tcW w:w="820" w:type="dxa"/>
            <w:vAlign w:val="bottom"/>
          </w:tcPr>
          <w:p>
            <w:pPr>
              <w:jc w:val="right"/>
              <w:spacing w:after="0"/>
              <w:rPr>
                <w:sz w:val="20"/>
                <w:szCs w:val="20"/>
                <w:color w:val="auto"/>
              </w:rPr>
            </w:pPr>
            <w:r>
              <w:rPr>
                <w:rFonts w:ascii="Arial" w:cs="Arial" w:eastAsia="Arial" w:hAnsi="Arial"/>
                <w:sz w:val="9"/>
                <w:szCs w:val="9"/>
                <w:color w:val="auto"/>
              </w:rPr>
              <w:t>72.38</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16</w:t>
            </w:r>
          </w:p>
        </w:tc>
        <w:tc>
          <w:tcPr>
            <w:tcW w:w="760" w:type="dxa"/>
            <w:vAlign w:val="bottom"/>
          </w:tcPr>
          <w:p>
            <w:pPr>
              <w:jc w:val="right"/>
              <w:spacing w:after="0"/>
              <w:rPr>
                <w:sz w:val="20"/>
                <w:szCs w:val="20"/>
                <w:color w:val="auto"/>
              </w:rPr>
            </w:pPr>
            <w:r>
              <w:rPr>
                <w:rFonts w:ascii="Arial" w:cs="Arial" w:eastAsia="Arial" w:hAnsi="Arial"/>
                <w:sz w:val="9"/>
                <w:szCs w:val="9"/>
                <w:color w:val="auto"/>
              </w:rPr>
              <w:t>358,900</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5.73%</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31,998,406</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89.16</w:t>
            </w:r>
          </w:p>
        </w:tc>
        <w:tc>
          <w:tcPr>
            <w:tcW w:w="720" w:type="dxa"/>
            <w:vAlign w:val="bottom"/>
          </w:tcPr>
          <w:p>
            <w:pPr>
              <w:jc w:val="right"/>
              <w:spacing w:after="0"/>
              <w:rPr>
                <w:sz w:val="20"/>
                <w:szCs w:val="20"/>
                <w:color w:val="auto"/>
              </w:rPr>
            </w:pPr>
            <w:r>
              <w:rPr>
                <w:rFonts w:ascii="Arial" w:cs="Arial" w:eastAsia="Arial" w:hAnsi="Arial"/>
                <w:sz w:val="9"/>
                <w:szCs w:val="9"/>
                <w:color w:val="auto"/>
              </w:rPr>
              <w:t>88.91</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33</w:t>
            </w:r>
          </w:p>
        </w:tc>
        <w:tc>
          <w:tcPr>
            <w:tcW w:w="780" w:type="dxa"/>
            <w:vAlign w:val="bottom"/>
          </w:tcPr>
          <w:p>
            <w:pPr>
              <w:jc w:val="right"/>
              <w:spacing w:after="0"/>
              <w:rPr>
                <w:sz w:val="20"/>
                <w:szCs w:val="20"/>
                <w:color w:val="auto"/>
              </w:rPr>
            </w:pPr>
            <w:r>
              <w:rPr>
                <w:rFonts w:ascii="Arial" w:cs="Arial" w:eastAsia="Arial" w:hAnsi="Arial"/>
                <w:sz w:val="9"/>
                <w:szCs w:val="9"/>
                <w:color w:val="auto"/>
              </w:rPr>
              <w:t>629,496</w:t>
            </w:r>
          </w:p>
        </w:tc>
        <w:tc>
          <w:tcPr>
            <w:tcW w:w="600" w:type="dxa"/>
            <w:vAlign w:val="bottom"/>
          </w:tcPr>
          <w:p>
            <w:pPr>
              <w:jc w:val="right"/>
              <w:spacing w:after="0"/>
              <w:rPr>
                <w:sz w:val="20"/>
                <w:szCs w:val="20"/>
                <w:color w:val="auto"/>
              </w:rPr>
            </w:pPr>
            <w:r>
              <w:rPr>
                <w:rFonts w:ascii="Arial" w:cs="Arial" w:eastAsia="Arial" w:hAnsi="Arial"/>
                <w:sz w:val="9"/>
                <w:szCs w:val="9"/>
                <w:color w:val="auto"/>
              </w:rPr>
              <w:t>3.97%</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55,856,104</w:t>
            </w:r>
          </w:p>
        </w:tc>
        <w:tc>
          <w:tcPr>
            <w:tcW w:w="1200" w:type="dxa"/>
            <w:vAlign w:val="bottom"/>
          </w:tcPr>
          <w:p>
            <w:pPr>
              <w:jc w:val="right"/>
              <w:spacing w:after="0"/>
              <w:rPr>
                <w:sz w:val="20"/>
                <w:szCs w:val="20"/>
                <w:color w:val="auto"/>
              </w:rPr>
            </w:pPr>
            <w:r>
              <w:rPr>
                <w:rFonts w:ascii="Arial" w:cs="Arial" w:eastAsia="Arial" w:hAnsi="Arial"/>
                <w:sz w:val="9"/>
                <w:szCs w:val="9"/>
                <w:color w:val="auto"/>
              </w:rPr>
              <w:t>88.73</w:t>
            </w:r>
          </w:p>
        </w:tc>
        <w:tc>
          <w:tcPr>
            <w:tcW w:w="820" w:type="dxa"/>
            <w:vAlign w:val="bottom"/>
          </w:tcPr>
          <w:p>
            <w:pPr>
              <w:jc w:val="right"/>
              <w:spacing w:after="0"/>
              <w:rPr>
                <w:sz w:val="20"/>
                <w:szCs w:val="20"/>
                <w:color w:val="auto"/>
              </w:rPr>
            </w:pPr>
            <w:r>
              <w:rPr>
                <w:rFonts w:ascii="Arial" w:cs="Arial" w:eastAsia="Arial" w:hAnsi="Arial"/>
                <w:sz w:val="9"/>
                <w:szCs w:val="9"/>
                <w:color w:val="auto"/>
              </w:rPr>
              <w:t>88.37</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13</w:t>
            </w:r>
          </w:p>
        </w:tc>
        <w:tc>
          <w:tcPr>
            <w:tcW w:w="760" w:type="dxa"/>
            <w:vAlign w:val="bottom"/>
          </w:tcPr>
          <w:p>
            <w:pPr>
              <w:jc w:val="right"/>
              <w:spacing w:after="0"/>
              <w:rPr>
                <w:sz w:val="20"/>
                <w:szCs w:val="20"/>
                <w:color w:val="auto"/>
              </w:rPr>
            </w:pPr>
            <w:r>
              <w:rPr>
                <w:rFonts w:ascii="Arial" w:cs="Arial" w:eastAsia="Arial" w:hAnsi="Arial"/>
                <w:sz w:val="9"/>
                <w:szCs w:val="9"/>
                <w:color w:val="auto"/>
              </w:rPr>
              <w:t>397,559</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6.35%</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33,216,229</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83.55</w:t>
            </w:r>
          </w:p>
        </w:tc>
        <w:tc>
          <w:tcPr>
            <w:tcW w:w="720" w:type="dxa"/>
            <w:vAlign w:val="bottom"/>
          </w:tcPr>
          <w:p>
            <w:pPr>
              <w:jc w:val="right"/>
              <w:spacing w:after="0"/>
              <w:rPr>
                <w:sz w:val="20"/>
                <w:szCs w:val="20"/>
                <w:color w:val="auto"/>
              </w:rPr>
            </w:pPr>
            <w:r>
              <w:rPr>
                <w:rFonts w:ascii="Arial" w:cs="Arial" w:eastAsia="Arial" w:hAnsi="Arial"/>
                <w:sz w:val="9"/>
                <w:szCs w:val="9"/>
                <w:color w:val="auto"/>
              </w:rPr>
              <w:t>86.13</w:t>
            </w:r>
          </w:p>
        </w:tc>
      </w:tr>
      <w:tr>
        <w:trPr>
          <w:trHeight w:val="227"/>
        </w:trPr>
        <w:tc>
          <w:tcPr>
            <w:tcW w:w="5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5"/>
              </w:rPr>
              <w:t>Thereafter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109</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6,339,966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40.00%</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374,037,013</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59.00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65.99</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31</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3,463,751</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55.34%</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238,389,021</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68.82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82.56</w:t>
            </w:r>
          </w:p>
        </w:tc>
      </w:tr>
      <w:tr>
        <w:trPr>
          <w:trHeight w:val="209"/>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742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15,849,471</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100.00%</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$1,010,629,825</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$63.76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$71.02</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196</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6,259,551</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100.00%</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$454,670,417</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$72.64</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$81.22</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222250</wp:posOffset>
            </wp:positionV>
            <wp:extent cx="3629660" cy="7150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29660" cy="71501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0"/>
        <w:spacing w:after="0"/>
        <w:rPr>
          <w:sz w:val="20"/>
          <w:szCs w:val="20"/>
          <w:color w:val="auto"/>
        </w:rPr>
      </w:pPr>
      <w:r>
        <w:rPr>
          <w:rFonts w:ascii="Arial" w:cs="Arial" w:eastAsia="Arial" w:hAnsi="Arial"/>
          <w:sz w:val="9"/>
          <w:szCs w:val="9"/>
          <w:color w:val="auto"/>
        </w:rPr>
        <w:t>NOTE: Data excludes space currently occupied by SL Green's corporate offices</w:t>
      </w:r>
    </w:p>
    <w:p>
      <w:pPr>
        <w:spacing w:after="0" w:line="115" w:lineRule="exact"/>
        <w:rPr>
          <w:sz w:val="20"/>
          <w:szCs w:val="20"/>
          <w:color w:val="auto"/>
        </w:rPr>
      </w:pPr>
    </w:p>
    <w:p>
      <w:pPr>
        <w:ind w:left="640" w:hanging="138"/>
        <w:spacing w:after="0"/>
        <w:tabs>
          <w:tab w:leader="none" w:pos="640" w:val="left"/>
        </w:tabs>
        <w:numPr>
          <w:ilvl w:val="0"/>
          <w:numId w:val="32"/>
        </w:numPr>
        <w:rPr>
          <w:rFonts w:ascii="Arial" w:cs="Arial" w:eastAsia="Arial" w:hAnsi="Arial"/>
          <w:sz w:val="9"/>
          <w:szCs w:val="9"/>
          <w:color w:val="auto"/>
        </w:rPr>
      </w:pPr>
      <w:r>
        <w:rPr>
          <w:rFonts w:ascii="Arial" w:cs="Arial" w:eastAsia="Arial" w:hAnsi="Arial"/>
          <w:sz w:val="9"/>
          <w:szCs w:val="9"/>
          <w:color w:val="auto"/>
        </w:rPr>
        <w:t>Includes month to month holdover tenants that expired prior to September 30, 2016.</w:t>
      </w:r>
    </w:p>
    <w:p>
      <w:pPr>
        <w:spacing w:after="0" w:line="115" w:lineRule="exact"/>
        <w:rPr>
          <w:rFonts w:ascii="Arial" w:cs="Arial" w:eastAsia="Arial" w:hAnsi="Arial"/>
          <w:sz w:val="9"/>
          <w:szCs w:val="9"/>
          <w:color w:val="auto"/>
        </w:rPr>
      </w:pPr>
    </w:p>
    <w:p>
      <w:pPr>
        <w:ind w:left="640" w:hanging="138"/>
        <w:spacing w:after="0"/>
        <w:tabs>
          <w:tab w:leader="none" w:pos="640" w:val="left"/>
        </w:tabs>
        <w:numPr>
          <w:ilvl w:val="0"/>
          <w:numId w:val="32"/>
        </w:numPr>
        <w:rPr>
          <w:rFonts w:ascii="Arial" w:cs="Arial" w:eastAsia="Arial" w:hAnsi="Arial"/>
          <w:sz w:val="9"/>
          <w:szCs w:val="9"/>
          <w:color w:val="auto"/>
        </w:rPr>
      </w:pPr>
      <w:r>
        <w:rPr>
          <w:rFonts w:ascii="Arial" w:cs="Arial" w:eastAsia="Arial" w:hAnsi="Arial"/>
          <w:sz w:val="9"/>
          <w:szCs w:val="9"/>
          <w:color w:val="auto"/>
        </w:rPr>
        <w:t>Tenants may have multiple leases.</w:t>
      </w:r>
    </w:p>
    <w:p>
      <w:pPr>
        <w:spacing w:after="0" w:line="115" w:lineRule="exact"/>
        <w:rPr>
          <w:rFonts w:ascii="Arial" w:cs="Arial" w:eastAsia="Arial" w:hAnsi="Arial"/>
          <w:sz w:val="9"/>
          <w:szCs w:val="9"/>
          <w:color w:val="auto"/>
        </w:rPr>
      </w:pPr>
    </w:p>
    <w:p>
      <w:pPr>
        <w:ind w:left="640" w:hanging="138"/>
        <w:spacing w:after="0"/>
        <w:tabs>
          <w:tab w:leader="none" w:pos="640" w:val="left"/>
        </w:tabs>
        <w:numPr>
          <w:ilvl w:val="0"/>
          <w:numId w:val="32"/>
        </w:numPr>
        <w:rPr>
          <w:rFonts w:ascii="Arial" w:cs="Arial" w:eastAsia="Arial" w:hAnsi="Arial"/>
          <w:sz w:val="9"/>
          <w:szCs w:val="9"/>
          <w:color w:val="auto"/>
        </w:rPr>
      </w:pPr>
      <w:r>
        <w:rPr>
          <w:rFonts w:ascii="Arial" w:cs="Arial" w:eastAsia="Arial" w:hAnsi="Arial"/>
          <w:sz w:val="9"/>
          <w:szCs w:val="9"/>
          <w:color w:val="auto"/>
        </w:rPr>
        <w:t>Represents in place annualized rent allocated by year of expiration.</w:t>
      </w:r>
    </w:p>
    <w:p>
      <w:pPr>
        <w:spacing w:after="0" w:line="38" w:lineRule="exact"/>
        <w:rPr>
          <w:rFonts w:ascii="Arial" w:cs="Arial" w:eastAsia="Arial" w:hAnsi="Arial"/>
          <w:sz w:val="9"/>
          <w:szCs w:val="9"/>
          <w:color w:val="auto"/>
        </w:rPr>
      </w:pPr>
    </w:p>
    <w:p>
      <w:pPr>
        <w:ind w:left="500" w:right="4520" w:firstLine="2"/>
        <w:spacing w:after="0" w:line="235" w:lineRule="auto"/>
        <w:tabs>
          <w:tab w:leader="none" w:pos="631" w:val="left"/>
        </w:tabs>
        <w:numPr>
          <w:ilvl w:val="0"/>
          <w:numId w:val="32"/>
        </w:numPr>
        <w:rPr>
          <w:rFonts w:ascii="Arial" w:cs="Arial" w:eastAsia="Arial" w:hAnsi="Arial"/>
          <w:sz w:val="9"/>
          <w:szCs w:val="9"/>
          <w:color w:val="auto"/>
        </w:rPr>
      </w:pPr>
      <w:r>
        <w:rPr>
          <w:rFonts w:ascii="Arial" w:cs="Arial" w:eastAsia="Arial" w:hAnsi="Arial"/>
          <w:sz w:val="9"/>
          <w:szCs w:val="9"/>
          <w:color w:val="auto"/>
        </w:rPr>
        <w:t>Management's estimate of current average asking rents for currently occupied space as of September 30, 2016. Taking rents are typically lower than asking rents and may vary from property to property.</w:t>
      </w:r>
    </w:p>
    <w:p>
      <w:pPr>
        <w:spacing w:after="0" w:line="200" w:lineRule="exact"/>
        <w:rPr>
          <w:sz w:val="20"/>
          <w:szCs w:val="20"/>
          <w:color w:val="auto"/>
        </w:rPr>
      </w:pPr>
    </w:p>
    <w:p>
      <w:pPr>
        <w:spacing w:after="0" w:line="327"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48</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20"/>
          </w:cols>
          <w:pgMar w:left="900" w:top="338" w:right="87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ANNUAL LEASE EXPIRATIONS - SUBURBAN OPERATING PROPERTIES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Office, Retail and Storage Leases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2600" w:type="dxa"/>
            <w:vAlign w:val="bottom"/>
            <w:tcBorders>
              <w:bottom w:val="single" w:sz="8" w:color="auto"/>
            </w:tcBorders>
            <w:gridSpan w:val="3"/>
          </w:tcPr>
          <w:p>
            <w:pPr>
              <w:jc w:val="right"/>
              <w:ind w:right="1016"/>
              <w:spacing w:after="0"/>
              <w:rPr>
                <w:sz w:val="20"/>
                <w:szCs w:val="20"/>
                <w:color w:val="auto"/>
              </w:rPr>
            </w:pPr>
            <w:r>
              <w:rPr>
                <w:rFonts w:ascii="Arial" w:cs="Arial" w:eastAsia="Arial" w:hAnsi="Arial"/>
                <w:sz w:val="9"/>
                <w:szCs w:val="9"/>
                <w:b w:val="1"/>
                <w:bCs w:val="1"/>
                <w:color w:val="auto"/>
              </w:rPr>
              <w:t>Consolidated Properties</w:t>
            </w:r>
          </w:p>
        </w:tc>
        <w:tc>
          <w:tcPr>
            <w:tcW w:w="8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rPr>
              <w:t>Joint Venture Properties</w:t>
            </w:r>
          </w:p>
        </w:tc>
        <w:tc>
          <w:tcPr>
            <w:tcW w:w="10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r>
      <w:tr>
        <w:trPr>
          <w:trHeight w:val="107"/>
        </w:trPr>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0" w:type="dxa"/>
            <w:vAlign w:val="bottom"/>
          </w:tcPr>
          <w:p>
            <w:pPr>
              <w:jc w:val="right"/>
              <w:ind w:right="136"/>
              <w:spacing w:after="0"/>
              <w:rPr>
                <w:sz w:val="20"/>
                <w:szCs w:val="20"/>
                <w:color w:val="auto"/>
              </w:rPr>
            </w:pPr>
            <w:r>
              <w:rPr>
                <w:rFonts w:ascii="Arial" w:cs="Arial" w:eastAsia="Arial" w:hAnsi="Arial"/>
                <w:sz w:val="9"/>
                <w:szCs w:val="9"/>
                <w:b w:val="1"/>
                <w:bCs w:val="1"/>
                <w:color w:val="auto"/>
              </w:rPr>
              <w:t>Annualized</w:t>
            </w:r>
          </w:p>
        </w:tc>
        <w:tc>
          <w:tcPr>
            <w:tcW w:w="1000" w:type="dxa"/>
            <w:vAlign w:val="bottom"/>
          </w:tcPr>
          <w:p>
            <w:pPr>
              <w:jc w:val="right"/>
              <w:ind w:right="16"/>
              <w:spacing w:after="0"/>
              <w:rPr>
                <w:sz w:val="20"/>
                <w:szCs w:val="20"/>
                <w:color w:val="auto"/>
              </w:rPr>
            </w:pPr>
            <w:r>
              <w:rPr>
                <w:rFonts w:ascii="Arial" w:cs="Arial" w:eastAsia="Arial" w:hAnsi="Arial"/>
                <w:sz w:val="9"/>
                <w:szCs w:val="9"/>
                <w:b w:val="1"/>
                <w:bCs w:val="1"/>
                <w:color w:val="auto"/>
                <w:w w:val="96"/>
              </w:rPr>
              <w:t>Annualized Cash Rent</w:t>
            </w: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Current</w:t>
            </w: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Year of</w:t>
            </w:r>
          </w:p>
        </w:tc>
        <w:tc>
          <w:tcPr>
            <w:tcW w:w="5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7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Rentable Square</w:t>
            </w:r>
          </w:p>
        </w:tc>
        <w:tc>
          <w:tcPr>
            <w:tcW w:w="60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w w:val="98"/>
              </w:rPr>
              <w:t>Percentage</w:t>
            </w:r>
          </w:p>
        </w:tc>
        <w:tc>
          <w:tcPr>
            <w:tcW w:w="80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Annualized</w:t>
            </w:r>
          </w:p>
        </w:tc>
        <w:tc>
          <w:tcPr>
            <w:tcW w:w="12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Annualized Cash Rent Per</w:t>
            </w: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b w:val="1"/>
                <w:bCs w:val="1"/>
                <w:color w:val="auto"/>
              </w:rPr>
              <w:t>Current Weighted</w:t>
            </w:r>
          </w:p>
        </w:tc>
        <w:tc>
          <w:tcPr>
            <w:tcW w:w="5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8"/>
              </w:rPr>
              <w:t>Rentable Square</w:t>
            </w:r>
          </w:p>
        </w:tc>
        <w:tc>
          <w:tcPr>
            <w:tcW w:w="640" w:type="dxa"/>
            <w:vAlign w:val="bottom"/>
          </w:tcPr>
          <w:p>
            <w:pPr>
              <w:jc w:val="right"/>
              <w:ind w:right="96"/>
              <w:spacing w:after="0" w:line="99" w:lineRule="exact"/>
              <w:rPr>
                <w:sz w:val="20"/>
                <w:szCs w:val="20"/>
                <w:color w:val="auto"/>
              </w:rPr>
            </w:pPr>
            <w:r>
              <w:rPr>
                <w:rFonts w:ascii="Arial" w:cs="Arial" w:eastAsia="Arial" w:hAnsi="Arial"/>
                <w:sz w:val="9"/>
                <w:szCs w:val="9"/>
                <w:b w:val="1"/>
                <w:bCs w:val="1"/>
                <w:color w:val="auto"/>
                <w:w w:val="98"/>
              </w:rPr>
              <w:t>Percentage</w:t>
            </w:r>
          </w:p>
        </w:tc>
        <w:tc>
          <w:tcPr>
            <w:tcW w:w="800" w:type="dxa"/>
            <w:vAlign w:val="bottom"/>
          </w:tcPr>
          <w:p>
            <w:pPr>
              <w:jc w:val="right"/>
              <w:ind w:right="136"/>
              <w:spacing w:after="0" w:line="99" w:lineRule="exact"/>
              <w:rPr>
                <w:sz w:val="20"/>
                <w:szCs w:val="20"/>
                <w:color w:val="auto"/>
              </w:rPr>
            </w:pPr>
            <w:r>
              <w:rPr>
                <w:rFonts w:ascii="Arial" w:cs="Arial" w:eastAsia="Arial" w:hAnsi="Arial"/>
                <w:sz w:val="9"/>
                <w:szCs w:val="9"/>
                <w:b w:val="1"/>
                <w:bCs w:val="1"/>
                <w:color w:val="auto"/>
              </w:rPr>
              <w:t>Cash Rent of</w:t>
            </w:r>
          </w:p>
        </w:tc>
        <w:tc>
          <w:tcPr>
            <w:tcW w:w="10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Per Square Foot of</w:t>
            </w:r>
          </w:p>
        </w:tc>
        <w:tc>
          <w:tcPr>
            <w:tcW w:w="7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Weighted</w:t>
            </w: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b w:val="1"/>
                <w:bCs w:val="1"/>
                <w:color w:val="auto"/>
              </w:rPr>
              <w:t>Lease</w:t>
            </w:r>
          </w:p>
        </w:tc>
        <w:tc>
          <w:tcPr>
            <w:tcW w:w="5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78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Footage of</w:t>
            </w:r>
          </w:p>
        </w:tc>
        <w:tc>
          <w:tcPr>
            <w:tcW w:w="600" w:type="dxa"/>
            <w:vAlign w:val="bottom"/>
          </w:tcPr>
          <w:p>
            <w:pPr>
              <w:jc w:val="right"/>
              <w:ind w:right="56"/>
              <w:spacing w:after="0" w:line="99" w:lineRule="exact"/>
              <w:rPr>
                <w:sz w:val="20"/>
                <w:szCs w:val="20"/>
                <w:color w:val="auto"/>
              </w:rPr>
            </w:pPr>
            <w:r>
              <w:rPr>
                <w:rFonts w:ascii="Arial" w:cs="Arial" w:eastAsia="Arial" w:hAnsi="Arial"/>
                <w:sz w:val="9"/>
                <w:szCs w:val="9"/>
                <w:b w:val="1"/>
                <w:bCs w:val="1"/>
                <w:color w:val="auto"/>
              </w:rPr>
              <w:t>of Total</w:t>
            </w:r>
          </w:p>
        </w:tc>
        <w:tc>
          <w:tcPr>
            <w:tcW w:w="80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Cash Rent of</w:t>
            </w:r>
          </w:p>
        </w:tc>
        <w:tc>
          <w:tcPr>
            <w:tcW w:w="120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Square Foot of Expiring</w:t>
            </w:r>
          </w:p>
        </w:tc>
        <w:tc>
          <w:tcPr>
            <w:tcW w:w="1120" w:type="dxa"/>
            <w:vAlign w:val="bottom"/>
            <w:gridSpan w:val="2"/>
          </w:tcPr>
          <w:p>
            <w:pPr>
              <w:jc w:val="right"/>
              <w:ind w:right="320"/>
              <w:spacing w:after="0" w:line="99" w:lineRule="exact"/>
              <w:rPr>
                <w:sz w:val="20"/>
                <w:szCs w:val="20"/>
                <w:color w:val="auto"/>
              </w:rPr>
            </w:pPr>
            <w:r>
              <w:rPr>
                <w:rFonts w:ascii="Arial" w:cs="Arial" w:eastAsia="Arial" w:hAnsi="Arial"/>
                <w:sz w:val="9"/>
                <w:szCs w:val="9"/>
                <w:b w:val="1"/>
                <w:bCs w:val="1"/>
                <w:color w:val="auto"/>
              </w:rPr>
              <w:t>Average Asking</w:t>
            </w:r>
          </w:p>
        </w:tc>
        <w:tc>
          <w:tcPr>
            <w:tcW w:w="5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Footage of</w:t>
            </w:r>
          </w:p>
        </w:tc>
        <w:tc>
          <w:tcPr>
            <w:tcW w:w="640" w:type="dxa"/>
            <w:vAlign w:val="bottom"/>
          </w:tcPr>
          <w:p>
            <w:pPr>
              <w:jc w:val="right"/>
              <w:ind w:right="96"/>
              <w:spacing w:after="0" w:line="99" w:lineRule="exact"/>
              <w:rPr>
                <w:sz w:val="20"/>
                <w:szCs w:val="20"/>
                <w:color w:val="auto"/>
              </w:rPr>
            </w:pPr>
            <w:r>
              <w:rPr>
                <w:rFonts w:ascii="Arial" w:cs="Arial" w:eastAsia="Arial" w:hAnsi="Arial"/>
                <w:sz w:val="9"/>
                <w:szCs w:val="9"/>
                <w:b w:val="1"/>
                <w:bCs w:val="1"/>
                <w:color w:val="auto"/>
              </w:rPr>
              <w:t>of Total</w:t>
            </w:r>
          </w:p>
        </w:tc>
        <w:tc>
          <w:tcPr>
            <w:tcW w:w="800" w:type="dxa"/>
            <w:vAlign w:val="bottom"/>
          </w:tcPr>
          <w:p>
            <w:pPr>
              <w:jc w:val="right"/>
              <w:ind w:right="136"/>
              <w:spacing w:after="0" w:line="99" w:lineRule="exact"/>
              <w:rPr>
                <w:sz w:val="20"/>
                <w:szCs w:val="20"/>
                <w:color w:val="auto"/>
              </w:rPr>
            </w:pPr>
            <w:r>
              <w:rPr>
                <w:rFonts w:ascii="Arial" w:cs="Arial" w:eastAsia="Arial" w:hAnsi="Arial"/>
                <w:sz w:val="9"/>
                <w:szCs w:val="9"/>
                <w:b w:val="1"/>
                <w:bCs w:val="1"/>
                <w:color w:val="auto"/>
              </w:rPr>
              <w:t>Expiring</w:t>
            </w:r>
          </w:p>
        </w:tc>
        <w:tc>
          <w:tcPr>
            <w:tcW w:w="100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w w:val="99"/>
              </w:rPr>
              <w:t>Expiring Leases $/psf</w:t>
            </w:r>
          </w:p>
        </w:tc>
        <w:tc>
          <w:tcPr>
            <w:tcW w:w="7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9"/>
              </w:rPr>
              <w:t>Average Asking</w:t>
            </w:r>
          </w:p>
        </w:tc>
      </w:tr>
      <w:tr>
        <w:trPr>
          <w:trHeight w:val="124"/>
        </w:trPr>
        <w:tc>
          <w:tcPr>
            <w:tcW w:w="4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5"/>
              </w:rPr>
              <w:t>Expiration</w:t>
            </w:r>
          </w:p>
        </w:tc>
        <w:tc>
          <w:tcPr>
            <w:tcW w:w="80" w:type="dxa"/>
            <w:vAlign w:val="bottom"/>
          </w:tcPr>
          <w:p>
            <w:pPr>
              <w:spacing w:after="0"/>
              <w:rPr>
                <w:sz w:val="10"/>
                <w:szCs w:val="1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Expiring Leases</w:t>
            </w:r>
          </w:p>
        </w:tc>
        <w:tc>
          <w:tcPr>
            <w:tcW w:w="60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b w:val="1"/>
                <w:bCs w:val="1"/>
                <w:color w:val="auto"/>
              </w:rPr>
              <w:t>Sq. Ft.</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Expiring Leases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$/psf (3)</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$/psf (4)</w:t>
            </w:r>
          </w:p>
        </w:tc>
        <w:tc>
          <w:tcPr>
            <w:tcW w:w="300" w:type="dxa"/>
            <w:vAlign w:val="bottom"/>
          </w:tcPr>
          <w:p>
            <w:pPr>
              <w:spacing w:after="0"/>
              <w:rPr>
                <w:sz w:val="10"/>
                <w:szCs w:val="1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Leases (2)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Expiring Leases</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b w:val="1"/>
                <w:bCs w:val="1"/>
                <w:color w:val="auto"/>
              </w:rPr>
              <w:t>Sq. Ft.</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Leases</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Rent $/psf (4)</w:t>
            </w:r>
          </w:p>
        </w:tc>
      </w:tr>
      <w:tr>
        <w:trPr>
          <w:trHeight w:val="270"/>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w w:val="93"/>
              </w:rPr>
              <w:t>1st Quarter</w:t>
            </w:r>
          </w:p>
        </w:tc>
        <w:tc>
          <w:tcPr>
            <w:tcW w:w="5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105"/>
        </w:trPr>
        <w:tc>
          <w:tcPr>
            <w:tcW w:w="48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11</w:t>
            </w:r>
          </w:p>
        </w:tc>
        <w:tc>
          <w:tcPr>
            <w:tcW w:w="780" w:type="dxa"/>
            <w:vAlign w:val="bottom"/>
          </w:tcPr>
          <w:p>
            <w:pPr>
              <w:jc w:val="right"/>
              <w:spacing w:after="0"/>
              <w:rPr>
                <w:sz w:val="20"/>
                <w:szCs w:val="20"/>
                <w:color w:val="auto"/>
              </w:rPr>
            </w:pPr>
            <w:r>
              <w:rPr>
                <w:rFonts w:ascii="Arial" w:cs="Arial" w:eastAsia="Arial" w:hAnsi="Arial"/>
                <w:sz w:val="9"/>
                <w:szCs w:val="9"/>
                <w:color w:val="auto"/>
              </w:rPr>
              <w:t>33,973</w:t>
            </w:r>
          </w:p>
        </w:tc>
        <w:tc>
          <w:tcPr>
            <w:tcW w:w="600" w:type="dxa"/>
            <w:vAlign w:val="bottom"/>
          </w:tcPr>
          <w:p>
            <w:pPr>
              <w:jc w:val="right"/>
              <w:spacing w:after="0"/>
              <w:rPr>
                <w:sz w:val="20"/>
                <w:szCs w:val="20"/>
                <w:color w:val="auto"/>
              </w:rPr>
            </w:pPr>
            <w:r>
              <w:rPr>
                <w:rFonts w:ascii="Arial" w:cs="Arial" w:eastAsia="Arial" w:hAnsi="Arial"/>
                <w:sz w:val="9"/>
                <w:szCs w:val="9"/>
                <w:color w:val="auto"/>
              </w:rPr>
              <w:t>1.05%</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$1,110,262</w:t>
            </w:r>
          </w:p>
        </w:tc>
        <w:tc>
          <w:tcPr>
            <w:tcW w:w="1200" w:type="dxa"/>
            <w:vAlign w:val="bottom"/>
          </w:tcPr>
          <w:p>
            <w:pPr>
              <w:jc w:val="right"/>
              <w:spacing w:after="0"/>
              <w:rPr>
                <w:sz w:val="20"/>
                <w:szCs w:val="20"/>
                <w:color w:val="auto"/>
              </w:rPr>
            </w:pPr>
            <w:r>
              <w:rPr>
                <w:rFonts w:ascii="Arial" w:cs="Arial" w:eastAsia="Arial" w:hAnsi="Arial"/>
                <w:sz w:val="9"/>
                <w:szCs w:val="9"/>
                <w:color w:val="auto"/>
              </w:rPr>
              <w:t>$32.68</w:t>
            </w:r>
          </w:p>
        </w:tc>
        <w:tc>
          <w:tcPr>
            <w:tcW w:w="820" w:type="dxa"/>
            <w:vAlign w:val="bottom"/>
          </w:tcPr>
          <w:p>
            <w:pPr>
              <w:jc w:val="right"/>
              <w:spacing w:after="0"/>
              <w:rPr>
                <w:sz w:val="20"/>
                <w:szCs w:val="20"/>
                <w:color w:val="auto"/>
              </w:rPr>
            </w:pPr>
            <w:r>
              <w:rPr>
                <w:rFonts w:ascii="Arial" w:cs="Arial" w:eastAsia="Arial" w:hAnsi="Arial"/>
                <w:sz w:val="9"/>
                <w:szCs w:val="9"/>
                <w:color w:val="auto"/>
              </w:rPr>
              <w:t>$39.28</w:t>
            </w:r>
          </w:p>
        </w:tc>
        <w:tc>
          <w:tcPr>
            <w:tcW w:w="3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w:t>
            </w:r>
          </w:p>
        </w:tc>
        <w:tc>
          <w:tcPr>
            <w:tcW w:w="760" w:type="dxa"/>
            <w:vAlign w:val="bottom"/>
          </w:tcPr>
          <w:p>
            <w:pPr>
              <w:jc w:val="right"/>
              <w:spacing w:after="0"/>
              <w:rPr>
                <w:sz w:val="20"/>
                <w:szCs w:val="20"/>
                <w:color w:val="auto"/>
              </w:rPr>
            </w:pPr>
            <w:r>
              <w:rPr>
                <w:rFonts w:ascii="Arial" w:cs="Arial" w:eastAsia="Arial" w:hAnsi="Arial"/>
                <w:sz w:val="9"/>
                <w:szCs w:val="9"/>
                <w:color w:val="auto"/>
              </w:rPr>
              <w:t>4,060</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0.91%</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$116,797</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$28.77</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135"/>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2nd</w:t>
            </w: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Quarter</w:t>
            </w: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5"/>
        </w:trPr>
        <w:tc>
          <w:tcPr>
            <w:tcW w:w="48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w:t>
            </w:r>
          </w:p>
        </w:tc>
        <w:tc>
          <w:tcPr>
            <w:tcW w:w="780" w:type="dxa"/>
            <w:vAlign w:val="bottom"/>
          </w:tcPr>
          <w:p>
            <w:pPr>
              <w:jc w:val="right"/>
              <w:spacing w:after="0"/>
              <w:rPr>
                <w:sz w:val="20"/>
                <w:szCs w:val="20"/>
                <w:color w:val="auto"/>
              </w:rPr>
            </w:pPr>
            <w:r>
              <w:rPr>
                <w:rFonts w:ascii="Arial" w:cs="Arial" w:eastAsia="Arial" w:hAnsi="Arial"/>
                <w:sz w:val="9"/>
                <w:szCs w:val="9"/>
                <w:color w:val="auto"/>
              </w:rPr>
              <w:t>—</w:t>
            </w:r>
          </w:p>
        </w:tc>
        <w:tc>
          <w:tcPr>
            <w:tcW w:w="600" w:type="dxa"/>
            <w:vAlign w:val="bottom"/>
          </w:tcPr>
          <w:p>
            <w:pPr>
              <w:jc w:val="right"/>
              <w:ind w:right="56"/>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w:t>
            </w:r>
          </w:p>
        </w:tc>
        <w:tc>
          <w:tcPr>
            <w:tcW w:w="1200" w:type="dxa"/>
            <w:vAlign w:val="bottom"/>
          </w:tcPr>
          <w:p>
            <w:pPr>
              <w:jc w:val="right"/>
              <w:spacing w:after="0"/>
              <w:rPr>
                <w:sz w:val="20"/>
                <w:szCs w:val="20"/>
                <w:color w:val="auto"/>
              </w:rPr>
            </w:pPr>
            <w:r>
              <w:rPr>
                <w:rFonts w:ascii="Arial" w:cs="Arial" w:eastAsia="Arial" w:hAnsi="Arial"/>
                <w:sz w:val="9"/>
                <w:szCs w:val="9"/>
                <w:color w:val="auto"/>
              </w:rPr>
              <w:t>—</w:t>
            </w:r>
          </w:p>
        </w:tc>
        <w:tc>
          <w:tcPr>
            <w:tcW w:w="1120" w:type="dxa"/>
            <w:vAlign w:val="bottom"/>
            <w:gridSpan w:val="2"/>
          </w:tcPr>
          <w:p>
            <w:pPr>
              <w:jc w:val="right"/>
              <w:ind w:right="320"/>
              <w:spacing w:after="0"/>
              <w:rPr>
                <w:sz w:val="20"/>
                <w:szCs w:val="20"/>
                <w:color w:val="auto"/>
              </w:rPr>
            </w:pPr>
            <w:r>
              <w:rPr>
                <w:rFonts w:ascii="Arial" w:cs="Arial" w:eastAsia="Arial" w:hAnsi="Arial"/>
                <w:sz w:val="9"/>
                <w:szCs w:val="9"/>
                <w:color w:val="auto"/>
              </w:rPr>
              <w:t>—</w:t>
            </w: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3rd</w:t>
            </w: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Quarter</w:t>
            </w: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05"/>
        </w:trPr>
        <w:tc>
          <w:tcPr>
            <w:tcW w:w="480" w:type="dxa"/>
            <w:vAlign w:val="bottom"/>
          </w:tcPr>
          <w:p>
            <w:pPr>
              <w:jc w:val="right"/>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80" w:type="dxa"/>
            <w:vAlign w:val="bottom"/>
          </w:tcPr>
          <w:p>
            <w:pPr>
              <w:spacing w:after="0"/>
              <w:rPr>
                <w:sz w:val="9"/>
                <w:szCs w:val="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8</w:t>
            </w:r>
          </w:p>
        </w:tc>
        <w:tc>
          <w:tcPr>
            <w:tcW w:w="780" w:type="dxa"/>
            <w:vAlign w:val="bottom"/>
          </w:tcPr>
          <w:p>
            <w:pPr>
              <w:jc w:val="right"/>
              <w:spacing w:after="0"/>
              <w:rPr>
                <w:sz w:val="20"/>
                <w:szCs w:val="20"/>
                <w:color w:val="auto"/>
              </w:rPr>
            </w:pPr>
            <w:r>
              <w:rPr>
                <w:rFonts w:ascii="Arial" w:cs="Arial" w:eastAsia="Arial" w:hAnsi="Arial"/>
                <w:sz w:val="9"/>
                <w:szCs w:val="9"/>
                <w:color w:val="auto"/>
              </w:rPr>
              <w:t>38,211</w:t>
            </w:r>
          </w:p>
        </w:tc>
        <w:tc>
          <w:tcPr>
            <w:tcW w:w="600" w:type="dxa"/>
            <w:vAlign w:val="bottom"/>
          </w:tcPr>
          <w:p>
            <w:pPr>
              <w:jc w:val="right"/>
              <w:spacing w:after="0"/>
              <w:rPr>
                <w:sz w:val="20"/>
                <w:szCs w:val="20"/>
                <w:color w:val="auto"/>
              </w:rPr>
            </w:pPr>
            <w:r>
              <w:rPr>
                <w:rFonts w:ascii="Arial" w:cs="Arial" w:eastAsia="Arial" w:hAnsi="Arial"/>
                <w:sz w:val="9"/>
                <w:szCs w:val="9"/>
                <w:color w:val="auto"/>
              </w:rPr>
              <w:t>1.18%</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1,361,413</w:t>
            </w:r>
          </w:p>
        </w:tc>
        <w:tc>
          <w:tcPr>
            <w:tcW w:w="1200" w:type="dxa"/>
            <w:vAlign w:val="bottom"/>
          </w:tcPr>
          <w:p>
            <w:pPr>
              <w:jc w:val="right"/>
              <w:spacing w:after="0"/>
              <w:rPr>
                <w:sz w:val="20"/>
                <w:szCs w:val="20"/>
                <w:color w:val="auto"/>
              </w:rPr>
            </w:pPr>
            <w:r>
              <w:rPr>
                <w:rFonts w:ascii="Arial" w:cs="Arial" w:eastAsia="Arial" w:hAnsi="Arial"/>
                <w:sz w:val="9"/>
                <w:szCs w:val="9"/>
                <w:color w:val="auto"/>
              </w:rPr>
              <w:t>35.63</w:t>
            </w:r>
          </w:p>
        </w:tc>
        <w:tc>
          <w:tcPr>
            <w:tcW w:w="820" w:type="dxa"/>
            <w:vAlign w:val="bottom"/>
          </w:tcPr>
          <w:p>
            <w:pPr>
              <w:jc w:val="right"/>
              <w:spacing w:after="0"/>
              <w:rPr>
                <w:sz w:val="20"/>
                <w:szCs w:val="20"/>
                <w:color w:val="auto"/>
              </w:rPr>
            </w:pPr>
            <w:r>
              <w:rPr>
                <w:rFonts w:ascii="Arial" w:cs="Arial" w:eastAsia="Arial" w:hAnsi="Arial"/>
                <w:sz w:val="9"/>
                <w:szCs w:val="9"/>
                <w:color w:val="auto"/>
              </w:rPr>
              <w:t>39.70</w:t>
            </w:r>
          </w:p>
        </w:tc>
        <w:tc>
          <w:tcPr>
            <w:tcW w:w="300" w:type="dxa"/>
            <w:vAlign w:val="bottom"/>
          </w:tcPr>
          <w:p>
            <w:pPr>
              <w:spacing w:after="0"/>
              <w:rPr>
                <w:sz w:val="9"/>
                <w:szCs w:val="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c>
          <w:tcPr>
            <w:tcW w:w="640" w:type="dxa"/>
            <w:vAlign w:val="bottom"/>
          </w:tcPr>
          <w:p>
            <w:pPr>
              <w:jc w:val="right"/>
              <w:ind w:right="96"/>
              <w:spacing w:after="0"/>
              <w:rPr>
                <w:sz w:val="20"/>
                <w:szCs w:val="20"/>
                <w:color w:val="auto"/>
              </w:rPr>
            </w:pPr>
            <w:r>
              <w:rPr>
                <w:rFonts w:ascii="Arial" w:cs="Arial" w:eastAsia="Arial" w:hAnsi="Arial"/>
                <w:sz w:val="9"/>
                <w:szCs w:val="9"/>
                <w:color w:val="auto"/>
              </w:rPr>
              <w:t>—</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72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135"/>
        </w:trPr>
        <w:tc>
          <w:tcPr>
            <w:tcW w:w="560" w:type="dxa"/>
            <w:vAlign w:val="bottom"/>
            <w:gridSpan w:val="2"/>
          </w:tcPr>
          <w:p>
            <w:pPr>
              <w:jc w:val="right"/>
              <w:ind w:right="120"/>
              <w:spacing w:after="0"/>
              <w:rPr>
                <w:sz w:val="20"/>
                <w:szCs w:val="20"/>
                <w:color w:val="auto"/>
              </w:rPr>
            </w:pPr>
            <w:r>
              <w:rPr>
                <w:rFonts w:ascii="Arial" w:cs="Arial" w:eastAsia="Arial" w:hAnsi="Arial"/>
                <w:sz w:val="9"/>
                <w:szCs w:val="9"/>
                <w:color w:val="auto"/>
              </w:rPr>
              <w:t>4th</w:t>
            </w: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98"/>
        </w:trPr>
        <w:tc>
          <w:tcPr>
            <w:tcW w:w="560" w:type="dxa"/>
            <w:vAlign w:val="bottom"/>
            <w:gridSpan w:val="2"/>
          </w:tcPr>
          <w:p>
            <w:pPr>
              <w:jc w:val="right"/>
              <w:ind w:right="120"/>
              <w:spacing w:after="0" w:line="99" w:lineRule="exact"/>
              <w:rPr>
                <w:sz w:val="20"/>
                <w:szCs w:val="20"/>
                <w:color w:val="auto"/>
              </w:rPr>
            </w:pPr>
            <w:r>
              <w:rPr>
                <w:rFonts w:ascii="Arial" w:cs="Arial" w:eastAsia="Arial" w:hAnsi="Arial"/>
                <w:sz w:val="9"/>
                <w:szCs w:val="9"/>
                <w:color w:val="auto"/>
              </w:rPr>
              <w:t>Quarter</w:t>
            </w:r>
          </w:p>
        </w:tc>
        <w:tc>
          <w:tcPr>
            <w:tcW w:w="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20" w:type="dxa"/>
            <w:vAlign w:val="bottom"/>
          </w:tcPr>
          <w:p>
            <w:pPr>
              <w:spacing w:after="0"/>
              <w:rPr>
                <w:sz w:val="8"/>
                <w:szCs w:val="8"/>
                <w:color w:val="auto"/>
              </w:rPr>
            </w:pPr>
          </w:p>
        </w:tc>
      </w:tr>
      <w:tr>
        <w:trPr>
          <w:trHeight w:val="114"/>
        </w:trPr>
        <w:tc>
          <w:tcPr>
            <w:tcW w:w="480" w:type="dxa"/>
            <w:vAlign w:val="bottom"/>
          </w:tcPr>
          <w:p>
            <w:pPr>
              <w:jc w:val="right"/>
              <w:spacing w:after="0"/>
              <w:rPr>
                <w:sz w:val="20"/>
                <w:szCs w:val="20"/>
                <w:color w:val="auto"/>
              </w:rPr>
            </w:pPr>
            <w:r>
              <w:rPr>
                <w:rFonts w:ascii="Arial" w:cs="Arial" w:eastAsia="Arial" w:hAnsi="Arial"/>
                <w:sz w:val="9"/>
                <w:szCs w:val="9"/>
                <w:color w:val="auto"/>
              </w:rPr>
              <w:t>2016</w:t>
            </w:r>
          </w:p>
        </w:tc>
        <w:tc>
          <w:tcPr>
            <w:tcW w:w="80" w:type="dxa"/>
            <w:vAlign w:val="bottom"/>
          </w:tcPr>
          <w:p>
            <w:pPr>
              <w:spacing w:after="0"/>
              <w:rPr>
                <w:sz w:val="9"/>
                <w:szCs w:val="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47,888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1.48%</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1,817,217</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37.95</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38.90</w:t>
            </w:r>
          </w:p>
        </w:tc>
        <w:tc>
          <w:tcPr>
            <w:tcW w:w="300" w:type="dxa"/>
            <w:vAlign w:val="bottom"/>
          </w:tcPr>
          <w:p>
            <w:pPr>
              <w:spacing w:after="0"/>
              <w:rPr>
                <w:sz w:val="9"/>
                <w:szCs w:val="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c>
          <w:tcPr>
            <w:tcW w:w="64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w:t>
            </w:r>
          </w:p>
        </w:tc>
      </w:tr>
      <w:tr>
        <w:trPr>
          <w:trHeight w:val="376"/>
        </w:trPr>
        <w:tc>
          <w:tcPr>
            <w:tcW w:w="5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5"/>
              </w:rPr>
              <w:t>Total 2016</w:t>
            </w:r>
          </w:p>
        </w:tc>
        <w:tc>
          <w:tcPr>
            <w:tcW w:w="580" w:type="dxa"/>
            <w:vAlign w:val="bottom"/>
          </w:tcPr>
          <w:p>
            <w:pPr>
              <w:jc w:val="right"/>
              <w:spacing w:after="0"/>
              <w:rPr>
                <w:sz w:val="20"/>
                <w:szCs w:val="20"/>
                <w:color w:val="auto"/>
              </w:rPr>
            </w:pPr>
            <w:r>
              <w:rPr>
                <w:rFonts w:ascii="Arial" w:cs="Arial" w:eastAsia="Arial" w:hAnsi="Arial"/>
                <w:sz w:val="9"/>
                <w:szCs w:val="9"/>
                <w:b w:val="1"/>
                <w:bCs w:val="1"/>
                <w:color w:val="auto"/>
              </w:rPr>
              <w:t>30</w:t>
            </w:r>
          </w:p>
        </w:tc>
        <w:tc>
          <w:tcPr>
            <w:tcW w:w="780" w:type="dxa"/>
            <w:vAlign w:val="bottom"/>
          </w:tcPr>
          <w:p>
            <w:pPr>
              <w:jc w:val="right"/>
              <w:spacing w:after="0"/>
              <w:rPr>
                <w:sz w:val="20"/>
                <w:szCs w:val="20"/>
                <w:color w:val="auto"/>
              </w:rPr>
            </w:pPr>
            <w:r>
              <w:rPr>
                <w:rFonts w:ascii="Arial" w:cs="Arial" w:eastAsia="Arial" w:hAnsi="Arial"/>
                <w:sz w:val="9"/>
                <w:szCs w:val="9"/>
                <w:b w:val="1"/>
                <w:bCs w:val="1"/>
                <w:color w:val="auto"/>
              </w:rPr>
              <w:t>120,072</w:t>
            </w: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3.70%</w:t>
            </w:r>
          </w:p>
        </w:tc>
        <w:tc>
          <w:tcPr>
            <w:tcW w:w="800" w:type="dxa"/>
            <w:vAlign w:val="bottom"/>
          </w:tcPr>
          <w:p>
            <w:pPr>
              <w:jc w:val="right"/>
              <w:ind w:right="36"/>
              <w:spacing w:after="0"/>
              <w:rPr>
                <w:sz w:val="20"/>
                <w:szCs w:val="20"/>
                <w:color w:val="auto"/>
              </w:rPr>
            </w:pPr>
            <w:r>
              <w:rPr>
                <w:rFonts w:ascii="Arial" w:cs="Arial" w:eastAsia="Arial" w:hAnsi="Arial"/>
                <w:sz w:val="9"/>
                <w:szCs w:val="9"/>
                <w:b w:val="1"/>
                <w:bCs w:val="1"/>
                <w:color w:val="auto"/>
              </w:rPr>
              <w:t>$4,288,891</w:t>
            </w:r>
          </w:p>
        </w:tc>
        <w:tc>
          <w:tcPr>
            <w:tcW w:w="1200" w:type="dxa"/>
            <w:vAlign w:val="bottom"/>
          </w:tcPr>
          <w:p>
            <w:pPr>
              <w:jc w:val="right"/>
              <w:spacing w:after="0"/>
              <w:rPr>
                <w:sz w:val="20"/>
                <w:szCs w:val="20"/>
                <w:color w:val="auto"/>
              </w:rPr>
            </w:pPr>
            <w:r>
              <w:rPr>
                <w:rFonts w:ascii="Arial" w:cs="Arial" w:eastAsia="Arial" w:hAnsi="Arial"/>
                <w:sz w:val="9"/>
                <w:szCs w:val="9"/>
                <w:b w:val="1"/>
                <w:bCs w:val="1"/>
                <w:color w:val="auto"/>
              </w:rPr>
              <w:t>$35.72</w:t>
            </w: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$39.26</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2</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4,060</w:t>
            </w:r>
          </w:p>
        </w:tc>
        <w:tc>
          <w:tcPr>
            <w:tcW w:w="640" w:type="dxa"/>
            <w:vAlign w:val="bottom"/>
          </w:tcPr>
          <w:p>
            <w:pPr>
              <w:jc w:val="right"/>
              <w:ind w:right="16"/>
              <w:spacing w:after="0"/>
              <w:rPr>
                <w:sz w:val="20"/>
                <w:szCs w:val="20"/>
                <w:color w:val="auto"/>
              </w:rPr>
            </w:pPr>
            <w:r>
              <w:rPr>
                <w:rFonts w:ascii="Arial" w:cs="Arial" w:eastAsia="Arial" w:hAnsi="Arial"/>
                <w:sz w:val="9"/>
                <w:szCs w:val="9"/>
                <w:b w:val="1"/>
                <w:bCs w:val="1"/>
                <w:color w:val="auto"/>
              </w:rPr>
              <w:t>0.91%</w:t>
            </w:r>
          </w:p>
        </w:tc>
        <w:tc>
          <w:tcPr>
            <w:tcW w:w="800" w:type="dxa"/>
            <w:vAlign w:val="bottom"/>
          </w:tcPr>
          <w:p>
            <w:pPr>
              <w:jc w:val="right"/>
              <w:ind w:right="136"/>
              <w:spacing w:after="0"/>
              <w:rPr>
                <w:sz w:val="20"/>
                <w:szCs w:val="20"/>
                <w:color w:val="auto"/>
              </w:rPr>
            </w:pPr>
            <w:r>
              <w:rPr>
                <w:rFonts w:ascii="Arial" w:cs="Arial" w:eastAsia="Arial" w:hAnsi="Arial"/>
                <w:sz w:val="9"/>
                <w:szCs w:val="9"/>
                <w:b w:val="1"/>
                <w:bCs w:val="1"/>
                <w:color w:val="auto"/>
              </w:rPr>
              <w:t>$116,797</w:t>
            </w:r>
          </w:p>
        </w:tc>
        <w:tc>
          <w:tcPr>
            <w:tcW w:w="1000" w:type="dxa"/>
            <w:vAlign w:val="bottom"/>
          </w:tcPr>
          <w:p>
            <w:pPr>
              <w:jc w:val="right"/>
              <w:ind w:right="16"/>
              <w:spacing w:after="0"/>
              <w:rPr>
                <w:sz w:val="20"/>
                <w:szCs w:val="20"/>
                <w:color w:val="auto"/>
              </w:rPr>
            </w:pPr>
            <w:r>
              <w:rPr>
                <w:rFonts w:ascii="Arial" w:cs="Arial" w:eastAsia="Arial" w:hAnsi="Arial"/>
                <w:sz w:val="9"/>
                <w:szCs w:val="9"/>
                <w:b w:val="1"/>
                <w:bCs w:val="1"/>
                <w:color w:val="auto"/>
              </w:rPr>
              <w:t>$28.77</w:t>
            </w: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$36.00</w:t>
            </w:r>
          </w:p>
        </w:tc>
      </w:tr>
      <w:tr>
        <w:trPr>
          <w:trHeight w:val="393"/>
        </w:trPr>
        <w:tc>
          <w:tcPr>
            <w:tcW w:w="480" w:type="dxa"/>
            <w:vAlign w:val="bottom"/>
          </w:tcPr>
          <w:p>
            <w:pPr>
              <w:jc w:val="right"/>
              <w:spacing w:after="0"/>
              <w:rPr>
                <w:sz w:val="20"/>
                <w:szCs w:val="20"/>
                <w:color w:val="auto"/>
              </w:rPr>
            </w:pPr>
            <w:r>
              <w:rPr>
                <w:rFonts w:ascii="Arial" w:cs="Arial" w:eastAsia="Arial" w:hAnsi="Arial"/>
                <w:sz w:val="9"/>
                <w:szCs w:val="9"/>
                <w:color w:val="auto"/>
              </w:rPr>
              <w:t>2017</w:t>
            </w:r>
          </w:p>
        </w:tc>
        <w:tc>
          <w:tcPr>
            <w:tcW w:w="8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42</w:t>
            </w:r>
          </w:p>
        </w:tc>
        <w:tc>
          <w:tcPr>
            <w:tcW w:w="780" w:type="dxa"/>
            <w:vAlign w:val="bottom"/>
          </w:tcPr>
          <w:p>
            <w:pPr>
              <w:jc w:val="right"/>
              <w:spacing w:after="0"/>
              <w:rPr>
                <w:sz w:val="20"/>
                <w:szCs w:val="20"/>
                <w:color w:val="auto"/>
              </w:rPr>
            </w:pPr>
            <w:r>
              <w:rPr>
                <w:rFonts w:ascii="Arial" w:cs="Arial" w:eastAsia="Arial" w:hAnsi="Arial"/>
                <w:sz w:val="9"/>
                <w:szCs w:val="9"/>
                <w:color w:val="auto"/>
              </w:rPr>
              <w:t>204,796</w:t>
            </w:r>
          </w:p>
        </w:tc>
        <w:tc>
          <w:tcPr>
            <w:tcW w:w="600" w:type="dxa"/>
            <w:vAlign w:val="bottom"/>
          </w:tcPr>
          <w:p>
            <w:pPr>
              <w:jc w:val="right"/>
              <w:spacing w:after="0"/>
              <w:rPr>
                <w:sz w:val="20"/>
                <w:szCs w:val="20"/>
                <w:color w:val="auto"/>
              </w:rPr>
            </w:pPr>
            <w:r>
              <w:rPr>
                <w:rFonts w:ascii="Arial" w:cs="Arial" w:eastAsia="Arial" w:hAnsi="Arial"/>
                <w:sz w:val="9"/>
                <w:szCs w:val="9"/>
                <w:color w:val="auto"/>
              </w:rPr>
              <w:t>6.31%</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$8,132,946</w:t>
            </w:r>
          </w:p>
        </w:tc>
        <w:tc>
          <w:tcPr>
            <w:tcW w:w="1200" w:type="dxa"/>
            <w:vAlign w:val="bottom"/>
          </w:tcPr>
          <w:p>
            <w:pPr>
              <w:jc w:val="right"/>
              <w:spacing w:after="0"/>
              <w:rPr>
                <w:sz w:val="20"/>
                <w:szCs w:val="20"/>
                <w:color w:val="auto"/>
              </w:rPr>
            </w:pPr>
            <w:r>
              <w:rPr>
                <w:rFonts w:ascii="Arial" w:cs="Arial" w:eastAsia="Arial" w:hAnsi="Arial"/>
                <w:sz w:val="9"/>
                <w:szCs w:val="9"/>
                <w:color w:val="auto"/>
              </w:rPr>
              <w:t>$39.71</w:t>
            </w:r>
          </w:p>
        </w:tc>
        <w:tc>
          <w:tcPr>
            <w:tcW w:w="820" w:type="dxa"/>
            <w:vAlign w:val="bottom"/>
          </w:tcPr>
          <w:p>
            <w:pPr>
              <w:jc w:val="right"/>
              <w:spacing w:after="0"/>
              <w:rPr>
                <w:sz w:val="20"/>
                <w:szCs w:val="20"/>
                <w:color w:val="auto"/>
              </w:rPr>
            </w:pPr>
            <w:r>
              <w:rPr>
                <w:rFonts w:ascii="Arial" w:cs="Arial" w:eastAsia="Arial" w:hAnsi="Arial"/>
                <w:sz w:val="9"/>
                <w:szCs w:val="9"/>
                <w:color w:val="auto"/>
              </w:rPr>
              <w:t>$43.64</w:t>
            </w:r>
          </w:p>
        </w:tc>
        <w:tc>
          <w:tcPr>
            <w:tcW w:w="3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6</w:t>
            </w:r>
          </w:p>
        </w:tc>
        <w:tc>
          <w:tcPr>
            <w:tcW w:w="760" w:type="dxa"/>
            <w:vAlign w:val="bottom"/>
          </w:tcPr>
          <w:p>
            <w:pPr>
              <w:jc w:val="right"/>
              <w:spacing w:after="0"/>
              <w:rPr>
                <w:sz w:val="20"/>
                <w:szCs w:val="20"/>
                <w:color w:val="auto"/>
              </w:rPr>
            </w:pPr>
            <w:r>
              <w:rPr>
                <w:rFonts w:ascii="Arial" w:cs="Arial" w:eastAsia="Arial" w:hAnsi="Arial"/>
                <w:sz w:val="9"/>
                <w:szCs w:val="9"/>
                <w:color w:val="auto"/>
              </w:rPr>
              <w:t>43,017</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9.64%</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$1,482,031</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$34.45</w:t>
            </w:r>
          </w:p>
        </w:tc>
        <w:tc>
          <w:tcPr>
            <w:tcW w:w="720" w:type="dxa"/>
            <w:vAlign w:val="bottom"/>
          </w:tcPr>
          <w:p>
            <w:pPr>
              <w:jc w:val="right"/>
              <w:spacing w:after="0"/>
              <w:rPr>
                <w:sz w:val="20"/>
                <w:szCs w:val="20"/>
                <w:color w:val="auto"/>
              </w:rPr>
            </w:pPr>
            <w:r>
              <w:rPr>
                <w:rFonts w:ascii="Arial" w:cs="Arial" w:eastAsia="Arial" w:hAnsi="Arial"/>
                <w:sz w:val="9"/>
                <w:szCs w:val="9"/>
                <w:color w:val="auto"/>
              </w:rPr>
              <w:t>$34.52</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2018</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54</w:t>
            </w:r>
          </w:p>
        </w:tc>
        <w:tc>
          <w:tcPr>
            <w:tcW w:w="780" w:type="dxa"/>
            <w:vAlign w:val="bottom"/>
          </w:tcPr>
          <w:p>
            <w:pPr>
              <w:jc w:val="right"/>
              <w:spacing w:after="0"/>
              <w:rPr>
                <w:sz w:val="20"/>
                <w:szCs w:val="20"/>
                <w:color w:val="auto"/>
              </w:rPr>
            </w:pPr>
            <w:r>
              <w:rPr>
                <w:rFonts w:ascii="Arial" w:cs="Arial" w:eastAsia="Arial" w:hAnsi="Arial"/>
                <w:sz w:val="9"/>
                <w:szCs w:val="9"/>
                <w:color w:val="auto"/>
              </w:rPr>
              <w:t>291,029</w:t>
            </w:r>
          </w:p>
        </w:tc>
        <w:tc>
          <w:tcPr>
            <w:tcW w:w="600" w:type="dxa"/>
            <w:vAlign w:val="bottom"/>
          </w:tcPr>
          <w:p>
            <w:pPr>
              <w:jc w:val="right"/>
              <w:spacing w:after="0"/>
              <w:rPr>
                <w:sz w:val="20"/>
                <w:szCs w:val="20"/>
                <w:color w:val="auto"/>
              </w:rPr>
            </w:pPr>
            <w:r>
              <w:rPr>
                <w:rFonts w:ascii="Arial" w:cs="Arial" w:eastAsia="Arial" w:hAnsi="Arial"/>
                <w:sz w:val="9"/>
                <w:szCs w:val="9"/>
                <w:color w:val="auto"/>
              </w:rPr>
              <w:t>8.97%</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10,002,772</w:t>
            </w:r>
          </w:p>
        </w:tc>
        <w:tc>
          <w:tcPr>
            <w:tcW w:w="1200" w:type="dxa"/>
            <w:vAlign w:val="bottom"/>
          </w:tcPr>
          <w:p>
            <w:pPr>
              <w:jc w:val="right"/>
              <w:spacing w:after="0"/>
              <w:rPr>
                <w:sz w:val="20"/>
                <w:szCs w:val="20"/>
                <w:color w:val="auto"/>
              </w:rPr>
            </w:pPr>
            <w:r>
              <w:rPr>
                <w:rFonts w:ascii="Arial" w:cs="Arial" w:eastAsia="Arial" w:hAnsi="Arial"/>
                <w:sz w:val="9"/>
                <w:szCs w:val="9"/>
                <w:color w:val="auto"/>
              </w:rPr>
              <w:t>34.37</w:t>
            </w:r>
          </w:p>
        </w:tc>
        <w:tc>
          <w:tcPr>
            <w:tcW w:w="820" w:type="dxa"/>
            <w:vAlign w:val="bottom"/>
          </w:tcPr>
          <w:p>
            <w:pPr>
              <w:jc w:val="right"/>
              <w:spacing w:after="0"/>
              <w:rPr>
                <w:sz w:val="20"/>
                <w:szCs w:val="20"/>
                <w:color w:val="auto"/>
              </w:rPr>
            </w:pPr>
            <w:r>
              <w:rPr>
                <w:rFonts w:ascii="Arial" w:cs="Arial" w:eastAsia="Arial" w:hAnsi="Arial"/>
                <w:sz w:val="9"/>
                <w:szCs w:val="9"/>
                <w:color w:val="auto"/>
              </w:rPr>
              <w:t>36.28</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w:t>
            </w:r>
          </w:p>
        </w:tc>
        <w:tc>
          <w:tcPr>
            <w:tcW w:w="760" w:type="dxa"/>
            <w:vAlign w:val="bottom"/>
          </w:tcPr>
          <w:p>
            <w:pPr>
              <w:jc w:val="right"/>
              <w:spacing w:after="0"/>
              <w:rPr>
                <w:sz w:val="20"/>
                <w:szCs w:val="20"/>
                <w:color w:val="auto"/>
              </w:rPr>
            </w:pPr>
            <w:r>
              <w:rPr>
                <w:rFonts w:ascii="Arial" w:cs="Arial" w:eastAsia="Arial" w:hAnsi="Arial"/>
                <w:sz w:val="9"/>
                <w:szCs w:val="9"/>
                <w:color w:val="auto"/>
              </w:rPr>
              <w:t>22,538</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5.05%</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912,780</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40.50</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2019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51</w:t>
            </w:r>
          </w:p>
        </w:tc>
        <w:tc>
          <w:tcPr>
            <w:tcW w:w="780" w:type="dxa"/>
            <w:vAlign w:val="bottom"/>
          </w:tcPr>
          <w:p>
            <w:pPr>
              <w:jc w:val="right"/>
              <w:spacing w:after="0"/>
              <w:rPr>
                <w:sz w:val="20"/>
                <w:szCs w:val="20"/>
                <w:color w:val="auto"/>
              </w:rPr>
            </w:pPr>
            <w:r>
              <w:rPr>
                <w:rFonts w:ascii="Arial" w:cs="Arial" w:eastAsia="Arial" w:hAnsi="Arial"/>
                <w:sz w:val="9"/>
                <w:szCs w:val="9"/>
                <w:color w:val="auto"/>
              </w:rPr>
              <w:t>458,386</w:t>
            </w:r>
          </w:p>
        </w:tc>
        <w:tc>
          <w:tcPr>
            <w:tcW w:w="600" w:type="dxa"/>
            <w:vAlign w:val="bottom"/>
          </w:tcPr>
          <w:p>
            <w:pPr>
              <w:jc w:val="right"/>
              <w:spacing w:after="0"/>
              <w:rPr>
                <w:sz w:val="20"/>
                <w:szCs w:val="20"/>
                <w:color w:val="auto"/>
              </w:rPr>
            </w:pPr>
            <w:r>
              <w:rPr>
                <w:rFonts w:ascii="Arial" w:cs="Arial" w:eastAsia="Arial" w:hAnsi="Arial"/>
                <w:sz w:val="9"/>
                <w:szCs w:val="9"/>
                <w:color w:val="auto"/>
              </w:rPr>
              <w:t>14.13%</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13,267,405</w:t>
            </w:r>
          </w:p>
        </w:tc>
        <w:tc>
          <w:tcPr>
            <w:tcW w:w="1200" w:type="dxa"/>
            <w:vAlign w:val="bottom"/>
          </w:tcPr>
          <w:p>
            <w:pPr>
              <w:jc w:val="right"/>
              <w:spacing w:after="0"/>
              <w:rPr>
                <w:sz w:val="20"/>
                <w:szCs w:val="20"/>
                <w:color w:val="auto"/>
              </w:rPr>
            </w:pPr>
            <w:r>
              <w:rPr>
                <w:rFonts w:ascii="Arial" w:cs="Arial" w:eastAsia="Arial" w:hAnsi="Arial"/>
                <w:sz w:val="9"/>
                <w:szCs w:val="9"/>
                <w:color w:val="auto"/>
              </w:rPr>
              <w:t>28.94</w:t>
            </w:r>
          </w:p>
        </w:tc>
        <w:tc>
          <w:tcPr>
            <w:tcW w:w="820" w:type="dxa"/>
            <w:vAlign w:val="bottom"/>
          </w:tcPr>
          <w:p>
            <w:pPr>
              <w:jc w:val="right"/>
              <w:spacing w:after="0"/>
              <w:rPr>
                <w:sz w:val="20"/>
                <w:szCs w:val="20"/>
                <w:color w:val="auto"/>
              </w:rPr>
            </w:pPr>
            <w:r>
              <w:rPr>
                <w:rFonts w:ascii="Arial" w:cs="Arial" w:eastAsia="Arial" w:hAnsi="Arial"/>
                <w:sz w:val="9"/>
                <w:szCs w:val="9"/>
                <w:color w:val="auto"/>
              </w:rPr>
              <w:t>29.70</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6</w:t>
            </w:r>
          </w:p>
        </w:tc>
        <w:tc>
          <w:tcPr>
            <w:tcW w:w="760" w:type="dxa"/>
            <w:vAlign w:val="bottom"/>
          </w:tcPr>
          <w:p>
            <w:pPr>
              <w:jc w:val="right"/>
              <w:spacing w:after="0"/>
              <w:rPr>
                <w:sz w:val="20"/>
                <w:szCs w:val="20"/>
                <w:color w:val="auto"/>
              </w:rPr>
            </w:pPr>
            <w:r>
              <w:rPr>
                <w:rFonts w:ascii="Arial" w:cs="Arial" w:eastAsia="Arial" w:hAnsi="Arial"/>
                <w:sz w:val="9"/>
                <w:szCs w:val="9"/>
                <w:color w:val="auto"/>
              </w:rPr>
              <w:t>31,879</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7.14%</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1,073,486</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33.67</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2020</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35</w:t>
            </w:r>
          </w:p>
        </w:tc>
        <w:tc>
          <w:tcPr>
            <w:tcW w:w="780" w:type="dxa"/>
            <w:vAlign w:val="bottom"/>
          </w:tcPr>
          <w:p>
            <w:pPr>
              <w:jc w:val="right"/>
              <w:spacing w:after="0"/>
              <w:rPr>
                <w:sz w:val="20"/>
                <w:szCs w:val="20"/>
                <w:color w:val="auto"/>
              </w:rPr>
            </w:pPr>
            <w:r>
              <w:rPr>
                <w:rFonts w:ascii="Arial" w:cs="Arial" w:eastAsia="Arial" w:hAnsi="Arial"/>
                <w:sz w:val="9"/>
                <w:szCs w:val="9"/>
                <w:color w:val="auto"/>
              </w:rPr>
              <w:t>304,137</w:t>
            </w:r>
          </w:p>
        </w:tc>
        <w:tc>
          <w:tcPr>
            <w:tcW w:w="600" w:type="dxa"/>
            <w:vAlign w:val="bottom"/>
          </w:tcPr>
          <w:p>
            <w:pPr>
              <w:jc w:val="right"/>
              <w:spacing w:after="0"/>
              <w:rPr>
                <w:sz w:val="20"/>
                <w:szCs w:val="20"/>
                <w:color w:val="auto"/>
              </w:rPr>
            </w:pPr>
            <w:r>
              <w:rPr>
                <w:rFonts w:ascii="Arial" w:cs="Arial" w:eastAsia="Arial" w:hAnsi="Arial"/>
                <w:sz w:val="9"/>
                <w:szCs w:val="9"/>
                <w:color w:val="auto"/>
              </w:rPr>
              <w:t>9.37%</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11,288,791</w:t>
            </w:r>
          </w:p>
        </w:tc>
        <w:tc>
          <w:tcPr>
            <w:tcW w:w="1200" w:type="dxa"/>
            <w:vAlign w:val="bottom"/>
          </w:tcPr>
          <w:p>
            <w:pPr>
              <w:jc w:val="right"/>
              <w:spacing w:after="0"/>
              <w:rPr>
                <w:sz w:val="20"/>
                <w:szCs w:val="20"/>
                <w:color w:val="auto"/>
              </w:rPr>
            </w:pPr>
            <w:r>
              <w:rPr>
                <w:rFonts w:ascii="Arial" w:cs="Arial" w:eastAsia="Arial" w:hAnsi="Arial"/>
                <w:sz w:val="9"/>
                <w:szCs w:val="9"/>
                <w:color w:val="auto"/>
              </w:rPr>
              <w:t>37.12</w:t>
            </w:r>
          </w:p>
        </w:tc>
        <w:tc>
          <w:tcPr>
            <w:tcW w:w="820" w:type="dxa"/>
            <w:vAlign w:val="bottom"/>
          </w:tcPr>
          <w:p>
            <w:pPr>
              <w:jc w:val="right"/>
              <w:spacing w:after="0"/>
              <w:rPr>
                <w:sz w:val="20"/>
                <w:szCs w:val="20"/>
                <w:color w:val="auto"/>
              </w:rPr>
            </w:pPr>
            <w:r>
              <w:rPr>
                <w:rFonts w:ascii="Arial" w:cs="Arial" w:eastAsia="Arial" w:hAnsi="Arial"/>
                <w:sz w:val="9"/>
                <w:szCs w:val="9"/>
                <w:color w:val="auto"/>
              </w:rPr>
              <w:t>39.50</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3</w:t>
            </w:r>
          </w:p>
        </w:tc>
        <w:tc>
          <w:tcPr>
            <w:tcW w:w="760" w:type="dxa"/>
            <w:vAlign w:val="bottom"/>
          </w:tcPr>
          <w:p>
            <w:pPr>
              <w:jc w:val="right"/>
              <w:spacing w:after="0"/>
              <w:rPr>
                <w:sz w:val="20"/>
                <w:szCs w:val="20"/>
                <w:color w:val="auto"/>
              </w:rPr>
            </w:pPr>
            <w:r>
              <w:rPr>
                <w:rFonts w:ascii="Arial" w:cs="Arial" w:eastAsia="Arial" w:hAnsi="Arial"/>
                <w:sz w:val="9"/>
                <w:szCs w:val="9"/>
                <w:color w:val="auto"/>
              </w:rPr>
              <w:t>38,562</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8.64%</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1,496,230</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38.80</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2021</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41</w:t>
            </w:r>
          </w:p>
        </w:tc>
        <w:tc>
          <w:tcPr>
            <w:tcW w:w="780" w:type="dxa"/>
            <w:vAlign w:val="bottom"/>
          </w:tcPr>
          <w:p>
            <w:pPr>
              <w:jc w:val="right"/>
              <w:spacing w:after="0"/>
              <w:rPr>
                <w:sz w:val="20"/>
                <w:szCs w:val="20"/>
                <w:color w:val="auto"/>
              </w:rPr>
            </w:pPr>
            <w:r>
              <w:rPr>
                <w:rFonts w:ascii="Arial" w:cs="Arial" w:eastAsia="Arial" w:hAnsi="Arial"/>
                <w:sz w:val="9"/>
                <w:szCs w:val="9"/>
                <w:color w:val="auto"/>
              </w:rPr>
              <w:t>461,829</w:t>
            </w:r>
          </w:p>
        </w:tc>
        <w:tc>
          <w:tcPr>
            <w:tcW w:w="600" w:type="dxa"/>
            <w:vAlign w:val="bottom"/>
          </w:tcPr>
          <w:p>
            <w:pPr>
              <w:jc w:val="right"/>
              <w:spacing w:after="0"/>
              <w:rPr>
                <w:sz w:val="20"/>
                <w:szCs w:val="20"/>
                <w:color w:val="auto"/>
              </w:rPr>
            </w:pPr>
            <w:r>
              <w:rPr>
                <w:rFonts w:ascii="Arial" w:cs="Arial" w:eastAsia="Arial" w:hAnsi="Arial"/>
                <w:sz w:val="9"/>
                <w:szCs w:val="9"/>
                <w:color w:val="auto"/>
              </w:rPr>
              <w:t>14.24%</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14,382,511</w:t>
            </w:r>
          </w:p>
        </w:tc>
        <w:tc>
          <w:tcPr>
            <w:tcW w:w="1200" w:type="dxa"/>
            <w:vAlign w:val="bottom"/>
          </w:tcPr>
          <w:p>
            <w:pPr>
              <w:jc w:val="right"/>
              <w:spacing w:after="0"/>
              <w:rPr>
                <w:sz w:val="20"/>
                <w:szCs w:val="20"/>
                <w:color w:val="auto"/>
              </w:rPr>
            </w:pPr>
            <w:r>
              <w:rPr>
                <w:rFonts w:ascii="Arial" w:cs="Arial" w:eastAsia="Arial" w:hAnsi="Arial"/>
                <w:sz w:val="9"/>
                <w:szCs w:val="9"/>
                <w:color w:val="auto"/>
              </w:rPr>
              <w:t>31.14</w:t>
            </w:r>
          </w:p>
        </w:tc>
        <w:tc>
          <w:tcPr>
            <w:tcW w:w="820" w:type="dxa"/>
            <w:vAlign w:val="bottom"/>
          </w:tcPr>
          <w:p>
            <w:pPr>
              <w:jc w:val="right"/>
              <w:spacing w:after="0"/>
              <w:rPr>
                <w:sz w:val="20"/>
                <w:szCs w:val="20"/>
                <w:color w:val="auto"/>
              </w:rPr>
            </w:pPr>
            <w:r>
              <w:rPr>
                <w:rFonts w:ascii="Arial" w:cs="Arial" w:eastAsia="Arial" w:hAnsi="Arial"/>
                <w:sz w:val="9"/>
                <w:szCs w:val="9"/>
                <w:color w:val="auto"/>
              </w:rPr>
              <w:t>32.41</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5</w:t>
            </w:r>
          </w:p>
        </w:tc>
        <w:tc>
          <w:tcPr>
            <w:tcW w:w="760" w:type="dxa"/>
            <w:vAlign w:val="bottom"/>
          </w:tcPr>
          <w:p>
            <w:pPr>
              <w:jc w:val="right"/>
              <w:spacing w:after="0"/>
              <w:rPr>
                <w:sz w:val="20"/>
                <w:szCs w:val="20"/>
                <w:color w:val="auto"/>
              </w:rPr>
            </w:pPr>
            <w:r>
              <w:rPr>
                <w:rFonts w:ascii="Arial" w:cs="Arial" w:eastAsia="Arial" w:hAnsi="Arial"/>
                <w:sz w:val="9"/>
                <w:szCs w:val="9"/>
                <w:color w:val="auto"/>
              </w:rPr>
              <w:t>104,296</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23.37%</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3,875,128</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37.16</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26</w:t>
            </w:r>
          </w:p>
        </w:tc>
        <w:tc>
          <w:tcPr>
            <w:tcW w:w="780" w:type="dxa"/>
            <w:vAlign w:val="bottom"/>
          </w:tcPr>
          <w:p>
            <w:pPr>
              <w:jc w:val="right"/>
              <w:spacing w:after="0"/>
              <w:rPr>
                <w:sz w:val="20"/>
                <w:szCs w:val="20"/>
                <w:color w:val="auto"/>
              </w:rPr>
            </w:pPr>
            <w:r>
              <w:rPr>
                <w:rFonts w:ascii="Arial" w:cs="Arial" w:eastAsia="Arial" w:hAnsi="Arial"/>
                <w:sz w:val="9"/>
                <w:szCs w:val="9"/>
                <w:color w:val="auto"/>
              </w:rPr>
              <w:t>133,961</w:t>
            </w:r>
          </w:p>
        </w:tc>
        <w:tc>
          <w:tcPr>
            <w:tcW w:w="600" w:type="dxa"/>
            <w:vAlign w:val="bottom"/>
          </w:tcPr>
          <w:p>
            <w:pPr>
              <w:jc w:val="right"/>
              <w:spacing w:after="0"/>
              <w:rPr>
                <w:sz w:val="20"/>
                <w:szCs w:val="20"/>
                <w:color w:val="auto"/>
              </w:rPr>
            </w:pPr>
            <w:r>
              <w:rPr>
                <w:rFonts w:ascii="Arial" w:cs="Arial" w:eastAsia="Arial" w:hAnsi="Arial"/>
                <w:sz w:val="9"/>
                <w:szCs w:val="9"/>
                <w:color w:val="auto"/>
              </w:rPr>
              <w:t>4.13%</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5,196,648</w:t>
            </w:r>
          </w:p>
        </w:tc>
        <w:tc>
          <w:tcPr>
            <w:tcW w:w="1200" w:type="dxa"/>
            <w:vAlign w:val="bottom"/>
          </w:tcPr>
          <w:p>
            <w:pPr>
              <w:jc w:val="right"/>
              <w:spacing w:after="0"/>
              <w:rPr>
                <w:sz w:val="20"/>
                <w:szCs w:val="20"/>
                <w:color w:val="auto"/>
              </w:rPr>
            </w:pPr>
            <w:r>
              <w:rPr>
                <w:rFonts w:ascii="Arial" w:cs="Arial" w:eastAsia="Arial" w:hAnsi="Arial"/>
                <w:sz w:val="9"/>
                <w:szCs w:val="9"/>
                <w:color w:val="auto"/>
              </w:rPr>
              <w:t>38.79</w:t>
            </w:r>
          </w:p>
        </w:tc>
        <w:tc>
          <w:tcPr>
            <w:tcW w:w="820" w:type="dxa"/>
            <w:vAlign w:val="bottom"/>
          </w:tcPr>
          <w:p>
            <w:pPr>
              <w:jc w:val="right"/>
              <w:spacing w:after="0"/>
              <w:rPr>
                <w:sz w:val="20"/>
                <w:szCs w:val="20"/>
                <w:color w:val="auto"/>
              </w:rPr>
            </w:pPr>
            <w:r>
              <w:rPr>
                <w:rFonts w:ascii="Arial" w:cs="Arial" w:eastAsia="Arial" w:hAnsi="Arial"/>
                <w:sz w:val="9"/>
                <w:szCs w:val="9"/>
                <w:color w:val="auto"/>
              </w:rPr>
              <w:t>41.23</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w:t>
            </w:r>
          </w:p>
        </w:tc>
        <w:tc>
          <w:tcPr>
            <w:tcW w:w="760" w:type="dxa"/>
            <w:vAlign w:val="bottom"/>
          </w:tcPr>
          <w:p>
            <w:pPr>
              <w:jc w:val="right"/>
              <w:spacing w:after="0"/>
              <w:rPr>
                <w:sz w:val="20"/>
                <w:szCs w:val="20"/>
                <w:color w:val="auto"/>
              </w:rPr>
            </w:pPr>
            <w:r>
              <w:rPr>
                <w:rFonts w:ascii="Arial" w:cs="Arial" w:eastAsia="Arial" w:hAnsi="Arial"/>
                <w:sz w:val="9"/>
                <w:szCs w:val="9"/>
                <w:color w:val="auto"/>
              </w:rPr>
              <w:t>16,383</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3.67%</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585,204</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35.72</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2023</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19</w:t>
            </w:r>
          </w:p>
        </w:tc>
        <w:tc>
          <w:tcPr>
            <w:tcW w:w="780" w:type="dxa"/>
            <w:vAlign w:val="bottom"/>
          </w:tcPr>
          <w:p>
            <w:pPr>
              <w:jc w:val="right"/>
              <w:spacing w:after="0"/>
              <w:rPr>
                <w:sz w:val="20"/>
                <w:szCs w:val="20"/>
                <w:color w:val="auto"/>
              </w:rPr>
            </w:pPr>
            <w:r>
              <w:rPr>
                <w:rFonts w:ascii="Arial" w:cs="Arial" w:eastAsia="Arial" w:hAnsi="Arial"/>
                <w:sz w:val="9"/>
                <w:szCs w:val="9"/>
                <w:color w:val="auto"/>
              </w:rPr>
              <w:t>170,872</w:t>
            </w:r>
          </w:p>
        </w:tc>
        <w:tc>
          <w:tcPr>
            <w:tcW w:w="600" w:type="dxa"/>
            <w:vAlign w:val="bottom"/>
          </w:tcPr>
          <w:p>
            <w:pPr>
              <w:jc w:val="right"/>
              <w:spacing w:after="0"/>
              <w:rPr>
                <w:sz w:val="20"/>
                <w:szCs w:val="20"/>
                <w:color w:val="auto"/>
              </w:rPr>
            </w:pPr>
            <w:r>
              <w:rPr>
                <w:rFonts w:ascii="Arial" w:cs="Arial" w:eastAsia="Arial" w:hAnsi="Arial"/>
                <w:sz w:val="9"/>
                <w:szCs w:val="9"/>
                <w:color w:val="auto"/>
              </w:rPr>
              <w:t>5.27%</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5,599,592</w:t>
            </w:r>
          </w:p>
        </w:tc>
        <w:tc>
          <w:tcPr>
            <w:tcW w:w="1200" w:type="dxa"/>
            <w:vAlign w:val="bottom"/>
          </w:tcPr>
          <w:p>
            <w:pPr>
              <w:jc w:val="right"/>
              <w:spacing w:after="0"/>
              <w:rPr>
                <w:sz w:val="20"/>
                <w:szCs w:val="20"/>
                <w:color w:val="auto"/>
              </w:rPr>
            </w:pPr>
            <w:r>
              <w:rPr>
                <w:rFonts w:ascii="Arial" w:cs="Arial" w:eastAsia="Arial" w:hAnsi="Arial"/>
                <w:sz w:val="9"/>
                <w:szCs w:val="9"/>
                <w:color w:val="auto"/>
              </w:rPr>
              <w:t>32.77</w:t>
            </w:r>
          </w:p>
        </w:tc>
        <w:tc>
          <w:tcPr>
            <w:tcW w:w="820" w:type="dxa"/>
            <w:vAlign w:val="bottom"/>
          </w:tcPr>
          <w:p>
            <w:pPr>
              <w:jc w:val="right"/>
              <w:spacing w:after="0"/>
              <w:rPr>
                <w:sz w:val="20"/>
                <w:szCs w:val="20"/>
                <w:color w:val="auto"/>
              </w:rPr>
            </w:pPr>
            <w:r>
              <w:rPr>
                <w:rFonts w:ascii="Arial" w:cs="Arial" w:eastAsia="Arial" w:hAnsi="Arial"/>
                <w:sz w:val="9"/>
                <w:szCs w:val="9"/>
                <w:color w:val="auto"/>
              </w:rPr>
              <w:t>34.66</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w:t>
            </w:r>
          </w:p>
        </w:tc>
        <w:tc>
          <w:tcPr>
            <w:tcW w:w="760" w:type="dxa"/>
            <w:vAlign w:val="bottom"/>
          </w:tcPr>
          <w:p>
            <w:pPr>
              <w:jc w:val="right"/>
              <w:spacing w:after="0"/>
              <w:rPr>
                <w:sz w:val="20"/>
                <w:szCs w:val="20"/>
                <w:color w:val="auto"/>
              </w:rPr>
            </w:pPr>
            <w:r>
              <w:rPr>
                <w:rFonts w:ascii="Arial" w:cs="Arial" w:eastAsia="Arial" w:hAnsi="Arial"/>
                <w:sz w:val="9"/>
                <w:szCs w:val="9"/>
                <w:color w:val="auto"/>
              </w:rPr>
              <w:t>42,334</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9.48%</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1,422,001</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33.59</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2024</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13</w:t>
            </w:r>
          </w:p>
        </w:tc>
        <w:tc>
          <w:tcPr>
            <w:tcW w:w="780" w:type="dxa"/>
            <w:vAlign w:val="bottom"/>
          </w:tcPr>
          <w:p>
            <w:pPr>
              <w:jc w:val="right"/>
              <w:spacing w:after="0"/>
              <w:rPr>
                <w:sz w:val="20"/>
                <w:szCs w:val="20"/>
                <w:color w:val="auto"/>
              </w:rPr>
            </w:pPr>
            <w:r>
              <w:rPr>
                <w:rFonts w:ascii="Arial" w:cs="Arial" w:eastAsia="Arial" w:hAnsi="Arial"/>
                <w:sz w:val="9"/>
                <w:szCs w:val="9"/>
                <w:color w:val="auto"/>
              </w:rPr>
              <w:t>207,526</w:t>
            </w:r>
          </w:p>
        </w:tc>
        <w:tc>
          <w:tcPr>
            <w:tcW w:w="600" w:type="dxa"/>
            <w:vAlign w:val="bottom"/>
          </w:tcPr>
          <w:p>
            <w:pPr>
              <w:jc w:val="right"/>
              <w:spacing w:after="0"/>
              <w:rPr>
                <w:sz w:val="20"/>
                <w:szCs w:val="20"/>
                <w:color w:val="auto"/>
              </w:rPr>
            </w:pPr>
            <w:r>
              <w:rPr>
                <w:rFonts w:ascii="Arial" w:cs="Arial" w:eastAsia="Arial" w:hAnsi="Arial"/>
                <w:sz w:val="9"/>
                <w:szCs w:val="9"/>
                <w:color w:val="auto"/>
              </w:rPr>
              <w:t>6.40%</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6,482,197</w:t>
            </w:r>
          </w:p>
        </w:tc>
        <w:tc>
          <w:tcPr>
            <w:tcW w:w="1200" w:type="dxa"/>
            <w:vAlign w:val="bottom"/>
          </w:tcPr>
          <w:p>
            <w:pPr>
              <w:jc w:val="right"/>
              <w:spacing w:after="0"/>
              <w:rPr>
                <w:sz w:val="20"/>
                <w:szCs w:val="20"/>
                <w:color w:val="auto"/>
              </w:rPr>
            </w:pPr>
            <w:r>
              <w:rPr>
                <w:rFonts w:ascii="Arial" w:cs="Arial" w:eastAsia="Arial" w:hAnsi="Arial"/>
                <w:sz w:val="9"/>
                <w:szCs w:val="9"/>
                <w:color w:val="auto"/>
              </w:rPr>
              <w:t>31.24</w:t>
            </w:r>
          </w:p>
        </w:tc>
        <w:tc>
          <w:tcPr>
            <w:tcW w:w="820" w:type="dxa"/>
            <w:vAlign w:val="bottom"/>
          </w:tcPr>
          <w:p>
            <w:pPr>
              <w:jc w:val="right"/>
              <w:spacing w:after="0"/>
              <w:rPr>
                <w:sz w:val="20"/>
                <w:szCs w:val="20"/>
                <w:color w:val="auto"/>
              </w:rPr>
            </w:pPr>
            <w:r>
              <w:rPr>
                <w:rFonts w:ascii="Arial" w:cs="Arial" w:eastAsia="Arial" w:hAnsi="Arial"/>
                <w:sz w:val="9"/>
                <w:szCs w:val="9"/>
                <w:color w:val="auto"/>
              </w:rPr>
              <w:t>39.65</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2</w:t>
            </w:r>
          </w:p>
        </w:tc>
        <w:tc>
          <w:tcPr>
            <w:tcW w:w="760" w:type="dxa"/>
            <w:vAlign w:val="bottom"/>
          </w:tcPr>
          <w:p>
            <w:pPr>
              <w:jc w:val="right"/>
              <w:spacing w:after="0"/>
              <w:rPr>
                <w:sz w:val="20"/>
                <w:szCs w:val="20"/>
                <w:color w:val="auto"/>
              </w:rPr>
            </w:pPr>
            <w:r>
              <w:rPr>
                <w:rFonts w:ascii="Arial" w:cs="Arial" w:eastAsia="Arial" w:hAnsi="Arial"/>
                <w:sz w:val="9"/>
                <w:szCs w:val="9"/>
                <w:color w:val="auto"/>
              </w:rPr>
              <w:t>52,707</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11.81%</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1,798,161</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34.12</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19"/>
        </w:trPr>
        <w:tc>
          <w:tcPr>
            <w:tcW w:w="480" w:type="dxa"/>
            <w:vAlign w:val="bottom"/>
          </w:tcPr>
          <w:p>
            <w:pPr>
              <w:jc w:val="right"/>
              <w:spacing w:after="0"/>
              <w:rPr>
                <w:sz w:val="20"/>
                <w:szCs w:val="20"/>
                <w:color w:val="auto"/>
              </w:rPr>
            </w:pPr>
            <w:r>
              <w:rPr>
                <w:rFonts w:ascii="Arial" w:cs="Arial" w:eastAsia="Arial" w:hAnsi="Arial"/>
                <w:sz w:val="9"/>
                <w:szCs w:val="9"/>
                <w:color w:val="auto"/>
              </w:rPr>
              <w:t>2025</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9"/>
                <w:szCs w:val="9"/>
                <w:color w:val="auto"/>
              </w:rPr>
              <w:t>16</w:t>
            </w:r>
          </w:p>
        </w:tc>
        <w:tc>
          <w:tcPr>
            <w:tcW w:w="780" w:type="dxa"/>
            <w:vAlign w:val="bottom"/>
          </w:tcPr>
          <w:p>
            <w:pPr>
              <w:jc w:val="right"/>
              <w:spacing w:after="0"/>
              <w:rPr>
                <w:sz w:val="20"/>
                <w:szCs w:val="20"/>
                <w:color w:val="auto"/>
              </w:rPr>
            </w:pPr>
            <w:r>
              <w:rPr>
                <w:rFonts w:ascii="Arial" w:cs="Arial" w:eastAsia="Arial" w:hAnsi="Arial"/>
                <w:sz w:val="9"/>
                <w:szCs w:val="9"/>
                <w:color w:val="auto"/>
              </w:rPr>
              <w:t>167,698</w:t>
            </w:r>
          </w:p>
        </w:tc>
        <w:tc>
          <w:tcPr>
            <w:tcW w:w="600" w:type="dxa"/>
            <w:vAlign w:val="bottom"/>
          </w:tcPr>
          <w:p>
            <w:pPr>
              <w:jc w:val="right"/>
              <w:spacing w:after="0"/>
              <w:rPr>
                <w:sz w:val="20"/>
                <w:szCs w:val="20"/>
                <w:color w:val="auto"/>
              </w:rPr>
            </w:pPr>
            <w:r>
              <w:rPr>
                <w:rFonts w:ascii="Arial" w:cs="Arial" w:eastAsia="Arial" w:hAnsi="Arial"/>
                <w:sz w:val="9"/>
                <w:szCs w:val="9"/>
                <w:color w:val="auto"/>
              </w:rPr>
              <w:t>5.17%</w:t>
            </w:r>
          </w:p>
        </w:tc>
        <w:tc>
          <w:tcPr>
            <w:tcW w:w="800" w:type="dxa"/>
            <w:vAlign w:val="bottom"/>
          </w:tcPr>
          <w:p>
            <w:pPr>
              <w:jc w:val="right"/>
              <w:ind w:right="36"/>
              <w:spacing w:after="0"/>
              <w:rPr>
                <w:sz w:val="20"/>
                <w:szCs w:val="20"/>
                <w:color w:val="auto"/>
              </w:rPr>
            </w:pPr>
            <w:r>
              <w:rPr>
                <w:rFonts w:ascii="Arial" w:cs="Arial" w:eastAsia="Arial" w:hAnsi="Arial"/>
                <w:sz w:val="9"/>
                <w:szCs w:val="9"/>
                <w:color w:val="auto"/>
              </w:rPr>
              <w:t>5,497,146</w:t>
            </w:r>
          </w:p>
        </w:tc>
        <w:tc>
          <w:tcPr>
            <w:tcW w:w="1200" w:type="dxa"/>
            <w:vAlign w:val="bottom"/>
          </w:tcPr>
          <w:p>
            <w:pPr>
              <w:jc w:val="right"/>
              <w:spacing w:after="0"/>
              <w:rPr>
                <w:sz w:val="20"/>
                <w:szCs w:val="20"/>
                <w:color w:val="auto"/>
              </w:rPr>
            </w:pPr>
            <w:r>
              <w:rPr>
                <w:rFonts w:ascii="Arial" w:cs="Arial" w:eastAsia="Arial" w:hAnsi="Arial"/>
                <w:sz w:val="9"/>
                <w:szCs w:val="9"/>
                <w:color w:val="auto"/>
              </w:rPr>
              <w:t>32.78</w:t>
            </w:r>
          </w:p>
        </w:tc>
        <w:tc>
          <w:tcPr>
            <w:tcW w:w="820" w:type="dxa"/>
            <w:vAlign w:val="bottom"/>
          </w:tcPr>
          <w:p>
            <w:pPr>
              <w:jc w:val="right"/>
              <w:spacing w:after="0"/>
              <w:rPr>
                <w:sz w:val="20"/>
                <w:szCs w:val="20"/>
                <w:color w:val="auto"/>
              </w:rPr>
            </w:pPr>
            <w:r>
              <w:rPr>
                <w:rFonts w:ascii="Arial" w:cs="Arial" w:eastAsia="Arial" w:hAnsi="Arial"/>
                <w:sz w:val="9"/>
                <w:szCs w:val="9"/>
                <w:color w:val="auto"/>
              </w:rPr>
              <w:t>33.91</w:t>
            </w:r>
          </w:p>
        </w:tc>
        <w:tc>
          <w:tcPr>
            <w:tcW w:w="3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9"/>
                <w:szCs w:val="9"/>
                <w:color w:val="auto"/>
              </w:rPr>
              <w:t>1</w:t>
            </w:r>
          </w:p>
        </w:tc>
        <w:tc>
          <w:tcPr>
            <w:tcW w:w="760" w:type="dxa"/>
            <w:vAlign w:val="bottom"/>
          </w:tcPr>
          <w:p>
            <w:pPr>
              <w:jc w:val="right"/>
              <w:spacing w:after="0"/>
              <w:rPr>
                <w:sz w:val="20"/>
                <w:szCs w:val="20"/>
                <w:color w:val="auto"/>
              </w:rPr>
            </w:pPr>
            <w:r>
              <w:rPr>
                <w:rFonts w:ascii="Arial" w:cs="Arial" w:eastAsia="Arial" w:hAnsi="Arial"/>
                <w:sz w:val="9"/>
                <w:szCs w:val="9"/>
                <w:color w:val="auto"/>
              </w:rPr>
              <w:t>1,729</w:t>
            </w:r>
          </w:p>
        </w:tc>
        <w:tc>
          <w:tcPr>
            <w:tcW w:w="640" w:type="dxa"/>
            <w:vAlign w:val="bottom"/>
          </w:tcPr>
          <w:p>
            <w:pPr>
              <w:jc w:val="right"/>
              <w:ind w:right="16"/>
              <w:spacing w:after="0"/>
              <w:rPr>
                <w:sz w:val="20"/>
                <w:szCs w:val="20"/>
                <w:color w:val="auto"/>
              </w:rPr>
            </w:pPr>
            <w:r>
              <w:rPr>
                <w:rFonts w:ascii="Arial" w:cs="Arial" w:eastAsia="Arial" w:hAnsi="Arial"/>
                <w:sz w:val="9"/>
                <w:szCs w:val="9"/>
                <w:color w:val="auto"/>
              </w:rPr>
              <w:t>0.39%</w:t>
            </w:r>
          </w:p>
        </w:tc>
        <w:tc>
          <w:tcPr>
            <w:tcW w:w="800" w:type="dxa"/>
            <w:vAlign w:val="bottom"/>
          </w:tcPr>
          <w:p>
            <w:pPr>
              <w:jc w:val="right"/>
              <w:ind w:right="136"/>
              <w:spacing w:after="0"/>
              <w:rPr>
                <w:sz w:val="20"/>
                <w:szCs w:val="20"/>
                <w:color w:val="auto"/>
              </w:rPr>
            </w:pPr>
            <w:r>
              <w:rPr>
                <w:rFonts w:ascii="Arial" w:cs="Arial" w:eastAsia="Arial" w:hAnsi="Arial"/>
                <w:sz w:val="9"/>
                <w:szCs w:val="9"/>
                <w:color w:val="auto"/>
              </w:rPr>
              <w:t>57,600</w:t>
            </w:r>
          </w:p>
        </w:tc>
        <w:tc>
          <w:tcPr>
            <w:tcW w:w="1000" w:type="dxa"/>
            <w:vAlign w:val="bottom"/>
          </w:tcPr>
          <w:p>
            <w:pPr>
              <w:jc w:val="right"/>
              <w:ind w:right="16"/>
              <w:spacing w:after="0"/>
              <w:rPr>
                <w:sz w:val="20"/>
                <w:szCs w:val="20"/>
                <w:color w:val="auto"/>
              </w:rPr>
            </w:pPr>
            <w:r>
              <w:rPr>
                <w:rFonts w:ascii="Arial" w:cs="Arial" w:eastAsia="Arial" w:hAnsi="Arial"/>
                <w:sz w:val="9"/>
                <w:szCs w:val="9"/>
                <w:color w:val="auto"/>
              </w:rPr>
              <w:t>33.31</w:t>
            </w:r>
          </w:p>
        </w:tc>
        <w:tc>
          <w:tcPr>
            <w:tcW w:w="720" w:type="dxa"/>
            <w:vAlign w:val="bottom"/>
          </w:tcPr>
          <w:p>
            <w:pPr>
              <w:jc w:val="right"/>
              <w:spacing w:after="0"/>
              <w:rPr>
                <w:sz w:val="20"/>
                <w:szCs w:val="20"/>
                <w:color w:val="auto"/>
              </w:rPr>
            </w:pPr>
            <w:r>
              <w:rPr>
                <w:rFonts w:ascii="Arial" w:cs="Arial" w:eastAsia="Arial" w:hAnsi="Arial"/>
                <w:sz w:val="9"/>
                <w:szCs w:val="9"/>
                <w:color w:val="auto"/>
              </w:rPr>
              <w:t>36.00</w:t>
            </w:r>
          </w:p>
        </w:tc>
      </w:tr>
      <w:tr>
        <w:trPr>
          <w:trHeight w:val="227"/>
        </w:trPr>
        <w:tc>
          <w:tcPr>
            <w:tcW w:w="560" w:type="dxa"/>
            <w:vAlign w:val="bottom"/>
            <w:gridSpan w:val="2"/>
          </w:tcPr>
          <w:p>
            <w:pPr>
              <w:jc w:val="right"/>
              <w:ind w:right="120"/>
              <w:spacing w:after="0"/>
              <w:rPr>
                <w:sz w:val="20"/>
                <w:szCs w:val="20"/>
                <w:color w:val="auto"/>
              </w:rPr>
            </w:pPr>
            <w:r>
              <w:rPr>
                <w:rFonts w:ascii="Arial" w:cs="Arial" w:eastAsia="Arial" w:hAnsi="Arial"/>
                <w:sz w:val="9"/>
                <w:szCs w:val="9"/>
                <w:b w:val="1"/>
                <w:bCs w:val="1"/>
                <w:color w:val="auto"/>
                <w:w w:val="95"/>
              </w:rPr>
              <w:t>Thereafter</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34</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723,872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22.31%</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23,118,520</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31.94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33.54</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88,854</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19.91%</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color w:val="auto"/>
              </w:rPr>
              <w:t>2,924,761</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32.92</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35.96</w:t>
            </w:r>
          </w:p>
        </w:tc>
      </w:tr>
      <w:tr>
        <w:trPr>
          <w:trHeight w:val="209"/>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361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3,244,178</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100.00%</w:t>
            </w:r>
          </w:p>
        </w:tc>
        <w:tc>
          <w:tcPr>
            <w:tcW w:w="80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b w:val="1"/>
                <w:bCs w:val="1"/>
                <w:color w:val="auto"/>
              </w:rPr>
              <w:t>$107,257,419</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$33.06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$35.28</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446,359</w:t>
            </w:r>
          </w:p>
        </w:tc>
        <w:tc>
          <w:tcPr>
            <w:tcW w:w="64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100.00%</w:t>
            </w:r>
          </w:p>
        </w:tc>
        <w:tc>
          <w:tcPr>
            <w:tcW w:w="800" w:type="dxa"/>
            <w:vAlign w:val="bottom"/>
            <w:tcBorders>
              <w:bottom w:val="single" w:sz="8" w:color="auto"/>
            </w:tcBorders>
          </w:tcPr>
          <w:p>
            <w:pPr>
              <w:jc w:val="right"/>
              <w:ind w:right="136"/>
              <w:spacing w:after="0"/>
              <w:rPr>
                <w:sz w:val="20"/>
                <w:szCs w:val="20"/>
                <w:color w:val="auto"/>
              </w:rPr>
            </w:pPr>
            <w:r>
              <w:rPr>
                <w:rFonts w:ascii="Arial" w:cs="Arial" w:eastAsia="Arial" w:hAnsi="Arial"/>
                <w:sz w:val="9"/>
                <w:szCs w:val="9"/>
                <w:b w:val="1"/>
                <w:bCs w:val="1"/>
                <w:color w:val="auto"/>
              </w:rPr>
              <w:t>$15,744,180</w:t>
            </w: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b w:val="1"/>
                <w:bCs w:val="1"/>
                <w:color w:val="auto"/>
              </w:rPr>
              <w:t>$35.27</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$35.85</w:t>
            </w:r>
          </w:p>
        </w:tc>
      </w:tr>
      <w:tr>
        <w:trPr>
          <w:trHeight w:val="20"/>
        </w:trPr>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236220</wp:posOffset>
            </wp:positionV>
            <wp:extent cx="3629660" cy="5759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29660" cy="5759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640" w:hanging="138"/>
        <w:spacing w:after="0"/>
        <w:tabs>
          <w:tab w:leader="none" w:pos="640" w:val="left"/>
        </w:tabs>
        <w:numPr>
          <w:ilvl w:val="0"/>
          <w:numId w:val="33"/>
        </w:numPr>
        <w:rPr>
          <w:rFonts w:ascii="Arial" w:cs="Arial" w:eastAsia="Arial" w:hAnsi="Arial"/>
          <w:sz w:val="9"/>
          <w:szCs w:val="9"/>
          <w:color w:val="auto"/>
        </w:rPr>
      </w:pPr>
      <w:r>
        <w:rPr>
          <w:rFonts w:ascii="Arial" w:cs="Arial" w:eastAsia="Arial" w:hAnsi="Arial"/>
          <w:sz w:val="9"/>
          <w:szCs w:val="9"/>
          <w:color w:val="auto"/>
        </w:rPr>
        <w:t>Includes month to month holdover tenants that expired prior to September 30, 2016.</w:t>
      </w:r>
    </w:p>
    <w:p>
      <w:pPr>
        <w:spacing w:after="0" w:line="115" w:lineRule="exact"/>
        <w:rPr>
          <w:rFonts w:ascii="Arial" w:cs="Arial" w:eastAsia="Arial" w:hAnsi="Arial"/>
          <w:sz w:val="9"/>
          <w:szCs w:val="9"/>
          <w:color w:val="auto"/>
        </w:rPr>
      </w:pPr>
    </w:p>
    <w:p>
      <w:pPr>
        <w:ind w:left="640" w:hanging="138"/>
        <w:spacing w:after="0"/>
        <w:tabs>
          <w:tab w:leader="none" w:pos="640" w:val="left"/>
        </w:tabs>
        <w:numPr>
          <w:ilvl w:val="0"/>
          <w:numId w:val="33"/>
        </w:numPr>
        <w:rPr>
          <w:rFonts w:ascii="Arial" w:cs="Arial" w:eastAsia="Arial" w:hAnsi="Arial"/>
          <w:sz w:val="9"/>
          <w:szCs w:val="9"/>
          <w:color w:val="auto"/>
        </w:rPr>
      </w:pPr>
      <w:r>
        <w:rPr>
          <w:rFonts w:ascii="Arial" w:cs="Arial" w:eastAsia="Arial" w:hAnsi="Arial"/>
          <w:sz w:val="9"/>
          <w:szCs w:val="9"/>
          <w:color w:val="auto"/>
        </w:rPr>
        <w:t>Tenants may have multiple leases.</w:t>
      </w:r>
    </w:p>
    <w:p>
      <w:pPr>
        <w:spacing w:after="0" w:line="115" w:lineRule="exact"/>
        <w:rPr>
          <w:rFonts w:ascii="Arial" w:cs="Arial" w:eastAsia="Arial" w:hAnsi="Arial"/>
          <w:sz w:val="9"/>
          <w:szCs w:val="9"/>
          <w:color w:val="auto"/>
        </w:rPr>
      </w:pPr>
    </w:p>
    <w:p>
      <w:pPr>
        <w:ind w:left="640" w:hanging="138"/>
        <w:spacing w:after="0"/>
        <w:tabs>
          <w:tab w:leader="none" w:pos="640" w:val="left"/>
        </w:tabs>
        <w:numPr>
          <w:ilvl w:val="0"/>
          <w:numId w:val="33"/>
        </w:numPr>
        <w:rPr>
          <w:rFonts w:ascii="Arial" w:cs="Arial" w:eastAsia="Arial" w:hAnsi="Arial"/>
          <w:sz w:val="9"/>
          <w:szCs w:val="9"/>
          <w:color w:val="auto"/>
        </w:rPr>
      </w:pPr>
      <w:r>
        <w:rPr>
          <w:rFonts w:ascii="Arial" w:cs="Arial" w:eastAsia="Arial" w:hAnsi="Arial"/>
          <w:sz w:val="9"/>
          <w:szCs w:val="9"/>
          <w:color w:val="auto"/>
        </w:rPr>
        <w:t>Represents in place annualized rent allocated by year of expiration.</w:t>
      </w:r>
    </w:p>
    <w:p>
      <w:pPr>
        <w:spacing w:after="0" w:line="38" w:lineRule="exact"/>
        <w:rPr>
          <w:rFonts w:ascii="Arial" w:cs="Arial" w:eastAsia="Arial" w:hAnsi="Arial"/>
          <w:sz w:val="9"/>
          <w:szCs w:val="9"/>
          <w:color w:val="auto"/>
        </w:rPr>
      </w:pPr>
    </w:p>
    <w:p>
      <w:pPr>
        <w:ind w:left="500" w:right="4520" w:firstLine="2"/>
        <w:spacing w:after="0" w:line="235" w:lineRule="auto"/>
        <w:tabs>
          <w:tab w:leader="none" w:pos="631" w:val="left"/>
        </w:tabs>
        <w:numPr>
          <w:ilvl w:val="0"/>
          <w:numId w:val="33"/>
        </w:numPr>
        <w:rPr>
          <w:rFonts w:ascii="Arial" w:cs="Arial" w:eastAsia="Arial" w:hAnsi="Arial"/>
          <w:sz w:val="9"/>
          <w:szCs w:val="9"/>
          <w:color w:val="auto"/>
        </w:rPr>
      </w:pPr>
      <w:r>
        <w:rPr>
          <w:rFonts w:ascii="Arial" w:cs="Arial" w:eastAsia="Arial" w:hAnsi="Arial"/>
          <w:sz w:val="9"/>
          <w:szCs w:val="9"/>
          <w:color w:val="auto"/>
        </w:rPr>
        <w:t>Management's estimate of current average asking rents for currently occupied space as of September 30, 2016. Taking rents are typically lower than asking rents and may vary from property to property.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49</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20"/>
          </w:cols>
          <w:pgMar w:left="900" w:top="338" w:right="879" w:bottom="1440" w:gutter="0" w:footer="0" w:header="0"/>
        </w:sectPr>
      </w:pPr>
    </w:p>
    <w:bookmarkStart w:id="65" w:name="page66"/>
    <w:bookmarkEnd w:id="65"/>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ANNUAL LEASE EXPIRATIONS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Leases Excluding Suburban Properties</w:t>
      </w:r>
    </w:p>
    <w:p>
      <w:pPr>
        <w:spacing w:after="0"/>
        <w:rPr>
          <w:sz w:val="20"/>
          <w:szCs w:val="20"/>
          <w:color w:val="auto"/>
        </w:rPr>
      </w:pPr>
      <w:r>
        <w:rPr>
          <w:rFonts w:ascii="Arial" w:cs="Arial" w:eastAsia="Arial" w:hAnsi="Arial"/>
          <w:sz w:val="15"/>
          <w:szCs w:val="15"/>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106045</wp:posOffset>
            </wp:positionV>
            <wp:extent cx="641223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58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060" w:type="dxa"/>
            <w:vAlign w:val="bottom"/>
            <w:tcBorders>
              <w:bottom w:val="single" w:sz="8" w:color="auto"/>
            </w:tcBorders>
            <w:gridSpan w:val="2"/>
          </w:tcPr>
          <w:p>
            <w:pPr>
              <w:jc w:val="right"/>
              <w:ind w:right="996"/>
              <w:spacing w:after="0"/>
              <w:rPr>
                <w:sz w:val="20"/>
                <w:szCs w:val="20"/>
                <w:color w:val="auto"/>
              </w:rPr>
            </w:pPr>
            <w:r>
              <w:rPr>
                <w:rFonts w:ascii="Arial" w:cs="Arial" w:eastAsia="Arial" w:hAnsi="Arial"/>
                <w:sz w:val="9"/>
                <w:szCs w:val="9"/>
                <w:b w:val="1"/>
                <w:bCs w:val="1"/>
                <w:color w:val="auto"/>
                <w:w w:val="96"/>
              </w:rPr>
              <w:t>Consolidated Properties</w:t>
            </w:r>
          </w:p>
        </w:tc>
        <w:tc>
          <w:tcPr>
            <w:tcW w:w="820" w:type="dxa"/>
            <w:vAlign w:val="bottom"/>
            <w:tcBorders>
              <w:bottom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460" w:type="dxa"/>
            <w:vAlign w:val="bottom"/>
            <w:tcBorders>
              <w:bottom w:val="single" w:sz="8" w:color="auto"/>
            </w:tcBorders>
            <w:gridSpan w:val="3"/>
          </w:tcPr>
          <w:p>
            <w:pPr>
              <w:jc w:val="right"/>
              <w:ind w:right="956"/>
              <w:spacing w:after="0"/>
              <w:rPr>
                <w:sz w:val="20"/>
                <w:szCs w:val="20"/>
                <w:color w:val="auto"/>
              </w:rPr>
            </w:pPr>
            <w:r>
              <w:rPr>
                <w:rFonts w:ascii="Arial" w:cs="Arial" w:eastAsia="Arial" w:hAnsi="Arial"/>
                <w:sz w:val="9"/>
                <w:szCs w:val="9"/>
                <w:b w:val="1"/>
                <w:bCs w:val="1"/>
                <w:color w:val="auto"/>
              </w:rPr>
              <w:t>Joint Venture Properties</w:t>
            </w:r>
          </w:p>
        </w:tc>
        <w:tc>
          <w:tcPr>
            <w:tcW w:w="740" w:type="dxa"/>
            <w:vAlign w:val="bottom"/>
            <w:tcBorders>
              <w:bottom w:val="single" w:sz="8" w:color="auto"/>
            </w:tcBorders>
          </w:tcPr>
          <w:p>
            <w:pPr>
              <w:spacing w:after="0"/>
              <w:rPr>
                <w:sz w:val="10"/>
                <w:szCs w:val="10"/>
                <w:color w:val="auto"/>
              </w:rPr>
            </w:pPr>
          </w:p>
        </w:tc>
      </w:tr>
      <w:tr>
        <w:trPr>
          <w:trHeight w:val="107"/>
        </w:trPr>
        <w:tc>
          <w:tcPr>
            <w:tcW w:w="5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Rentable</w:t>
            </w: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jc w:val="right"/>
              <w:ind w:right="16"/>
              <w:spacing w:after="0"/>
              <w:rPr>
                <w:sz w:val="20"/>
                <w:szCs w:val="20"/>
                <w:color w:val="auto"/>
              </w:rPr>
            </w:pPr>
            <w:r>
              <w:rPr>
                <w:rFonts w:ascii="Arial" w:cs="Arial" w:eastAsia="Arial" w:hAnsi="Arial"/>
                <w:sz w:val="9"/>
                <w:szCs w:val="9"/>
                <w:b w:val="1"/>
                <w:bCs w:val="1"/>
                <w:color w:val="auto"/>
              </w:rPr>
              <w:t>Annualized</w:t>
            </w:r>
          </w:p>
        </w:tc>
        <w:tc>
          <w:tcPr>
            <w:tcW w:w="1120" w:type="dxa"/>
            <w:vAlign w:val="bottom"/>
          </w:tcPr>
          <w:p>
            <w:pPr>
              <w:spacing w:after="0"/>
              <w:rPr>
                <w:sz w:val="9"/>
                <w:szCs w:val="9"/>
                <w:color w:val="auto"/>
              </w:rPr>
            </w:pP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Current</w:t>
            </w:r>
          </w:p>
        </w:tc>
      </w:tr>
      <w:tr>
        <w:trPr>
          <w:trHeight w:val="98"/>
        </w:trPr>
        <w:tc>
          <w:tcPr>
            <w:tcW w:w="580" w:type="dxa"/>
            <w:vAlign w:val="bottom"/>
          </w:tcPr>
          <w:p>
            <w:pPr>
              <w:jc w:val="right"/>
              <w:ind w:right="96"/>
              <w:spacing w:after="0" w:line="99" w:lineRule="exact"/>
              <w:rPr>
                <w:sz w:val="20"/>
                <w:szCs w:val="20"/>
                <w:color w:val="auto"/>
              </w:rPr>
            </w:pPr>
            <w:r>
              <w:rPr>
                <w:rFonts w:ascii="Arial" w:cs="Arial" w:eastAsia="Arial" w:hAnsi="Arial"/>
                <w:sz w:val="9"/>
                <w:szCs w:val="9"/>
                <w:b w:val="1"/>
                <w:bCs w:val="1"/>
                <w:color w:val="auto"/>
              </w:rPr>
              <w:t>Year of</w:t>
            </w:r>
          </w:p>
        </w:tc>
        <w:tc>
          <w:tcPr>
            <w:tcW w:w="5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Number of</w:t>
            </w:r>
          </w:p>
        </w:tc>
        <w:tc>
          <w:tcPr>
            <w:tcW w:w="720" w:type="dxa"/>
            <w:vAlign w:val="bottom"/>
          </w:tcPr>
          <w:p>
            <w:pPr>
              <w:jc w:val="right"/>
              <w:spacing w:after="0" w:line="99" w:lineRule="exact"/>
              <w:rPr>
                <w:sz w:val="20"/>
                <w:szCs w:val="20"/>
                <w:color w:val="auto"/>
              </w:rPr>
            </w:pPr>
            <w:r>
              <w:rPr>
                <w:rFonts w:ascii="Arial" w:cs="Arial" w:eastAsia="Arial" w:hAnsi="Arial"/>
                <w:sz w:val="9"/>
                <w:szCs w:val="9"/>
                <w:b w:val="1"/>
                <w:bCs w:val="1"/>
                <w:color w:val="auto"/>
                <w:w w:val="99"/>
              </w:rPr>
              <w:t>Square Footage</w:t>
            </w:r>
          </w:p>
        </w:tc>
        <w:tc>
          <w:tcPr>
            <w:tcW w:w="58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w w:val="98"/>
              </w:rPr>
              <w:t>Percentage</w:t>
            </w:r>
          </w:p>
        </w:tc>
        <w:tc>
          <w:tcPr>
            <w:tcW w:w="84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Annualized</w:t>
            </w:r>
          </w:p>
        </w:tc>
        <w:tc>
          <w:tcPr>
            <w:tcW w:w="1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Annualized Cash Rent Per</w:t>
            </w:r>
          </w:p>
        </w:tc>
        <w:tc>
          <w:tcPr>
            <w:tcW w:w="112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Current Weighted</w:t>
            </w:r>
          </w:p>
        </w:tc>
        <w:tc>
          <w:tcPr>
            <w:tcW w:w="56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Number of</w:t>
            </w: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Rentable Square</w:t>
            </w:r>
          </w:p>
        </w:tc>
        <w:tc>
          <w:tcPr>
            <w:tcW w:w="660" w:type="dxa"/>
            <w:vAlign w:val="bottom"/>
          </w:tcPr>
          <w:p>
            <w:pPr>
              <w:jc w:val="right"/>
              <w:ind w:right="116"/>
              <w:spacing w:after="0" w:line="99" w:lineRule="exact"/>
              <w:rPr>
                <w:sz w:val="20"/>
                <w:szCs w:val="20"/>
                <w:color w:val="auto"/>
              </w:rPr>
            </w:pPr>
            <w:r>
              <w:rPr>
                <w:rFonts w:ascii="Arial" w:cs="Arial" w:eastAsia="Arial" w:hAnsi="Arial"/>
                <w:sz w:val="9"/>
                <w:szCs w:val="9"/>
                <w:b w:val="1"/>
                <w:bCs w:val="1"/>
                <w:color w:val="auto"/>
                <w:w w:val="98"/>
              </w:rPr>
              <w:t>Percentage</w:t>
            </w:r>
          </w:p>
        </w:tc>
        <w:tc>
          <w:tcPr>
            <w:tcW w:w="68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Cash Rent of</w:t>
            </w:r>
          </w:p>
        </w:tc>
        <w:tc>
          <w:tcPr>
            <w:tcW w:w="11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Annualized Cash Rent</w:t>
            </w: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Weighted</w:t>
            </w:r>
          </w:p>
        </w:tc>
      </w:tr>
      <w:tr>
        <w:trPr>
          <w:trHeight w:val="98"/>
        </w:trPr>
        <w:tc>
          <w:tcPr>
            <w:tcW w:w="580" w:type="dxa"/>
            <w:vAlign w:val="bottom"/>
          </w:tcPr>
          <w:p>
            <w:pPr>
              <w:jc w:val="right"/>
              <w:ind w:right="96"/>
              <w:spacing w:after="0" w:line="99" w:lineRule="exact"/>
              <w:rPr>
                <w:sz w:val="20"/>
                <w:szCs w:val="20"/>
                <w:color w:val="auto"/>
              </w:rPr>
            </w:pPr>
            <w:r>
              <w:rPr>
                <w:rFonts w:ascii="Arial" w:cs="Arial" w:eastAsia="Arial" w:hAnsi="Arial"/>
                <w:sz w:val="9"/>
                <w:szCs w:val="9"/>
                <w:b w:val="1"/>
                <w:bCs w:val="1"/>
                <w:color w:val="auto"/>
              </w:rPr>
              <w:t>Lease</w:t>
            </w:r>
          </w:p>
        </w:tc>
        <w:tc>
          <w:tcPr>
            <w:tcW w:w="5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Expiring</w:t>
            </w:r>
          </w:p>
        </w:tc>
        <w:tc>
          <w:tcPr>
            <w:tcW w:w="7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of Expiring</w:t>
            </w:r>
          </w:p>
        </w:tc>
        <w:tc>
          <w:tcPr>
            <w:tcW w:w="58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of Total</w:t>
            </w:r>
          </w:p>
        </w:tc>
        <w:tc>
          <w:tcPr>
            <w:tcW w:w="840" w:type="dxa"/>
            <w:vAlign w:val="bottom"/>
          </w:tcPr>
          <w:p>
            <w:pPr>
              <w:jc w:val="right"/>
              <w:ind w:right="36"/>
              <w:spacing w:after="0" w:line="99" w:lineRule="exact"/>
              <w:rPr>
                <w:sz w:val="20"/>
                <w:szCs w:val="20"/>
                <w:color w:val="auto"/>
              </w:rPr>
            </w:pPr>
            <w:r>
              <w:rPr>
                <w:rFonts w:ascii="Arial" w:cs="Arial" w:eastAsia="Arial" w:hAnsi="Arial"/>
                <w:sz w:val="9"/>
                <w:szCs w:val="9"/>
                <w:b w:val="1"/>
                <w:bCs w:val="1"/>
                <w:color w:val="auto"/>
              </w:rPr>
              <w:t>Cash Rent of</w:t>
            </w:r>
          </w:p>
        </w:tc>
        <w:tc>
          <w:tcPr>
            <w:tcW w:w="12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Square Foot of Expiring</w:t>
            </w:r>
          </w:p>
        </w:tc>
        <w:tc>
          <w:tcPr>
            <w:tcW w:w="1120" w:type="dxa"/>
            <w:vAlign w:val="bottom"/>
            <w:gridSpan w:val="2"/>
          </w:tcPr>
          <w:p>
            <w:pPr>
              <w:jc w:val="right"/>
              <w:ind w:right="340"/>
              <w:spacing w:after="0" w:line="99" w:lineRule="exact"/>
              <w:rPr>
                <w:sz w:val="20"/>
                <w:szCs w:val="20"/>
                <w:color w:val="auto"/>
              </w:rPr>
            </w:pPr>
            <w:r>
              <w:rPr>
                <w:rFonts w:ascii="Arial" w:cs="Arial" w:eastAsia="Arial" w:hAnsi="Arial"/>
                <w:sz w:val="9"/>
                <w:szCs w:val="9"/>
                <w:b w:val="1"/>
                <w:bCs w:val="1"/>
                <w:color w:val="auto"/>
              </w:rPr>
              <w:t>Average Asking</w:t>
            </w:r>
          </w:p>
        </w:tc>
        <w:tc>
          <w:tcPr>
            <w:tcW w:w="56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Expiring</w:t>
            </w:r>
          </w:p>
        </w:tc>
        <w:tc>
          <w:tcPr>
            <w:tcW w:w="76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Footage of</w:t>
            </w:r>
          </w:p>
        </w:tc>
        <w:tc>
          <w:tcPr>
            <w:tcW w:w="660" w:type="dxa"/>
            <w:vAlign w:val="bottom"/>
          </w:tcPr>
          <w:p>
            <w:pPr>
              <w:jc w:val="right"/>
              <w:ind w:right="116"/>
              <w:spacing w:after="0" w:line="99" w:lineRule="exact"/>
              <w:rPr>
                <w:sz w:val="20"/>
                <w:szCs w:val="20"/>
                <w:color w:val="auto"/>
              </w:rPr>
            </w:pPr>
            <w:r>
              <w:rPr>
                <w:rFonts w:ascii="Arial" w:cs="Arial" w:eastAsia="Arial" w:hAnsi="Arial"/>
                <w:sz w:val="9"/>
                <w:szCs w:val="9"/>
                <w:b w:val="1"/>
                <w:bCs w:val="1"/>
                <w:color w:val="auto"/>
              </w:rPr>
              <w:t>of Total</w:t>
            </w:r>
          </w:p>
        </w:tc>
        <w:tc>
          <w:tcPr>
            <w:tcW w:w="680" w:type="dxa"/>
            <w:vAlign w:val="bottom"/>
          </w:tcPr>
          <w:p>
            <w:pPr>
              <w:jc w:val="right"/>
              <w:ind w:right="16"/>
              <w:spacing w:after="0" w:line="99" w:lineRule="exact"/>
              <w:rPr>
                <w:sz w:val="20"/>
                <w:szCs w:val="20"/>
                <w:color w:val="auto"/>
              </w:rPr>
            </w:pPr>
            <w:r>
              <w:rPr>
                <w:rFonts w:ascii="Arial" w:cs="Arial" w:eastAsia="Arial" w:hAnsi="Arial"/>
                <w:sz w:val="9"/>
                <w:szCs w:val="9"/>
                <w:b w:val="1"/>
                <w:bCs w:val="1"/>
                <w:color w:val="auto"/>
              </w:rPr>
              <w:t>Expiring</w:t>
            </w:r>
          </w:p>
        </w:tc>
        <w:tc>
          <w:tcPr>
            <w:tcW w:w="112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Per Square Foot of</w:t>
            </w:r>
          </w:p>
        </w:tc>
        <w:tc>
          <w:tcPr>
            <w:tcW w:w="740" w:type="dxa"/>
            <w:vAlign w:val="bottom"/>
          </w:tcPr>
          <w:p>
            <w:pPr>
              <w:jc w:val="right"/>
              <w:spacing w:after="0" w:line="99" w:lineRule="exact"/>
              <w:rPr>
                <w:sz w:val="20"/>
                <w:szCs w:val="20"/>
                <w:color w:val="auto"/>
              </w:rPr>
            </w:pPr>
            <w:r>
              <w:rPr>
                <w:rFonts w:ascii="Arial" w:cs="Arial" w:eastAsia="Arial" w:hAnsi="Arial"/>
                <w:sz w:val="9"/>
                <w:szCs w:val="9"/>
                <w:b w:val="1"/>
                <w:bCs w:val="1"/>
                <w:color w:val="auto"/>
              </w:rPr>
              <w:t>Average Asking</w:t>
            </w:r>
          </w:p>
        </w:tc>
      </w:tr>
      <w:tr>
        <w:trPr>
          <w:trHeight w:val="124"/>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Expiration</w:t>
            </w:r>
          </w:p>
        </w:tc>
        <w:tc>
          <w:tcPr>
            <w:tcW w:w="540" w:type="dxa"/>
            <w:vAlign w:val="bottom"/>
          </w:tcPr>
          <w:p>
            <w:pPr>
              <w:jc w:val="right"/>
              <w:spacing w:after="0"/>
              <w:rPr>
                <w:sz w:val="20"/>
                <w:szCs w:val="20"/>
                <w:color w:val="auto"/>
              </w:rPr>
            </w:pPr>
            <w:r>
              <w:rPr>
                <w:rFonts w:ascii="Arial" w:cs="Arial" w:eastAsia="Arial" w:hAnsi="Arial"/>
                <w:sz w:val="9"/>
                <w:szCs w:val="9"/>
                <w:b w:val="1"/>
                <w:bCs w:val="1"/>
                <w:color w:val="auto"/>
              </w:rPr>
              <w:t xml:space="preserve">Leases </w:t>
            </w:r>
            <w:r>
              <w:rPr>
                <w:rFonts w:ascii="Arial" w:cs="Arial" w:eastAsia="Arial" w:hAnsi="Arial"/>
                <w:sz w:val="5"/>
                <w:szCs w:val="5"/>
                <w:b w:val="1"/>
                <w:bCs w:val="1"/>
                <w:color w:val="auto"/>
              </w:rPr>
              <w:t>(2)</w:t>
            </w: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Leases</w:t>
            </w:r>
          </w:p>
        </w:tc>
        <w:tc>
          <w:tcPr>
            <w:tcW w:w="580" w:type="dxa"/>
            <w:vAlign w:val="bottom"/>
          </w:tcPr>
          <w:p>
            <w:pPr>
              <w:jc w:val="right"/>
              <w:ind w:right="36"/>
              <w:spacing w:after="0"/>
              <w:rPr>
                <w:sz w:val="20"/>
                <w:szCs w:val="20"/>
                <w:color w:val="auto"/>
              </w:rPr>
            </w:pPr>
            <w:r>
              <w:rPr>
                <w:rFonts w:ascii="Arial" w:cs="Arial" w:eastAsia="Arial" w:hAnsi="Arial"/>
                <w:sz w:val="9"/>
                <w:szCs w:val="9"/>
                <w:b w:val="1"/>
                <w:bCs w:val="1"/>
                <w:color w:val="auto"/>
              </w:rPr>
              <w:t>Sq. Ft.</w:t>
            </w:r>
          </w:p>
        </w:tc>
        <w:tc>
          <w:tcPr>
            <w:tcW w:w="840" w:type="dxa"/>
            <w:vAlign w:val="bottom"/>
          </w:tcPr>
          <w:p>
            <w:pPr>
              <w:jc w:val="right"/>
              <w:ind w:right="36"/>
              <w:spacing w:after="0"/>
              <w:rPr>
                <w:sz w:val="20"/>
                <w:szCs w:val="20"/>
                <w:color w:val="auto"/>
              </w:rPr>
            </w:pPr>
            <w:r>
              <w:rPr>
                <w:rFonts w:ascii="Arial" w:cs="Arial" w:eastAsia="Arial" w:hAnsi="Arial"/>
                <w:sz w:val="9"/>
                <w:szCs w:val="9"/>
                <w:b w:val="1"/>
                <w:bCs w:val="1"/>
                <w:color w:val="auto"/>
              </w:rPr>
              <w:t>Expiring Leases</w:t>
            </w:r>
          </w:p>
        </w:tc>
        <w:tc>
          <w:tcPr>
            <w:tcW w:w="1220" w:type="dxa"/>
            <w:vAlign w:val="bottom"/>
          </w:tcPr>
          <w:p>
            <w:pPr>
              <w:jc w:val="right"/>
              <w:spacing w:after="0"/>
              <w:rPr>
                <w:sz w:val="20"/>
                <w:szCs w:val="20"/>
                <w:color w:val="auto"/>
              </w:rPr>
            </w:pPr>
            <w:r>
              <w:rPr>
                <w:rFonts w:ascii="Arial" w:cs="Arial" w:eastAsia="Arial" w:hAnsi="Arial"/>
                <w:sz w:val="9"/>
                <w:szCs w:val="9"/>
                <w:b w:val="1"/>
                <w:bCs w:val="1"/>
                <w:color w:val="auto"/>
              </w:rPr>
              <w:t xml:space="preserve">Leases $/psf </w:t>
            </w:r>
            <w:r>
              <w:rPr>
                <w:rFonts w:ascii="Arial" w:cs="Arial" w:eastAsia="Arial" w:hAnsi="Arial"/>
                <w:sz w:val="5"/>
                <w:szCs w:val="5"/>
                <w:b w:val="1"/>
                <w:bCs w:val="1"/>
                <w:color w:val="auto"/>
              </w:rPr>
              <w:t>(3)</w:t>
            </w:r>
          </w:p>
        </w:tc>
        <w:tc>
          <w:tcPr>
            <w:tcW w:w="1120" w:type="dxa"/>
            <w:vAlign w:val="bottom"/>
            <w:gridSpan w:val="2"/>
          </w:tcPr>
          <w:p>
            <w:pPr>
              <w:jc w:val="right"/>
              <w:ind w:right="340"/>
              <w:spacing w:after="0"/>
              <w:rPr>
                <w:sz w:val="20"/>
                <w:szCs w:val="20"/>
                <w:color w:val="auto"/>
              </w:rPr>
            </w:pPr>
            <w:r>
              <w:rPr>
                <w:rFonts w:ascii="Arial" w:cs="Arial" w:eastAsia="Arial" w:hAnsi="Arial"/>
                <w:sz w:val="9"/>
                <w:szCs w:val="9"/>
                <w:b w:val="1"/>
                <w:bCs w:val="1"/>
                <w:color w:val="auto"/>
              </w:rPr>
              <w:t xml:space="preserve">Rent $/psf </w:t>
            </w:r>
            <w:r>
              <w:rPr>
                <w:rFonts w:ascii="Arial" w:cs="Arial" w:eastAsia="Arial" w:hAnsi="Arial"/>
                <w:sz w:val="5"/>
                <w:szCs w:val="5"/>
                <w:b w:val="1"/>
                <w:bCs w:val="1"/>
                <w:color w:val="auto"/>
              </w:rPr>
              <w:t>(4)</w:t>
            </w:r>
          </w:p>
        </w:tc>
        <w:tc>
          <w:tcPr>
            <w:tcW w:w="560" w:type="dxa"/>
            <w:vAlign w:val="bottom"/>
          </w:tcPr>
          <w:p>
            <w:pPr>
              <w:jc w:val="right"/>
              <w:ind w:right="16"/>
              <w:spacing w:after="0"/>
              <w:rPr>
                <w:sz w:val="20"/>
                <w:szCs w:val="20"/>
                <w:color w:val="auto"/>
              </w:rPr>
            </w:pPr>
            <w:r>
              <w:rPr>
                <w:rFonts w:ascii="Arial" w:cs="Arial" w:eastAsia="Arial" w:hAnsi="Arial"/>
                <w:sz w:val="9"/>
                <w:szCs w:val="9"/>
                <w:b w:val="1"/>
                <w:bCs w:val="1"/>
                <w:color w:val="auto"/>
              </w:rPr>
              <w:t xml:space="preserve">Leases </w:t>
            </w:r>
            <w:r>
              <w:rPr>
                <w:rFonts w:ascii="Arial" w:cs="Arial" w:eastAsia="Arial" w:hAnsi="Arial"/>
                <w:sz w:val="5"/>
                <w:szCs w:val="5"/>
                <w:b w:val="1"/>
                <w:bCs w:val="1"/>
                <w:color w:val="auto"/>
              </w:rPr>
              <w:t>(2)</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Expiring Leases</w:t>
            </w:r>
          </w:p>
        </w:tc>
        <w:tc>
          <w:tcPr>
            <w:tcW w:w="660" w:type="dxa"/>
            <w:vAlign w:val="bottom"/>
          </w:tcPr>
          <w:p>
            <w:pPr>
              <w:jc w:val="right"/>
              <w:ind w:right="116"/>
              <w:spacing w:after="0"/>
              <w:rPr>
                <w:sz w:val="20"/>
                <w:szCs w:val="20"/>
                <w:color w:val="auto"/>
              </w:rPr>
            </w:pPr>
            <w:r>
              <w:rPr>
                <w:rFonts w:ascii="Arial" w:cs="Arial" w:eastAsia="Arial" w:hAnsi="Arial"/>
                <w:sz w:val="9"/>
                <w:szCs w:val="9"/>
                <w:b w:val="1"/>
                <w:bCs w:val="1"/>
                <w:color w:val="auto"/>
              </w:rPr>
              <w:t>Sq. Ft.</w:t>
            </w:r>
          </w:p>
        </w:tc>
        <w:tc>
          <w:tcPr>
            <w:tcW w:w="680" w:type="dxa"/>
            <w:vAlign w:val="bottom"/>
          </w:tcPr>
          <w:p>
            <w:pPr>
              <w:jc w:val="right"/>
              <w:ind w:right="16"/>
              <w:spacing w:after="0"/>
              <w:rPr>
                <w:sz w:val="20"/>
                <w:szCs w:val="20"/>
                <w:color w:val="auto"/>
              </w:rPr>
            </w:pPr>
            <w:r>
              <w:rPr>
                <w:rFonts w:ascii="Arial" w:cs="Arial" w:eastAsia="Arial" w:hAnsi="Arial"/>
                <w:sz w:val="9"/>
                <w:szCs w:val="9"/>
                <w:b w:val="1"/>
                <w:bCs w:val="1"/>
                <w:color w:val="auto"/>
              </w:rPr>
              <w:t>Leases</w:t>
            </w:r>
          </w:p>
        </w:tc>
        <w:tc>
          <w:tcPr>
            <w:tcW w:w="1120" w:type="dxa"/>
            <w:vAlign w:val="bottom"/>
          </w:tcPr>
          <w:p>
            <w:pPr>
              <w:jc w:val="right"/>
              <w:spacing w:after="0"/>
              <w:rPr>
                <w:sz w:val="20"/>
                <w:szCs w:val="20"/>
                <w:color w:val="auto"/>
              </w:rPr>
            </w:pPr>
            <w:r>
              <w:rPr>
                <w:rFonts w:ascii="Arial" w:cs="Arial" w:eastAsia="Arial" w:hAnsi="Arial"/>
                <w:sz w:val="9"/>
                <w:szCs w:val="9"/>
                <w:b w:val="1"/>
                <w:bCs w:val="1"/>
                <w:color w:val="auto"/>
              </w:rPr>
              <w:t xml:space="preserve">Expiring Leases $/psf </w:t>
            </w:r>
            <w:r>
              <w:rPr>
                <w:rFonts w:ascii="Arial" w:cs="Arial" w:eastAsia="Arial" w:hAnsi="Arial"/>
                <w:sz w:val="5"/>
                <w:szCs w:val="5"/>
                <w:b w:val="1"/>
                <w:bCs w:val="1"/>
                <w:color w:val="auto"/>
              </w:rPr>
              <w:t>(3)</w:t>
            </w: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 xml:space="preserve">Rent $/psf </w:t>
            </w:r>
            <w:r>
              <w:rPr>
                <w:rFonts w:ascii="Arial" w:cs="Arial" w:eastAsia="Arial" w:hAnsi="Arial"/>
                <w:sz w:val="5"/>
                <w:szCs w:val="5"/>
                <w:b w:val="1"/>
                <w:bCs w:val="1"/>
                <w:color w:val="auto"/>
              </w:rPr>
              <w:t>(4)</w:t>
            </w:r>
          </w:p>
        </w:tc>
      </w:tr>
      <w:tr>
        <w:trPr>
          <w:trHeight w:val="261"/>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High</w:t>
            </w:r>
          </w:p>
        </w:tc>
        <w:tc>
          <w:tcPr>
            <w:tcW w:w="540" w:type="dxa"/>
            <w:vAlign w:val="bottom"/>
            <w:tcBorders>
              <w:top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76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740" w:type="dxa"/>
            <w:vAlign w:val="bottom"/>
            <w:tcBorders>
              <w:top w:val="single" w:sz="8" w:color="auto"/>
            </w:tcBorders>
          </w:tcPr>
          <w:p>
            <w:pPr>
              <w:spacing w:after="0"/>
              <w:rPr>
                <w:sz w:val="22"/>
                <w:szCs w:val="22"/>
                <w:color w:val="auto"/>
              </w:rPr>
            </w:pPr>
          </w:p>
        </w:tc>
      </w:tr>
      <w:tr>
        <w:trPr>
          <w:trHeight w:val="98"/>
        </w:trPr>
        <w:tc>
          <w:tcPr>
            <w:tcW w:w="580" w:type="dxa"/>
            <w:vAlign w:val="bottom"/>
          </w:tcPr>
          <w:p>
            <w:pPr>
              <w:ind w:left="20"/>
              <w:spacing w:after="0" w:line="99" w:lineRule="exact"/>
              <w:rPr>
                <w:sz w:val="20"/>
                <w:szCs w:val="20"/>
                <w:color w:val="auto"/>
              </w:rPr>
            </w:pPr>
            <w:r>
              <w:rPr>
                <w:rFonts w:ascii="Arial" w:cs="Arial" w:eastAsia="Arial" w:hAnsi="Arial"/>
                <w:sz w:val="9"/>
                <w:szCs w:val="9"/>
                <w:b w:val="1"/>
                <w:bCs w:val="1"/>
                <w:color w:val="auto"/>
              </w:rPr>
              <w:t>Street</w:t>
            </w: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124"/>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Retail</w:t>
            </w: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r>
        <w:trPr>
          <w:trHeight w:val="201"/>
        </w:trPr>
        <w:tc>
          <w:tcPr>
            <w:tcW w:w="580" w:type="dxa"/>
            <w:vAlign w:val="bottom"/>
          </w:tcPr>
          <w:p>
            <w:pPr>
              <w:jc w:val="right"/>
              <w:ind w:right="96"/>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540" w:type="dxa"/>
            <w:vAlign w:val="bottom"/>
          </w:tcPr>
          <w:p>
            <w:pPr>
              <w:jc w:val="right"/>
              <w:spacing w:after="0"/>
              <w:rPr>
                <w:sz w:val="20"/>
                <w:szCs w:val="20"/>
                <w:color w:val="auto"/>
              </w:rPr>
            </w:pPr>
            <w:r>
              <w:rPr>
                <w:rFonts w:ascii="Arial" w:cs="Arial" w:eastAsia="Arial" w:hAnsi="Arial"/>
                <w:sz w:val="9"/>
                <w:szCs w:val="9"/>
                <w:color w:val="auto"/>
              </w:rPr>
              <w:t>7</w:t>
            </w:r>
          </w:p>
        </w:tc>
        <w:tc>
          <w:tcPr>
            <w:tcW w:w="720" w:type="dxa"/>
            <w:vAlign w:val="bottom"/>
          </w:tcPr>
          <w:p>
            <w:pPr>
              <w:jc w:val="right"/>
              <w:spacing w:after="0"/>
              <w:rPr>
                <w:sz w:val="20"/>
                <w:szCs w:val="20"/>
                <w:color w:val="auto"/>
              </w:rPr>
            </w:pPr>
            <w:r>
              <w:rPr>
                <w:rFonts w:ascii="Arial" w:cs="Arial" w:eastAsia="Arial" w:hAnsi="Arial"/>
                <w:sz w:val="9"/>
                <w:szCs w:val="9"/>
                <w:color w:val="auto"/>
              </w:rPr>
              <w:t>10,944</w:t>
            </w:r>
          </w:p>
        </w:tc>
        <w:tc>
          <w:tcPr>
            <w:tcW w:w="580" w:type="dxa"/>
            <w:vAlign w:val="bottom"/>
          </w:tcPr>
          <w:p>
            <w:pPr>
              <w:jc w:val="right"/>
              <w:spacing w:after="0"/>
              <w:rPr>
                <w:sz w:val="20"/>
                <w:szCs w:val="20"/>
                <w:color w:val="auto"/>
              </w:rPr>
            </w:pPr>
            <w:r>
              <w:rPr>
                <w:rFonts w:ascii="Arial" w:cs="Arial" w:eastAsia="Arial" w:hAnsi="Arial"/>
                <w:sz w:val="9"/>
                <w:szCs w:val="9"/>
                <w:color w:val="auto"/>
              </w:rPr>
              <w:t>3.06%</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$1,128,661</w:t>
            </w:r>
          </w:p>
        </w:tc>
        <w:tc>
          <w:tcPr>
            <w:tcW w:w="1220" w:type="dxa"/>
            <w:vAlign w:val="bottom"/>
          </w:tcPr>
          <w:p>
            <w:pPr>
              <w:jc w:val="right"/>
              <w:spacing w:after="0"/>
              <w:rPr>
                <w:sz w:val="20"/>
                <w:szCs w:val="20"/>
                <w:color w:val="auto"/>
              </w:rPr>
            </w:pPr>
            <w:r>
              <w:rPr>
                <w:rFonts w:ascii="Arial" w:cs="Arial" w:eastAsia="Arial" w:hAnsi="Arial"/>
                <w:sz w:val="9"/>
                <w:szCs w:val="9"/>
                <w:color w:val="auto"/>
              </w:rPr>
              <w:t>$103.13</w:t>
            </w:r>
          </w:p>
        </w:tc>
        <w:tc>
          <w:tcPr>
            <w:tcW w:w="820" w:type="dxa"/>
            <w:vAlign w:val="bottom"/>
          </w:tcPr>
          <w:p>
            <w:pPr>
              <w:jc w:val="right"/>
              <w:spacing w:after="0"/>
              <w:rPr>
                <w:sz w:val="20"/>
                <w:szCs w:val="20"/>
                <w:color w:val="auto"/>
              </w:rPr>
            </w:pPr>
            <w:r>
              <w:rPr>
                <w:rFonts w:ascii="Arial" w:cs="Arial" w:eastAsia="Arial" w:hAnsi="Arial"/>
                <w:sz w:val="9"/>
                <w:szCs w:val="9"/>
                <w:color w:val="auto"/>
              </w:rPr>
              <w:t>$104.91</w:t>
            </w:r>
          </w:p>
        </w:tc>
        <w:tc>
          <w:tcPr>
            <w:tcW w:w="30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1</w:t>
            </w:r>
          </w:p>
        </w:tc>
        <w:tc>
          <w:tcPr>
            <w:tcW w:w="760" w:type="dxa"/>
            <w:vAlign w:val="bottom"/>
          </w:tcPr>
          <w:p>
            <w:pPr>
              <w:jc w:val="right"/>
              <w:spacing w:after="0"/>
              <w:rPr>
                <w:sz w:val="20"/>
                <w:szCs w:val="20"/>
                <w:color w:val="auto"/>
              </w:rPr>
            </w:pPr>
            <w:r>
              <w:rPr>
                <w:rFonts w:ascii="Arial" w:cs="Arial" w:eastAsia="Arial" w:hAnsi="Arial"/>
                <w:sz w:val="9"/>
                <w:szCs w:val="9"/>
                <w:color w:val="auto"/>
              </w:rPr>
              <w:t>3,553</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1.14%</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$138,471</w:t>
            </w:r>
          </w:p>
        </w:tc>
        <w:tc>
          <w:tcPr>
            <w:tcW w:w="1120" w:type="dxa"/>
            <w:vAlign w:val="bottom"/>
          </w:tcPr>
          <w:p>
            <w:pPr>
              <w:jc w:val="right"/>
              <w:spacing w:after="0"/>
              <w:rPr>
                <w:sz w:val="20"/>
                <w:szCs w:val="20"/>
                <w:color w:val="auto"/>
              </w:rPr>
            </w:pPr>
            <w:r>
              <w:rPr>
                <w:rFonts w:ascii="Arial" w:cs="Arial" w:eastAsia="Arial" w:hAnsi="Arial"/>
                <w:sz w:val="9"/>
                <w:szCs w:val="9"/>
                <w:color w:val="auto"/>
              </w:rPr>
              <w:t>$38.97</w:t>
            </w:r>
          </w:p>
        </w:tc>
        <w:tc>
          <w:tcPr>
            <w:tcW w:w="740" w:type="dxa"/>
            <w:vAlign w:val="bottom"/>
          </w:tcPr>
          <w:p>
            <w:pPr>
              <w:jc w:val="right"/>
              <w:spacing w:after="0"/>
              <w:rPr>
                <w:sz w:val="20"/>
                <w:szCs w:val="20"/>
                <w:color w:val="auto"/>
              </w:rPr>
            </w:pPr>
            <w:r>
              <w:rPr>
                <w:rFonts w:ascii="Arial" w:cs="Arial" w:eastAsia="Arial" w:hAnsi="Arial"/>
                <w:sz w:val="9"/>
                <w:szCs w:val="9"/>
                <w:color w:val="auto"/>
              </w:rPr>
              <w:t>$40.92</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2017</w:t>
            </w:r>
          </w:p>
        </w:tc>
        <w:tc>
          <w:tcPr>
            <w:tcW w:w="540" w:type="dxa"/>
            <w:vAlign w:val="bottom"/>
          </w:tcPr>
          <w:p>
            <w:pPr>
              <w:jc w:val="right"/>
              <w:spacing w:after="0"/>
              <w:rPr>
                <w:sz w:val="20"/>
                <w:szCs w:val="20"/>
                <w:color w:val="auto"/>
              </w:rPr>
            </w:pPr>
            <w:r>
              <w:rPr>
                <w:rFonts w:ascii="Arial" w:cs="Arial" w:eastAsia="Arial" w:hAnsi="Arial"/>
                <w:sz w:val="9"/>
                <w:szCs w:val="9"/>
                <w:color w:val="auto"/>
              </w:rPr>
              <w:t>16</w:t>
            </w:r>
          </w:p>
        </w:tc>
        <w:tc>
          <w:tcPr>
            <w:tcW w:w="720" w:type="dxa"/>
            <w:vAlign w:val="bottom"/>
          </w:tcPr>
          <w:p>
            <w:pPr>
              <w:jc w:val="right"/>
              <w:spacing w:after="0"/>
              <w:rPr>
                <w:sz w:val="20"/>
                <w:szCs w:val="20"/>
                <w:color w:val="auto"/>
              </w:rPr>
            </w:pPr>
            <w:r>
              <w:rPr>
                <w:rFonts w:ascii="Arial" w:cs="Arial" w:eastAsia="Arial" w:hAnsi="Arial"/>
                <w:sz w:val="9"/>
                <w:szCs w:val="9"/>
                <w:color w:val="auto"/>
              </w:rPr>
              <w:t>63,327</w:t>
            </w:r>
          </w:p>
        </w:tc>
        <w:tc>
          <w:tcPr>
            <w:tcW w:w="580" w:type="dxa"/>
            <w:vAlign w:val="bottom"/>
          </w:tcPr>
          <w:p>
            <w:pPr>
              <w:jc w:val="right"/>
              <w:spacing w:after="0"/>
              <w:rPr>
                <w:sz w:val="20"/>
                <w:szCs w:val="20"/>
                <w:color w:val="auto"/>
              </w:rPr>
            </w:pPr>
            <w:r>
              <w:rPr>
                <w:rFonts w:ascii="Arial" w:cs="Arial" w:eastAsia="Arial" w:hAnsi="Arial"/>
                <w:sz w:val="9"/>
                <w:szCs w:val="9"/>
                <w:color w:val="auto"/>
              </w:rPr>
              <w:t>17.70%</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3,807,109</w:t>
            </w:r>
          </w:p>
        </w:tc>
        <w:tc>
          <w:tcPr>
            <w:tcW w:w="1220" w:type="dxa"/>
            <w:vAlign w:val="bottom"/>
          </w:tcPr>
          <w:p>
            <w:pPr>
              <w:jc w:val="right"/>
              <w:spacing w:after="0"/>
              <w:rPr>
                <w:sz w:val="20"/>
                <w:szCs w:val="20"/>
                <w:color w:val="auto"/>
              </w:rPr>
            </w:pPr>
            <w:r>
              <w:rPr>
                <w:rFonts w:ascii="Arial" w:cs="Arial" w:eastAsia="Arial" w:hAnsi="Arial"/>
                <w:sz w:val="9"/>
                <w:szCs w:val="9"/>
                <w:color w:val="auto"/>
              </w:rPr>
              <w:t>60.12</w:t>
            </w:r>
          </w:p>
        </w:tc>
        <w:tc>
          <w:tcPr>
            <w:tcW w:w="820" w:type="dxa"/>
            <w:vAlign w:val="bottom"/>
          </w:tcPr>
          <w:p>
            <w:pPr>
              <w:jc w:val="right"/>
              <w:spacing w:after="0"/>
              <w:rPr>
                <w:sz w:val="20"/>
                <w:szCs w:val="20"/>
                <w:color w:val="auto"/>
              </w:rPr>
            </w:pPr>
            <w:r>
              <w:rPr>
                <w:rFonts w:ascii="Arial" w:cs="Arial" w:eastAsia="Arial" w:hAnsi="Arial"/>
                <w:sz w:val="9"/>
                <w:szCs w:val="9"/>
                <w:color w:val="auto"/>
              </w:rPr>
              <w:t>174.65</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5</w:t>
            </w:r>
          </w:p>
        </w:tc>
        <w:tc>
          <w:tcPr>
            <w:tcW w:w="760" w:type="dxa"/>
            <w:vAlign w:val="bottom"/>
          </w:tcPr>
          <w:p>
            <w:pPr>
              <w:jc w:val="right"/>
              <w:spacing w:after="0"/>
              <w:rPr>
                <w:sz w:val="20"/>
                <w:szCs w:val="20"/>
                <w:color w:val="auto"/>
              </w:rPr>
            </w:pPr>
            <w:r>
              <w:rPr>
                <w:rFonts w:ascii="Arial" w:cs="Arial" w:eastAsia="Arial" w:hAnsi="Arial"/>
                <w:sz w:val="9"/>
                <w:szCs w:val="9"/>
                <w:color w:val="auto"/>
              </w:rPr>
              <w:t>19,854</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6.34%</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1,067,169</w:t>
            </w:r>
          </w:p>
        </w:tc>
        <w:tc>
          <w:tcPr>
            <w:tcW w:w="1120" w:type="dxa"/>
            <w:vAlign w:val="bottom"/>
          </w:tcPr>
          <w:p>
            <w:pPr>
              <w:jc w:val="right"/>
              <w:spacing w:after="0"/>
              <w:rPr>
                <w:sz w:val="20"/>
                <w:szCs w:val="20"/>
                <w:color w:val="auto"/>
              </w:rPr>
            </w:pPr>
            <w:r>
              <w:rPr>
                <w:rFonts w:ascii="Arial" w:cs="Arial" w:eastAsia="Arial" w:hAnsi="Arial"/>
                <w:sz w:val="9"/>
                <w:szCs w:val="9"/>
                <w:color w:val="auto"/>
              </w:rPr>
              <w:t>53.75</w:t>
            </w:r>
          </w:p>
        </w:tc>
        <w:tc>
          <w:tcPr>
            <w:tcW w:w="740" w:type="dxa"/>
            <w:vAlign w:val="bottom"/>
          </w:tcPr>
          <w:p>
            <w:pPr>
              <w:jc w:val="right"/>
              <w:spacing w:after="0"/>
              <w:rPr>
                <w:sz w:val="20"/>
                <w:szCs w:val="20"/>
                <w:color w:val="auto"/>
              </w:rPr>
            </w:pPr>
            <w:r>
              <w:rPr>
                <w:rFonts w:ascii="Arial" w:cs="Arial" w:eastAsia="Arial" w:hAnsi="Arial"/>
                <w:sz w:val="9"/>
                <w:szCs w:val="9"/>
                <w:color w:val="auto"/>
              </w:rPr>
              <w:t>75.43</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2018</w:t>
            </w:r>
          </w:p>
        </w:tc>
        <w:tc>
          <w:tcPr>
            <w:tcW w:w="540" w:type="dxa"/>
            <w:vAlign w:val="bottom"/>
          </w:tcPr>
          <w:p>
            <w:pPr>
              <w:jc w:val="right"/>
              <w:spacing w:after="0"/>
              <w:rPr>
                <w:sz w:val="20"/>
                <w:szCs w:val="20"/>
                <w:color w:val="auto"/>
              </w:rPr>
            </w:pPr>
            <w:r>
              <w:rPr>
                <w:rFonts w:ascii="Arial" w:cs="Arial" w:eastAsia="Arial" w:hAnsi="Arial"/>
                <w:sz w:val="9"/>
                <w:szCs w:val="9"/>
                <w:color w:val="auto"/>
              </w:rPr>
              <w:t>10</w:t>
            </w:r>
          </w:p>
        </w:tc>
        <w:tc>
          <w:tcPr>
            <w:tcW w:w="720" w:type="dxa"/>
            <w:vAlign w:val="bottom"/>
          </w:tcPr>
          <w:p>
            <w:pPr>
              <w:jc w:val="right"/>
              <w:spacing w:after="0"/>
              <w:rPr>
                <w:sz w:val="20"/>
                <w:szCs w:val="20"/>
                <w:color w:val="auto"/>
              </w:rPr>
            </w:pPr>
            <w:r>
              <w:rPr>
                <w:rFonts w:ascii="Arial" w:cs="Arial" w:eastAsia="Arial" w:hAnsi="Arial"/>
                <w:sz w:val="9"/>
                <w:szCs w:val="9"/>
                <w:color w:val="auto"/>
              </w:rPr>
              <w:t>18,599</w:t>
            </w:r>
          </w:p>
        </w:tc>
        <w:tc>
          <w:tcPr>
            <w:tcW w:w="580" w:type="dxa"/>
            <w:vAlign w:val="bottom"/>
          </w:tcPr>
          <w:p>
            <w:pPr>
              <w:jc w:val="right"/>
              <w:spacing w:after="0"/>
              <w:rPr>
                <w:sz w:val="20"/>
                <w:szCs w:val="20"/>
                <w:color w:val="auto"/>
              </w:rPr>
            </w:pPr>
            <w:r>
              <w:rPr>
                <w:rFonts w:ascii="Arial" w:cs="Arial" w:eastAsia="Arial" w:hAnsi="Arial"/>
                <w:sz w:val="9"/>
                <w:szCs w:val="9"/>
                <w:color w:val="auto"/>
              </w:rPr>
              <w:t>5.20%</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1,037,927</w:t>
            </w:r>
          </w:p>
        </w:tc>
        <w:tc>
          <w:tcPr>
            <w:tcW w:w="1220" w:type="dxa"/>
            <w:vAlign w:val="bottom"/>
          </w:tcPr>
          <w:p>
            <w:pPr>
              <w:jc w:val="right"/>
              <w:spacing w:after="0"/>
              <w:rPr>
                <w:sz w:val="20"/>
                <w:szCs w:val="20"/>
                <w:color w:val="auto"/>
              </w:rPr>
            </w:pPr>
            <w:r>
              <w:rPr>
                <w:rFonts w:ascii="Arial" w:cs="Arial" w:eastAsia="Arial" w:hAnsi="Arial"/>
                <w:sz w:val="9"/>
                <w:szCs w:val="9"/>
                <w:color w:val="auto"/>
              </w:rPr>
              <w:t>55.81</w:t>
            </w:r>
          </w:p>
        </w:tc>
        <w:tc>
          <w:tcPr>
            <w:tcW w:w="820" w:type="dxa"/>
            <w:vAlign w:val="bottom"/>
          </w:tcPr>
          <w:p>
            <w:pPr>
              <w:jc w:val="right"/>
              <w:spacing w:after="0"/>
              <w:rPr>
                <w:sz w:val="20"/>
                <w:szCs w:val="20"/>
                <w:color w:val="auto"/>
              </w:rPr>
            </w:pPr>
            <w:r>
              <w:rPr>
                <w:rFonts w:ascii="Arial" w:cs="Arial" w:eastAsia="Arial" w:hAnsi="Arial"/>
                <w:sz w:val="9"/>
                <w:szCs w:val="9"/>
                <w:color w:val="auto"/>
              </w:rPr>
              <w:t>68.39</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2</w:t>
            </w:r>
          </w:p>
        </w:tc>
        <w:tc>
          <w:tcPr>
            <w:tcW w:w="760" w:type="dxa"/>
            <w:vAlign w:val="bottom"/>
          </w:tcPr>
          <w:p>
            <w:pPr>
              <w:jc w:val="right"/>
              <w:spacing w:after="0"/>
              <w:rPr>
                <w:sz w:val="20"/>
                <w:szCs w:val="20"/>
                <w:color w:val="auto"/>
              </w:rPr>
            </w:pPr>
            <w:r>
              <w:rPr>
                <w:rFonts w:ascii="Arial" w:cs="Arial" w:eastAsia="Arial" w:hAnsi="Arial"/>
                <w:sz w:val="9"/>
                <w:szCs w:val="9"/>
                <w:color w:val="auto"/>
              </w:rPr>
              <w:t>24,473</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7.82%</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1,722,552</w:t>
            </w:r>
          </w:p>
        </w:tc>
        <w:tc>
          <w:tcPr>
            <w:tcW w:w="1120" w:type="dxa"/>
            <w:vAlign w:val="bottom"/>
          </w:tcPr>
          <w:p>
            <w:pPr>
              <w:jc w:val="right"/>
              <w:spacing w:after="0"/>
              <w:rPr>
                <w:sz w:val="20"/>
                <w:szCs w:val="20"/>
                <w:color w:val="auto"/>
              </w:rPr>
            </w:pPr>
            <w:r>
              <w:rPr>
                <w:rFonts w:ascii="Arial" w:cs="Arial" w:eastAsia="Arial" w:hAnsi="Arial"/>
                <w:sz w:val="9"/>
                <w:szCs w:val="9"/>
                <w:color w:val="auto"/>
              </w:rPr>
              <w:t>70.39</w:t>
            </w:r>
          </w:p>
        </w:tc>
        <w:tc>
          <w:tcPr>
            <w:tcW w:w="740" w:type="dxa"/>
            <w:vAlign w:val="bottom"/>
          </w:tcPr>
          <w:p>
            <w:pPr>
              <w:jc w:val="right"/>
              <w:spacing w:after="0"/>
              <w:rPr>
                <w:sz w:val="20"/>
                <w:szCs w:val="20"/>
                <w:color w:val="auto"/>
              </w:rPr>
            </w:pPr>
            <w:r>
              <w:rPr>
                <w:rFonts w:ascii="Arial" w:cs="Arial" w:eastAsia="Arial" w:hAnsi="Arial"/>
                <w:sz w:val="9"/>
                <w:szCs w:val="9"/>
                <w:color w:val="auto"/>
              </w:rPr>
              <w:t>78.29</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2019</w:t>
            </w:r>
          </w:p>
        </w:tc>
        <w:tc>
          <w:tcPr>
            <w:tcW w:w="540" w:type="dxa"/>
            <w:vAlign w:val="bottom"/>
          </w:tcPr>
          <w:p>
            <w:pPr>
              <w:jc w:val="right"/>
              <w:spacing w:after="0"/>
              <w:rPr>
                <w:sz w:val="20"/>
                <w:szCs w:val="20"/>
                <w:color w:val="auto"/>
              </w:rPr>
            </w:pPr>
            <w:r>
              <w:rPr>
                <w:rFonts w:ascii="Arial" w:cs="Arial" w:eastAsia="Arial" w:hAnsi="Arial"/>
                <w:sz w:val="9"/>
                <w:szCs w:val="9"/>
                <w:color w:val="auto"/>
              </w:rPr>
              <w:t>4</w:t>
            </w:r>
          </w:p>
        </w:tc>
        <w:tc>
          <w:tcPr>
            <w:tcW w:w="720" w:type="dxa"/>
            <w:vAlign w:val="bottom"/>
          </w:tcPr>
          <w:p>
            <w:pPr>
              <w:jc w:val="right"/>
              <w:spacing w:after="0"/>
              <w:rPr>
                <w:sz w:val="20"/>
                <w:szCs w:val="20"/>
                <w:color w:val="auto"/>
              </w:rPr>
            </w:pPr>
            <w:r>
              <w:rPr>
                <w:rFonts w:ascii="Arial" w:cs="Arial" w:eastAsia="Arial" w:hAnsi="Arial"/>
                <w:sz w:val="9"/>
                <w:szCs w:val="9"/>
                <w:color w:val="auto"/>
              </w:rPr>
              <w:t>5,350</w:t>
            </w:r>
          </w:p>
        </w:tc>
        <w:tc>
          <w:tcPr>
            <w:tcW w:w="580" w:type="dxa"/>
            <w:vAlign w:val="bottom"/>
          </w:tcPr>
          <w:p>
            <w:pPr>
              <w:jc w:val="right"/>
              <w:spacing w:after="0"/>
              <w:rPr>
                <w:sz w:val="20"/>
                <w:szCs w:val="20"/>
                <w:color w:val="auto"/>
              </w:rPr>
            </w:pPr>
            <w:r>
              <w:rPr>
                <w:rFonts w:ascii="Arial" w:cs="Arial" w:eastAsia="Arial" w:hAnsi="Arial"/>
                <w:sz w:val="9"/>
                <w:szCs w:val="9"/>
                <w:color w:val="auto"/>
              </w:rPr>
              <w:t>1.50%</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574,016</w:t>
            </w:r>
          </w:p>
        </w:tc>
        <w:tc>
          <w:tcPr>
            <w:tcW w:w="1220" w:type="dxa"/>
            <w:vAlign w:val="bottom"/>
          </w:tcPr>
          <w:p>
            <w:pPr>
              <w:jc w:val="right"/>
              <w:spacing w:after="0"/>
              <w:rPr>
                <w:sz w:val="20"/>
                <w:szCs w:val="20"/>
                <w:color w:val="auto"/>
              </w:rPr>
            </w:pPr>
            <w:r>
              <w:rPr>
                <w:rFonts w:ascii="Arial" w:cs="Arial" w:eastAsia="Arial" w:hAnsi="Arial"/>
                <w:sz w:val="9"/>
                <w:szCs w:val="9"/>
                <w:color w:val="auto"/>
              </w:rPr>
              <w:t>107.29</w:t>
            </w:r>
          </w:p>
        </w:tc>
        <w:tc>
          <w:tcPr>
            <w:tcW w:w="820" w:type="dxa"/>
            <w:vAlign w:val="bottom"/>
          </w:tcPr>
          <w:p>
            <w:pPr>
              <w:jc w:val="right"/>
              <w:spacing w:after="0"/>
              <w:rPr>
                <w:sz w:val="20"/>
                <w:szCs w:val="20"/>
                <w:color w:val="auto"/>
              </w:rPr>
            </w:pPr>
            <w:r>
              <w:rPr>
                <w:rFonts w:ascii="Arial" w:cs="Arial" w:eastAsia="Arial" w:hAnsi="Arial"/>
                <w:sz w:val="9"/>
                <w:szCs w:val="9"/>
                <w:color w:val="auto"/>
              </w:rPr>
              <w:t>108.78</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760" w:type="dxa"/>
            <w:vAlign w:val="bottom"/>
          </w:tcPr>
          <w:p>
            <w:pPr>
              <w:jc w:val="right"/>
              <w:spacing w:after="0"/>
              <w:rPr>
                <w:sz w:val="20"/>
                <w:szCs w:val="20"/>
                <w:color w:val="auto"/>
              </w:rPr>
            </w:pPr>
            <w:r>
              <w:rPr>
                <w:rFonts w:ascii="Arial" w:cs="Arial" w:eastAsia="Arial" w:hAnsi="Arial"/>
                <w:sz w:val="9"/>
                <w:szCs w:val="9"/>
                <w:color w:val="auto"/>
              </w:rPr>
              <w:t>—</w:t>
            </w:r>
          </w:p>
        </w:tc>
        <w:tc>
          <w:tcPr>
            <w:tcW w:w="660" w:type="dxa"/>
            <w:vAlign w:val="bottom"/>
          </w:tcPr>
          <w:p>
            <w:pPr>
              <w:jc w:val="right"/>
              <w:ind w:right="116"/>
              <w:spacing w:after="0"/>
              <w:rPr>
                <w:sz w:val="20"/>
                <w:szCs w:val="20"/>
                <w:color w:val="auto"/>
              </w:rPr>
            </w:pPr>
            <w:r>
              <w:rPr>
                <w:rFonts w:ascii="Arial" w:cs="Arial" w:eastAsia="Arial" w:hAnsi="Arial"/>
                <w:sz w:val="9"/>
                <w:szCs w:val="9"/>
                <w:color w:val="auto"/>
              </w:rPr>
              <w:t>—</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w:t>
            </w:r>
          </w:p>
        </w:tc>
        <w:tc>
          <w:tcPr>
            <w:tcW w:w="1120" w:type="dxa"/>
            <w:vAlign w:val="bottom"/>
          </w:tcPr>
          <w:p>
            <w:pPr>
              <w:jc w:val="right"/>
              <w:spacing w:after="0"/>
              <w:rPr>
                <w:sz w:val="20"/>
                <w:szCs w:val="20"/>
                <w:color w:val="auto"/>
              </w:rPr>
            </w:pPr>
            <w:r>
              <w:rPr>
                <w:rFonts w:ascii="Arial" w:cs="Arial" w:eastAsia="Arial" w:hAnsi="Arial"/>
                <w:sz w:val="9"/>
                <w:szCs w:val="9"/>
                <w:color w:val="auto"/>
              </w:rPr>
              <w:t>—</w:t>
            </w:r>
          </w:p>
        </w:tc>
        <w:tc>
          <w:tcPr>
            <w:tcW w:w="740" w:type="dxa"/>
            <w:vAlign w:val="bottom"/>
          </w:tcPr>
          <w:p>
            <w:pPr>
              <w:jc w:val="right"/>
              <w:spacing w:after="0"/>
              <w:rPr>
                <w:sz w:val="20"/>
                <w:szCs w:val="20"/>
                <w:color w:val="auto"/>
              </w:rPr>
            </w:pPr>
            <w:r>
              <w:rPr>
                <w:rFonts w:ascii="Arial" w:cs="Arial" w:eastAsia="Arial" w:hAnsi="Arial"/>
                <w:sz w:val="9"/>
                <w:szCs w:val="9"/>
                <w:color w:val="auto"/>
              </w:rPr>
              <w:t>—</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2020</w:t>
            </w:r>
          </w:p>
        </w:tc>
        <w:tc>
          <w:tcPr>
            <w:tcW w:w="540" w:type="dxa"/>
            <w:vAlign w:val="bottom"/>
          </w:tcPr>
          <w:p>
            <w:pPr>
              <w:jc w:val="right"/>
              <w:spacing w:after="0"/>
              <w:rPr>
                <w:sz w:val="20"/>
                <w:szCs w:val="20"/>
                <w:color w:val="auto"/>
              </w:rPr>
            </w:pPr>
            <w:r>
              <w:rPr>
                <w:rFonts w:ascii="Arial" w:cs="Arial" w:eastAsia="Arial" w:hAnsi="Arial"/>
                <w:sz w:val="9"/>
                <w:szCs w:val="9"/>
                <w:color w:val="auto"/>
              </w:rPr>
              <w:t>4</w:t>
            </w:r>
          </w:p>
        </w:tc>
        <w:tc>
          <w:tcPr>
            <w:tcW w:w="720" w:type="dxa"/>
            <w:vAlign w:val="bottom"/>
          </w:tcPr>
          <w:p>
            <w:pPr>
              <w:jc w:val="right"/>
              <w:spacing w:after="0"/>
              <w:rPr>
                <w:sz w:val="20"/>
                <w:szCs w:val="20"/>
                <w:color w:val="auto"/>
              </w:rPr>
            </w:pPr>
            <w:r>
              <w:rPr>
                <w:rFonts w:ascii="Arial" w:cs="Arial" w:eastAsia="Arial" w:hAnsi="Arial"/>
                <w:sz w:val="9"/>
                <w:szCs w:val="9"/>
                <w:color w:val="auto"/>
              </w:rPr>
              <w:t>8,757</w:t>
            </w:r>
          </w:p>
        </w:tc>
        <w:tc>
          <w:tcPr>
            <w:tcW w:w="580" w:type="dxa"/>
            <w:vAlign w:val="bottom"/>
          </w:tcPr>
          <w:p>
            <w:pPr>
              <w:jc w:val="right"/>
              <w:spacing w:after="0"/>
              <w:rPr>
                <w:sz w:val="20"/>
                <w:szCs w:val="20"/>
                <w:color w:val="auto"/>
              </w:rPr>
            </w:pPr>
            <w:r>
              <w:rPr>
                <w:rFonts w:ascii="Arial" w:cs="Arial" w:eastAsia="Arial" w:hAnsi="Arial"/>
                <w:sz w:val="9"/>
                <w:szCs w:val="9"/>
                <w:color w:val="auto"/>
              </w:rPr>
              <w:t>2.45%</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1,184,969</w:t>
            </w:r>
          </w:p>
        </w:tc>
        <w:tc>
          <w:tcPr>
            <w:tcW w:w="1220" w:type="dxa"/>
            <w:vAlign w:val="bottom"/>
          </w:tcPr>
          <w:p>
            <w:pPr>
              <w:jc w:val="right"/>
              <w:spacing w:after="0"/>
              <w:rPr>
                <w:sz w:val="20"/>
                <w:szCs w:val="20"/>
                <w:color w:val="auto"/>
              </w:rPr>
            </w:pPr>
            <w:r>
              <w:rPr>
                <w:rFonts w:ascii="Arial" w:cs="Arial" w:eastAsia="Arial" w:hAnsi="Arial"/>
                <w:sz w:val="9"/>
                <w:szCs w:val="9"/>
                <w:color w:val="auto"/>
              </w:rPr>
              <w:t>135.32</w:t>
            </w:r>
          </w:p>
        </w:tc>
        <w:tc>
          <w:tcPr>
            <w:tcW w:w="820" w:type="dxa"/>
            <w:vAlign w:val="bottom"/>
          </w:tcPr>
          <w:p>
            <w:pPr>
              <w:jc w:val="right"/>
              <w:spacing w:after="0"/>
              <w:rPr>
                <w:sz w:val="20"/>
                <w:szCs w:val="20"/>
                <w:color w:val="auto"/>
              </w:rPr>
            </w:pPr>
            <w:r>
              <w:rPr>
                <w:rFonts w:ascii="Arial" w:cs="Arial" w:eastAsia="Arial" w:hAnsi="Arial"/>
                <w:sz w:val="9"/>
                <w:szCs w:val="9"/>
                <w:color w:val="auto"/>
              </w:rPr>
              <w:t>407.16</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3</w:t>
            </w:r>
          </w:p>
        </w:tc>
        <w:tc>
          <w:tcPr>
            <w:tcW w:w="760" w:type="dxa"/>
            <w:vAlign w:val="bottom"/>
          </w:tcPr>
          <w:p>
            <w:pPr>
              <w:jc w:val="right"/>
              <w:spacing w:after="0"/>
              <w:rPr>
                <w:sz w:val="20"/>
                <w:szCs w:val="20"/>
                <w:color w:val="auto"/>
              </w:rPr>
            </w:pPr>
            <w:r>
              <w:rPr>
                <w:rFonts w:ascii="Arial" w:cs="Arial" w:eastAsia="Arial" w:hAnsi="Arial"/>
                <w:sz w:val="9"/>
                <w:szCs w:val="9"/>
                <w:color w:val="auto"/>
              </w:rPr>
              <w:t>25,424</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8.12%</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5,283,088</w:t>
            </w:r>
          </w:p>
        </w:tc>
        <w:tc>
          <w:tcPr>
            <w:tcW w:w="1120" w:type="dxa"/>
            <w:vAlign w:val="bottom"/>
          </w:tcPr>
          <w:p>
            <w:pPr>
              <w:jc w:val="right"/>
              <w:spacing w:after="0"/>
              <w:rPr>
                <w:sz w:val="20"/>
                <w:szCs w:val="20"/>
                <w:color w:val="auto"/>
              </w:rPr>
            </w:pPr>
            <w:r>
              <w:rPr>
                <w:rFonts w:ascii="Arial" w:cs="Arial" w:eastAsia="Arial" w:hAnsi="Arial"/>
                <w:sz w:val="9"/>
                <w:szCs w:val="9"/>
                <w:color w:val="auto"/>
              </w:rPr>
              <w:t>207.80</w:t>
            </w:r>
          </w:p>
        </w:tc>
        <w:tc>
          <w:tcPr>
            <w:tcW w:w="740" w:type="dxa"/>
            <w:vAlign w:val="bottom"/>
          </w:tcPr>
          <w:p>
            <w:pPr>
              <w:jc w:val="right"/>
              <w:spacing w:after="0"/>
              <w:rPr>
                <w:sz w:val="20"/>
                <w:szCs w:val="20"/>
                <w:color w:val="auto"/>
              </w:rPr>
            </w:pPr>
            <w:r>
              <w:rPr>
                <w:rFonts w:ascii="Arial" w:cs="Arial" w:eastAsia="Arial" w:hAnsi="Arial"/>
                <w:sz w:val="9"/>
                <w:szCs w:val="9"/>
                <w:color w:val="auto"/>
              </w:rPr>
              <w:t>277.01</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2021</w:t>
            </w:r>
          </w:p>
        </w:tc>
        <w:tc>
          <w:tcPr>
            <w:tcW w:w="540" w:type="dxa"/>
            <w:vAlign w:val="bottom"/>
          </w:tcPr>
          <w:p>
            <w:pPr>
              <w:jc w:val="right"/>
              <w:spacing w:after="0"/>
              <w:rPr>
                <w:sz w:val="20"/>
                <w:szCs w:val="20"/>
                <w:color w:val="auto"/>
              </w:rPr>
            </w:pPr>
            <w:r>
              <w:rPr>
                <w:rFonts w:ascii="Arial" w:cs="Arial" w:eastAsia="Arial" w:hAnsi="Arial"/>
                <w:sz w:val="9"/>
                <w:szCs w:val="9"/>
                <w:color w:val="auto"/>
              </w:rPr>
              <w:t>1</w:t>
            </w:r>
          </w:p>
        </w:tc>
        <w:tc>
          <w:tcPr>
            <w:tcW w:w="720" w:type="dxa"/>
            <w:vAlign w:val="bottom"/>
          </w:tcPr>
          <w:p>
            <w:pPr>
              <w:jc w:val="right"/>
              <w:spacing w:after="0"/>
              <w:rPr>
                <w:sz w:val="20"/>
                <w:szCs w:val="20"/>
                <w:color w:val="auto"/>
              </w:rPr>
            </w:pPr>
            <w:r>
              <w:rPr>
                <w:rFonts w:ascii="Arial" w:cs="Arial" w:eastAsia="Arial" w:hAnsi="Arial"/>
                <w:sz w:val="9"/>
                <w:szCs w:val="9"/>
                <w:color w:val="auto"/>
              </w:rPr>
              <w:t>108,148</w:t>
            </w:r>
          </w:p>
        </w:tc>
        <w:tc>
          <w:tcPr>
            <w:tcW w:w="580" w:type="dxa"/>
            <w:vAlign w:val="bottom"/>
          </w:tcPr>
          <w:p>
            <w:pPr>
              <w:jc w:val="right"/>
              <w:spacing w:after="0"/>
              <w:rPr>
                <w:sz w:val="20"/>
                <w:szCs w:val="20"/>
                <w:color w:val="auto"/>
              </w:rPr>
            </w:pPr>
            <w:r>
              <w:rPr>
                <w:rFonts w:ascii="Arial" w:cs="Arial" w:eastAsia="Arial" w:hAnsi="Arial"/>
                <w:sz w:val="9"/>
                <w:szCs w:val="9"/>
                <w:color w:val="auto"/>
              </w:rPr>
              <w:t>30.23%</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6,740,732</w:t>
            </w:r>
          </w:p>
        </w:tc>
        <w:tc>
          <w:tcPr>
            <w:tcW w:w="1220" w:type="dxa"/>
            <w:vAlign w:val="bottom"/>
          </w:tcPr>
          <w:p>
            <w:pPr>
              <w:jc w:val="right"/>
              <w:spacing w:after="0"/>
              <w:rPr>
                <w:sz w:val="20"/>
                <w:szCs w:val="20"/>
                <w:color w:val="auto"/>
              </w:rPr>
            </w:pPr>
            <w:r>
              <w:rPr>
                <w:rFonts w:ascii="Arial" w:cs="Arial" w:eastAsia="Arial" w:hAnsi="Arial"/>
                <w:sz w:val="9"/>
                <w:szCs w:val="9"/>
                <w:color w:val="auto"/>
              </w:rPr>
              <w:t>62.33</w:t>
            </w:r>
          </w:p>
        </w:tc>
        <w:tc>
          <w:tcPr>
            <w:tcW w:w="820" w:type="dxa"/>
            <w:vAlign w:val="bottom"/>
          </w:tcPr>
          <w:p>
            <w:pPr>
              <w:jc w:val="right"/>
              <w:spacing w:after="0"/>
              <w:rPr>
                <w:sz w:val="20"/>
                <w:szCs w:val="20"/>
                <w:color w:val="auto"/>
              </w:rPr>
            </w:pPr>
            <w:r>
              <w:rPr>
                <w:rFonts w:ascii="Arial" w:cs="Arial" w:eastAsia="Arial" w:hAnsi="Arial"/>
                <w:sz w:val="9"/>
                <w:szCs w:val="9"/>
                <w:color w:val="auto"/>
              </w:rPr>
              <w:t>70.00</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5</w:t>
            </w:r>
          </w:p>
        </w:tc>
        <w:tc>
          <w:tcPr>
            <w:tcW w:w="760" w:type="dxa"/>
            <w:vAlign w:val="bottom"/>
          </w:tcPr>
          <w:p>
            <w:pPr>
              <w:jc w:val="right"/>
              <w:spacing w:after="0"/>
              <w:rPr>
                <w:sz w:val="20"/>
                <w:szCs w:val="20"/>
                <w:color w:val="auto"/>
              </w:rPr>
            </w:pPr>
            <w:r>
              <w:rPr>
                <w:rFonts w:ascii="Arial" w:cs="Arial" w:eastAsia="Arial" w:hAnsi="Arial"/>
                <w:sz w:val="9"/>
                <w:szCs w:val="9"/>
                <w:color w:val="auto"/>
              </w:rPr>
              <w:t>26,753</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8.55%</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4,664,292</w:t>
            </w:r>
          </w:p>
        </w:tc>
        <w:tc>
          <w:tcPr>
            <w:tcW w:w="1120" w:type="dxa"/>
            <w:vAlign w:val="bottom"/>
          </w:tcPr>
          <w:p>
            <w:pPr>
              <w:jc w:val="right"/>
              <w:spacing w:after="0"/>
              <w:rPr>
                <w:sz w:val="20"/>
                <w:szCs w:val="20"/>
                <w:color w:val="auto"/>
              </w:rPr>
            </w:pPr>
            <w:r>
              <w:rPr>
                <w:rFonts w:ascii="Arial" w:cs="Arial" w:eastAsia="Arial" w:hAnsi="Arial"/>
                <w:sz w:val="9"/>
                <w:szCs w:val="9"/>
                <w:color w:val="auto"/>
              </w:rPr>
              <w:t>174.35</w:t>
            </w:r>
          </w:p>
        </w:tc>
        <w:tc>
          <w:tcPr>
            <w:tcW w:w="740" w:type="dxa"/>
            <w:vAlign w:val="bottom"/>
          </w:tcPr>
          <w:p>
            <w:pPr>
              <w:jc w:val="right"/>
              <w:spacing w:after="0"/>
              <w:rPr>
                <w:sz w:val="20"/>
                <w:szCs w:val="20"/>
                <w:color w:val="auto"/>
              </w:rPr>
            </w:pPr>
            <w:r>
              <w:rPr>
                <w:rFonts w:ascii="Arial" w:cs="Arial" w:eastAsia="Arial" w:hAnsi="Arial"/>
                <w:sz w:val="9"/>
                <w:szCs w:val="9"/>
                <w:color w:val="auto"/>
              </w:rPr>
              <w:t>221.41</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2022</w:t>
            </w:r>
          </w:p>
        </w:tc>
        <w:tc>
          <w:tcPr>
            <w:tcW w:w="540" w:type="dxa"/>
            <w:vAlign w:val="bottom"/>
          </w:tcPr>
          <w:p>
            <w:pPr>
              <w:jc w:val="right"/>
              <w:spacing w:after="0"/>
              <w:rPr>
                <w:sz w:val="20"/>
                <w:szCs w:val="20"/>
                <w:color w:val="auto"/>
              </w:rPr>
            </w:pPr>
            <w:r>
              <w:rPr>
                <w:rFonts w:ascii="Arial" w:cs="Arial" w:eastAsia="Arial" w:hAnsi="Arial"/>
                <w:sz w:val="9"/>
                <w:szCs w:val="9"/>
                <w:color w:val="auto"/>
              </w:rPr>
              <w:t>1</w:t>
            </w:r>
          </w:p>
        </w:tc>
        <w:tc>
          <w:tcPr>
            <w:tcW w:w="720" w:type="dxa"/>
            <w:vAlign w:val="bottom"/>
          </w:tcPr>
          <w:p>
            <w:pPr>
              <w:jc w:val="right"/>
              <w:spacing w:after="0"/>
              <w:rPr>
                <w:sz w:val="20"/>
                <w:szCs w:val="20"/>
                <w:color w:val="auto"/>
              </w:rPr>
            </w:pPr>
            <w:r>
              <w:rPr>
                <w:rFonts w:ascii="Arial" w:cs="Arial" w:eastAsia="Arial" w:hAnsi="Arial"/>
                <w:sz w:val="9"/>
                <w:szCs w:val="9"/>
                <w:color w:val="auto"/>
              </w:rPr>
              <w:t>1,366</w:t>
            </w:r>
          </w:p>
        </w:tc>
        <w:tc>
          <w:tcPr>
            <w:tcW w:w="580" w:type="dxa"/>
            <w:vAlign w:val="bottom"/>
          </w:tcPr>
          <w:p>
            <w:pPr>
              <w:jc w:val="right"/>
              <w:spacing w:after="0"/>
              <w:rPr>
                <w:sz w:val="20"/>
                <w:szCs w:val="20"/>
                <w:color w:val="auto"/>
              </w:rPr>
            </w:pPr>
            <w:r>
              <w:rPr>
                <w:rFonts w:ascii="Arial" w:cs="Arial" w:eastAsia="Arial" w:hAnsi="Arial"/>
                <w:sz w:val="9"/>
                <w:szCs w:val="9"/>
                <w:color w:val="auto"/>
              </w:rPr>
              <w:t>0.38%</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216,124</w:t>
            </w:r>
          </w:p>
        </w:tc>
        <w:tc>
          <w:tcPr>
            <w:tcW w:w="1220" w:type="dxa"/>
            <w:vAlign w:val="bottom"/>
          </w:tcPr>
          <w:p>
            <w:pPr>
              <w:jc w:val="right"/>
              <w:spacing w:after="0"/>
              <w:rPr>
                <w:sz w:val="20"/>
                <w:szCs w:val="20"/>
                <w:color w:val="auto"/>
              </w:rPr>
            </w:pPr>
            <w:r>
              <w:rPr>
                <w:rFonts w:ascii="Arial" w:cs="Arial" w:eastAsia="Arial" w:hAnsi="Arial"/>
                <w:sz w:val="9"/>
                <w:szCs w:val="9"/>
                <w:color w:val="auto"/>
              </w:rPr>
              <w:t>158.22</w:t>
            </w:r>
          </w:p>
        </w:tc>
        <w:tc>
          <w:tcPr>
            <w:tcW w:w="820" w:type="dxa"/>
            <w:vAlign w:val="bottom"/>
          </w:tcPr>
          <w:p>
            <w:pPr>
              <w:jc w:val="right"/>
              <w:spacing w:after="0"/>
              <w:rPr>
                <w:sz w:val="20"/>
                <w:szCs w:val="20"/>
                <w:color w:val="auto"/>
              </w:rPr>
            </w:pPr>
            <w:r>
              <w:rPr>
                <w:rFonts w:ascii="Arial" w:cs="Arial" w:eastAsia="Arial" w:hAnsi="Arial"/>
                <w:sz w:val="9"/>
                <w:szCs w:val="9"/>
                <w:color w:val="auto"/>
              </w:rPr>
              <w:t>299.00</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2</w:t>
            </w:r>
          </w:p>
        </w:tc>
        <w:tc>
          <w:tcPr>
            <w:tcW w:w="760" w:type="dxa"/>
            <w:vAlign w:val="bottom"/>
          </w:tcPr>
          <w:p>
            <w:pPr>
              <w:jc w:val="right"/>
              <w:spacing w:after="0"/>
              <w:rPr>
                <w:sz w:val="20"/>
                <w:szCs w:val="20"/>
                <w:color w:val="auto"/>
              </w:rPr>
            </w:pPr>
            <w:r>
              <w:rPr>
                <w:rFonts w:ascii="Arial" w:cs="Arial" w:eastAsia="Arial" w:hAnsi="Arial"/>
                <w:sz w:val="9"/>
                <w:szCs w:val="9"/>
                <w:color w:val="auto"/>
              </w:rPr>
              <w:t>50,808</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16.23%</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21,778,494</w:t>
            </w:r>
          </w:p>
        </w:tc>
        <w:tc>
          <w:tcPr>
            <w:tcW w:w="1120" w:type="dxa"/>
            <w:vAlign w:val="bottom"/>
          </w:tcPr>
          <w:p>
            <w:pPr>
              <w:jc w:val="right"/>
              <w:spacing w:after="0"/>
              <w:rPr>
                <w:sz w:val="20"/>
                <w:szCs w:val="20"/>
                <w:color w:val="auto"/>
              </w:rPr>
            </w:pPr>
            <w:r>
              <w:rPr>
                <w:rFonts w:ascii="Arial" w:cs="Arial" w:eastAsia="Arial" w:hAnsi="Arial"/>
                <w:sz w:val="9"/>
                <w:szCs w:val="9"/>
                <w:color w:val="auto"/>
              </w:rPr>
              <w:t>428.64</w:t>
            </w:r>
          </w:p>
        </w:tc>
        <w:tc>
          <w:tcPr>
            <w:tcW w:w="740" w:type="dxa"/>
            <w:vAlign w:val="bottom"/>
          </w:tcPr>
          <w:p>
            <w:pPr>
              <w:jc w:val="right"/>
              <w:spacing w:after="0"/>
              <w:rPr>
                <w:sz w:val="20"/>
                <w:szCs w:val="20"/>
                <w:color w:val="auto"/>
              </w:rPr>
            </w:pPr>
            <w:r>
              <w:rPr>
                <w:rFonts w:ascii="Arial" w:cs="Arial" w:eastAsia="Arial" w:hAnsi="Arial"/>
                <w:sz w:val="9"/>
                <w:szCs w:val="9"/>
                <w:color w:val="auto"/>
              </w:rPr>
              <w:t>501.10</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2023</w:t>
            </w:r>
          </w:p>
        </w:tc>
        <w:tc>
          <w:tcPr>
            <w:tcW w:w="540" w:type="dxa"/>
            <w:vAlign w:val="bottom"/>
          </w:tcPr>
          <w:p>
            <w:pPr>
              <w:jc w:val="right"/>
              <w:spacing w:after="0"/>
              <w:rPr>
                <w:sz w:val="20"/>
                <w:szCs w:val="20"/>
                <w:color w:val="auto"/>
              </w:rPr>
            </w:pPr>
            <w:r>
              <w:rPr>
                <w:rFonts w:ascii="Arial" w:cs="Arial" w:eastAsia="Arial" w:hAnsi="Arial"/>
                <w:sz w:val="9"/>
                <w:szCs w:val="9"/>
                <w:color w:val="auto"/>
              </w:rPr>
              <w:t>2</w:t>
            </w:r>
          </w:p>
        </w:tc>
        <w:tc>
          <w:tcPr>
            <w:tcW w:w="720" w:type="dxa"/>
            <w:vAlign w:val="bottom"/>
          </w:tcPr>
          <w:p>
            <w:pPr>
              <w:jc w:val="right"/>
              <w:spacing w:after="0"/>
              <w:rPr>
                <w:sz w:val="20"/>
                <w:szCs w:val="20"/>
                <w:color w:val="auto"/>
              </w:rPr>
            </w:pPr>
            <w:r>
              <w:rPr>
                <w:rFonts w:ascii="Arial" w:cs="Arial" w:eastAsia="Arial" w:hAnsi="Arial"/>
                <w:sz w:val="9"/>
                <w:szCs w:val="9"/>
                <w:color w:val="auto"/>
              </w:rPr>
              <w:t>8,776</w:t>
            </w:r>
          </w:p>
        </w:tc>
        <w:tc>
          <w:tcPr>
            <w:tcW w:w="580" w:type="dxa"/>
            <w:vAlign w:val="bottom"/>
          </w:tcPr>
          <w:p>
            <w:pPr>
              <w:jc w:val="right"/>
              <w:spacing w:after="0"/>
              <w:rPr>
                <w:sz w:val="20"/>
                <w:szCs w:val="20"/>
                <w:color w:val="auto"/>
              </w:rPr>
            </w:pPr>
            <w:r>
              <w:rPr>
                <w:rFonts w:ascii="Arial" w:cs="Arial" w:eastAsia="Arial" w:hAnsi="Arial"/>
                <w:sz w:val="9"/>
                <w:szCs w:val="9"/>
                <w:color w:val="auto"/>
              </w:rPr>
              <w:t>2.45%</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723,210</w:t>
            </w:r>
          </w:p>
        </w:tc>
        <w:tc>
          <w:tcPr>
            <w:tcW w:w="1220" w:type="dxa"/>
            <w:vAlign w:val="bottom"/>
          </w:tcPr>
          <w:p>
            <w:pPr>
              <w:jc w:val="right"/>
              <w:spacing w:after="0"/>
              <w:rPr>
                <w:sz w:val="20"/>
                <w:szCs w:val="20"/>
                <w:color w:val="auto"/>
              </w:rPr>
            </w:pPr>
            <w:r>
              <w:rPr>
                <w:rFonts w:ascii="Arial" w:cs="Arial" w:eastAsia="Arial" w:hAnsi="Arial"/>
                <w:sz w:val="9"/>
                <w:szCs w:val="9"/>
                <w:color w:val="auto"/>
              </w:rPr>
              <w:t>82.41</w:t>
            </w:r>
          </w:p>
        </w:tc>
        <w:tc>
          <w:tcPr>
            <w:tcW w:w="820" w:type="dxa"/>
            <w:vAlign w:val="bottom"/>
          </w:tcPr>
          <w:p>
            <w:pPr>
              <w:jc w:val="right"/>
              <w:spacing w:after="0"/>
              <w:rPr>
                <w:sz w:val="20"/>
                <w:szCs w:val="20"/>
                <w:color w:val="auto"/>
              </w:rPr>
            </w:pPr>
            <w:r>
              <w:rPr>
                <w:rFonts w:ascii="Arial" w:cs="Arial" w:eastAsia="Arial" w:hAnsi="Arial"/>
                <w:sz w:val="9"/>
                <w:szCs w:val="9"/>
                <w:color w:val="auto"/>
              </w:rPr>
              <w:t>99.84</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2</w:t>
            </w:r>
          </w:p>
        </w:tc>
        <w:tc>
          <w:tcPr>
            <w:tcW w:w="760" w:type="dxa"/>
            <w:vAlign w:val="bottom"/>
          </w:tcPr>
          <w:p>
            <w:pPr>
              <w:jc w:val="right"/>
              <w:spacing w:after="0"/>
              <w:rPr>
                <w:sz w:val="20"/>
                <w:szCs w:val="20"/>
                <w:color w:val="auto"/>
              </w:rPr>
            </w:pPr>
            <w:r>
              <w:rPr>
                <w:rFonts w:ascii="Arial" w:cs="Arial" w:eastAsia="Arial" w:hAnsi="Arial"/>
                <w:sz w:val="9"/>
                <w:szCs w:val="9"/>
                <w:color w:val="auto"/>
              </w:rPr>
              <w:t>7,131</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2.28%</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1,458,648</w:t>
            </w:r>
          </w:p>
        </w:tc>
        <w:tc>
          <w:tcPr>
            <w:tcW w:w="1120" w:type="dxa"/>
            <w:vAlign w:val="bottom"/>
          </w:tcPr>
          <w:p>
            <w:pPr>
              <w:jc w:val="right"/>
              <w:spacing w:after="0"/>
              <w:rPr>
                <w:sz w:val="20"/>
                <w:szCs w:val="20"/>
                <w:color w:val="auto"/>
              </w:rPr>
            </w:pPr>
            <w:r>
              <w:rPr>
                <w:rFonts w:ascii="Arial" w:cs="Arial" w:eastAsia="Arial" w:hAnsi="Arial"/>
                <w:sz w:val="9"/>
                <w:szCs w:val="9"/>
                <w:color w:val="auto"/>
              </w:rPr>
              <w:t>204.55</w:t>
            </w:r>
          </w:p>
        </w:tc>
        <w:tc>
          <w:tcPr>
            <w:tcW w:w="740" w:type="dxa"/>
            <w:vAlign w:val="bottom"/>
          </w:tcPr>
          <w:p>
            <w:pPr>
              <w:jc w:val="right"/>
              <w:spacing w:after="0"/>
              <w:rPr>
                <w:sz w:val="20"/>
                <w:szCs w:val="20"/>
                <w:color w:val="auto"/>
              </w:rPr>
            </w:pPr>
            <w:r>
              <w:rPr>
                <w:rFonts w:ascii="Arial" w:cs="Arial" w:eastAsia="Arial" w:hAnsi="Arial"/>
                <w:sz w:val="9"/>
                <w:szCs w:val="9"/>
                <w:color w:val="auto"/>
              </w:rPr>
              <w:t>350.00</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2024</w:t>
            </w:r>
          </w:p>
        </w:tc>
        <w:tc>
          <w:tcPr>
            <w:tcW w:w="540" w:type="dxa"/>
            <w:vAlign w:val="bottom"/>
          </w:tcPr>
          <w:p>
            <w:pPr>
              <w:jc w:val="right"/>
              <w:spacing w:after="0"/>
              <w:rPr>
                <w:sz w:val="20"/>
                <w:szCs w:val="20"/>
                <w:color w:val="auto"/>
              </w:rPr>
            </w:pPr>
            <w:r>
              <w:rPr>
                <w:rFonts w:ascii="Arial" w:cs="Arial" w:eastAsia="Arial" w:hAnsi="Arial"/>
                <w:sz w:val="9"/>
                <w:szCs w:val="9"/>
                <w:color w:val="auto"/>
              </w:rPr>
              <w:t>5</w:t>
            </w:r>
          </w:p>
        </w:tc>
        <w:tc>
          <w:tcPr>
            <w:tcW w:w="720" w:type="dxa"/>
            <w:vAlign w:val="bottom"/>
          </w:tcPr>
          <w:p>
            <w:pPr>
              <w:jc w:val="right"/>
              <w:spacing w:after="0"/>
              <w:rPr>
                <w:sz w:val="20"/>
                <w:szCs w:val="20"/>
                <w:color w:val="auto"/>
              </w:rPr>
            </w:pPr>
            <w:r>
              <w:rPr>
                <w:rFonts w:ascii="Arial" w:cs="Arial" w:eastAsia="Arial" w:hAnsi="Arial"/>
                <w:sz w:val="9"/>
                <w:szCs w:val="9"/>
                <w:color w:val="auto"/>
              </w:rPr>
              <w:t>76,039</w:t>
            </w:r>
          </w:p>
        </w:tc>
        <w:tc>
          <w:tcPr>
            <w:tcW w:w="580" w:type="dxa"/>
            <w:vAlign w:val="bottom"/>
          </w:tcPr>
          <w:p>
            <w:pPr>
              <w:jc w:val="right"/>
              <w:spacing w:after="0"/>
              <w:rPr>
                <w:sz w:val="20"/>
                <w:szCs w:val="20"/>
                <w:color w:val="auto"/>
              </w:rPr>
            </w:pPr>
            <w:r>
              <w:rPr>
                <w:rFonts w:ascii="Arial" w:cs="Arial" w:eastAsia="Arial" w:hAnsi="Arial"/>
                <w:sz w:val="9"/>
                <w:szCs w:val="9"/>
                <w:color w:val="auto"/>
              </w:rPr>
              <w:t>21.25%</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16,271,644</w:t>
            </w:r>
          </w:p>
        </w:tc>
        <w:tc>
          <w:tcPr>
            <w:tcW w:w="1220" w:type="dxa"/>
            <w:vAlign w:val="bottom"/>
          </w:tcPr>
          <w:p>
            <w:pPr>
              <w:jc w:val="right"/>
              <w:spacing w:after="0"/>
              <w:rPr>
                <w:sz w:val="20"/>
                <w:szCs w:val="20"/>
                <w:color w:val="auto"/>
              </w:rPr>
            </w:pPr>
            <w:r>
              <w:rPr>
                <w:rFonts w:ascii="Arial" w:cs="Arial" w:eastAsia="Arial" w:hAnsi="Arial"/>
                <w:sz w:val="9"/>
                <w:szCs w:val="9"/>
                <w:color w:val="auto"/>
              </w:rPr>
              <w:t>213.99</w:t>
            </w:r>
          </w:p>
        </w:tc>
        <w:tc>
          <w:tcPr>
            <w:tcW w:w="820" w:type="dxa"/>
            <w:vAlign w:val="bottom"/>
          </w:tcPr>
          <w:p>
            <w:pPr>
              <w:jc w:val="right"/>
              <w:spacing w:after="0"/>
              <w:rPr>
                <w:sz w:val="20"/>
                <w:szCs w:val="20"/>
                <w:color w:val="auto"/>
              </w:rPr>
            </w:pPr>
            <w:r>
              <w:rPr>
                <w:rFonts w:ascii="Arial" w:cs="Arial" w:eastAsia="Arial" w:hAnsi="Arial"/>
                <w:sz w:val="9"/>
                <w:szCs w:val="9"/>
                <w:color w:val="auto"/>
              </w:rPr>
              <w:t>221.22</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1</w:t>
            </w:r>
          </w:p>
        </w:tc>
        <w:tc>
          <w:tcPr>
            <w:tcW w:w="760" w:type="dxa"/>
            <w:vAlign w:val="bottom"/>
          </w:tcPr>
          <w:p>
            <w:pPr>
              <w:jc w:val="right"/>
              <w:spacing w:after="0"/>
              <w:rPr>
                <w:sz w:val="20"/>
                <w:szCs w:val="20"/>
                <w:color w:val="auto"/>
              </w:rPr>
            </w:pPr>
            <w:r>
              <w:rPr>
                <w:rFonts w:ascii="Arial" w:cs="Arial" w:eastAsia="Arial" w:hAnsi="Arial"/>
                <w:sz w:val="9"/>
                <w:szCs w:val="9"/>
                <w:color w:val="auto"/>
              </w:rPr>
              <w:t>7,793</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2.49%</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4,882,620</w:t>
            </w:r>
          </w:p>
        </w:tc>
        <w:tc>
          <w:tcPr>
            <w:tcW w:w="1120" w:type="dxa"/>
            <w:vAlign w:val="bottom"/>
          </w:tcPr>
          <w:p>
            <w:pPr>
              <w:jc w:val="right"/>
              <w:spacing w:after="0"/>
              <w:rPr>
                <w:sz w:val="20"/>
                <w:szCs w:val="20"/>
                <w:color w:val="auto"/>
              </w:rPr>
            </w:pPr>
            <w:r>
              <w:rPr>
                <w:rFonts w:ascii="Arial" w:cs="Arial" w:eastAsia="Arial" w:hAnsi="Arial"/>
                <w:sz w:val="9"/>
                <w:szCs w:val="9"/>
                <w:color w:val="auto"/>
              </w:rPr>
              <w:t>626.54</w:t>
            </w:r>
          </w:p>
        </w:tc>
        <w:tc>
          <w:tcPr>
            <w:tcW w:w="740" w:type="dxa"/>
            <w:vAlign w:val="bottom"/>
          </w:tcPr>
          <w:p>
            <w:pPr>
              <w:jc w:val="right"/>
              <w:spacing w:after="0"/>
              <w:rPr>
                <w:sz w:val="20"/>
                <w:szCs w:val="20"/>
                <w:color w:val="auto"/>
              </w:rPr>
            </w:pPr>
            <w:r>
              <w:rPr>
                <w:rFonts w:ascii="Arial" w:cs="Arial" w:eastAsia="Arial" w:hAnsi="Arial"/>
                <w:sz w:val="9"/>
                <w:szCs w:val="9"/>
                <w:color w:val="auto"/>
              </w:rPr>
              <w:t>898.00</w:t>
            </w:r>
          </w:p>
        </w:tc>
      </w:tr>
      <w:tr>
        <w:trPr>
          <w:trHeight w:val="219"/>
        </w:trPr>
        <w:tc>
          <w:tcPr>
            <w:tcW w:w="580" w:type="dxa"/>
            <w:vAlign w:val="bottom"/>
          </w:tcPr>
          <w:p>
            <w:pPr>
              <w:jc w:val="right"/>
              <w:ind w:right="96"/>
              <w:spacing w:after="0"/>
              <w:rPr>
                <w:sz w:val="20"/>
                <w:szCs w:val="20"/>
                <w:color w:val="auto"/>
              </w:rPr>
            </w:pPr>
            <w:r>
              <w:rPr>
                <w:rFonts w:ascii="Arial" w:cs="Arial" w:eastAsia="Arial" w:hAnsi="Arial"/>
                <w:sz w:val="9"/>
                <w:szCs w:val="9"/>
                <w:color w:val="auto"/>
              </w:rPr>
              <w:t>2025</w:t>
            </w:r>
          </w:p>
        </w:tc>
        <w:tc>
          <w:tcPr>
            <w:tcW w:w="540" w:type="dxa"/>
            <w:vAlign w:val="bottom"/>
          </w:tcPr>
          <w:p>
            <w:pPr>
              <w:jc w:val="right"/>
              <w:spacing w:after="0"/>
              <w:rPr>
                <w:sz w:val="20"/>
                <w:szCs w:val="20"/>
                <w:color w:val="auto"/>
              </w:rPr>
            </w:pPr>
            <w:r>
              <w:rPr>
                <w:rFonts w:ascii="Arial" w:cs="Arial" w:eastAsia="Arial" w:hAnsi="Arial"/>
                <w:sz w:val="9"/>
                <w:szCs w:val="9"/>
                <w:color w:val="auto"/>
              </w:rPr>
              <w:t>3</w:t>
            </w:r>
          </w:p>
        </w:tc>
        <w:tc>
          <w:tcPr>
            <w:tcW w:w="720" w:type="dxa"/>
            <w:vAlign w:val="bottom"/>
          </w:tcPr>
          <w:p>
            <w:pPr>
              <w:jc w:val="right"/>
              <w:spacing w:after="0"/>
              <w:rPr>
                <w:sz w:val="20"/>
                <w:szCs w:val="20"/>
                <w:color w:val="auto"/>
              </w:rPr>
            </w:pPr>
            <w:r>
              <w:rPr>
                <w:rFonts w:ascii="Arial" w:cs="Arial" w:eastAsia="Arial" w:hAnsi="Arial"/>
                <w:sz w:val="9"/>
                <w:szCs w:val="9"/>
                <w:color w:val="auto"/>
              </w:rPr>
              <w:t>33,944</w:t>
            </w:r>
          </w:p>
        </w:tc>
        <w:tc>
          <w:tcPr>
            <w:tcW w:w="580" w:type="dxa"/>
            <w:vAlign w:val="bottom"/>
          </w:tcPr>
          <w:p>
            <w:pPr>
              <w:jc w:val="right"/>
              <w:spacing w:after="0"/>
              <w:rPr>
                <w:sz w:val="20"/>
                <w:szCs w:val="20"/>
                <w:color w:val="auto"/>
              </w:rPr>
            </w:pPr>
            <w:r>
              <w:rPr>
                <w:rFonts w:ascii="Arial" w:cs="Arial" w:eastAsia="Arial" w:hAnsi="Arial"/>
                <w:sz w:val="9"/>
                <w:szCs w:val="9"/>
                <w:color w:val="auto"/>
              </w:rPr>
              <w:t>9.49%</w:t>
            </w:r>
          </w:p>
        </w:tc>
        <w:tc>
          <w:tcPr>
            <w:tcW w:w="840" w:type="dxa"/>
            <w:vAlign w:val="bottom"/>
          </w:tcPr>
          <w:p>
            <w:pPr>
              <w:jc w:val="right"/>
              <w:ind w:right="36"/>
              <w:spacing w:after="0"/>
              <w:rPr>
                <w:sz w:val="20"/>
                <w:szCs w:val="20"/>
                <w:color w:val="auto"/>
              </w:rPr>
            </w:pPr>
            <w:r>
              <w:rPr>
                <w:rFonts w:ascii="Arial" w:cs="Arial" w:eastAsia="Arial" w:hAnsi="Arial"/>
                <w:sz w:val="9"/>
                <w:szCs w:val="9"/>
                <w:color w:val="auto"/>
              </w:rPr>
              <w:t>813,986</w:t>
            </w:r>
          </w:p>
        </w:tc>
        <w:tc>
          <w:tcPr>
            <w:tcW w:w="1220" w:type="dxa"/>
            <w:vAlign w:val="bottom"/>
          </w:tcPr>
          <w:p>
            <w:pPr>
              <w:jc w:val="right"/>
              <w:spacing w:after="0"/>
              <w:rPr>
                <w:sz w:val="20"/>
                <w:szCs w:val="20"/>
                <w:color w:val="auto"/>
              </w:rPr>
            </w:pPr>
            <w:r>
              <w:rPr>
                <w:rFonts w:ascii="Arial" w:cs="Arial" w:eastAsia="Arial" w:hAnsi="Arial"/>
                <w:sz w:val="9"/>
                <w:szCs w:val="9"/>
                <w:color w:val="auto"/>
              </w:rPr>
              <w:t>23.98</w:t>
            </w:r>
          </w:p>
        </w:tc>
        <w:tc>
          <w:tcPr>
            <w:tcW w:w="820" w:type="dxa"/>
            <w:vAlign w:val="bottom"/>
          </w:tcPr>
          <w:p>
            <w:pPr>
              <w:jc w:val="right"/>
              <w:spacing w:after="0"/>
              <w:rPr>
                <w:sz w:val="20"/>
                <w:szCs w:val="20"/>
                <w:color w:val="auto"/>
              </w:rPr>
            </w:pPr>
            <w:r>
              <w:rPr>
                <w:rFonts w:ascii="Arial" w:cs="Arial" w:eastAsia="Arial" w:hAnsi="Arial"/>
                <w:sz w:val="9"/>
                <w:szCs w:val="9"/>
                <w:color w:val="auto"/>
              </w:rPr>
              <w:t>23.84</w:t>
            </w:r>
          </w:p>
        </w:tc>
        <w:tc>
          <w:tcPr>
            <w:tcW w:w="300" w:type="dxa"/>
            <w:vAlign w:val="bottom"/>
          </w:tcPr>
          <w:p>
            <w:pPr>
              <w:spacing w:after="0"/>
              <w:rPr>
                <w:sz w:val="19"/>
                <w:szCs w:val="19"/>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color w:val="auto"/>
              </w:rPr>
              <w:t>3</w:t>
            </w:r>
          </w:p>
        </w:tc>
        <w:tc>
          <w:tcPr>
            <w:tcW w:w="760" w:type="dxa"/>
            <w:vAlign w:val="bottom"/>
          </w:tcPr>
          <w:p>
            <w:pPr>
              <w:jc w:val="right"/>
              <w:spacing w:after="0"/>
              <w:rPr>
                <w:sz w:val="20"/>
                <w:szCs w:val="20"/>
                <w:color w:val="auto"/>
              </w:rPr>
            </w:pPr>
            <w:r>
              <w:rPr>
                <w:rFonts w:ascii="Arial" w:cs="Arial" w:eastAsia="Arial" w:hAnsi="Arial"/>
                <w:sz w:val="9"/>
                <w:szCs w:val="9"/>
                <w:color w:val="auto"/>
              </w:rPr>
              <w:t>16,143</w:t>
            </w:r>
          </w:p>
        </w:tc>
        <w:tc>
          <w:tcPr>
            <w:tcW w:w="660" w:type="dxa"/>
            <w:vAlign w:val="bottom"/>
          </w:tcPr>
          <w:p>
            <w:pPr>
              <w:jc w:val="right"/>
              <w:ind w:right="36"/>
              <w:spacing w:after="0"/>
              <w:rPr>
                <w:sz w:val="20"/>
                <w:szCs w:val="20"/>
                <w:color w:val="auto"/>
              </w:rPr>
            </w:pPr>
            <w:r>
              <w:rPr>
                <w:rFonts w:ascii="Arial" w:cs="Arial" w:eastAsia="Arial" w:hAnsi="Arial"/>
                <w:sz w:val="9"/>
                <w:szCs w:val="9"/>
                <w:color w:val="auto"/>
              </w:rPr>
              <w:t>5.16%</w:t>
            </w:r>
          </w:p>
        </w:tc>
        <w:tc>
          <w:tcPr>
            <w:tcW w:w="680" w:type="dxa"/>
            <w:vAlign w:val="bottom"/>
          </w:tcPr>
          <w:p>
            <w:pPr>
              <w:jc w:val="right"/>
              <w:ind w:right="16"/>
              <w:spacing w:after="0"/>
              <w:rPr>
                <w:sz w:val="20"/>
                <w:szCs w:val="20"/>
                <w:color w:val="auto"/>
              </w:rPr>
            </w:pPr>
            <w:r>
              <w:rPr>
                <w:rFonts w:ascii="Arial" w:cs="Arial" w:eastAsia="Arial" w:hAnsi="Arial"/>
                <w:sz w:val="9"/>
                <w:szCs w:val="9"/>
                <w:color w:val="auto"/>
              </w:rPr>
              <w:t>1,108,925</w:t>
            </w:r>
          </w:p>
        </w:tc>
        <w:tc>
          <w:tcPr>
            <w:tcW w:w="1120" w:type="dxa"/>
            <w:vAlign w:val="bottom"/>
          </w:tcPr>
          <w:p>
            <w:pPr>
              <w:jc w:val="right"/>
              <w:spacing w:after="0"/>
              <w:rPr>
                <w:sz w:val="20"/>
                <w:szCs w:val="20"/>
                <w:color w:val="auto"/>
              </w:rPr>
            </w:pPr>
            <w:r>
              <w:rPr>
                <w:rFonts w:ascii="Arial" w:cs="Arial" w:eastAsia="Arial" w:hAnsi="Arial"/>
                <w:sz w:val="9"/>
                <w:szCs w:val="9"/>
                <w:color w:val="auto"/>
              </w:rPr>
              <w:t>68.69</w:t>
            </w:r>
          </w:p>
        </w:tc>
        <w:tc>
          <w:tcPr>
            <w:tcW w:w="740" w:type="dxa"/>
            <w:vAlign w:val="bottom"/>
          </w:tcPr>
          <w:p>
            <w:pPr>
              <w:jc w:val="right"/>
              <w:spacing w:after="0"/>
              <w:rPr>
                <w:sz w:val="20"/>
                <w:szCs w:val="20"/>
                <w:color w:val="auto"/>
              </w:rPr>
            </w:pPr>
            <w:r>
              <w:rPr>
                <w:rFonts w:ascii="Arial" w:cs="Arial" w:eastAsia="Arial" w:hAnsi="Arial"/>
                <w:sz w:val="9"/>
                <w:szCs w:val="9"/>
                <w:color w:val="auto"/>
              </w:rPr>
              <w:t>68.69</w:t>
            </w:r>
          </w:p>
        </w:tc>
      </w:tr>
      <w:tr>
        <w:trPr>
          <w:trHeight w:val="227"/>
        </w:trPr>
        <w:tc>
          <w:tcPr>
            <w:tcW w:w="580" w:type="dxa"/>
            <w:vAlign w:val="bottom"/>
            <w:tcBorders>
              <w:bottom w:val="single" w:sz="8" w:color="auto"/>
            </w:tcBorders>
          </w:tcPr>
          <w:p>
            <w:pPr>
              <w:jc w:val="right"/>
              <w:ind w:right="96"/>
              <w:spacing w:after="0"/>
              <w:rPr>
                <w:sz w:val="20"/>
                <w:szCs w:val="20"/>
                <w:color w:val="auto"/>
              </w:rPr>
            </w:pPr>
            <w:r>
              <w:rPr>
                <w:rFonts w:ascii="Arial" w:cs="Arial" w:eastAsia="Arial" w:hAnsi="Arial"/>
                <w:sz w:val="9"/>
                <w:szCs w:val="9"/>
                <w:color w:val="auto"/>
              </w:rPr>
              <w:t>Thereafter</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22,518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6.29%</w:t>
            </w:r>
          </w:p>
        </w:tc>
        <w:tc>
          <w:tcPr>
            <w:tcW w:w="84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3,716,018</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165.02</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235.39</w:t>
            </w:r>
          </w:p>
        </w:tc>
        <w:tc>
          <w:tcPr>
            <w:tcW w:w="300" w:type="dxa"/>
            <w:vAlign w:val="bottom"/>
          </w:tcPr>
          <w:p>
            <w:pPr>
              <w:spacing w:after="0"/>
              <w:rPr>
                <w:sz w:val="19"/>
                <w:szCs w:val="19"/>
                <w:color w:val="auto"/>
              </w:rPr>
            </w:pPr>
          </w:p>
        </w:tc>
        <w:tc>
          <w:tcPr>
            <w:tcW w:w="56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9</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131,070</w:t>
            </w: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9"/>
                <w:szCs w:val="9"/>
                <w:color w:val="auto"/>
              </w:rPr>
              <w:t>41.88%</w:t>
            </w:r>
          </w:p>
        </w:tc>
        <w:tc>
          <w:tcPr>
            <w:tcW w:w="680" w:type="dxa"/>
            <w:vAlign w:val="bottom"/>
            <w:tcBorders>
              <w:bottom w:val="single" w:sz="8" w:color="auto"/>
            </w:tcBorders>
          </w:tcPr>
          <w:p>
            <w:pPr>
              <w:jc w:val="right"/>
              <w:ind w:right="16"/>
              <w:spacing w:after="0"/>
              <w:rPr>
                <w:sz w:val="20"/>
                <w:szCs w:val="20"/>
                <w:color w:val="auto"/>
              </w:rPr>
            </w:pPr>
            <w:r>
              <w:rPr>
                <w:rFonts w:ascii="Arial" w:cs="Arial" w:eastAsia="Arial" w:hAnsi="Arial"/>
                <w:sz w:val="9"/>
                <w:szCs w:val="9"/>
                <w:color w:val="auto"/>
              </w:rPr>
              <w:t>69,924,215</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533.49</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592.01</w:t>
            </w:r>
          </w:p>
        </w:tc>
      </w:tr>
      <w:tr>
        <w:trPr>
          <w:trHeight w:val="201"/>
        </w:trPr>
        <w:tc>
          <w:tcPr>
            <w:tcW w:w="58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9"/>
                <w:szCs w:val="9"/>
                <w:b w:val="1"/>
                <w:bCs w:val="1"/>
                <w:color w:val="auto"/>
              </w:rPr>
              <w:t>56</w:t>
            </w:r>
          </w:p>
        </w:tc>
        <w:tc>
          <w:tcPr>
            <w:tcW w:w="720" w:type="dxa"/>
            <w:vAlign w:val="bottom"/>
          </w:tcPr>
          <w:p>
            <w:pPr>
              <w:jc w:val="right"/>
              <w:spacing w:after="0"/>
              <w:rPr>
                <w:sz w:val="20"/>
                <w:szCs w:val="20"/>
                <w:color w:val="auto"/>
              </w:rPr>
            </w:pPr>
            <w:r>
              <w:rPr>
                <w:rFonts w:ascii="Arial" w:cs="Arial" w:eastAsia="Arial" w:hAnsi="Arial"/>
                <w:sz w:val="9"/>
                <w:szCs w:val="9"/>
                <w:b w:val="1"/>
                <w:bCs w:val="1"/>
                <w:color w:val="auto"/>
              </w:rPr>
              <w:t>357,768</w:t>
            </w:r>
          </w:p>
        </w:tc>
        <w:tc>
          <w:tcPr>
            <w:tcW w:w="580" w:type="dxa"/>
            <w:vAlign w:val="bottom"/>
          </w:tcPr>
          <w:p>
            <w:pPr>
              <w:jc w:val="right"/>
              <w:spacing w:after="0"/>
              <w:rPr>
                <w:sz w:val="20"/>
                <w:szCs w:val="20"/>
                <w:color w:val="auto"/>
              </w:rPr>
            </w:pPr>
            <w:r>
              <w:rPr>
                <w:rFonts w:ascii="Arial" w:cs="Arial" w:eastAsia="Arial" w:hAnsi="Arial"/>
                <w:sz w:val="9"/>
                <w:szCs w:val="9"/>
                <w:b w:val="1"/>
                <w:bCs w:val="1"/>
                <w:color w:val="auto"/>
              </w:rPr>
              <w:t>100.00%</w:t>
            </w:r>
          </w:p>
        </w:tc>
        <w:tc>
          <w:tcPr>
            <w:tcW w:w="840" w:type="dxa"/>
            <w:vAlign w:val="bottom"/>
          </w:tcPr>
          <w:p>
            <w:pPr>
              <w:jc w:val="right"/>
              <w:ind w:right="36"/>
              <w:spacing w:after="0"/>
              <w:rPr>
                <w:sz w:val="20"/>
                <w:szCs w:val="20"/>
                <w:color w:val="auto"/>
              </w:rPr>
            </w:pPr>
            <w:r>
              <w:rPr>
                <w:rFonts w:ascii="Arial" w:cs="Arial" w:eastAsia="Arial" w:hAnsi="Arial"/>
                <w:sz w:val="9"/>
                <w:szCs w:val="9"/>
                <w:b w:val="1"/>
                <w:bCs w:val="1"/>
                <w:color w:val="auto"/>
              </w:rPr>
              <w:t>$36,214,396</w:t>
            </w:r>
          </w:p>
        </w:tc>
        <w:tc>
          <w:tcPr>
            <w:tcW w:w="1220" w:type="dxa"/>
            <w:vAlign w:val="bottom"/>
          </w:tcPr>
          <w:p>
            <w:pPr>
              <w:jc w:val="right"/>
              <w:spacing w:after="0"/>
              <w:rPr>
                <w:sz w:val="20"/>
                <w:szCs w:val="20"/>
                <w:color w:val="auto"/>
              </w:rPr>
            </w:pPr>
            <w:r>
              <w:rPr>
                <w:rFonts w:ascii="Arial" w:cs="Arial" w:eastAsia="Arial" w:hAnsi="Arial"/>
                <w:sz w:val="9"/>
                <w:szCs w:val="9"/>
                <w:b w:val="1"/>
                <w:bCs w:val="1"/>
                <w:color w:val="auto"/>
              </w:rPr>
              <w:t>$101.22</w:t>
            </w:r>
          </w:p>
        </w:tc>
        <w:tc>
          <w:tcPr>
            <w:tcW w:w="820" w:type="dxa"/>
            <w:vAlign w:val="bottom"/>
          </w:tcPr>
          <w:p>
            <w:pPr>
              <w:jc w:val="right"/>
              <w:spacing w:after="0"/>
              <w:rPr>
                <w:sz w:val="20"/>
                <w:szCs w:val="20"/>
                <w:color w:val="auto"/>
              </w:rPr>
            </w:pPr>
            <w:r>
              <w:rPr>
                <w:rFonts w:ascii="Arial" w:cs="Arial" w:eastAsia="Arial" w:hAnsi="Arial"/>
                <w:sz w:val="9"/>
                <w:szCs w:val="9"/>
                <w:b w:val="1"/>
                <w:bCs w:val="1"/>
                <w:color w:val="auto"/>
              </w:rPr>
              <w:t>$138.12</w:t>
            </w:r>
          </w:p>
        </w:tc>
        <w:tc>
          <w:tcPr>
            <w:tcW w:w="300" w:type="dxa"/>
            <w:vAlign w:val="bottom"/>
          </w:tcPr>
          <w:p>
            <w:pPr>
              <w:spacing w:after="0"/>
              <w:rPr>
                <w:sz w:val="17"/>
                <w:szCs w:val="17"/>
                <w:color w:val="auto"/>
              </w:rPr>
            </w:pPr>
          </w:p>
        </w:tc>
        <w:tc>
          <w:tcPr>
            <w:tcW w:w="560" w:type="dxa"/>
            <w:vAlign w:val="bottom"/>
          </w:tcPr>
          <w:p>
            <w:pPr>
              <w:jc w:val="right"/>
              <w:ind w:right="16"/>
              <w:spacing w:after="0"/>
              <w:rPr>
                <w:sz w:val="20"/>
                <w:szCs w:val="20"/>
                <w:color w:val="auto"/>
              </w:rPr>
            </w:pPr>
            <w:r>
              <w:rPr>
                <w:rFonts w:ascii="Arial" w:cs="Arial" w:eastAsia="Arial" w:hAnsi="Arial"/>
                <w:sz w:val="9"/>
                <w:szCs w:val="9"/>
                <w:b w:val="1"/>
                <w:bCs w:val="1"/>
                <w:color w:val="auto"/>
              </w:rPr>
              <w:t>33</w:t>
            </w:r>
          </w:p>
        </w:tc>
        <w:tc>
          <w:tcPr>
            <w:tcW w:w="760" w:type="dxa"/>
            <w:vAlign w:val="bottom"/>
          </w:tcPr>
          <w:p>
            <w:pPr>
              <w:jc w:val="right"/>
              <w:spacing w:after="0"/>
              <w:rPr>
                <w:sz w:val="20"/>
                <w:szCs w:val="20"/>
                <w:color w:val="auto"/>
              </w:rPr>
            </w:pPr>
            <w:r>
              <w:rPr>
                <w:rFonts w:ascii="Arial" w:cs="Arial" w:eastAsia="Arial" w:hAnsi="Arial"/>
                <w:sz w:val="9"/>
                <w:szCs w:val="9"/>
                <w:b w:val="1"/>
                <w:bCs w:val="1"/>
                <w:color w:val="auto"/>
              </w:rPr>
              <w:t>313,002</w:t>
            </w:r>
          </w:p>
        </w:tc>
        <w:tc>
          <w:tcPr>
            <w:tcW w:w="660" w:type="dxa"/>
            <w:vAlign w:val="bottom"/>
          </w:tcPr>
          <w:p>
            <w:pPr>
              <w:jc w:val="right"/>
              <w:ind w:right="36"/>
              <w:spacing w:after="0"/>
              <w:rPr>
                <w:sz w:val="20"/>
                <w:szCs w:val="20"/>
                <w:color w:val="auto"/>
              </w:rPr>
            </w:pPr>
            <w:r>
              <w:rPr>
                <w:rFonts w:ascii="Arial" w:cs="Arial" w:eastAsia="Arial" w:hAnsi="Arial"/>
                <w:sz w:val="9"/>
                <w:szCs w:val="9"/>
                <w:b w:val="1"/>
                <w:bCs w:val="1"/>
                <w:color w:val="auto"/>
              </w:rPr>
              <w:t>100.00%</w:t>
            </w:r>
          </w:p>
        </w:tc>
        <w:tc>
          <w:tcPr>
            <w:tcW w:w="680" w:type="dxa"/>
            <w:vAlign w:val="bottom"/>
          </w:tcPr>
          <w:p>
            <w:pPr>
              <w:jc w:val="right"/>
              <w:ind w:right="16"/>
              <w:spacing w:after="0"/>
              <w:rPr>
                <w:sz w:val="20"/>
                <w:szCs w:val="20"/>
                <w:color w:val="auto"/>
              </w:rPr>
            </w:pPr>
            <w:r>
              <w:rPr>
                <w:rFonts w:ascii="Arial" w:cs="Arial" w:eastAsia="Arial" w:hAnsi="Arial"/>
                <w:sz w:val="9"/>
                <w:szCs w:val="9"/>
                <w:b w:val="1"/>
                <w:bCs w:val="1"/>
                <w:color w:val="auto"/>
              </w:rPr>
              <w:t>$112,028,475</w:t>
            </w:r>
          </w:p>
        </w:tc>
        <w:tc>
          <w:tcPr>
            <w:tcW w:w="1120" w:type="dxa"/>
            <w:vAlign w:val="bottom"/>
          </w:tcPr>
          <w:p>
            <w:pPr>
              <w:jc w:val="right"/>
              <w:spacing w:after="0"/>
              <w:rPr>
                <w:sz w:val="20"/>
                <w:szCs w:val="20"/>
                <w:color w:val="auto"/>
              </w:rPr>
            </w:pPr>
            <w:r>
              <w:rPr>
                <w:rFonts w:ascii="Arial" w:cs="Arial" w:eastAsia="Arial" w:hAnsi="Arial"/>
                <w:sz w:val="9"/>
                <w:szCs w:val="9"/>
                <w:b w:val="1"/>
                <w:bCs w:val="1"/>
                <w:color w:val="auto"/>
              </w:rPr>
              <w:t>$357.92</w:t>
            </w:r>
          </w:p>
        </w:tc>
        <w:tc>
          <w:tcPr>
            <w:tcW w:w="740" w:type="dxa"/>
            <w:vAlign w:val="bottom"/>
          </w:tcPr>
          <w:p>
            <w:pPr>
              <w:jc w:val="right"/>
              <w:spacing w:after="0"/>
              <w:rPr>
                <w:sz w:val="20"/>
                <w:szCs w:val="20"/>
                <w:color w:val="auto"/>
              </w:rPr>
            </w:pPr>
            <w:r>
              <w:rPr>
                <w:rFonts w:ascii="Arial" w:cs="Arial" w:eastAsia="Arial" w:hAnsi="Arial"/>
                <w:sz w:val="9"/>
                <w:szCs w:val="9"/>
                <w:b w:val="1"/>
                <w:bCs w:val="1"/>
                <w:color w:val="auto"/>
              </w:rPr>
              <w:t>$415.91</w:t>
            </w:r>
          </w:p>
        </w:tc>
      </w:tr>
      <w:tr>
        <w:trPr>
          <w:trHeight w:val="227"/>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9"/>
                <w:szCs w:val="9"/>
                <w:color w:val="auto"/>
              </w:rPr>
              <w:t xml:space="preserve">Vacancy </w:t>
            </w:r>
            <w:r>
              <w:rPr>
                <w:rFonts w:ascii="Arial" w:cs="Arial" w:eastAsia="Arial" w:hAnsi="Arial"/>
                <w:sz w:val="5"/>
                <w:szCs w:val="5"/>
                <w:color w:val="auto"/>
              </w:rPr>
              <w:t>(5)</w:t>
            </w:r>
          </w:p>
        </w:tc>
        <w:tc>
          <w:tcPr>
            <w:tcW w:w="5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10,040</w:t>
            </w:r>
          </w:p>
        </w:tc>
        <w:tc>
          <w:tcPr>
            <w:tcW w:w="5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517.93</w:t>
            </w:r>
          </w:p>
        </w:tc>
        <w:tc>
          <w:tcPr>
            <w:tcW w:w="300" w:type="dxa"/>
            <w:vAlign w:val="bottom"/>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51,002</w:t>
            </w:r>
          </w:p>
        </w:tc>
        <w:tc>
          <w:tcPr>
            <w:tcW w:w="6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550.49</w:t>
            </w:r>
          </w:p>
        </w:tc>
      </w:tr>
      <w:tr>
        <w:trPr>
          <w:trHeight w:val="209"/>
        </w:trPr>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367,808</w:t>
            </w:r>
          </w:p>
        </w:tc>
        <w:tc>
          <w:tcPr>
            <w:tcW w:w="5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$148.48</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364,004</w:t>
            </w:r>
          </w:p>
        </w:tc>
        <w:tc>
          <w:tcPr>
            <w:tcW w:w="6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$434.77</w:t>
            </w:r>
          </w:p>
        </w:tc>
      </w:tr>
      <w:tr>
        <w:trPr>
          <w:trHeight w:val="20"/>
        </w:trPr>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42"/>
        </w:trPr>
        <w:tc>
          <w:tcPr>
            <w:tcW w:w="580" w:type="dxa"/>
            <w:vAlign w:val="bottom"/>
          </w:tcPr>
          <w:p>
            <w:pPr>
              <w:ind w:left="20"/>
              <w:spacing w:after="0"/>
              <w:rPr>
                <w:sz w:val="20"/>
                <w:szCs w:val="20"/>
                <w:color w:val="auto"/>
              </w:rPr>
            </w:pPr>
            <w:r>
              <w:rPr>
                <w:rFonts w:ascii="Arial" w:cs="Arial" w:eastAsia="Arial" w:hAnsi="Arial"/>
                <w:sz w:val="9"/>
                <w:szCs w:val="9"/>
                <w:b w:val="1"/>
                <w:bCs w:val="1"/>
                <w:color w:val="auto"/>
              </w:rPr>
              <w:t>Other</w:t>
            </w: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24"/>
        </w:trPr>
        <w:tc>
          <w:tcPr>
            <w:tcW w:w="58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Retail</w:t>
            </w:r>
          </w:p>
        </w:tc>
        <w:tc>
          <w:tcPr>
            <w:tcW w:w="5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r>
    </w:tbl>
    <w:p>
      <w:pPr>
        <w:spacing w:after="0" w:line="96" w:lineRule="exact"/>
        <w:rPr>
          <w:sz w:val="20"/>
          <w:szCs w:val="20"/>
          <w:color w:val="auto"/>
        </w:rPr>
      </w:pPr>
    </w:p>
    <w:p>
      <w:pPr>
        <w:sectPr>
          <w:pgSz w:w="11900" w:h="16838" w:orient="portrait"/>
          <w:cols w:equalWidth="0" w:num="1">
            <w:col w:w="10120"/>
          </w:cols>
          <w:pgMar w:left="900" w:top="338" w:right="879" w:bottom="1440" w:gutter="0" w:footer="0" w:header="0"/>
        </w:sectPr>
      </w:pPr>
    </w:p>
    <w:tbl>
      <w:tblPr>
        <w:tblLayout w:type="fixed"/>
        <w:tblInd w:w="0" w:type="dxa"/>
        <w:tblCellMar>
          <w:top w:w="0" w:type="dxa"/>
          <w:left w:w="0" w:type="dxa"/>
          <w:bottom w:w="0" w:type="dxa"/>
          <w:right w:w="0" w:type="dxa"/>
        </w:tblCellMar>
      </w:tblPr>
      <w:tr>
        <w:trPr>
          <w:trHeight w:val="105"/>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 xml:space="preserve">2016 </w:t>
            </w:r>
            <w:r>
              <w:rPr>
                <w:rFonts w:ascii="Arial" w:cs="Arial" w:eastAsia="Arial" w:hAnsi="Arial"/>
                <w:sz w:val="5"/>
                <w:szCs w:val="5"/>
                <w:color w:val="auto"/>
              </w:rPr>
              <w:t>(1)</w:t>
            </w:r>
          </w:p>
        </w:tc>
        <w:tc>
          <w:tcPr>
            <w:tcW w:w="420" w:type="dxa"/>
            <w:vAlign w:val="bottom"/>
          </w:tcPr>
          <w:p>
            <w:pPr>
              <w:jc w:val="right"/>
              <w:spacing w:after="0"/>
              <w:rPr>
                <w:sz w:val="20"/>
                <w:szCs w:val="20"/>
                <w:color w:val="auto"/>
              </w:rPr>
            </w:pPr>
            <w:r>
              <w:rPr>
                <w:rFonts w:ascii="Arial" w:cs="Arial" w:eastAsia="Arial" w:hAnsi="Arial"/>
                <w:sz w:val="9"/>
                <w:szCs w:val="9"/>
                <w:color w:val="auto"/>
              </w:rPr>
              <w:t>2</w:t>
            </w:r>
          </w:p>
        </w:tc>
        <w:tc>
          <w:tcPr>
            <w:tcW w:w="220" w:type="dxa"/>
            <w:vAlign w:val="bottom"/>
          </w:tcPr>
          <w:p>
            <w:pPr>
              <w:jc w:val="right"/>
              <w:ind w:right="116"/>
              <w:spacing w:after="0"/>
              <w:rPr>
                <w:sz w:val="20"/>
                <w:szCs w:val="20"/>
                <w:color w:val="auto"/>
              </w:rPr>
            </w:pPr>
            <w:r>
              <w:rPr>
                <w:rFonts w:ascii="Arial" w:cs="Arial" w:eastAsia="Arial" w:hAnsi="Arial"/>
                <w:sz w:val="9"/>
                <w:szCs w:val="9"/>
                <w:color w:val="auto"/>
                <w:w w:val="78"/>
              </w:rPr>
              <w:t>$</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10,768</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1.34%</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$1,093,050</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$101.51</w:t>
            </w:r>
          </w:p>
        </w:tc>
        <w:tc>
          <w:tcPr>
            <w:tcW w:w="600" w:type="dxa"/>
            <w:vAlign w:val="bottom"/>
          </w:tcPr>
          <w:p>
            <w:pPr>
              <w:jc w:val="right"/>
              <w:spacing w:after="0"/>
              <w:rPr>
                <w:sz w:val="20"/>
                <w:szCs w:val="20"/>
                <w:color w:val="auto"/>
              </w:rPr>
            </w:pPr>
            <w:r>
              <w:rPr>
                <w:rFonts w:ascii="Arial" w:cs="Arial" w:eastAsia="Arial" w:hAnsi="Arial"/>
                <w:sz w:val="9"/>
                <w:szCs w:val="9"/>
                <w:color w:val="auto"/>
              </w:rPr>
              <w:t>$227.49</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2017</w:t>
            </w:r>
          </w:p>
        </w:tc>
        <w:tc>
          <w:tcPr>
            <w:tcW w:w="420" w:type="dxa"/>
            <w:vAlign w:val="bottom"/>
          </w:tcPr>
          <w:p>
            <w:pPr>
              <w:jc w:val="right"/>
              <w:spacing w:after="0"/>
              <w:rPr>
                <w:sz w:val="20"/>
                <w:szCs w:val="20"/>
                <w:color w:val="auto"/>
              </w:rPr>
            </w:pPr>
            <w:r>
              <w:rPr>
                <w:rFonts w:ascii="Arial" w:cs="Arial" w:eastAsia="Arial" w:hAnsi="Arial"/>
                <w:sz w:val="9"/>
                <w:szCs w:val="9"/>
                <w:color w:val="auto"/>
              </w:rPr>
              <w:t>8</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31,942</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3.96%</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4,641,804</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145.32</w:t>
            </w:r>
          </w:p>
        </w:tc>
        <w:tc>
          <w:tcPr>
            <w:tcW w:w="600" w:type="dxa"/>
            <w:vAlign w:val="bottom"/>
          </w:tcPr>
          <w:p>
            <w:pPr>
              <w:jc w:val="right"/>
              <w:spacing w:after="0"/>
              <w:rPr>
                <w:sz w:val="20"/>
                <w:szCs w:val="20"/>
                <w:color w:val="auto"/>
              </w:rPr>
            </w:pPr>
            <w:r>
              <w:rPr>
                <w:rFonts w:ascii="Arial" w:cs="Arial" w:eastAsia="Arial" w:hAnsi="Arial"/>
                <w:sz w:val="9"/>
                <w:szCs w:val="9"/>
                <w:color w:val="auto"/>
              </w:rPr>
              <w:t>233.32</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2018</w:t>
            </w:r>
          </w:p>
        </w:tc>
        <w:tc>
          <w:tcPr>
            <w:tcW w:w="420" w:type="dxa"/>
            <w:vAlign w:val="bottom"/>
          </w:tcPr>
          <w:p>
            <w:pPr>
              <w:jc w:val="right"/>
              <w:spacing w:after="0"/>
              <w:rPr>
                <w:sz w:val="20"/>
                <w:szCs w:val="20"/>
                <w:color w:val="auto"/>
              </w:rPr>
            </w:pPr>
            <w:r>
              <w:rPr>
                <w:rFonts w:ascii="Arial" w:cs="Arial" w:eastAsia="Arial" w:hAnsi="Arial"/>
                <w:sz w:val="9"/>
                <w:szCs w:val="9"/>
                <w:color w:val="auto"/>
              </w:rPr>
              <w:t>8</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62,051</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7.69%</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11,811,587</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190.35</w:t>
            </w:r>
          </w:p>
        </w:tc>
        <w:tc>
          <w:tcPr>
            <w:tcW w:w="600" w:type="dxa"/>
            <w:vAlign w:val="bottom"/>
          </w:tcPr>
          <w:p>
            <w:pPr>
              <w:jc w:val="right"/>
              <w:spacing w:after="0"/>
              <w:rPr>
                <w:sz w:val="20"/>
                <w:szCs w:val="20"/>
                <w:color w:val="auto"/>
              </w:rPr>
            </w:pPr>
            <w:r>
              <w:rPr>
                <w:rFonts w:ascii="Arial" w:cs="Arial" w:eastAsia="Arial" w:hAnsi="Arial"/>
                <w:sz w:val="9"/>
                <w:szCs w:val="9"/>
                <w:color w:val="auto"/>
              </w:rPr>
              <w:t>539.64</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2019</w:t>
            </w:r>
          </w:p>
        </w:tc>
        <w:tc>
          <w:tcPr>
            <w:tcW w:w="420" w:type="dxa"/>
            <w:vAlign w:val="bottom"/>
          </w:tcPr>
          <w:p>
            <w:pPr>
              <w:jc w:val="right"/>
              <w:spacing w:after="0"/>
              <w:rPr>
                <w:sz w:val="20"/>
                <w:szCs w:val="20"/>
                <w:color w:val="auto"/>
              </w:rPr>
            </w:pPr>
            <w:r>
              <w:rPr>
                <w:rFonts w:ascii="Arial" w:cs="Arial" w:eastAsia="Arial" w:hAnsi="Arial"/>
                <w:sz w:val="9"/>
                <w:szCs w:val="9"/>
                <w:color w:val="auto"/>
              </w:rPr>
              <w:t>6</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56,522</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7.01%</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4,825,692</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85.38</w:t>
            </w:r>
          </w:p>
        </w:tc>
        <w:tc>
          <w:tcPr>
            <w:tcW w:w="600" w:type="dxa"/>
            <w:vAlign w:val="bottom"/>
          </w:tcPr>
          <w:p>
            <w:pPr>
              <w:jc w:val="right"/>
              <w:spacing w:after="0"/>
              <w:rPr>
                <w:sz w:val="20"/>
                <w:szCs w:val="20"/>
                <w:color w:val="auto"/>
              </w:rPr>
            </w:pPr>
            <w:r>
              <w:rPr>
                <w:rFonts w:ascii="Arial" w:cs="Arial" w:eastAsia="Arial" w:hAnsi="Arial"/>
                <w:sz w:val="9"/>
                <w:szCs w:val="9"/>
                <w:color w:val="auto"/>
              </w:rPr>
              <w:t>209.62</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2020</w:t>
            </w:r>
          </w:p>
        </w:tc>
        <w:tc>
          <w:tcPr>
            <w:tcW w:w="420" w:type="dxa"/>
            <w:vAlign w:val="bottom"/>
          </w:tcPr>
          <w:p>
            <w:pPr>
              <w:jc w:val="right"/>
              <w:spacing w:after="0"/>
              <w:rPr>
                <w:sz w:val="20"/>
                <w:szCs w:val="20"/>
                <w:color w:val="auto"/>
              </w:rPr>
            </w:pPr>
            <w:r>
              <w:rPr>
                <w:rFonts w:ascii="Arial" w:cs="Arial" w:eastAsia="Arial" w:hAnsi="Arial"/>
                <w:sz w:val="9"/>
                <w:szCs w:val="9"/>
                <w:color w:val="auto"/>
              </w:rPr>
              <w:t>11</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59,121</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7.33%</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7,395,043</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125.08</w:t>
            </w:r>
          </w:p>
        </w:tc>
        <w:tc>
          <w:tcPr>
            <w:tcW w:w="600" w:type="dxa"/>
            <w:vAlign w:val="bottom"/>
          </w:tcPr>
          <w:p>
            <w:pPr>
              <w:jc w:val="right"/>
              <w:spacing w:after="0"/>
              <w:rPr>
                <w:sz w:val="20"/>
                <w:szCs w:val="20"/>
                <w:color w:val="auto"/>
              </w:rPr>
            </w:pPr>
            <w:r>
              <w:rPr>
                <w:rFonts w:ascii="Arial" w:cs="Arial" w:eastAsia="Arial" w:hAnsi="Arial"/>
                <w:sz w:val="9"/>
                <w:szCs w:val="9"/>
                <w:color w:val="auto"/>
              </w:rPr>
              <w:t>158.08</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2021</w:t>
            </w:r>
          </w:p>
        </w:tc>
        <w:tc>
          <w:tcPr>
            <w:tcW w:w="420" w:type="dxa"/>
            <w:vAlign w:val="bottom"/>
          </w:tcPr>
          <w:p>
            <w:pPr>
              <w:jc w:val="right"/>
              <w:spacing w:after="0"/>
              <w:rPr>
                <w:sz w:val="20"/>
                <w:szCs w:val="20"/>
                <w:color w:val="auto"/>
              </w:rPr>
            </w:pPr>
            <w:r>
              <w:rPr>
                <w:rFonts w:ascii="Arial" w:cs="Arial" w:eastAsia="Arial" w:hAnsi="Arial"/>
                <w:sz w:val="9"/>
                <w:szCs w:val="9"/>
                <w:color w:val="auto"/>
              </w:rPr>
              <w:t>11</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26,753</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3.32%</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2,822,123</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105.49</w:t>
            </w:r>
          </w:p>
        </w:tc>
        <w:tc>
          <w:tcPr>
            <w:tcW w:w="600" w:type="dxa"/>
            <w:vAlign w:val="bottom"/>
          </w:tcPr>
          <w:p>
            <w:pPr>
              <w:jc w:val="right"/>
              <w:spacing w:after="0"/>
              <w:rPr>
                <w:sz w:val="20"/>
                <w:szCs w:val="20"/>
                <w:color w:val="auto"/>
              </w:rPr>
            </w:pPr>
            <w:r>
              <w:rPr>
                <w:rFonts w:ascii="Arial" w:cs="Arial" w:eastAsia="Arial" w:hAnsi="Arial"/>
                <w:sz w:val="9"/>
                <w:szCs w:val="9"/>
                <w:color w:val="auto"/>
              </w:rPr>
              <w:t>141.96</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2022</w:t>
            </w:r>
          </w:p>
        </w:tc>
        <w:tc>
          <w:tcPr>
            <w:tcW w:w="420" w:type="dxa"/>
            <w:vAlign w:val="bottom"/>
          </w:tcPr>
          <w:p>
            <w:pPr>
              <w:jc w:val="right"/>
              <w:spacing w:after="0"/>
              <w:rPr>
                <w:sz w:val="20"/>
                <w:szCs w:val="20"/>
                <w:color w:val="auto"/>
              </w:rPr>
            </w:pPr>
            <w:r>
              <w:rPr>
                <w:rFonts w:ascii="Arial" w:cs="Arial" w:eastAsia="Arial" w:hAnsi="Arial"/>
                <w:sz w:val="9"/>
                <w:szCs w:val="9"/>
                <w:color w:val="auto"/>
              </w:rPr>
              <w:t>14</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130,693</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16.21%</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16,338,309</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125.01</w:t>
            </w:r>
          </w:p>
        </w:tc>
        <w:tc>
          <w:tcPr>
            <w:tcW w:w="600" w:type="dxa"/>
            <w:vAlign w:val="bottom"/>
          </w:tcPr>
          <w:p>
            <w:pPr>
              <w:jc w:val="right"/>
              <w:spacing w:after="0"/>
              <w:rPr>
                <w:sz w:val="20"/>
                <w:szCs w:val="20"/>
                <w:color w:val="auto"/>
              </w:rPr>
            </w:pPr>
            <w:r>
              <w:rPr>
                <w:rFonts w:ascii="Arial" w:cs="Arial" w:eastAsia="Arial" w:hAnsi="Arial"/>
                <w:sz w:val="9"/>
                <w:szCs w:val="9"/>
                <w:color w:val="auto"/>
              </w:rPr>
              <w:t>158.93</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2023</w:t>
            </w:r>
          </w:p>
        </w:tc>
        <w:tc>
          <w:tcPr>
            <w:tcW w:w="420" w:type="dxa"/>
            <w:vAlign w:val="bottom"/>
          </w:tcPr>
          <w:p>
            <w:pPr>
              <w:jc w:val="right"/>
              <w:spacing w:after="0"/>
              <w:rPr>
                <w:sz w:val="20"/>
                <w:szCs w:val="20"/>
                <w:color w:val="auto"/>
              </w:rPr>
            </w:pPr>
            <w:r>
              <w:rPr>
                <w:rFonts w:ascii="Arial" w:cs="Arial" w:eastAsia="Arial" w:hAnsi="Arial"/>
                <w:sz w:val="9"/>
                <w:szCs w:val="9"/>
                <w:color w:val="auto"/>
              </w:rPr>
              <w:t>5</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38,875</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4.82%</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5,262,678</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135.37</w:t>
            </w:r>
          </w:p>
        </w:tc>
        <w:tc>
          <w:tcPr>
            <w:tcW w:w="600" w:type="dxa"/>
            <w:vAlign w:val="bottom"/>
          </w:tcPr>
          <w:p>
            <w:pPr>
              <w:jc w:val="right"/>
              <w:spacing w:after="0"/>
              <w:rPr>
                <w:sz w:val="20"/>
                <w:szCs w:val="20"/>
                <w:color w:val="auto"/>
              </w:rPr>
            </w:pPr>
            <w:r>
              <w:rPr>
                <w:rFonts w:ascii="Arial" w:cs="Arial" w:eastAsia="Arial" w:hAnsi="Arial"/>
                <w:sz w:val="9"/>
                <w:szCs w:val="9"/>
                <w:color w:val="auto"/>
              </w:rPr>
              <w:t>146.06</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2024</w:t>
            </w:r>
          </w:p>
        </w:tc>
        <w:tc>
          <w:tcPr>
            <w:tcW w:w="420" w:type="dxa"/>
            <w:vAlign w:val="bottom"/>
          </w:tcPr>
          <w:p>
            <w:pPr>
              <w:jc w:val="right"/>
              <w:spacing w:after="0"/>
              <w:rPr>
                <w:sz w:val="20"/>
                <w:szCs w:val="20"/>
                <w:color w:val="auto"/>
              </w:rPr>
            </w:pPr>
            <w:r>
              <w:rPr>
                <w:rFonts w:ascii="Arial" w:cs="Arial" w:eastAsia="Arial" w:hAnsi="Arial"/>
                <w:sz w:val="9"/>
                <w:szCs w:val="9"/>
                <w:color w:val="auto"/>
              </w:rPr>
              <w:t>7</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28,143</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3.49%</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4,810,348</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170.93</w:t>
            </w:r>
          </w:p>
        </w:tc>
        <w:tc>
          <w:tcPr>
            <w:tcW w:w="600" w:type="dxa"/>
            <w:vAlign w:val="bottom"/>
          </w:tcPr>
          <w:p>
            <w:pPr>
              <w:jc w:val="right"/>
              <w:spacing w:after="0"/>
              <w:rPr>
                <w:sz w:val="20"/>
                <w:szCs w:val="20"/>
                <w:color w:val="auto"/>
              </w:rPr>
            </w:pPr>
            <w:r>
              <w:rPr>
                <w:rFonts w:ascii="Arial" w:cs="Arial" w:eastAsia="Arial" w:hAnsi="Arial"/>
                <w:sz w:val="9"/>
                <w:szCs w:val="9"/>
                <w:color w:val="auto"/>
              </w:rPr>
              <w:t>163.24</w:t>
            </w:r>
          </w:p>
        </w:tc>
      </w:tr>
      <w:tr>
        <w:trPr>
          <w:trHeight w:val="219"/>
        </w:trPr>
        <w:tc>
          <w:tcPr>
            <w:tcW w:w="700" w:type="dxa"/>
            <w:vAlign w:val="bottom"/>
          </w:tcPr>
          <w:p>
            <w:pPr>
              <w:jc w:val="right"/>
              <w:ind w:right="216"/>
              <w:spacing w:after="0"/>
              <w:rPr>
                <w:sz w:val="20"/>
                <w:szCs w:val="20"/>
                <w:color w:val="auto"/>
              </w:rPr>
            </w:pPr>
            <w:r>
              <w:rPr>
                <w:rFonts w:ascii="Arial" w:cs="Arial" w:eastAsia="Arial" w:hAnsi="Arial"/>
                <w:sz w:val="9"/>
                <w:szCs w:val="9"/>
                <w:color w:val="auto"/>
              </w:rPr>
              <w:t>2025</w:t>
            </w:r>
          </w:p>
        </w:tc>
        <w:tc>
          <w:tcPr>
            <w:tcW w:w="420" w:type="dxa"/>
            <w:vAlign w:val="bottom"/>
          </w:tcPr>
          <w:p>
            <w:pPr>
              <w:jc w:val="right"/>
              <w:spacing w:after="0"/>
              <w:rPr>
                <w:sz w:val="20"/>
                <w:szCs w:val="20"/>
                <w:color w:val="auto"/>
              </w:rPr>
            </w:pPr>
            <w:r>
              <w:rPr>
                <w:rFonts w:ascii="Arial" w:cs="Arial" w:eastAsia="Arial" w:hAnsi="Arial"/>
                <w:sz w:val="9"/>
                <w:szCs w:val="9"/>
                <w:color w:val="auto"/>
              </w:rPr>
              <w:t>11</w:t>
            </w:r>
          </w:p>
        </w:tc>
        <w:tc>
          <w:tcPr>
            <w:tcW w:w="220" w:type="dxa"/>
            <w:vAlign w:val="bottom"/>
          </w:tcPr>
          <w:p>
            <w:pPr>
              <w:spacing w:after="0"/>
              <w:rPr>
                <w:sz w:val="19"/>
                <w:szCs w:val="19"/>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34,951</w:t>
            </w:r>
          </w:p>
        </w:tc>
        <w:tc>
          <w:tcPr>
            <w:tcW w:w="600" w:type="dxa"/>
            <w:vAlign w:val="bottom"/>
          </w:tcPr>
          <w:p>
            <w:pPr>
              <w:jc w:val="right"/>
              <w:ind w:right="76"/>
              <w:spacing w:after="0"/>
              <w:rPr>
                <w:sz w:val="20"/>
                <w:szCs w:val="20"/>
                <w:color w:val="auto"/>
              </w:rPr>
            </w:pPr>
            <w:r>
              <w:rPr>
                <w:rFonts w:ascii="Arial" w:cs="Arial" w:eastAsia="Arial" w:hAnsi="Arial"/>
                <w:sz w:val="9"/>
                <w:szCs w:val="9"/>
                <w:color w:val="auto"/>
              </w:rPr>
              <w:t>4.33%</w:t>
            </w:r>
          </w:p>
        </w:tc>
        <w:tc>
          <w:tcPr>
            <w:tcW w:w="1120" w:type="dxa"/>
            <w:vAlign w:val="bottom"/>
          </w:tcPr>
          <w:p>
            <w:pPr>
              <w:jc w:val="right"/>
              <w:ind w:right="436"/>
              <w:spacing w:after="0"/>
              <w:rPr>
                <w:sz w:val="20"/>
                <w:szCs w:val="20"/>
                <w:color w:val="auto"/>
              </w:rPr>
            </w:pPr>
            <w:r>
              <w:rPr>
                <w:rFonts w:ascii="Arial" w:cs="Arial" w:eastAsia="Arial" w:hAnsi="Arial"/>
                <w:sz w:val="9"/>
                <w:szCs w:val="9"/>
                <w:color w:val="auto"/>
              </w:rPr>
              <w:t>12,676,528</w:t>
            </w:r>
          </w:p>
        </w:tc>
        <w:tc>
          <w:tcPr>
            <w:tcW w:w="1040" w:type="dxa"/>
            <w:vAlign w:val="bottom"/>
          </w:tcPr>
          <w:p>
            <w:pPr>
              <w:jc w:val="right"/>
              <w:ind w:right="216"/>
              <w:spacing w:after="0"/>
              <w:rPr>
                <w:sz w:val="20"/>
                <w:szCs w:val="20"/>
                <w:color w:val="auto"/>
              </w:rPr>
            </w:pPr>
            <w:r>
              <w:rPr>
                <w:rFonts w:ascii="Arial" w:cs="Arial" w:eastAsia="Arial" w:hAnsi="Arial"/>
                <w:sz w:val="9"/>
                <w:szCs w:val="9"/>
                <w:color w:val="auto"/>
              </w:rPr>
              <w:t>362.69</w:t>
            </w:r>
          </w:p>
        </w:tc>
        <w:tc>
          <w:tcPr>
            <w:tcW w:w="600" w:type="dxa"/>
            <w:vAlign w:val="bottom"/>
          </w:tcPr>
          <w:p>
            <w:pPr>
              <w:jc w:val="right"/>
              <w:spacing w:after="0"/>
              <w:rPr>
                <w:sz w:val="20"/>
                <w:szCs w:val="20"/>
                <w:color w:val="auto"/>
              </w:rPr>
            </w:pPr>
            <w:r>
              <w:rPr>
                <w:rFonts w:ascii="Arial" w:cs="Arial" w:eastAsia="Arial" w:hAnsi="Arial"/>
                <w:sz w:val="9"/>
                <w:szCs w:val="9"/>
                <w:color w:val="auto"/>
              </w:rPr>
              <w:t>399.30</w:t>
            </w:r>
          </w:p>
        </w:tc>
      </w:tr>
      <w:tr>
        <w:trPr>
          <w:trHeight w:val="227"/>
        </w:trPr>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9"/>
                <w:szCs w:val="9"/>
                <w:color w:val="auto"/>
              </w:rPr>
              <w:t>Thereafter</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33</w:t>
            </w: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326,578</w:t>
            </w: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40.50%</w:t>
            </w:r>
          </w:p>
        </w:tc>
        <w:tc>
          <w:tcPr>
            <w:tcW w:w="1120" w:type="dxa"/>
            <w:vAlign w:val="bottom"/>
            <w:tcBorders>
              <w:bottom w:val="single" w:sz="8" w:color="auto"/>
            </w:tcBorders>
          </w:tcPr>
          <w:p>
            <w:pPr>
              <w:jc w:val="right"/>
              <w:ind w:right="436"/>
              <w:spacing w:after="0"/>
              <w:rPr>
                <w:sz w:val="20"/>
                <w:szCs w:val="20"/>
                <w:color w:val="auto"/>
              </w:rPr>
            </w:pPr>
            <w:r>
              <w:rPr>
                <w:rFonts w:ascii="Arial" w:cs="Arial" w:eastAsia="Arial" w:hAnsi="Arial"/>
                <w:sz w:val="9"/>
                <w:szCs w:val="9"/>
                <w:color w:val="auto"/>
              </w:rPr>
              <w:t>35,826,096</w:t>
            </w:r>
          </w:p>
        </w:tc>
        <w:tc>
          <w:tcPr>
            <w:tcW w:w="1040" w:type="dxa"/>
            <w:vAlign w:val="bottom"/>
            <w:tcBorders>
              <w:bottom w:val="single" w:sz="8" w:color="auto"/>
            </w:tcBorders>
          </w:tcPr>
          <w:p>
            <w:pPr>
              <w:jc w:val="right"/>
              <w:ind w:right="216"/>
              <w:spacing w:after="0"/>
              <w:rPr>
                <w:sz w:val="20"/>
                <w:szCs w:val="20"/>
                <w:color w:val="auto"/>
              </w:rPr>
            </w:pPr>
            <w:r>
              <w:rPr>
                <w:rFonts w:ascii="Arial" w:cs="Arial" w:eastAsia="Arial" w:hAnsi="Arial"/>
                <w:sz w:val="9"/>
                <w:szCs w:val="9"/>
                <w:color w:val="auto"/>
              </w:rPr>
              <w:t>109.70</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119.61</w:t>
            </w:r>
          </w:p>
        </w:tc>
      </w:tr>
      <w:tr>
        <w:trPr>
          <w:trHeight w:val="201"/>
        </w:trPr>
        <w:tc>
          <w:tcPr>
            <w:tcW w:w="70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9"/>
                <w:szCs w:val="9"/>
                <w:b w:val="1"/>
                <w:bCs w:val="1"/>
                <w:color w:val="auto"/>
              </w:rPr>
              <w:t>116</w:t>
            </w:r>
          </w:p>
        </w:tc>
        <w:tc>
          <w:tcPr>
            <w:tcW w:w="220" w:type="dxa"/>
            <w:vAlign w:val="bottom"/>
          </w:tcPr>
          <w:p>
            <w:pPr>
              <w:spacing w:after="0"/>
              <w:rPr>
                <w:sz w:val="17"/>
                <w:szCs w:val="17"/>
                <w:color w:val="auto"/>
              </w:rPr>
            </w:pPr>
          </w:p>
        </w:tc>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806,397</w:t>
            </w:r>
          </w:p>
        </w:tc>
        <w:tc>
          <w:tcPr>
            <w:tcW w:w="600" w:type="dxa"/>
            <w:vAlign w:val="bottom"/>
          </w:tcPr>
          <w:p>
            <w:pPr>
              <w:jc w:val="right"/>
              <w:ind w:right="76"/>
              <w:spacing w:after="0"/>
              <w:rPr>
                <w:sz w:val="20"/>
                <w:szCs w:val="20"/>
                <w:color w:val="auto"/>
              </w:rPr>
            </w:pPr>
            <w:r>
              <w:rPr>
                <w:rFonts w:ascii="Arial" w:cs="Arial" w:eastAsia="Arial" w:hAnsi="Arial"/>
                <w:sz w:val="9"/>
                <w:szCs w:val="9"/>
                <w:b w:val="1"/>
                <w:bCs w:val="1"/>
                <w:color w:val="auto"/>
              </w:rPr>
              <w:t>100.00%</w:t>
            </w:r>
          </w:p>
        </w:tc>
        <w:tc>
          <w:tcPr>
            <w:tcW w:w="1120" w:type="dxa"/>
            <w:vAlign w:val="bottom"/>
          </w:tcPr>
          <w:p>
            <w:pPr>
              <w:jc w:val="right"/>
              <w:ind w:right="436"/>
              <w:spacing w:after="0"/>
              <w:rPr>
                <w:sz w:val="20"/>
                <w:szCs w:val="20"/>
                <w:color w:val="auto"/>
              </w:rPr>
            </w:pPr>
            <w:r>
              <w:rPr>
                <w:rFonts w:ascii="Arial" w:cs="Arial" w:eastAsia="Arial" w:hAnsi="Arial"/>
                <w:sz w:val="9"/>
                <w:szCs w:val="9"/>
                <w:b w:val="1"/>
                <w:bCs w:val="1"/>
                <w:color w:val="auto"/>
              </w:rPr>
              <w:t>$107,503,258</w:t>
            </w:r>
          </w:p>
        </w:tc>
        <w:tc>
          <w:tcPr>
            <w:tcW w:w="1040" w:type="dxa"/>
            <w:vAlign w:val="bottom"/>
          </w:tcPr>
          <w:p>
            <w:pPr>
              <w:jc w:val="right"/>
              <w:ind w:right="216"/>
              <w:spacing w:after="0"/>
              <w:rPr>
                <w:sz w:val="20"/>
                <w:szCs w:val="20"/>
                <w:color w:val="auto"/>
              </w:rPr>
            </w:pPr>
            <w:r>
              <w:rPr>
                <w:rFonts w:ascii="Arial" w:cs="Arial" w:eastAsia="Arial" w:hAnsi="Arial"/>
                <w:sz w:val="9"/>
                <w:szCs w:val="9"/>
                <w:b w:val="1"/>
                <w:bCs w:val="1"/>
                <w:color w:val="auto"/>
              </w:rPr>
              <w:t>$133.31</w:t>
            </w:r>
          </w:p>
        </w:tc>
        <w:tc>
          <w:tcPr>
            <w:tcW w:w="600" w:type="dxa"/>
            <w:vAlign w:val="bottom"/>
          </w:tcPr>
          <w:p>
            <w:pPr>
              <w:jc w:val="right"/>
              <w:spacing w:after="0"/>
              <w:rPr>
                <w:sz w:val="20"/>
                <w:szCs w:val="20"/>
                <w:color w:val="auto"/>
              </w:rPr>
            </w:pPr>
            <w:r>
              <w:rPr>
                <w:rFonts w:ascii="Arial" w:cs="Arial" w:eastAsia="Arial" w:hAnsi="Arial"/>
                <w:sz w:val="9"/>
                <w:szCs w:val="9"/>
                <w:b w:val="1"/>
                <w:bCs w:val="1"/>
                <w:color w:val="auto"/>
              </w:rPr>
              <w:t>$189.04</w:t>
            </w:r>
          </w:p>
        </w:tc>
      </w:tr>
      <w:tr>
        <w:trPr>
          <w:trHeight w:val="227"/>
        </w:trPr>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9"/>
                <w:szCs w:val="9"/>
                <w:color w:val="auto"/>
                <w:w w:val="97"/>
              </w:rPr>
              <w:t xml:space="preserve">Vacancy </w:t>
            </w:r>
            <w:r>
              <w:rPr>
                <w:rFonts w:ascii="Arial" w:cs="Arial" w:eastAsia="Arial" w:hAnsi="Arial"/>
                <w:sz w:val="5"/>
                <w:szCs w:val="5"/>
                <w:color w:val="auto"/>
                <w:w w:val="97"/>
              </w:rPr>
              <w:t>(5)</w:t>
            </w:r>
          </w:p>
        </w:tc>
        <w:tc>
          <w:tcPr>
            <w:tcW w:w="4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57,116</w:t>
            </w:r>
          </w:p>
        </w:tc>
        <w:tc>
          <w:tcPr>
            <w:tcW w:w="6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365.32</w:t>
            </w:r>
          </w:p>
        </w:tc>
      </w:tr>
      <w:tr>
        <w:trPr>
          <w:trHeight w:val="209"/>
        </w:trPr>
        <w:tc>
          <w:tcPr>
            <w:tcW w:w="7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863,513</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$200.70</w:t>
            </w: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wp:posOffset>
            </wp:positionH>
            <wp:positionV relativeFrom="paragraph">
              <wp:posOffset>97155</wp:posOffset>
            </wp:positionV>
            <wp:extent cx="3601720" cy="7772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601720" cy="777240"/>
                    </a:xfrm>
                    <a:prstGeom prst="rect">
                      <a:avLst/>
                    </a:prstGeom>
                    <a:noFill/>
                  </pic:spPr>
                </pic:pic>
              </a:graphicData>
            </a:graphic>
          </wp:anchor>
        </w:drawing>
      </w:r>
    </w:p>
    <w:p>
      <w:pPr>
        <w:spacing w:after="0" w:line="229" w:lineRule="exact"/>
        <w:rPr>
          <w:sz w:val="20"/>
          <w:szCs w:val="20"/>
          <w:color w:val="auto"/>
        </w:rPr>
      </w:pPr>
    </w:p>
    <w:p>
      <w:pPr>
        <w:ind w:left="640" w:hanging="138"/>
        <w:spacing w:after="0"/>
        <w:tabs>
          <w:tab w:leader="none" w:pos="640" w:val="left"/>
        </w:tabs>
        <w:numPr>
          <w:ilvl w:val="0"/>
          <w:numId w:val="34"/>
        </w:numPr>
        <w:rPr>
          <w:rFonts w:ascii="Arial" w:cs="Arial" w:eastAsia="Arial" w:hAnsi="Arial"/>
          <w:sz w:val="9"/>
          <w:szCs w:val="9"/>
          <w:color w:val="auto"/>
        </w:rPr>
      </w:pPr>
      <w:r>
        <w:rPr>
          <w:rFonts w:ascii="Arial" w:cs="Arial" w:eastAsia="Arial" w:hAnsi="Arial"/>
          <w:sz w:val="9"/>
          <w:szCs w:val="9"/>
          <w:color w:val="auto"/>
        </w:rPr>
        <w:t>Includes month to month holdover tenants that expired prior to September 30, 2016.</w:t>
      </w:r>
    </w:p>
    <w:p>
      <w:pPr>
        <w:spacing w:after="0" w:line="115" w:lineRule="exact"/>
        <w:rPr>
          <w:rFonts w:ascii="Arial" w:cs="Arial" w:eastAsia="Arial" w:hAnsi="Arial"/>
          <w:sz w:val="9"/>
          <w:szCs w:val="9"/>
          <w:color w:val="auto"/>
        </w:rPr>
      </w:pPr>
    </w:p>
    <w:p>
      <w:pPr>
        <w:ind w:left="640" w:hanging="138"/>
        <w:spacing w:after="0"/>
        <w:tabs>
          <w:tab w:leader="none" w:pos="640" w:val="left"/>
        </w:tabs>
        <w:numPr>
          <w:ilvl w:val="0"/>
          <w:numId w:val="34"/>
        </w:numPr>
        <w:rPr>
          <w:rFonts w:ascii="Arial" w:cs="Arial" w:eastAsia="Arial" w:hAnsi="Arial"/>
          <w:sz w:val="9"/>
          <w:szCs w:val="9"/>
          <w:color w:val="auto"/>
        </w:rPr>
      </w:pPr>
      <w:r>
        <w:rPr>
          <w:rFonts w:ascii="Arial" w:cs="Arial" w:eastAsia="Arial" w:hAnsi="Arial"/>
          <w:sz w:val="9"/>
          <w:szCs w:val="9"/>
          <w:color w:val="auto"/>
        </w:rPr>
        <w:t>Tenants may have multiple leases.</w:t>
      </w:r>
    </w:p>
    <w:p>
      <w:pPr>
        <w:spacing w:after="0" w:line="115" w:lineRule="exact"/>
        <w:rPr>
          <w:rFonts w:ascii="Arial" w:cs="Arial" w:eastAsia="Arial" w:hAnsi="Arial"/>
          <w:sz w:val="9"/>
          <w:szCs w:val="9"/>
          <w:color w:val="auto"/>
        </w:rPr>
      </w:pPr>
    </w:p>
    <w:p>
      <w:pPr>
        <w:ind w:left="640" w:hanging="138"/>
        <w:spacing w:after="0"/>
        <w:tabs>
          <w:tab w:leader="none" w:pos="640" w:val="left"/>
        </w:tabs>
        <w:numPr>
          <w:ilvl w:val="0"/>
          <w:numId w:val="34"/>
        </w:numPr>
        <w:rPr>
          <w:rFonts w:ascii="Arial" w:cs="Arial" w:eastAsia="Arial" w:hAnsi="Arial"/>
          <w:sz w:val="9"/>
          <w:szCs w:val="9"/>
          <w:color w:val="auto"/>
        </w:rPr>
      </w:pPr>
      <w:r>
        <w:rPr>
          <w:rFonts w:ascii="Arial" w:cs="Arial" w:eastAsia="Arial" w:hAnsi="Arial"/>
          <w:sz w:val="9"/>
          <w:szCs w:val="9"/>
          <w:color w:val="auto"/>
        </w:rPr>
        <w:t>Represents in place annualized rent allocated by year of expiration.</w:t>
      </w:r>
    </w:p>
    <w:p>
      <w:pPr>
        <w:spacing w:after="0" w:line="38" w:lineRule="exact"/>
        <w:rPr>
          <w:rFonts w:ascii="Arial" w:cs="Arial" w:eastAsia="Arial" w:hAnsi="Arial"/>
          <w:sz w:val="9"/>
          <w:szCs w:val="9"/>
          <w:color w:val="auto"/>
        </w:rPr>
      </w:pPr>
    </w:p>
    <w:p>
      <w:pPr>
        <w:ind w:left="680" w:hanging="178"/>
        <w:spacing w:after="0" w:line="235" w:lineRule="auto"/>
        <w:tabs>
          <w:tab w:leader="none" w:pos="641" w:val="left"/>
        </w:tabs>
        <w:numPr>
          <w:ilvl w:val="0"/>
          <w:numId w:val="34"/>
        </w:numPr>
        <w:rPr>
          <w:rFonts w:ascii="Arial" w:cs="Arial" w:eastAsia="Arial" w:hAnsi="Arial"/>
          <w:sz w:val="9"/>
          <w:szCs w:val="9"/>
          <w:color w:val="auto"/>
        </w:rPr>
      </w:pPr>
      <w:r>
        <w:rPr>
          <w:rFonts w:ascii="Arial" w:cs="Arial" w:eastAsia="Arial" w:hAnsi="Arial"/>
          <w:sz w:val="9"/>
          <w:szCs w:val="9"/>
          <w:color w:val="auto"/>
        </w:rPr>
        <w:t>Management's estimate of average asking rents for currently occupied space as of September 30, 2016. Taking rents are typically lower than asking rents and may vary from property to property.</w:t>
      </w:r>
    </w:p>
    <w:p>
      <w:pPr>
        <w:spacing w:after="0" w:line="114" w:lineRule="exact"/>
        <w:rPr>
          <w:rFonts w:ascii="Arial" w:cs="Arial" w:eastAsia="Arial" w:hAnsi="Arial"/>
          <w:sz w:val="9"/>
          <w:szCs w:val="9"/>
          <w:color w:val="auto"/>
        </w:rPr>
      </w:pPr>
    </w:p>
    <w:p>
      <w:pPr>
        <w:ind w:left="640" w:hanging="138"/>
        <w:spacing w:after="0"/>
        <w:tabs>
          <w:tab w:leader="none" w:pos="640" w:val="left"/>
        </w:tabs>
        <w:numPr>
          <w:ilvl w:val="0"/>
          <w:numId w:val="34"/>
        </w:numPr>
        <w:rPr>
          <w:rFonts w:ascii="Arial" w:cs="Arial" w:eastAsia="Arial" w:hAnsi="Arial"/>
          <w:sz w:val="9"/>
          <w:szCs w:val="9"/>
          <w:color w:val="auto"/>
        </w:rPr>
      </w:pPr>
      <w:r>
        <w:rPr>
          <w:rFonts w:ascii="Arial" w:cs="Arial" w:eastAsia="Arial" w:hAnsi="Arial"/>
          <w:sz w:val="9"/>
          <w:szCs w:val="9"/>
          <w:color w:val="auto"/>
        </w:rPr>
        <w:t>Includes square footage on leases signed but not yet commenced.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5"/>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1</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120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0.04%</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$21,000</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$175.00</w:t>
            </w:r>
          </w:p>
        </w:tc>
        <w:tc>
          <w:tcPr>
            <w:tcW w:w="560" w:type="dxa"/>
            <w:vAlign w:val="bottom"/>
          </w:tcPr>
          <w:p>
            <w:pPr>
              <w:jc w:val="right"/>
              <w:spacing w:after="0"/>
              <w:rPr>
                <w:sz w:val="20"/>
                <w:szCs w:val="20"/>
                <w:color w:val="auto"/>
              </w:rPr>
            </w:pPr>
            <w:r>
              <w:rPr>
                <w:rFonts w:ascii="Arial" w:cs="Arial" w:eastAsia="Arial" w:hAnsi="Arial"/>
                <w:sz w:val="9"/>
                <w:szCs w:val="9"/>
                <w:color w:val="auto"/>
              </w:rPr>
              <w:t>$175.00</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3</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3,123</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0.92%</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462,296</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148.03</w:t>
            </w:r>
          </w:p>
        </w:tc>
        <w:tc>
          <w:tcPr>
            <w:tcW w:w="560" w:type="dxa"/>
            <w:vAlign w:val="bottom"/>
          </w:tcPr>
          <w:p>
            <w:pPr>
              <w:jc w:val="right"/>
              <w:spacing w:after="0"/>
              <w:rPr>
                <w:sz w:val="20"/>
                <w:szCs w:val="20"/>
                <w:color w:val="auto"/>
              </w:rPr>
            </w:pPr>
            <w:r>
              <w:rPr>
                <w:rFonts w:ascii="Arial" w:cs="Arial" w:eastAsia="Arial" w:hAnsi="Arial"/>
                <w:sz w:val="9"/>
                <w:szCs w:val="9"/>
                <w:color w:val="auto"/>
              </w:rPr>
              <w:t>145.82</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7</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13,587</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4.00%</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2,027,428</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149.22</w:t>
            </w:r>
          </w:p>
        </w:tc>
        <w:tc>
          <w:tcPr>
            <w:tcW w:w="560" w:type="dxa"/>
            <w:vAlign w:val="bottom"/>
          </w:tcPr>
          <w:p>
            <w:pPr>
              <w:jc w:val="right"/>
              <w:spacing w:after="0"/>
              <w:rPr>
                <w:sz w:val="20"/>
                <w:szCs w:val="20"/>
                <w:color w:val="auto"/>
              </w:rPr>
            </w:pPr>
            <w:r>
              <w:rPr>
                <w:rFonts w:ascii="Arial" w:cs="Arial" w:eastAsia="Arial" w:hAnsi="Arial"/>
                <w:sz w:val="9"/>
                <w:szCs w:val="9"/>
                <w:color w:val="auto"/>
              </w:rPr>
              <w:t>159.83</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2</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7,400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2.18%</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1,206,653</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163.06</w:t>
            </w:r>
          </w:p>
        </w:tc>
        <w:tc>
          <w:tcPr>
            <w:tcW w:w="560" w:type="dxa"/>
            <w:vAlign w:val="bottom"/>
          </w:tcPr>
          <w:p>
            <w:pPr>
              <w:jc w:val="right"/>
              <w:spacing w:after="0"/>
              <w:rPr>
                <w:sz w:val="20"/>
                <w:szCs w:val="20"/>
                <w:color w:val="auto"/>
              </w:rPr>
            </w:pPr>
            <w:r>
              <w:rPr>
                <w:rFonts w:ascii="Arial" w:cs="Arial" w:eastAsia="Arial" w:hAnsi="Arial"/>
                <w:sz w:val="9"/>
                <w:szCs w:val="9"/>
                <w:color w:val="auto"/>
              </w:rPr>
              <w:t>195.41</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3</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32,800</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9.65%</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1,493,318</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45.53</w:t>
            </w:r>
          </w:p>
        </w:tc>
        <w:tc>
          <w:tcPr>
            <w:tcW w:w="560" w:type="dxa"/>
            <w:vAlign w:val="bottom"/>
          </w:tcPr>
          <w:p>
            <w:pPr>
              <w:jc w:val="right"/>
              <w:spacing w:after="0"/>
              <w:rPr>
                <w:sz w:val="20"/>
                <w:szCs w:val="20"/>
                <w:color w:val="auto"/>
              </w:rPr>
            </w:pPr>
            <w:r>
              <w:rPr>
                <w:rFonts w:ascii="Arial" w:cs="Arial" w:eastAsia="Arial" w:hAnsi="Arial"/>
                <w:sz w:val="9"/>
                <w:szCs w:val="9"/>
                <w:color w:val="auto"/>
              </w:rPr>
              <w:t>54.77</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2</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5,992</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1.76%</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636,484</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106.22</w:t>
            </w:r>
          </w:p>
        </w:tc>
        <w:tc>
          <w:tcPr>
            <w:tcW w:w="560" w:type="dxa"/>
            <w:vAlign w:val="bottom"/>
          </w:tcPr>
          <w:p>
            <w:pPr>
              <w:jc w:val="right"/>
              <w:spacing w:after="0"/>
              <w:rPr>
                <w:sz w:val="20"/>
                <w:szCs w:val="20"/>
                <w:color w:val="auto"/>
              </w:rPr>
            </w:pPr>
            <w:r>
              <w:rPr>
                <w:rFonts w:ascii="Arial" w:cs="Arial" w:eastAsia="Arial" w:hAnsi="Arial"/>
                <w:sz w:val="9"/>
                <w:szCs w:val="9"/>
                <w:color w:val="auto"/>
              </w:rPr>
              <w:t>103.52</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6</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12,603</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3.71%</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1,613,397</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128.02</w:t>
            </w:r>
          </w:p>
        </w:tc>
        <w:tc>
          <w:tcPr>
            <w:tcW w:w="560" w:type="dxa"/>
            <w:vAlign w:val="bottom"/>
          </w:tcPr>
          <w:p>
            <w:pPr>
              <w:jc w:val="right"/>
              <w:spacing w:after="0"/>
              <w:rPr>
                <w:sz w:val="20"/>
                <w:szCs w:val="20"/>
                <w:color w:val="auto"/>
              </w:rPr>
            </w:pPr>
            <w:r>
              <w:rPr>
                <w:rFonts w:ascii="Arial" w:cs="Arial" w:eastAsia="Arial" w:hAnsi="Arial"/>
                <w:sz w:val="9"/>
                <w:szCs w:val="9"/>
                <w:color w:val="auto"/>
              </w:rPr>
              <w:t>175.49</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4</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15,009</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4.42%</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1,398,578</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93.18</w:t>
            </w:r>
          </w:p>
        </w:tc>
        <w:tc>
          <w:tcPr>
            <w:tcW w:w="560" w:type="dxa"/>
            <w:vAlign w:val="bottom"/>
          </w:tcPr>
          <w:p>
            <w:pPr>
              <w:jc w:val="right"/>
              <w:spacing w:after="0"/>
              <w:rPr>
                <w:sz w:val="20"/>
                <w:szCs w:val="20"/>
                <w:color w:val="auto"/>
              </w:rPr>
            </w:pPr>
            <w:r>
              <w:rPr>
                <w:rFonts w:ascii="Arial" w:cs="Arial" w:eastAsia="Arial" w:hAnsi="Arial"/>
                <w:sz w:val="9"/>
                <w:szCs w:val="9"/>
                <w:color w:val="auto"/>
              </w:rPr>
              <w:t>94.67</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11</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30,774</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9.06%</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3,429,868</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111.45</w:t>
            </w:r>
          </w:p>
        </w:tc>
        <w:tc>
          <w:tcPr>
            <w:tcW w:w="560" w:type="dxa"/>
            <w:vAlign w:val="bottom"/>
          </w:tcPr>
          <w:p>
            <w:pPr>
              <w:jc w:val="right"/>
              <w:spacing w:after="0"/>
              <w:rPr>
                <w:sz w:val="20"/>
                <w:szCs w:val="20"/>
                <w:color w:val="auto"/>
              </w:rPr>
            </w:pPr>
            <w:r>
              <w:rPr>
                <w:rFonts w:ascii="Arial" w:cs="Arial" w:eastAsia="Arial" w:hAnsi="Arial"/>
                <w:sz w:val="9"/>
                <w:szCs w:val="9"/>
                <w:color w:val="auto"/>
              </w:rPr>
              <w:t>150.11</w:t>
            </w:r>
          </w:p>
        </w:tc>
      </w:tr>
      <w:tr>
        <w:trPr>
          <w:trHeight w:val="219"/>
        </w:trPr>
        <w:tc>
          <w:tcPr>
            <w:tcW w:w="740" w:type="dxa"/>
            <w:vAlign w:val="bottom"/>
          </w:tcPr>
          <w:p>
            <w:pPr>
              <w:jc w:val="right"/>
              <w:ind w:right="196"/>
              <w:spacing w:after="0"/>
              <w:rPr>
                <w:sz w:val="20"/>
                <w:szCs w:val="20"/>
                <w:color w:val="auto"/>
              </w:rPr>
            </w:pPr>
            <w:r>
              <w:rPr>
                <w:rFonts w:ascii="Arial" w:cs="Arial" w:eastAsia="Arial" w:hAnsi="Arial"/>
                <w:sz w:val="9"/>
                <w:szCs w:val="9"/>
                <w:color w:val="auto"/>
              </w:rPr>
              <w:t>4</w:t>
            </w:r>
          </w:p>
        </w:tc>
        <w:tc>
          <w:tcPr>
            <w:tcW w:w="680" w:type="dxa"/>
            <w:vAlign w:val="bottom"/>
          </w:tcPr>
          <w:p>
            <w:pPr>
              <w:jc w:val="right"/>
              <w:ind w:right="76"/>
              <w:spacing w:after="0"/>
              <w:rPr>
                <w:sz w:val="20"/>
                <w:szCs w:val="20"/>
                <w:color w:val="auto"/>
              </w:rPr>
            </w:pPr>
            <w:r>
              <w:rPr>
                <w:rFonts w:ascii="Arial" w:cs="Arial" w:eastAsia="Arial" w:hAnsi="Arial"/>
                <w:sz w:val="9"/>
                <w:szCs w:val="9"/>
                <w:color w:val="auto"/>
              </w:rPr>
              <w:t>3,147</w:t>
            </w:r>
          </w:p>
        </w:tc>
        <w:tc>
          <w:tcPr>
            <w:tcW w:w="580" w:type="dxa"/>
            <w:vAlign w:val="bottom"/>
          </w:tcPr>
          <w:p>
            <w:pPr>
              <w:jc w:val="right"/>
              <w:ind w:right="56"/>
              <w:spacing w:after="0"/>
              <w:rPr>
                <w:sz w:val="20"/>
                <w:szCs w:val="20"/>
                <w:color w:val="auto"/>
              </w:rPr>
            </w:pPr>
            <w:r>
              <w:rPr>
                <w:rFonts w:ascii="Arial" w:cs="Arial" w:eastAsia="Arial" w:hAnsi="Arial"/>
                <w:sz w:val="9"/>
                <w:szCs w:val="9"/>
                <w:color w:val="auto"/>
              </w:rPr>
              <w:t>0.93%</w:t>
            </w:r>
          </w:p>
        </w:tc>
        <w:tc>
          <w:tcPr>
            <w:tcW w:w="1000" w:type="dxa"/>
            <w:vAlign w:val="bottom"/>
          </w:tcPr>
          <w:p>
            <w:pPr>
              <w:jc w:val="right"/>
              <w:ind w:right="356"/>
              <w:spacing w:after="0"/>
              <w:rPr>
                <w:sz w:val="20"/>
                <w:szCs w:val="20"/>
                <w:color w:val="auto"/>
              </w:rPr>
            </w:pPr>
            <w:r>
              <w:rPr>
                <w:rFonts w:ascii="Arial" w:cs="Arial" w:eastAsia="Arial" w:hAnsi="Arial"/>
                <w:sz w:val="9"/>
                <w:szCs w:val="9"/>
                <w:color w:val="auto"/>
              </w:rPr>
              <w:t>664,060</w:t>
            </w:r>
          </w:p>
        </w:tc>
        <w:tc>
          <w:tcPr>
            <w:tcW w:w="960" w:type="dxa"/>
            <w:vAlign w:val="bottom"/>
          </w:tcPr>
          <w:p>
            <w:pPr>
              <w:jc w:val="right"/>
              <w:ind w:right="176"/>
              <w:spacing w:after="0"/>
              <w:rPr>
                <w:sz w:val="20"/>
                <w:szCs w:val="20"/>
                <w:color w:val="auto"/>
              </w:rPr>
            </w:pPr>
            <w:r>
              <w:rPr>
                <w:rFonts w:ascii="Arial" w:cs="Arial" w:eastAsia="Arial" w:hAnsi="Arial"/>
                <w:sz w:val="9"/>
                <w:szCs w:val="9"/>
                <w:color w:val="auto"/>
              </w:rPr>
              <w:t>211.01</w:t>
            </w:r>
          </w:p>
        </w:tc>
        <w:tc>
          <w:tcPr>
            <w:tcW w:w="560" w:type="dxa"/>
            <w:vAlign w:val="bottom"/>
          </w:tcPr>
          <w:p>
            <w:pPr>
              <w:jc w:val="right"/>
              <w:spacing w:after="0"/>
              <w:rPr>
                <w:sz w:val="20"/>
                <w:szCs w:val="20"/>
                <w:color w:val="auto"/>
              </w:rPr>
            </w:pPr>
            <w:r>
              <w:rPr>
                <w:rFonts w:ascii="Arial" w:cs="Arial" w:eastAsia="Arial" w:hAnsi="Arial"/>
                <w:sz w:val="9"/>
                <w:szCs w:val="9"/>
                <w:color w:val="auto"/>
              </w:rPr>
              <w:t>207.62</w:t>
            </w:r>
          </w:p>
        </w:tc>
      </w:tr>
      <w:tr>
        <w:trPr>
          <w:trHeight w:val="227"/>
        </w:trPr>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9"/>
                <w:szCs w:val="9"/>
                <w:color w:val="auto"/>
              </w:rPr>
              <w:t>26</w:t>
            </w: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215,270</w:t>
            </w:r>
          </w:p>
        </w:tc>
        <w:tc>
          <w:tcPr>
            <w:tcW w:w="580" w:type="dxa"/>
            <w:vAlign w:val="bottom"/>
            <w:tcBorders>
              <w:bottom w:val="single" w:sz="8" w:color="auto"/>
            </w:tcBorders>
          </w:tcPr>
          <w:p>
            <w:pPr>
              <w:jc w:val="right"/>
              <w:ind w:right="56"/>
              <w:spacing w:after="0"/>
              <w:rPr>
                <w:sz w:val="20"/>
                <w:szCs w:val="20"/>
                <w:color w:val="auto"/>
              </w:rPr>
            </w:pPr>
            <w:r>
              <w:rPr>
                <w:rFonts w:ascii="Arial" w:cs="Arial" w:eastAsia="Arial" w:hAnsi="Arial"/>
                <w:sz w:val="9"/>
                <w:szCs w:val="9"/>
                <w:color w:val="auto"/>
              </w:rPr>
              <w:t>63.35%</w:t>
            </w:r>
          </w:p>
        </w:tc>
        <w:tc>
          <w:tcPr>
            <w:tcW w:w="1000" w:type="dxa"/>
            <w:vAlign w:val="bottom"/>
            <w:tcBorders>
              <w:bottom w:val="single" w:sz="8" w:color="auto"/>
            </w:tcBorders>
          </w:tcPr>
          <w:p>
            <w:pPr>
              <w:jc w:val="right"/>
              <w:ind w:right="356"/>
              <w:spacing w:after="0"/>
              <w:rPr>
                <w:sz w:val="20"/>
                <w:szCs w:val="20"/>
                <w:color w:val="auto"/>
              </w:rPr>
            </w:pPr>
            <w:r>
              <w:rPr>
                <w:rFonts w:ascii="Arial" w:cs="Arial" w:eastAsia="Arial" w:hAnsi="Arial"/>
                <w:sz w:val="9"/>
                <w:szCs w:val="9"/>
                <w:color w:val="auto"/>
              </w:rPr>
              <w:t>34,630,923</w:t>
            </w:r>
          </w:p>
        </w:tc>
        <w:tc>
          <w:tcPr>
            <w:tcW w:w="960" w:type="dxa"/>
            <w:vAlign w:val="bottom"/>
            <w:tcBorders>
              <w:bottom w:val="single" w:sz="8" w:color="auto"/>
            </w:tcBorders>
          </w:tcPr>
          <w:p>
            <w:pPr>
              <w:jc w:val="right"/>
              <w:ind w:right="176"/>
              <w:spacing w:after="0"/>
              <w:rPr>
                <w:sz w:val="20"/>
                <w:szCs w:val="20"/>
                <w:color w:val="auto"/>
              </w:rPr>
            </w:pPr>
            <w:r>
              <w:rPr>
                <w:rFonts w:ascii="Arial" w:cs="Arial" w:eastAsia="Arial" w:hAnsi="Arial"/>
                <w:sz w:val="9"/>
                <w:szCs w:val="9"/>
                <w:color w:val="auto"/>
              </w:rPr>
              <w:t>160.87</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182.65</w:t>
            </w:r>
          </w:p>
        </w:tc>
      </w:tr>
      <w:tr>
        <w:trPr>
          <w:trHeight w:val="201"/>
        </w:trPr>
        <w:tc>
          <w:tcPr>
            <w:tcW w:w="740" w:type="dxa"/>
            <w:vAlign w:val="bottom"/>
          </w:tcPr>
          <w:p>
            <w:pPr>
              <w:jc w:val="right"/>
              <w:ind w:right="196"/>
              <w:spacing w:after="0"/>
              <w:rPr>
                <w:sz w:val="20"/>
                <w:szCs w:val="20"/>
                <w:color w:val="auto"/>
              </w:rPr>
            </w:pPr>
            <w:r>
              <w:rPr>
                <w:rFonts w:ascii="Arial" w:cs="Arial" w:eastAsia="Arial" w:hAnsi="Arial"/>
                <w:sz w:val="9"/>
                <w:szCs w:val="9"/>
                <w:b w:val="1"/>
                <w:bCs w:val="1"/>
                <w:color w:val="auto"/>
              </w:rPr>
              <w:t>69</w:t>
            </w:r>
          </w:p>
        </w:tc>
        <w:tc>
          <w:tcPr>
            <w:tcW w:w="680" w:type="dxa"/>
            <w:vAlign w:val="bottom"/>
          </w:tcPr>
          <w:p>
            <w:pPr>
              <w:jc w:val="right"/>
              <w:ind w:right="76"/>
              <w:spacing w:after="0"/>
              <w:rPr>
                <w:sz w:val="20"/>
                <w:szCs w:val="20"/>
                <w:color w:val="auto"/>
              </w:rPr>
            </w:pPr>
            <w:r>
              <w:rPr>
                <w:rFonts w:ascii="Arial" w:cs="Arial" w:eastAsia="Arial" w:hAnsi="Arial"/>
                <w:sz w:val="9"/>
                <w:szCs w:val="9"/>
                <w:b w:val="1"/>
                <w:bCs w:val="1"/>
                <w:color w:val="auto"/>
              </w:rPr>
              <w:t>339,825</w:t>
            </w:r>
          </w:p>
        </w:tc>
        <w:tc>
          <w:tcPr>
            <w:tcW w:w="580" w:type="dxa"/>
            <w:vAlign w:val="bottom"/>
          </w:tcPr>
          <w:p>
            <w:pPr>
              <w:jc w:val="right"/>
              <w:ind w:right="56"/>
              <w:spacing w:after="0"/>
              <w:rPr>
                <w:sz w:val="20"/>
                <w:szCs w:val="20"/>
                <w:color w:val="auto"/>
              </w:rPr>
            </w:pPr>
            <w:r>
              <w:rPr>
                <w:rFonts w:ascii="Arial" w:cs="Arial" w:eastAsia="Arial" w:hAnsi="Arial"/>
                <w:sz w:val="9"/>
                <w:szCs w:val="9"/>
                <w:b w:val="1"/>
                <w:bCs w:val="1"/>
                <w:color w:val="auto"/>
              </w:rPr>
              <w:t>100.00%</w:t>
            </w:r>
          </w:p>
        </w:tc>
        <w:tc>
          <w:tcPr>
            <w:tcW w:w="1000" w:type="dxa"/>
            <w:vAlign w:val="bottom"/>
          </w:tcPr>
          <w:p>
            <w:pPr>
              <w:jc w:val="right"/>
              <w:ind w:right="356"/>
              <w:spacing w:after="0"/>
              <w:rPr>
                <w:sz w:val="20"/>
                <w:szCs w:val="20"/>
                <w:color w:val="auto"/>
              </w:rPr>
            </w:pPr>
            <w:r>
              <w:rPr>
                <w:rFonts w:ascii="Arial" w:cs="Arial" w:eastAsia="Arial" w:hAnsi="Arial"/>
                <w:sz w:val="9"/>
                <w:szCs w:val="9"/>
                <w:b w:val="1"/>
                <w:bCs w:val="1"/>
                <w:color w:val="auto"/>
              </w:rPr>
              <w:t>$47,584,005</w:t>
            </w:r>
          </w:p>
        </w:tc>
        <w:tc>
          <w:tcPr>
            <w:tcW w:w="960" w:type="dxa"/>
            <w:vAlign w:val="bottom"/>
          </w:tcPr>
          <w:p>
            <w:pPr>
              <w:jc w:val="right"/>
              <w:ind w:right="176"/>
              <w:spacing w:after="0"/>
              <w:rPr>
                <w:sz w:val="20"/>
                <w:szCs w:val="20"/>
                <w:color w:val="auto"/>
              </w:rPr>
            </w:pPr>
            <w:r>
              <w:rPr>
                <w:rFonts w:ascii="Arial" w:cs="Arial" w:eastAsia="Arial" w:hAnsi="Arial"/>
                <w:sz w:val="9"/>
                <w:szCs w:val="9"/>
                <w:b w:val="1"/>
                <w:bCs w:val="1"/>
                <w:color w:val="auto"/>
              </w:rPr>
              <w:t>$140.03</w:t>
            </w:r>
          </w:p>
        </w:tc>
        <w:tc>
          <w:tcPr>
            <w:tcW w:w="560" w:type="dxa"/>
            <w:vAlign w:val="bottom"/>
          </w:tcPr>
          <w:p>
            <w:pPr>
              <w:jc w:val="right"/>
              <w:spacing w:after="0"/>
              <w:rPr>
                <w:sz w:val="20"/>
                <w:szCs w:val="20"/>
                <w:color w:val="auto"/>
              </w:rPr>
            </w:pPr>
            <w:r>
              <w:rPr>
                <w:rFonts w:ascii="Arial" w:cs="Arial" w:eastAsia="Arial" w:hAnsi="Arial"/>
                <w:sz w:val="9"/>
                <w:szCs w:val="9"/>
                <w:b w:val="1"/>
                <w:bCs w:val="1"/>
                <w:color w:val="auto"/>
              </w:rPr>
              <w:t>$161.07</w:t>
            </w:r>
          </w:p>
        </w:tc>
      </w:tr>
      <w:tr>
        <w:trPr>
          <w:trHeight w:val="227"/>
        </w:trPr>
        <w:tc>
          <w:tcPr>
            <w:tcW w:w="7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color w:val="auto"/>
              </w:rPr>
              <w:t>33,461</w:t>
            </w:r>
          </w:p>
        </w:tc>
        <w:tc>
          <w:tcPr>
            <w:tcW w:w="5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137.54</w:t>
            </w:r>
          </w:p>
        </w:tc>
      </w:tr>
      <w:tr>
        <w:trPr>
          <w:trHeight w:val="209"/>
        </w:trPr>
        <w:tc>
          <w:tcPr>
            <w:tcW w:w="7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9"/>
                <w:szCs w:val="9"/>
                <w:b w:val="1"/>
                <w:bCs w:val="1"/>
                <w:color w:val="auto"/>
              </w:rPr>
              <w:t>373,286</w:t>
            </w: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rPr>
              <w:t>$158.96</w:t>
            </w:r>
          </w:p>
        </w:tc>
      </w:tr>
      <w:tr>
        <w:trPr>
          <w:trHeight w:val="20"/>
        </w:trPr>
        <w:tc>
          <w:tcPr>
            <w:tcW w:w="7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448" w:lineRule="exact"/>
        <w:rPr>
          <w:sz w:val="20"/>
          <w:szCs w:val="20"/>
          <w:color w:val="auto"/>
        </w:rPr>
      </w:pPr>
    </w:p>
    <w:p>
      <w:pPr>
        <w:sectPr>
          <w:pgSz w:w="11900" w:h="16838" w:orient="portrait"/>
          <w:cols w:equalWidth="0" w:num="2">
            <w:col w:w="5320" w:space="280"/>
            <w:col w:w="4520"/>
          </w:cols>
          <w:pgMar w:left="900" w:top="338" w:right="879" w:bottom="1440" w:gutter="0" w:footer="0" w:header="0"/>
          <w:type w:val="continuous"/>
        </w:sectPr>
      </w:pPr>
    </w:p>
    <w:p>
      <w:pPr>
        <w:spacing w:after="0" w:line="200" w:lineRule="exact"/>
        <w:rPr>
          <w:sz w:val="20"/>
          <w:szCs w:val="20"/>
          <w:color w:val="auto"/>
        </w:rPr>
      </w:pPr>
    </w:p>
    <w:p>
      <w:pPr>
        <w:spacing w:after="0" w:line="380"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50</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20"/>
          </w:cols>
          <w:pgMar w:left="900" w:top="338" w:right="879" w:bottom="1440" w:gutter="0" w:footer="0" w:header="0"/>
          <w:type w:val="continuous"/>
        </w:sectPr>
      </w:pPr>
    </w:p>
    <w:bookmarkStart w:id="66" w:name="page67"/>
    <w:bookmarkEnd w:id="66"/>
    <w:p>
      <w:pPr>
        <w:spacing w:after="0" w:line="5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r>
    </w:p>
    <w:p>
      <w:pPr>
        <w:spacing w:after="0"/>
        <w:rPr>
          <w:sz w:val="20"/>
          <w:szCs w:val="20"/>
          <w:color w:val="auto"/>
        </w:rPr>
      </w:pPr>
      <w:r>
        <w:rPr>
          <w:rFonts w:ascii="Arial" w:cs="Arial" w:eastAsia="Arial" w:hAnsi="Arial"/>
          <w:sz w:val="19"/>
          <w:szCs w:val="19"/>
          <w:b w:val="1"/>
          <w:bCs w:val="1"/>
          <w:color w:val="auto"/>
        </w:rPr>
        <w:t>SUMMARY OF REAL ESTATE 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200" w:type="dxa"/>
        <w:tblCellMar>
          <w:top w:w="0" w:type="dxa"/>
          <w:left w:w="0" w:type="dxa"/>
          <w:bottom w:w="0" w:type="dxa"/>
          <w:right w:w="0" w:type="dxa"/>
        </w:tblCellMar>
      </w:tblPr>
      <w:tr>
        <w:trPr>
          <w:trHeight w:val="94"/>
        </w:trPr>
        <w:tc>
          <w:tcPr>
            <w:tcW w:w="3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340" w:type="dxa"/>
            <w:vAlign w:val="bottom"/>
            <w:gridSpan w:val="3"/>
          </w:tcPr>
          <w:p>
            <w:pPr>
              <w:ind w:left="20"/>
              <w:spacing w:after="0"/>
              <w:rPr>
                <w:sz w:val="20"/>
                <w:szCs w:val="20"/>
                <w:color w:val="auto"/>
              </w:rPr>
            </w:pPr>
            <w:r>
              <w:rPr>
                <w:rFonts w:ascii="Arial" w:cs="Arial" w:eastAsia="Arial" w:hAnsi="Arial"/>
                <w:sz w:val="7"/>
                <w:szCs w:val="7"/>
                <w:b w:val="1"/>
                <w:bCs w:val="1"/>
                <w:color w:val="auto"/>
              </w:rPr>
              <w:t>Occupancy (%)</w:t>
            </w:r>
          </w:p>
        </w:tc>
        <w:tc>
          <w:tcPr>
            <w:tcW w:w="460" w:type="dxa"/>
            <w:vAlign w:val="bottom"/>
          </w:tcPr>
          <w:p>
            <w:pPr>
              <w:spacing w:after="0"/>
              <w:rPr>
                <w:sz w:val="8"/>
                <w:szCs w:val="8"/>
                <w:color w:val="auto"/>
              </w:rPr>
            </w:pPr>
          </w:p>
        </w:tc>
        <w:tc>
          <w:tcPr>
            <w:tcW w:w="460" w:type="dxa"/>
            <w:vAlign w:val="bottom"/>
          </w:tcPr>
          <w:p>
            <w:pPr>
              <w:jc w:val="center"/>
              <w:spacing w:after="0"/>
              <w:rPr>
                <w:sz w:val="20"/>
                <w:szCs w:val="20"/>
                <w:color w:val="auto"/>
              </w:rPr>
            </w:pPr>
            <w:r>
              <w:rPr>
                <w:rFonts w:ascii="Arial" w:cs="Arial" w:eastAsia="Arial" w:hAnsi="Arial"/>
                <w:sz w:val="7"/>
                <w:szCs w:val="7"/>
                <w:b w:val="1"/>
                <w:bCs w:val="1"/>
                <w:color w:val="auto"/>
                <w:w w:val="99"/>
              </w:rPr>
              <w:t>Acquisition</w:t>
            </w:r>
          </w:p>
        </w:tc>
      </w:tr>
      <w:tr>
        <w:trPr>
          <w:trHeight w:val="111"/>
        </w:trPr>
        <w:tc>
          <w:tcPr>
            <w:tcW w:w="3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177"/>
        </w:trPr>
        <w:tc>
          <w:tcPr>
            <w:tcW w:w="300" w:type="dxa"/>
            <w:vAlign w:val="bottom"/>
          </w:tcPr>
          <w:p>
            <w:pPr>
              <w:spacing w:after="0"/>
              <w:rPr>
                <w:sz w:val="20"/>
                <w:szCs w:val="20"/>
                <w:color w:val="auto"/>
              </w:rPr>
            </w:pPr>
            <w:r>
              <w:rPr>
                <w:rFonts w:ascii="Arial" w:cs="Arial" w:eastAsia="Arial" w:hAnsi="Arial"/>
                <w:sz w:val="7"/>
                <w:szCs w:val="7"/>
                <w:b w:val="1"/>
                <w:bCs w:val="1"/>
                <w:color w:val="auto"/>
                <w:w w:val="97"/>
              </w:rPr>
              <w:t>Property</w:t>
            </w:r>
          </w:p>
        </w:tc>
        <w:tc>
          <w:tcPr>
            <w:tcW w:w="158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Arial" w:cs="Arial" w:eastAsia="Arial" w:hAnsi="Arial"/>
                <w:sz w:val="7"/>
                <w:szCs w:val="7"/>
                <w:b w:val="1"/>
                <w:bCs w:val="1"/>
                <w:color w:val="auto"/>
              </w:rPr>
              <w:t>Type of Ownership</w:t>
            </w:r>
          </w:p>
        </w:tc>
        <w:tc>
          <w:tcPr>
            <w:tcW w:w="1800" w:type="dxa"/>
            <w:vAlign w:val="bottom"/>
            <w:gridSpan w:val="3"/>
          </w:tcPr>
          <w:p>
            <w:pPr>
              <w:ind w:left="380"/>
              <w:spacing w:after="0"/>
              <w:rPr>
                <w:sz w:val="20"/>
                <w:szCs w:val="20"/>
                <w:color w:val="auto"/>
              </w:rPr>
            </w:pPr>
            <w:r>
              <w:rPr>
                <w:rFonts w:ascii="Arial" w:cs="Arial" w:eastAsia="Arial" w:hAnsi="Arial"/>
                <w:sz w:val="7"/>
                <w:szCs w:val="7"/>
                <w:b w:val="1"/>
                <w:bCs w:val="1"/>
                <w:color w:val="auto"/>
              </w:rPr>
              <w:t>Submarket</w:t>
            </w:r>
          </w:p>
        </w:tc>
        <w:tc>
          <w:tcPr>
            <w:tcW w:w="960" w:type="dxa"/>
            <w:vAlign w:val="bottom"/>
            <w:gridSpan w:val="2"/>
          </w:tcPr>
          <w:p>
            <w:pPr>
              <w:spacing w:after="0"/>
              <w:rPr>
                <w:sz w:val="20"/>
                <w:szCs w:val="20"/>
                <w:color w:val="auto"/>
              </w:rPr>
            </w:pPr>
            <w:r>
              <w:rPr>
                <w:rFonts w:ascii="Arial" w:cs="Arial" w:eastAsia="Arial" w:hAnsi="Arial"/>
                <w:sz w:val="7"/>
                <w:szCs w:val="7"/>
                <w:b w:val="1"/>
                <w:bCs w:val="1"/>
                <w:color w:val="auto"/>
              </w:rPr>
              <w:t>Net Rentable SF</w:t>
            </w:r>
          </w:p>
        </w:tc>
        <w:tc>
          <w:tcPr>
            <w:tcW w:w="30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7"/>
                <w:szCs w:val="7"/>
                <w:b w:val="1"/>
                <w:bCs w:val="1"/>
                <w:color w:val="auto"/>
              </w:rPr>
              <w:t>at acquisition</w:t>
            </w:r>
          </w:p>
        </w:tc>
        <w:tc>
          <w:tcPr>
            <w:tcW w:w="960" w:type="dxa"/>
            <w:vAlign w:val="bottom"/>
            <w:gridSpan w:val="2"/>
          </w:tcPr>
          <w:p>
            <w:pPr>
              <w:jc w:val="right"/>
              <w:spacing w:after="0"/>
              <w:rPr>
                <w:sz w:val="20"/>
                <w:szCs w:val="20"/>
                <w:color w:val="auto"/>
              </w:rPr>
            </w:pPr>
            <w:r>
              <w:rPr>
                <w:rFonts w:ascii="Arial" w:cs="Arial" w:eastAsia="Arial" w:hAnsi="Arial"/>
                <w:sz w:val="7"/>
                <w:szCs w:val="7"/>
                <w:b w:val="1"/>
                <w:bCs w:val="1"/>
                <w:color w:val="auto"/>
              </w:rPr>
              <w:t>9/30/2016</w:t>
            </w:r>
          </w:p>
        </w:tc>
        <w:tc>
          <w:tcPr>
            <w:tcW w:w="380" w:type="dxa"/>
            <w:vAlign w:val="bottom"/>
          </w:tcPr>
          <w:p>
            <w:pPr>
              <w:spacing w:after="0"/>
              <w:rPr>
                <w:sz w:val="15"/>
                <w:szCs w:val="15"/>
                <w:color w:val="auto"/>
              </w:rPr>
            </w:pPr>
          </w:p>
        </w:tc>
        <w:tc>
          <w:tcPr>
            <w:tcW w:w="920" w:type="dxa"/>
            <w:vAlign w:val="bottom"/>
            <w:gridSpan w:val="2"/>
          </w:tcPr>
          <w:p>
            <w:pPr>
              <w:jc w:val="center"/>
              <w:ind w:left="424"/>
              <w:spacing w:after="0"/>
              <w:rPr>
                <w:sz w:val="20"/>
                <w:szCs w:val="20"/>
                <w:color w:val="auto"/>
              </w:rPr>
            </w:pPr>
            <w:r>
              <w:rPr>
                <w:rFonts w:ascii="Arial" w:cs="Arial" w:eastAsia="Arial" w:hAnsi="Arial"/>
                <w:sz w:val="7"/>
                <w:szCs w:val="7"/>
                <w:b w:val="1"/>
                <w:bCs w:val="1"/>
                <w:color w:val="auto"/>
              </w:rPr>
              <w:t xml:space="preserve">Price </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 (1)</w:t>
            </w:r>
          </w:p>
        </w:tc>
      </w:tr>
      <w:tr>
        <w:trPr>
          <w:trHeight w:val="20"/>
        </w:trPr>
        <w:tc>
          <w:tcPr>
            <w:tcW w:w="3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r>
    </w:tbl>
    <w:p>
      <w:pPr>
        <w:spacing w:after="0" w:line="24" w:lineRule="exact"/>
        <w:rPr>
          <w:sz w:val="20"/>
          <w:szCs w:val="20"/>
          <w:color w:val="auto"/>
        </w:rPr>
      </w:pPr>
    </w:p>
    <w:p>
      <w:pPr>
        <w:ind w:left="40"/>
        <w:spacing w:after="0"/>
        <w:rPr>
          <w:sz w:val="20"/>
          <w:szCs w:val="20"/>
          <w:color w:val="auto"/>
        </w:rPr>
      </w:pPr>
      <w:r>
        <w:rPr>
          <w:rFonts w:ascii="Arial" w:cs="Arial" w:eastAsia="Arial" w:hAnsi="Arial"/>
          <w:sz w:val="7"/>
          <w:szCs w:val="7"/>
          <w:b w:val="1"/>
          <w:bCs w:val="1"/>
          <w:color w:val="auto"/>
        </w:rPr>
        <w:t>1998 - 2016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79375</wp:posOffset>
            </wp:positionV>
            <wp:extent cx="638429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384290" cy="6985"/>
                    </a:xfrm>
                    <a:prstGeom prst="rect">
                      <a:avLst/>
                    </a:prstGeom>
                    <a:noFill/>
                  </pic:spPr>
                </pic:pic>
              </a:graphicData>
            </a:graphic>
          </wp:anchor>
        </w:drawing>
      </w:r>
    </w:p>
    <w:p>
      <w:pPr>
        <w:spacing w:after="0" w:line="235" w:lineRule="exact"/>
        <w:rPr>
          <w:sz w:val="20"/>
          <w:szCs w:val="20"/>
          <w:color w:val="auto"/>
        </w:rPr>
      </w:pPr>
    </w:p>
    <w:tbl>
      <w:tblPr>
        <w:tblLayout w:type="fixed"/>
        <w:tblInd w:w="480" w:type="dxa"/>
        <w:tblCellMar>
          <w:top w:w="0" w:type="dxa"/>
          <w:left w:w="0" w:type="dxa"/>
          <w:bottom w:w="0" w:type="dxa"/>
          <w:right w:w="0" w:type="dxa"/>
        </w:tblCellMar>
      </w:tblPr>
      <w:tr>
        <w:trPr>
          <w:trHeight w:val="86"/>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Mar-98</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420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Operating Sublease</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1,188,000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83.0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98.6</w:t>
            </w:r>
          </w:p>
        </w:tc>
        <w:tc>
          <w:tcPr>
            <w:tcW w:w="200" w:type="dxa"/>
            <w:vAlign w:val="bottom"/>
          </w:tcPr>
          <w:p>
            <w:pPr>
              <w:jc w:val="right"/>
              <w:ind w:right="104"/>
              <w:spacing w:after="0"/>
              <w:rPr>
                <w:sz w:val="20"/>
                <w:szCs w:val="20"/>
                <w:color w:val="auto"/>
              </w:rPr>
            </w:pPr>
            <w:r>
              <w:rPr>
                <w:rFonts w:ascii="Arial" w:cs="Arial" w:eastAsia="Arial" w:hAnsi="Arial"/>
                <w:sz w:val="7"/>
                <w:szCs w:val="7"/>
                <w:color w:val="auto"/>
              </w:rPr>
              <w:t>$</w:t>
            </w:r>
          </w:p>
        </w:tc>
        <w:tc>
          <w:tcPr>
            <w:tcW w:w="540" w:type="dxa"/>
            <w:vAlign w:val="bottom"/>
          </w:tcPr>
          <w:p>
            <w:pPr>
              <w:jc w:val="right"/>
              <w:spacing w:after="0"/>
              <w:rPr>
                <w:sz w:val="20"/>
                <w:szCs w:val="20"/>
                <w:color w:val="auto"/>
              </w:rPr>
            </w:pPr>
            <w:r>
              <w:rPr>
                <w:rFonts w:ascii="Arial" w:cs="Arial" w:eastAsia="Arial" w:hAnsi="Arial"/>
                <w:sz w:val="7"/>
                <w:szCs w:val="7"/>
                <w:color w:val="auto"/>
              </w:rPr>
              <w:t>78,000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May-98</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711</w:t>
            </w:r>
          </w:p>
        </w:tc>
        <w:tc>
          <w:tcPr>
            <w:tcW w:w="1580" w:type="dxa"/>
            <w:vAlign w:val="bottom"/>
          </w:tcPr>
          <w:p>
            <w:pPr>
              <w:ind w:left="20"/>
              <w:spacing w:after="0"/>
              <w:rPr>
                <w:sz w:val="20"/>
                <w:szCs w:val="20"/>
                <w:color w:val="auto"/>
              </w:rPr>
            </w:pPr>
            <w:r>
              <w:rPr>
                <w:rFonts w:ascii="Arial" w:cs="Arial" w:eastAsia="Arial" w:hAnsi="Arial"/>
                <w:sz w:val="7"/>
                <w:szCs w:val="7"/>
                <w:color w:val="auto"/>
              </w:rPr>
              <w:t>3rd Avenue</w:t>
            </w:r>
          </w:p>
        </w:tc>
        <w:tc>
          <w:tcPr>
            <w:tcW w:w="1420" w:type="dxa"/>
            <w:vAlign w:val="bottom"/>
          </w:tcPr>
          <w:p>
            <w:pPr>
              <w:ind w:left="180"/>
              <w:spacing w:after="0"/>
              <w:rPr>
                <w:sz w:val="20"/>
                <w:szCs w:val="20"/>
                <w:color w:val="auto"/>
              </w:rPr>
            </w:pPr>
            <w:r>
              <w:rPr>
                <w:rFonts w:ascii="Arial" w:cs="Arial" w:eastAsia="Arial" w:hAnsi="Arial"/>
                <w:sz w:val="7"/>
                <w:szCs w:val="7"/>
                <w:color w:val="auto"/>
              </w:rPr>
              <w:t>Operating Sublease</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524,000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79.0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88.7</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65,600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Jun-98</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440</w:t>
            </w:r>
          </w:p>
        </w:tc>
        <w:tc>
          <w:tcPr>
            <w:tcW w:w="1580" w:type="dxa"/>
            <w:vAlign w:val="bottom"/>
          </w:tcPr>
          <w:p>
            <w:pPr>
              <w:ind w:left="20"/>
              <w:spacing w:after="0"/>
              <w:rPr>
                <w:sz w:val="20"/>
                <w:szCs w:val="20"/>
                <w:color w:val="auto"/>
              </w:rPr>
            </w:pPr>
            <w:r>
              <w:rPr>
                <w:rFonts w:ascii="Arial" w:cs="Arial" w:eastAsia="Arial" w:hAnsi="Arial"/>
                <w:sz w:val="7"/>
                <w:szCs w:val="7"/>
                <w:color w:val="auto"/>
              </w:rPr>
              <w:t>9th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339,000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76.0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32,000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Jan-99</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420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Leasehold</w:t>
            </w:r>
          </w:p>
        </w:tc>
        <w:tc>
          <w:tcPr>
            <w:tcW w:w="1420" w:type="dxa"/>
            <w:vAlign w:val="bottom"/>
          </w:tcPr>
          <w:p>
            <w:pPr>
              <w:ind w:left="180"/>
              <w:spacing w:after="0"/>
              <w:rPr>
                <w:sz w:val="20"/>
                <w:szCs w:val="20"/>
                <w:color w:val="auto"/>
              </w:rPr>
            </w:pPr>
            <w:r>
              <w:rPr>
                <w:rFonts w:ascii="Arial" w:cs="Arial" w:eastAsia="Arial" w:hAnsi="Arial"/>
                <w:sz w:val="7"/>
                <w:szCs w:val="7"/>
                <w:color w:val="auto"/>
              </w:rPr>
              <w:t>Sub-leasehold</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27,300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Jan-99</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555</w:t>
            </w:r>
          </w:p>
        </w:tc>
        <w:tc>
          <w:tcPr>
            <w:tcW w:w="1580" w:type="dxa"/>
            <w:vAlign w:val="bottom"/>
          </w:tcPr>
          <w:p>
            <w:pPr>
              <w:ind w:left="20"/>
              <w:spacing w:after="0"/>
              <w:rPr>
                <w:sz w:val="20"/>
                <w:szCs w:val="20"/>
                <w:color w:val="auto"/>
              </w:rPr>
            </w:pPr>
            <w:r>
              <w:rPr>
                <w:rFonts w:ascii="Arial" w:cs="Arial" w:eastAsia="Arial" w:hAnsi="Arial"/>
                <w:sz w:val="7"/>
                <w:szCs w:val="7"/>
                <w:color w:val="auto"/>
              </w:rPr>
              <w:t>West 57th Street - 65%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West</w:t>
            </w:r>
          </w:p>
        </w:tc>
        <w:tc>
          <w:tcPr>
            <w:tcW w:w="780" w:type="dxa"/>
            <w:vAlign w:val="bottom"/>
          </w:tcPr>
          <w:p>
            <w:pPr>
              <w:jc w:val="right"/>
              <w:spacing w:after="0"/>
              <w:rPr>
                <w:sz w:val="20"/>
                <w:szCs w:val="20"/>
                <w:color w:val="auto"/>
              </w:rPr>
            </w:pPr>
            <w:r>
              <w:rPr>
                <w:rFonts w:ascii="Arial" w:cs="Arial" w:eastAsia="Arial" w:hAnsi="Arial"/>
                <w:sz w:val="7"/>
                <w:szCs w:val="7"/>
                <w:color w:val="auto"/>
              </w:rPr>
              <w:t>941,000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66,700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Aug-99</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1250 Broadway - 50%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670,000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93,000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Nov-99</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555</w:t>
            </w:r>
          </w:p>
        </w:tc>
        <w:tc>
          <w:tcPr>
            <w:tcW w:w="1580" w:type="dxa"/>
            <w:vAlign w:val="bottom"/>
          </w:tcPr>
          <w:p>
            <w:pPr>
              <w:ind w:left="20"/>
              <w:spacing w:after="0"/>
              <w:rPr>
                <w:sz w:val="20"/>
                <w:szCs w:val="20"/>
                <w:color w:val="auto"/>
              </w:rPr>
            </w:pPr>
            <w:r>
              <w:rPr>
                <w:rFonts w:ascii="Arial" w:cs="Arial" w:eastAsia="Arial" w:hAnsi="Arial"/>
                <w:sz w:val="7"/>
                <w:szCs w:val="7"/>
                <w:color w:val="auto"/>
              </w:rPr>
              <w:t>West 57th Street - remaining 35%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West</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34,100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Feb-00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100</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 - 50%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834,000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96.4</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192,000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317</w:t>
            </w:r>
          </w:p>
        </w:tc>
        <w:tc>
          <w:tcPr>
            <w:tcW w:w="158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450,000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105,600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Sep-01</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 xml:space="preserve">1250 Broadway - 49.9% JV </w:t>
            </w:r>
            <w:r>
              <w:rPr>
                <w:rFonts w:ascii="Arial" w:cs="Arial" w:eastAsia="Arial" w:hAnsi="Arial"/>
                <w:sz w:val="6"/>
                <w:szCs w:val="6"/>
                <w:color w:val="auto"/>
              </w:rPr>
              <w:t>(2)</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670,000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97.7</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126,500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May-02</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1515 Broadway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Times Square</w:t>
            </w:r>
          </w:p>
        </w:tc>
        <w:tc>
          <w:tcPr>
            <w:tcW w:w="780" w:type="dxa"/>
            <w:vAlign w:val="bottom"/>
          </w:tcPr>
          <w:p>
            <w:pPr>
              <w:jc w:val="right"/>
              <w:spacing w:after="0"/>
              <w:rPr>
                <w:sz w:val="20"/>
                <w:szCs w:val="20"/>
                <w:color w:val="auto"/>
              </w:rPr>
            </w:pPr>
            <w:r>
              <w:rPr>
                <w:rFonts w:ascii="Arial" w:cs="Arial" w:eastAsia="Arial" w:hAnsi="Arial"/>
                <w:sz w:val="7"/>
                <w:szCs w:val="7"/>
                <w:color w:val="auto"/>
              </w:rPr>
              <w:t>1,750,000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97.3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483,500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Feb-03</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220</w:t>
            </w:r>
          </w:p>
        </w:tc>
        <w:tc>
          <w:tcPr>
            <w:tcW w:w="158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1,135,000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91.9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79.5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265,000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Mar-03</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125</w:t>
            </w:r>
          </w:p>
        </w:tc>
        <w:tc>
          <w:tcPr>
            <w:tcW w:w="1580" w:type="dxa"/>
            <w:vAlign w:val="bottom"/>
          </w:tcPr>
          <w:p>
            <w:pPr>
              <w:ind w:left="20"/>
              <w:spacing w:after="0"/>
              <w:rPr>
                <w:sz w:val="20"/>
                <w:szCs w:val="20"/>
                <w:color w:val="auto"/>
              </w:rPr>
            </w:pPr>
            <w:r>
              <w:rPr>
                <w:rFonts w:ascii="Arial" w:cs="Arial" w:eastAsia="Arial" w:hAnsi="Arial"/>
                <w:sz w:val="7"/>
                <w:szCs w:val="7"/>
                <w:color w:val="auto"/>
              </w:rPr>
              <w:t>Broad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525,000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92,000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Oct-03</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461</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200,000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93.9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60,900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Dec-03</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1221 Avenue of the Americas - 45%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Rockefeller Center</w:t>
            </w:r>
          </w:p>
        </w:tc>
        <w:tc>
          <w:tcPr>
            <w:tcW w:w="780" w:type="dxa"/>
            <w:vAlign w:val="bottom"/>
          </w:tcPr>
          <w:p>
            <w:pPr>
              <w:jc w:val="right"/>
              <w:spacing w:after="0"/>
              <w:rPr>
                <w:sz w:val="20"/>
                <w:szCs w:val="20"/>
                <w:color w:val="auto"/>
              </w:rPr>
            </w:pPr>
            <w:r>
              <w:rPr>
                <w:rFonts w:ascii="Arial" w:cs="Arial" w:eastAsia="Arial" w:hAnsi="Arial"/>
                <w:sz w:val="7"/>
                <w:szCs w:val="7"/>
                <w:color w:val="auto"/>
              </w:rPr>
              <w:t>2,550,000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98.8</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Mar-04</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19 West 44th Street - 35%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292,000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86.0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67,000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Jul-04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750</w:t>
            </w:r>
          </w:p>
        </w:tc>
        <w:tc>
          <w:tcPr>
            <w:tcW w:w="1580" w:type="dxa"/>
            <w:vAlign w:val="bottom"/>
          </w:tcPr>
          <w:p>
            <w:pPr>
              <w:ind w:left="20"/>
              <w:spacing w:after="0"/>
              <w:rPr>
                <w:sz w:val="20"/>
                <w:szCs w:val="20"/>
                <w:color w:val="auto"/>
              </w:rPr>
            </w:pPr>
            <w:r>
              <w:rPr>
                <w:rFonts w:ascii="Arial" w:cs="Arial" w:eastAsia="Arial" w:hAnsi="Arial"/>
                <w:sz w:val="7"/>
                <w:szCs w:val="7"/>
                <w:color w:val="auto"/>
              </w:rPr>
              <w:t>Third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779,000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97.5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255,000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Jul-04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485</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- 30%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921,000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96.6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225,000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Oct-04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625</w:t>
            </w:r>
          </w:p>
        </w:tc>
        <w:tc>
          <w:tcPr>
            <w:tcW w:w="158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Plaza District</w:t>
            </w:r>
          </w:p>
        </w:tc>
        <w:tc>
          <w:tcPr>
            <w:tcW w:w="780" w:type="dxa"/>
            <w:vAlign w:val="bottom"/>
          </w:tcPr>
          <w:p>
            <w:pPr>
              <w:jc w:val="right"/>
              <w:spacing w:after="0"/>
              <w:rPr>
                <w:sz w:val="20"/>
                <w:szCs w:val="20"/>
                <w:color w:val="auto"/>
              </w:rPr>
            </w:pPr>
            <w:r>
              <w:rPr>
                <w:rFonts w:ascii="Arial" w:cs="Arial" w:eastAsia="Arial" w:hAnsi="Arial"/>
                <w:sz w:val="7"/>
                <w:szCs w:val="7"/>
                <w:color w:val="auto"/>
              </w:rPr>
              <w:t>563,000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68.0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98.8</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231,500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28 West 44th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359,000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87.0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 Madison Avenue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1,177,000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803,000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5 Madison Avenue Clock Tower</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267,000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N/A</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115,000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19 West 44th Street - remaining 65%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91,200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Mar-06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521</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460,000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89.2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210,000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609</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160,000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76.6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182,000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485</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remaining 70%</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96.6</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578,000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Dec-06</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800</w:t>
            </w:r>
          </w:p>
        </w:tc>
        <w:tc>
          <w:tcPr>
            <w:tcW w:w="1580" w:type="dxa"/>
            <w:vAlign w:val="bottom"/>
          </w:tcPr>
          <w:p>
            <w:pPr>
              <w:ind w:left="20"/>
              <w:spacing w:after="0"/>
              <w:rPr>
                <w:sz w:val="20"/>
                <w:szCs w:val="20"/>
                <w:color w:val="auto"/>
              </w:rPr>
            </w:pPr>
            <w:r>
              <w:rPr>
                <w:rFonts w:ascii="Arial" w:cs="Arial" w:eastAsia="Arial" w:hAnsi="Arial"/>
                <w:sz w:val="7"/>
                <w:szCs w:val="7"/>
                <w:color w:val="auto"/>
              </w:rPr>
              <w:t>Third Avenue - 42.95%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 North</w:t>
            </w:r>
          </w:p>
        </w:tc>
        <w:tc>
          <w:tcPr>
            <w:tcW w:w="780" w:type="dxa"/>
            <w:vAlign w:val="bottom"/>
          </w:tcPr>
          <w:p>
            <w:pPr>
              <w:jc w:val="right"/>
              <w:spacing w:after="0"/>
              <w:rPr>
                <w:sz w:val="20"/>
                <w:szCs w:val="20"/>
                <w:color w:val="auto"/>
              </w:rPr>
            </w:pPr>
            <w:r>
              <w:rPr>
                <w:rFonts w:ascii="Arial" w:cs="Arial" w:eastAsia="Arial" w:hAnsi="Arial"/>
                <w:sz w:val="7"/>
                <w:szCs w:val="7"/>
                <w:color w:val="auto"/>
              </w:rPr>
              <w:t>526,000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96.9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97.1</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285,000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Jan-07</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Reckson - NYC Portfolio</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Interests / 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Various</w:t>
            </w:r>
          </w:p>
        </w:tc>
        <w:tc>
          <w:tcPr>
            <w:tcW w:w="780" w:type="dxa"/>
            <w:vAlign w:val="bottom"/>
          </w:tcPr>
          <w:p>
            <w:pPr>
              <w:jc w:val="right"/>
              <w:spacing w:after="0"/>
              <w:rPr>
                <w:sz w:val="20"/>
                <w:szCs w:val="20"/>
                <w:color w:val="auto"/>
              </w:rPr>
            </w:pPr>
            <w:r>
              <w:rPr>
                <w:rFonts w:ascii="Arial" w:cs="Arial" w:eastAsia="Arial" w:hAnsi="Arial"/>
                <w:sz w:val="7"/>
                <w:szCs w:val="7"/>
                <w:color w:val="auto"/>
              </w:rPr>
              <w:t>5,612,000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98.3</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97.1</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3,679,530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Apr-07</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331</w:t>
            </w:r>
          </w:p>
        </w:tc>
        <w:tc>
          <w:tcPr>
            <w:tcW w:w="1580" w:type="dxa"/>
            <w:vAlign w:val="bottom"/>
          </w:tcPr>
          <w:p>
            <w:pPr>
              <w:ind w:left="20"/>
              <w:spacing w:after="0"/>
              <w:rPr>
                <w:sz w:val="20"/>
                <w:szCs w:val="20"/>
                <w:color w:val="auto"/>
              </w:rPr>
            </w:pPr>
            <w:r>
              <w:rPr>
                <w:rFonts w:ascii="Arial" w:cs="Arial" w:eastAsia="Arial" w:hAnsi="Arial"/>
                <w:sz w:val="7"/>
                <w:szCs w:val="7"/>
                <w:color w:val="auto"/>
              </w:rPr>
              <w:t>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114,900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73,000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Apr-07</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1745 Broadway - 32.3%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674,000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520,000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Jun-07</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333</w:t>
            </w:r>
          </w:p>
        </w:tc>
        <w:tc>
          <w:tcPr>
            <w:tcW w:w="1580" w:type="dxa"/>
            <w:vAlign w:val="bottom"/>
          </w:tcPr>
          <w:p>
            <w:pPr>
              <w:ind w:left="20"/>
              <w:spacing w:after="0"/>
              <w:rPr>
                <w:sz w:val="20"/>
                <w:szCs w:val="20"/>
                <w:color w:val="auto"/>
              </w:rPr>
            </w:pPr>
            <w:r>
              <w:rPr>
                <w:rFonts w:ascii="Arial" w:cs="Arial" w:eastAsia="Arial" w:hAnsi="Arial"/>
                <w:sz w:val="7"/>
                <w:szCs w:val="7"/>
                <w:color w:val="auto"/>
              </w:rPr>
              <w:t>West 34th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Penn Station</w:t>
            </w:r>
          </w:p>
        </w:tc>
        <w:tc>
          <w:tcPr>
            <w:tcW w:w="780" w:type="dxa"/>
            <w:vAlign w:val="bottom"/>
          </w:tcPr>
          <w:p>
            <w:pPr>
              <w:jc w:val="right"/>
              <w:spacing w:after="0"/>
              <w:rPr>
                <w:sz w:val="20"/>
                <w:szCs w:val="20"/>
                <w:color w:val="auto"/>
              </w:rPr>
            </w:pPr>
            <w:r>
              <w:rPr>
                <w:rFonts w:ascii="Arial" w:cs="Arial" w:eastAsia="Arial" w:hAnsi="Arial"/>
                <w:sz w:val="7"/>
                <w:szCs w:val="7"/>
                <w:color w:val="auto"/>
              </w:rPr>
              <w:t>345,400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183,000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Aug-07</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 Madison Avenue - remaining 45%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1,177,000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99.8</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1,000,000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Dec-07</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388</w:t>
            </w:r>
          </w:p>
        </w:tc>
        <w:tc>
          <w:tcPr>
            <w:tcW w:w="1580" w:type="dxa"/>
            <w:vAlign w:val="bottom"/>
          </w:tcPr>
          <w:p>
            <w:pPr>
              <w:ind w:left="20"/>
              <w:spacing w:after="0"/>
              <w:rPr>
                <w:sz w:val="20"/>
                <w:szCs w:val="20"/>
                <w:color w:val="auto"/>
              </w:rPr>
            </w:pPr>
            <w:r>
              <w:rPr>
                <w:rFonts w:ascii="Arial" w:cs="Arial" w:eastAsia="Arial" w:hAnsi="Arial"/>
                <w:sz w:val="7"/>
                <w:szCs w:val="7"/>
                <w:color w:val="auto"/>
              </w:rPr>
              <w:t>&amp; 390 Greenwich Street - 50.6%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2,635,000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1,575,000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Jan-10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100</w:t>
            </w:r>
          </w:p>
        </w:tc>
        <w:tc>
          <w:tcPr>
            <w:tcW w:w="1580" w:type="dxa"/>
            <w:vAlign w:val="bottom"/>
          </w:tcPr>
          <w:p>
            <w:pPr>
              <w:ind w:left="20"/>
              <w:spacing w:after="0"/>
              <w:rPr>
                <w:sz w:val="20"/>
                <w:szCs w:val="20"/>
                <w:color w:val="auto"/>
              </w:rPr>
            </w:pPr>
            <w:r>
              <w:rPr>
                <w:rFonts w:ascii="Arial" w:cs="Arial" w:eastAsia="Arial" w:hAnsi="Arial"/>
                <w:sz w:val="7"/>
                <w:szCs w:val="7"/>
                <w:color w:val="auto"/>
              </w:rPr>
              <w:t>Church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1,047,500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41.3</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99.5</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181,600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600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 North</w:t>
            </w:r>
          </w:p>
        </w:tc>
        <w:tc>
          <w:tcPr>
            <w:tcW w:w="780" w:type="dxa"/>
            <w:vAlign w:val="bottom"/>
          </w:tcPr>
          <w:p>
            <w:pPr>
              <w:jc w:val="right"/>
              <w:spacing w:after="0"/>
              <w:rPr>
                <w:sz w:val="20"/>
                <w:szCs w:val="20"/>
                <w:color w:val="auto"/>
              </w:rPr>
            </w:pPr>
            <w:r>
              <w:rPr>
                <w:rFonts w:ascii="Arial" w:cs="Arial" w:eastAsia="Arial" w:hAnsi="Arial"/>
                <w:sz w:val="7"/>
                <w:szCs w:val="7"/>
                <w:color w:val="auto"/>
              </w:rPr>
              <w:t>303,515</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93.6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90.2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193,000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Aug-10</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125</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604,245</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99.1</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330,000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Jan-11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521</w:t>
            </w:r>
          </w:p>
        </w:tc>
        <w:tc>
          <w:tcPr>
            <w:tcW w:w="1580" w:type="dxa"/>
            <w:vAlign w:val="bottom"/>
          </w:tcPr>
          <w:p>
            <w:pPr>
              <w:ind w:left="20"/>
              <w:spacing w:after="0"/>
              <w:rPr>
                <w:sz w:val="20"/>
                <w:szCs w:val="20"/>
                <w:color w:val="auto"/>
              </w:rPr>
            </w:pPr>
            <w:r>
              <w:rPr>
                <w:rFonts w:ascii="Arial" w:cs="Arial" w:eastAsia="Arial" w:hAnsi="Arial"/>
                <w:sz w:val="7"/>
                <w:szCs w:val="7"/>
                <w:color w:val="auto"/>
              </w:rPr>
              <w:t>Fifth Avenue - remaining 49.9%</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w:t>
            </w:r>
          </w:p>
        </w:tc>
        <w:tc>
          <w:tcPr>
            <w:tcW w:w="780" w:type="dxa"/>
            <w:vAlign w:val="bottom"/>
          </w:tcPr>
          <w:p>
            <w:pPr>
              <w:jc w:val="right"/>
              <w:spacing w:after="0"/>
              <w:rPr>
                <w:sz w:val="20"/>
                <w:szCs w:val="20"/>
                <w:color w:val="auto"/>
              </w:rPr>
            </w:pPr>
            <w:r>
              <w:rPr>
                <w:rFonts w:ascii="Arial" w:cs="Arial" w:eastAsia="Arial" w:hAnsi="Arial"/>
                <w:sz w:val="7"/>
                <w:szCs w:val="7"/>
                <w:color w:val="auto"/>
              </w:rPr>
              <w:t>460,000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80.7</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89.2</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245,700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w w:val="94"/>
              </w:rPr>
              <w:t>Apr-11</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1515 Broadway - remaining 45%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Times Square</w:t>
            </w:r>
          </w:p>
        </w:tc>
        <w:tc>
          <w:tcPr>
            <w:tcW w:w="780" w:type="dxa"/>
            <w:vAlign w:val="bottom"/>
          </w:tcPr>
          <w:p>
            <w:pPr>
              <w:jc w:val="right"/>
              <w:spacing w:after="0"/>
              <w:rPr>
                <w:sz w:val="20"/>
                <w:szCs w:val="20"/>
                <w:color w:val="auto"/>
              </w:rPr>
            </w:pPr>
            <w:r>
              <w:rPr>
                <w:rFonts w:ascii="Arial" w:cs="Arial" w:eastAsia="Arial" w:hAnsi="Arial"/>
                <w:sz w:val="7"/>
                <w:szCs w:val="7"/>
                <w:color w:val="auto"/>
              </w:rPr>
              <w:t>1,750,000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98.5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97.3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1,210,000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110</w:t>
            </w:r>
          </w:p>
        </w:tc>
        <w:tc>
          <w:tcPr>
            <w:tcW w:w="1580" w:type="dxa"/>
            <w:vAlign w:val="bottom"/>
          </w:tcPr>
          <w:p>
            <w:pPr>
              <w:ind w:left="20"/>
              <w:spacing w:after="0"/>
              <w:rPr>
                <w:sz w:val="20"/>
                <w:szCs w:val="20"/>
                <w:color w:val="auto"/>
              </w:rPr>
            </w:pPr>
            <w:r>
              <w:rPr>
                <w:rFonts w:ascii="Arial" w:cs="Arial" w:eastAsia="Arial" w:hAnsi="Arial"/>
                <w:sz w:val="7"/>
                <w:szCs w:val="7"/>
                <w:color w:val="auto"/>
              </w:rPr>
              <w:t>East 42nd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205,000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72.6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99.9</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85,570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280</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 - 49.5%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w:t>
            </w:r>
          </w:p>
        </w:tc>
        <w:tc>
          <w:tcPr>
            <w:tcW w:w="780" w:type="dxa"/>
            <w:vAlign w:val="bottom"/>
          </w:tcPr>
          <w:p>
            <w:pPr>
              <w:jc w:val="right"/>
              <w:spacing w:after="0"/>
              <w:rPr>
                <w:sz w:val="20"/>
                <w:szCs w:val="20"/>
                <w:color w:val="auto"/>
              </w:rPr>
            </w:pPr>
            <w:r>
              <w:rPr>
                <w:rFonts w:ascii="Arial" w:cs="Arial" w:eastAsia="Arial" w:hAnsi="Arial"/>
                <w:sz w:val="7"/>
                <w:szCs w:val="7"/>
                <w:color w:val="auto"/>
              </w:rPr>
              <w:t>1,219,158</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78.2</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82.3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1,110,000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Nov-11</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180</w:t>
            </w:r>
          </w:p>
        </w:tc>
        <w:tc>
          <w:tcPr>
            <w:tcW w:w="1580" w:type="dxa"/>
            <w:vAlign w:val="bottom"/>
          </w:tcPr>
          <w:p>
            <w:pPr>
              <w:ind w:left="20"/>
              <w:spacing w:after="0"/>
              <w:rPr>
                <w:sz w:val="20"/>
                <w:szCs w:val="20"/>
                <w:color w:val="auto"/>
              </w:rPr>
            </w:pPr>
            <w:r>
              <w:rPr>
                <w:rFonts w:ascii="Arial" w:cs="Arial" w:eastAsia="Arial" w:hAnsi="Arial"/>
                <w:sz w:val="7"/>
                <w:szCs w:val="7"/>
                <w:color w:val="auto"/>
              </w:rPr>
              <w:t>Maiden Lane - 49.9%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Financial East</w:t>
            </w:r>
          </w:p>
        </w:tc>
        <w:tc>
          <w:tcPr>
            <w:tcW w:w="780" w:type="dxa"/>
            <w:vAlign w:val="bottom"/>
          </w:tcPr>
          <w:p>
            <w:pPr>
              <w:jc w:val="right"/>
              <w:spacing w:after="0"/>
              <w:rPr>
                <w:sz w:val="20"/>
                <w:szCs w:val="20"/>
                <w:color w:val="auto"/>
              </w:rPr>
            </w:pPr>
            <w:r>
              <w:rPr>
                <w:rFonts w:ascii="Arial" w:cs="Arial" w:eastAsia="Arial" w:hAnsi="Arial"/>
                <w:sz w:val="7"/>
                <w:szCs w:val="7"/>
                <w:color w:val="auto"/>
              </w:rPr>
              <w:t>1,090,000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97.7</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425,680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Nov-11</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51 East 42nd Street</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w:t>
            </w:r>
          </w:p>
        </w:tc>
        <w:tc>
          <w:tcPr>
            <w:tcW w:w="780" w:type="dxa"/>
            <w:vAlign w:val="bottom"/>
          </w:tcPr>
          <w:p>
            <w:pPr>
              <w:jc w:val="right"/>
              <w:spacing w:after="0"/>
              <w:rPr>
                <w:sz w:val="20"/>
                <w:szCs w:val="20"/>
                <w:color w:val="auto"/>
              </w:rPr>
            </w:pPr>
            <w:r>
              <w:rPr>
                <w:rFonts w:ascii="Arial" w:cs="Arial" w:eastAsia="Arial" w:hAnsi="Arial"/>
                <w:sz w:val="7"/>
                <w:szCs w:val="7"/>
                <w:color w:val="auto"/>
              </w:rPr>
              <w:t>142,000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80,000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Feb-12</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10 East 53rd Street - 55%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Plaza District</w:t>
            </w:r>
          </w:p>
        </w:tc>
        <w:tc>
          <w:tcPr>
            <w:tcW w:w="780" w:type="dxa"/>
            <w:vAlign w:val="bottom"/>
          </w:tcPr>
          <w:p>
            <w:pPr>
              <w:jc w:val="right"/>
              <w:spacing w:after="0"/>
              <w:rPr>
                <w:sz w:val="20"/>
                <w:szCs w:val="20"/>
                <w:color w:val="auto"/>
              </w:rPr>
            </w:pPr>
            <w:r>
              <w:rPr>
                <w:rFonts w:ascii="Arial" w:cs="Arial" w:eastAsia="Arial" w:hAnsi="Arial"/>
                <w:sz w:val="7"/>
                <w:szCs w:val="7"/>
                <w:color w:val="auto"/>
              </w:rPr>
              <w:t>354,300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91.9</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48.1</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252,500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Jun-12</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304</w:t>
            </w:r>
          </w:p>
        </w:tc>
        <w:tc>
          <w:tcPr>
            <w:tcW w:w="1580" w:type="dxa"/>
            <w:vAlign w:val="bottom"/>
          </w:tcPr>
          <w:p>
            <w:pPr>
              <w:ind w:left="20"/>
              <w:spacing w:after="0"/>
              <w:rPr>
                <w:sz w:val="20"/>
                <w:szCs w:val="20"/>
                <w:color w:val="auto"/>
              </w:rPr>
            </w:pPr>
            <w:r>
              <w:rPr>
                <w:rFonts w:ascii="Arial" w:cs="Arial" w:eastAsia="Arial" w:hAnsi="Arial"/>
                <w:sz w:val="7"/>
                <w:szCs w:val="7"/>
                <w:color w:val="auto"/>
              </w:rPr>
              <w:t>Park Avenue South</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South</w:t>
            </w:r>
          </w:p>
        </w:tc>
        <w:tc>
          <w:tcPr>
            <w:tcW w:w="780" w:type="dxa"/>
            <w:vAlign w:val="bottom"/>
          </w:tcPr>
          <w:p>
            <w:pPr>
              <w:jc w:val="right"/>
              <w:spacing w:after="0"/>
              <w:rPr>
                <w:sz w:val="20"/>
                <w:szCs w:val="20"/>
                <w:color w:val="auto"/>
              </w:rPr>
            </w:pPr>
            <w:r>
              <w:rPr>
                <w:rFonts w:ascii="Arial" w:cs="Arial" w:eastAsia="Arial" w:hAnsi="Arial"/>
                <w:sz w:val="7"/>
                <w:szCs w:val="7"/>
                <w:color w:val="auto"/>
              </w:rPr>
              <w:t>215,000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95.8</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135,000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Sep-12</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641</w:t>
            </w:r>
          </w:p>
        </w:tc>
        <w:tc>
          <w:tcPr>
            <w:tcW w:w="1580" w:type="dxa"/>
            <w:vAlign w:val="bottom"/>
          </w:tcPr>
          <w:p>
            <w:pPr>
              <w:ind w:left="20"/>
              <w:spacing w:after="0"/>
              <w:rPr>
                <w:sz w:val="20"/>
                <w:szCs w:val="20"/>
                <w:color w:val="auto"/>
              </w:rPr>
            </w:pPr>
            <w:r>
              <w:rPr>
                <w:rFonts w:ascii="Arial" w:cs="Arial" w:eastAsia="Arial" w:hAnsi="Arial"/>
                <w:sz w:val="7"/>
                <w:szCs w:val="7"/>
                <w:color w:val="auto"/>
              </w:rPr>
              <w:t>Sixth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Midtown South</w:t>
            </w:r>
          </w:p>
        </w:tc>
        <w:tc>
          <w:tcPr>
            <w:tcW w:w="780" w:type="dxa"/>
            <w:vAlign w:val="bottom"/>
          </w:tcPr>
          <w:p>
            <w:pPr>
              <w:jc w:val="right"/>
              <w:spacing w:after="0"/>
              <w:rPr>
                <w:sz w:val="20"/>
                <w:szCs w:val="20"/>
                <w:color w:val="auto"/>
              </w:rPr>
            </w:pPr>
            <w:r>
              <w:rPr>
                <w:rFonts w:ascii="Arial" w:cs="Arial" w:eastAsia="Arial" w:hAnsi="Arial"/>
                <w:sz w:val="7"/>
                <w:szCs w:val="7"/>
                <w:color w:val="auto"/>
              </w:rPr>
              <w:t>163,000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92.1</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90,000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Dec-12</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315</w:t>
            </w:r>
          </w:p>
        </w:tc>
        <w:tc>
          <w:tcPr>
            <w:tcW w:w="1580" w:type="dxa"/>
            <w:vAlign w:val="bottom"/>
          </w:tcPr>
          <w:p>
            <w:pPr>
              <w:ind w:left="20"/>
              <w:spacing w:after="0"/>
              <w:rPr>
                <w:sz w:val="20"/>
                <w:szCs w:val="20"/>
                <w:color w:val="auto"/>
              </w:rPr>
            </w:pPr>
            <w:r>
              <w:rPr>
                <w:rFonts w:ascii="Arial" w:cs="Arial" w:eastAsia="Arial" w:hAnsi="Arial"/>
                <w:sz w:val="7"/>
                <w:szCs w:val="7"/>
                <w:color w:val="auto"/>
              </w:rPr>
              <w:t>West 36th Street - 35.5%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Times Square South</w:t>
            </w:r>
          </w:p>
        </w:tc>
        <w:tc>
          <w:tcPr>
            <w:tcW w:w="780" w:type="dxa"/>
            <w:vAlign w:val="bottom"/>
          </w:tcPr>
          <w:p>
            <w:pPr>
              <w:jc w:val="right"/>
              <w:spacing w:after="0"/>
              <w:rPr>
                <w:sz w:val="20"/>
                <w:szCs w:val="20"/>
                <w:color w:val="auto"/>
              </w:rPr>
            </w:pPr>
            <w:r>
              <w:rPr>
                <w:rFonts w:ascii="Arial" w:cs="Arial" w:eastAsia="Arial" w:hAnsi="Arial"/>
                <w:sz w:val="7"/>
                <w:szCs w:val="7"/>
                <w:color w:val="auto"/>
              </w:rPr>
              <w:t>147,619</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99.2</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46,000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May-14</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388</w:t>
            </w:r>
          </w:p>
        </w:tc>
        <w:tc>
          <w:tcPr>
            <w:tcW w:w="1580" w:type="dxa"/>
            <w:vAlign w:val="bottom"/>
          </w:tcPr>
          <w:p>
            <w:pPr>
              <w:ind w:left="20"/>
              <w:spacing w:after="0"/>
              <w:rPr>
                <w:sz w:val="20"/>
                <w:szCs w:val="20"/>
                <w:color w:val="auto"/>
              </w:rPr>
            </w:pPr>
            <w:r>
              <w:rPr>
                <w:rFonts w:ascii="Arial" w:cs="Arial" w:eastAsia="Arial" w:hAnsi="Arial"/>
                <w:sz w:val="7"/>
                <w:szCs w:val="7"/>
                <w:color w:val="auto"/>
              </w:rPr>
              <w:t>&amp; 390 Greenwich Street - remaining 49.4%</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Downtown</w:t>
            </w:r>
          </w:p>
        </w:tc>
        <w:tc>
          <w:tcPr>
            <w:tcW w:w="780" w:type="dxa"/>
            <w:vAlign w:val="bottom"/>
          </w:tcPr>
          <w:p>
            <w:pPr>
              <w:jc w:val="right"/>
              <w:spacing w:after="0"/>
              <w:rPr>
                <w:sz w:val="20"/>
                <w:szCs w:val="20"/>
                <w:color w:val="auto"/>
              </w:rPr>
            </w:pPr>
            <w:r>
              <w:rPr>
                <w:rFonts w:ascii="Arial" w:cs="Arial" w:eastAsia="Arial" w:hAnsi="Arial"/>
                <w:sz w:val="7"/>
                <w:szCs w:val="7"/>
                <w:color w:val="auto"/>
              </w:rPr>
              <w:t>2,635,000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1,585,000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Jul-15</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110</w:t>
            </w:r>
          </w:p>
        </w:tc>
        <w:tc>
          <w:tcPr>
            <w:tcW w:w="1580" w:type="dxa"/>
            <w:vAlign w:val="bottom"/>
          </w:tcPr>
          <w:p>
            <w:pPr>
              <w:ind w:left="20"/>
              <w:spacing w:after="0"/>
              <w:rPr>
                <w:sz w:val="20"/>
                <w:szCs w:val="20"/>
                <w:color w:val="auto"/>
              </w:rPr>
            </w:pPr>
            <w:r>
              <w:rPr>
                <w:rFonts w:ascii="Arial" w:cs="Arial" w:eastAsia="Arial" w:hAnsi="Arial"/>
                <w:sz w:val="7"/>
                <w:szCs w:val="7"/>
                <w:color w:val="auto"/>
              </w:rPr>
              <w:t>Greene Street - 90% JV</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Soho</w:t>
            </w:r>
          </w:p>
        </w:tc>
        <w:tc>
          <w:tcPr>
            <w:tcW w:w="780" w:type="dxa"/>
            <w:vAlign w:val="bottom"/>
          </w:tcPr>
          <w:p>
            <w:pPr>
              <w:jc w:val="right"/>
              <w:spacing w:after="0"/>
              <w:rPr>
                <w:sz w:val="20"/>
                <w:szCs w:val="20"/>
                <w:color w:val="auto"/>
              </w:rPr>
            </w:pPr>
            <w:r>
              <w:rPr>
                <w:rFonts w:ascii="Arial" w:cs="Arial" w:eastAsia="Arial" w:hAnsi="Arial"/>
                <w:sz w:val="7"/>
                <w:szCs w:val="7"/>
                <w:color w:val="auto"/>
              </w:rPr>
              <w:t>223,600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84.0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74.7</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255,000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Aug-15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30 East 40th Street - 60% JV</w:t>
            </w:r>
          </w:p>
        </w:tc>
        <w:tc>
          <w:tcPr>
            <w:tcW w:w="142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 South</w:t>
            </w:r>
          </w:p>
        </w:tc>
        <w:tc>
          <w:tcPr>
            <w:tcW w:w="780" w:type="dxa"/>
            <w:vAlign w:val="bottom"/>
          </w:tcPr>
          <w:p>
            <w:pPr>
              <w:jc w:val="right"/>
              <w:spacing w:after="0"/>
              <w:rPr>
                <w:sz w:val="20"/>
                <w:szCs w:val="20"/>
                <w:color w:val="auto"/>
              </w:rPr>
            </w:pPr>
            <w:r>
              <w:rPr>
                <w:rFonts w:ascii="Arial" w:cs="Arial" w:eastAsia="Arial" w:hAnsi="Arial"/>
                <w:sz w:val="7"/>
                <w:szCs w:val="7"/>
                <w:color w:val="auto"/>
              </w:rPr>
              <w:t>69,446</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100.0</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96.3</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4,650</w:t>
            </w:r>
          </w:p>
        </w:tc>
      </w:tr>
      <w:tr>
        <w:trPr>
          <w:trHeight w:val="219"/>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Aug-15</w:t>
            </w:r>
          </w:p>
        </w:tc>
        <w:tc>
          <w:tcPr>
            <w:tcW w:w="1940" w:type="dxa"/>
            <w:vAlign w:val="bottom"/>
            <w:gridSpan w:val="2"/>
          </w:tcPr>
          <w:p>
            <w:pPr>
              <w:ind w:left="240"/>
              <w:spacing w:after="0"/>
              <w:rPr>
                <w:sz w:val="20"/>
                <w:szCs w:val="20"/>
                <w:color w:val="auto"/>
              </w:rPr>
            </w:pPr>
            <w:r>
              <w:rPr>
                <w:rFonts w:ascii="Arial" w:cs="Arial" w:eastAsia="Arial" w:hAnsi="Arial"/>
                <w:sz w:val="7"/>
                <w:szCs w:val="7"/>
                <w:color w:val="auto"/>
              </w:rPr>
              <w:t>11 Madison Avenue</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Park Avenue South</w:t>
            </w:r>
          </w:p>
        </w:tc>
        <w:tc>
          <w:tcPr>
            <w:tcW w:w="780" w:type="dxa"/>
            <w:vAlign w:val="bottom"/>
          </w:tcPr>
          <w:p>
            <w:pPr>
              <w:jc w:val="right"/>
              <w:spacing w:after="0"/>
              <w:rPr>
                <w:sz w:val="20"/>
                <w:szCs w:val="20"/>
                <w:color w:val="auto"/>
              </w:rPr>
            </w:pPr>
            <w:r>
              <w:rPr>
                <w:rFonts w:ascii="Arial" w:cs="Arial" w:eastAsia="Arial" w:hAnsi="Arial"/>
                <w:sz w:val="7"/>
                <w:szCs w:val="7"/>
                <w:color w:val="auto"/>
              </w:rPr>
              <w:t>2,314,000</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71.6</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98.0</w:t>
            </w:r>
          </w:p>
        </w:tc>
        <w:tc>
          <w:tcPr>
            <w:tcW w:w="2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7"/>
                <w:szCs w:val="7"/>
                <w:color w:val="auto"/>
              </w:rPr>
              <w:t>2,285,000</w:t>
            </w:r>
          </w:p>
        </w:tc>
      </w:tr>
      <w:tr>
        <w:trPr>
          <w:trHeight w:val="225"/>
        </w:trPr>
        <w:tc>
          <w:tcPr>
            <w:tcW w:w="480" w:type="dxa"/>
            <w:vAlign w:val="bottom"/>
          </w:tcPr>
          <w:p>
            <w:pPr>
              <w:jc w:val="center"/>
              <w:ind w:right="204"/>
              <w:spacing w:after="0"/>
              <w:rPr>
                <w:sz w:val="20"/>
                <w:szCs w:val="20"/>
                <w:color w:val="auto"/>
              </w:rPr>
            </w:pPr>
            <w:r>
              <w:rPr>
                <w:rFonts w:ascii="Arial" w:cs="Arial" w:eastAsia="Arial" w:hAnsi="Arial"/>
                <w:sz w:val="7"/>
                <w:szCs w:val="7"/>
                <w:color w:val="auto"/>
              </w:rPr>
              <w:t>Dec-15</w:t>
            </w:r>
          </w:p>
        </w:tc>
        <w:tc>
          <w:tcPr>
            <w:tcW w:w="360" w:type="dxa"/>
            <w:vAlign w:val="bottom"/>
          </w:tcPr>
          <w:p>
            <w:pPr>
              <w:ind w:left="240"/>
              <w:spacing w:after="0"/>
              <w:rPr>
                <w:sz w:val="20"/>
                <w:szCs w:val="20"/>
                <w:color w:val="auto"/>
              </w:rPr>
            </w:pPr>
            <w:r>
              <w:rPr>
                <w:rFonts w:ascii="Arial" w:cs="Arial" w:eastAsia="Arial" w:hAnsi="Arial"/>
                <w:sz w:val="7"/>
                <w:szCs w:val="7"/>
                <w:color w:val="auto"/>
                <w:w w:val="85"/>
              </w:rPr>
              <w:t>600</w:t>
            </w:r>
          </w:p>
        </w:tc>
        <w:tc>
          <w:tcPr>
            <w:tcW w:w="1580" w:type="dxa"/>
            <w:vAlign w:val="bottom"/>
          </w:tcPr>
          <w:p>
            <w:pPr>
              <w:ind w:left="20"/>
              <w:spacing w:after="0"/>
              <w:rPr>
                <w:sz w:val="20"/>
                <w:szCs w:val="20"/>
                <w:color w:val="auto"/>
              </w:rPr>
            </w:pPr>
            <w:r>
              <w:rPr>
                <w:rFonts w:ascii="Arial" w:cs="Arial" w:eastAsia="Arial" w:hAnsi="Arial"/>
                <w:sz w:val="7"/>
                <w:szCs w:val="7"/>
                <w:color w:val="auto"/>
              </w:rPr>
              <w:t>Lexington Avenue - remaining 45%</w:t>
            </w:r>
          </w:p>
        </w:tc>
        <w:tc>
          <w:tcPr>
            <w:tcW w:w="142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500" w:type="dxa"/>
            <w:vAlign w:val="bottom"/>
          </w:tcPr>
          <w:p>
            <w:pPr>
              <w:ind w:left="180"/>
              <w:spacing w:after="0"/>
              <w:rPr>
                <w:sz w:val="20"/>
                <w:szCs w:val="20"/>
                <w:color w:val="auto"/>
              </w:rPr>
            </w:pPr>
            <w:r>
              <w:rPr>
                <w:rFonts w:ascii="Arial" w:cs="Arial" w:eastAsia="Arial" w:hAnsi="Arial"/>
                <w:sz w:val="7"/>
                <w:szCs w:val="7"/>
                <w:color w:val="auto"/>
              </w:rPr>
              <w:t>Grand Central North</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303,515</w:t>
            </w:r>
          </w:p>
        </w:tc>
        <w:tc>
          <w:tcPr>
            <w:tcW w:w="1760" w:type="dxa"/>
            <w:vAlign w:val="bottom"/>
          </w:tcPr>
          <w:p>
            <w:pPr>
              <w:jc w:val="right"/>
              <w:ind w:right="404"/>
              <w:spacing w:after="0"/>
              <w:rPr>
                <w:sz w:val="20"/>
                <w:szCs w:val="20"/>
                <w:color w:val="auto"/>
              </w:rPr>
            </w:pPr>
            <w:r>
              <w:rPr>
                <w:rFonts w:ascii="Arial" w:cs="Arial" w:eastAsia="Arial" w:hAnsi="Arial"/>
                <w:sz w:val="7"/>
                <w:szCs w:val="7"/>
                <w:color w:val="auto"/>
              </w:rPr>
              <w:t>95.5</w:t>
            </w:r>
          </w:p>
        </w:tc>
        <w:tc>
          <w:tcPr>
            <w:tcW w:w="980" w:type="dxa"/>
            <w:vAlign w:val="bottom"/>
          </w:tcPr>
          <w:p>
            <w:pPr>
              <w:jc w:val="right"/>
              <w:ind w:right="324"/>
              <w:spacing w:after="0"/>
              <w:rPr>
                <w:sz w:val="20"/>
                <w:szCs w:val="20"/>
                <w:color w:val="auto"/>
              </w:rPr>
            </w:pPr>
            <w:r>
              <w:rPr>
                <w:rFonts w:ascii="Arial" w:cs="Arial" w:eastAsia="Arial" w:hAnsi="Arial"/>
                <w:sz w:val="7"/>
                <w:szCs w:val="7"/>
                <w:color w:val="auto"/>
              </w:rPr>
              <w:t>90.2</w:t>
            </w: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284,000</w:t>
            </w:r>
          </w:p>
        </w:tc>
      </w:tr>
      <w:tr>
        <w:trPr>
          <w:trHeight w:val="192"/>
        </w:trPr>
        <w:tc>
          <w:tcPr>
            <w:tcW w:w="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7"/>
                <w:szCs w:val="7"/>
                <w:b w:val="1"/>
                <w:bCs w:val="1"/>
                <w:color w:val="auto"/>
              </w:rPr>
              <w:t>41,085,198</w:t>
            </w:r>
          </w:p>
        </w:tc>
        <w:tc>
          <w:tcPr>
            <w:tcW w:w="1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jc w:val="right"/>
              <w:ind w:right="104"/>
              <w:spacing w:after="0"/>
              <w:rPr>
                <w:sz w:val="20"/>
                <w:szCs w:val="20"/>
                <w:color w:val="auto"/>
              </w:rPr>
            </w:pPr>
            <w:r>
              <w:rPr>
                <w:rFonts w:ascii="Arial" w:cs="Arial" w:eastAsia="Arial" w:hAnsi="Arial"/>
                <w:sz w:val="7"/>
                <w:szCs w:val="7"/>
                <w:b w:val="1"/>
                <w:bCs w:val="1"/>
                <w:color w:val="auto"/>
              </w:rPr>
              <w:t>$</w:t>
            </w:r>
          </w:p>
        </w:tc>
        <w:tc>
          <w:tcPr>
            <w:tcW w:w="540" w:type="dxa"/>
            <w:vAlign w:val="bottom"/>
          </w:tcPr>
          <w:p>
            <w:pPr>
              <w:jc w:val="right"/>
              <w:spacing w:after="0"/>
              <w:rPr>
                <w:sz w:val="20"/>
                <w:szCs w:val="20"/>
                <w:color w:val="auto"/>
              </w:rPr>
            </w:pPr>
            <w:r>
              <w:rPr>
                <w:rFonts w:ascii="Arial" w:cs="Arial" w:eastAsia="Arial" w:hAnsi="Arial"/>
                <w:sz w:val="7"/>
                <w:szCs w:val="7"/>
                <w:b w:val="1"/>
                <w:bCs w:val="1"/>
                <w:color w:val="auto"/>
              </w:rPr>
              <w:t>21,699,130</w:t>
            </w:r>
          </w:p>
        </w:tc>
      </w:tr>
    </w:tbl>
    <w:p>
      <w:pPr>
        <w:spacing w:after="0" w:line="133" w:lineRule="exact"/>
        <w:rPr>
          <w:sz w:val="20"/>
          <w:szCs w:val="20"/>
          <w:color w:val="auto"/>
        </w:rPr>
      </w:pPr>
    </w:p>
    <w:p>
      <w:pPr>
        <w:ind w:left="40"/>
        <w:spacing w:after="0"/>
        <w:rPr>
          <w:sz w:val="20"/>
          <w:szCs w:val="20"/>
          <w:color w:val="auto"/>
        </w:rPr>
      </w:pPr>
      <w:r>
        <w:rPr>
          <w:rFonts w:ascii="Arial" w:cs="Arial" w:eastAsia="Arial" w:hAnsi="Arial"/>
          <w:sz w:val="7"/>
          <w:szCs w:val="7"/>
          <w:color w:val="auto"/>
        </w:rPr>
        <w:t>(1) Acquisition price represents purchase price for consolidated acquisitions and purchase price or imputed value for joint venture properties.</w:t>
      </w:r>
    </w:p>
    <w:p>
      <w:pPr>
        <w:sectPr>
          <w:pgSz w:w="11900" w:h="16890" w:orient="portrait"/>
          <w:cols w:equalWidth="0" w:num="1">
            <w:col w:w="10080"/>
          </w:cols>
          <w:pgMar w:left="900" w:top="338" w:right="919" w:bottom="0" w:gutter="0" w:footer="0" w:header="0"/>
        </w:sectPr>
      </w:pPr>
    </w:p>
    <w:bookmarkStart w:id="67" w:name="page68"/>
    <w:bookmarkEnd w:id="67"/>
    <w:p>
      <w:pPr>
        <w:spacing w:after="0"/>
        <w:rPr>
          <w:sz w:val="20"/>
          <w:szCs w:val="20"/>
          <w:color w:val="auto"/>
        </w:rPr>
      </w:pPr>
      <w:r>
        <w:rPr>
          <w:rFonts w:ascii="Arial" w:cs="Arial" w:eastAsia="Arial" w:hAnsi="Arial"/>
          <w:sz w:val="7"/>
          <w:szCs w:val="7"/>
          <w:color w:val="auto"/>
        </w:rPr>
        <w:t>(2) Ownership interest from November 2001 - May 2008 was 55%. (From 9/1/01-10/31/01 the Company owned 99.8% of this property.)</w:t>
      </w:r>
    </w:p>
    <w:p>
      <w:pPr>
        <w:spacing w:after="0" w:line="200" w:lineRule="exact"/>
        <w:rPr>
          <w:sz w:val="20"/>
          <w:szCs w:val="20"/>
          <w:color w:val="auto"/>
        </w:rPr>
      </w:pPr>
    </w:p>
    <w:p>
      <w:pPr>
        <w:spacing w:after="0" w:line="316" w:lineRule="exact"/>
        <w:rPr>
          <w:sz w:val="20"/>
          <w:szCs w:val="20"/>
          <w:color w:val="auto"/>
        </w:rPr>
      </w:pPr>
    </w:p>
    <w:p>
      <w:pPr>
        <w:spacing w:after="0"/>
        <w:tabs>
          <w:tab w:leader="none" w:pos="4920" w:val="left"/>
          <w:tab w:leader="none" w:pos="916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51</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40"/>
          </w:cols>
          <w:pgMar w:left="940" w:top="259" w:right="919" w:bottom="1440" w:gutter="0" w:footer="0" w:header="0"/>
        </w:sectPr>
      </w:pPr>
    </w:p>
    <w:bookmarkStart w:id="68" w:name="page69"/>
    <w:bookmarkEnd w:id="68"/>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SALES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Manhattan</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94"/>
        </w:trPr>
        <w:tc>
          <w:tcPr>
            <w:tcW w:w="9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gridSpan w:val="2"/>
          </w:tcPr>
          <w:p>
            <w:pPr>
              <w:jc w:val="right"/>
              <w:ind w:right="300"/>
              <w:spacing w:after="0"/>
              <w:rPr>
                <w:sz w:val="20"/>
                <w:szCs w:val="20"/>
                <w:color w:val="auto"/>
              </w:rPr>
            </w:pPr>
            <w:r>
              <w:rPr>
                <w:rFonts w:ascii="Arial" w:cs="Arial" w:eastAsia="Arial" w:hAnsi="Arial"/>
                <w:sz w:val="7"/>
                <w:szCs w:val="7"/>
                <w:b w:val="1"/>
                <w:bCs w:val="1"/>
                <w:color w:val="auto"/>
              </w:rPr>
              <w:t>Sales</w:t>
            </w: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gridSpan w:val="2"/>
          </w:tcPr>
          <w:p>
            <w:pPr>
              <w:jc w:val="center"/>
              <w:ind w:right="300"/>
              <w:spacing w:after="0"/>
              <w:rPr>
                <w:sz w:val="20"/>
                <w:szCs w:val="20"/>
                <w:color w:val="auto"/>
              </w:rPr>
            </w:pPr>
            <w:r>
              <w:rPr>
                <w:rFonts w:ascii="Arial" w:cs="Arial" w:eastAsia="Arial" w:hAnsi="Arial"/>
                <w:sz w:val="7"/>
                <w:szCs w:val="7"/>
                <w:b w:val="1"/>
                <w:bCs w:val="1"/>
                <w:color w:val="auto"/>
              </w:rPr>
              <w:t>Sales</w:t>
            </w:r>
          </w:p>
        </w:tc>
      </w:tr>
      <w:tr>
        <w:trPr>
          <w:trHeight w:val="210"/>
        </w:trPr>
        <w:tc>
          <w:tcPr>
            <w:tcW w:w="960" w:type="dxa"/>
            <w:vAlign w:val="bottom"/>
          </w:tcPr>
          <w:p>
            <w:pPr>
              <w:spacing w:after="0"/>
              <w:rPr>
                <w:sz w:val="18"/>
                <w:szCs w:val="18"/>
                <w:color w:val="auto"/>
              </w:rPr>
            </w:pPr>
          </w:p>
        </w:tc>
        <w:tc>
          <w:tcPr>
            <w:tcW w:w="1840" w:type="dxa"/>
            <w:vAlign w:val="bottom"/>
            <w:gridSpan w:val="6"/>
          </w:tcPr>
          <w:p>
            <w:pPr>
              <w:ind w:left="240"/>
              <w:spacing w:after="0"/>
              <w:rPr>
                <w:sz w:val="20"/>
                <w:szCs w:val="20"/>
                <w:color w:val="auto"/>
              </w:rPr>
            </w:pPr>
            <w:r>
              <w:rPr>
                <w:rFonts w:ascii="Arial" w:cs="Arial" w:eastAsia="Arial" w:hAnsi="Arial"/>
                <w:sz w:val="7"/>
                <w:szCs w:val="7"/>
                <w:b w:val="1"/>
                <w:bCs w:val="1"/>
                <w:color w:val="auto"/>
              </w:rPr>
              <w:t>Property</w:t>
            </w:r>
          </w:p>
        </w:tc>
        <w:tc>
          <w:tcPr>
            <w:tcW w:w="1680" w:type="dxa"/>
            <w:vAlign w:val="bottom"/>
            <w:gridSpan w:val="3"/>
          </w:tcPr>
          <w:p>
            <w:pPr>
              <w:ind w:left="540"/>
              <w:spacing w:after="0"/>
              <w:rPr>
                <w:sz w:val="20"/>
                <w:szCs w:val="20"/>
                <w:color w:val="auto"/>
              </w:rPr>
            </w:pPr>
            <w:r>
              <w:rPr>
                <w:rFonts w:ascii="Arial" w:cs="Arial" w:eastAsia="Arial" w:hAnsi="Arial"/>
                <w:sz w:val="7"/>
                <w:szCs w:val="7"/>
                <w:b w:val="1"/>
                <w:bCs w:val="1"/>
                <w:color w:val="auto"/>
              </w:rPr>
              <w:t>Type of Ownership</w:t>
            </w:r>
          </w:p>
        </w:tc>
        <w:tc>
          <w:tcPr>
            <w:tcW w:w="1900" w:type="dxa"/>
            <w:vAlign w:val="bottom"/>
            <w:gridSpan w:val="3"/>
          </w:tcPr>
          <w:p>
            <w:pPr>
              <w:ind w:left="480"/>
              <w:spacing w:after="0"/>
              <w:rPr>
                <w:sz w:val="20"/>
                <w:szCs w:val="20"/>
                <w:color w:val="auto"/>
              </w:rPr>
            </w:pPr>
            <w:r>
              <w:rPr>
                <w:rFonts w:ascii="Arial" w:cs="Arial" w:eastAsia="Arial" w:hAnsi="Arial"/>
                <w:sz w:val="7"/>
                <w:szCs w:val="7"/>
                <w:b w:val="1"/>
                <w:bCs w:val="1"/>
                <w:color w:val="auto"/>
              </w:rPr>
              <w:t>Submarket</w:t>
            </w:r>
          </w:p>
        </w:tc>
        <w:tc>
          <w:tcPr>
            <w:tcW w:w="1680" w:type="dxa"/>
            <w:vAlign w:val="bottom"/>
            <w:gridSpan w:val="5"/>
          </w:tcPr>
          <w:p>
            <w:pPr>
              <w:ind w:left="520"/>
              <w:spacing w:after="0"/>
              <w:rPr>
                <w:sz w:val="20"/>
                <w:szCs w:val="20"/>
                <w:color w:val="auto"/>
              </w:rPr>
            </w:pPr>
            <w:r>
              <w:rPr>
                <w:rFonts w:ascii="Arial" w:cs="Arial" w:eastAsia="Arial" w:hAnsi="Arial"/>
                <w:sz w:val="7"/>
                <w:szCs w:val="7"/>
                <w:b w:val="1"/>
                <w:bCs w:val="1"/>
                <w:color w:val="auto"/>
              </w:rPr>
              <w:t>Net Rentable SF</w:t>
            </w:r>
          </w:p>
        </w:tc>
        <w:tc>
          <w:tcPr>
            <w:tcW w:w="2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7"/>
                <w:szCs w:val="7"/>
                <w:b w:val="1"/>
                <w:bCs w:val="1"/>
                <w:color w:val="auto"/>
                <w:w w:val="96"/>
              </w:rPr>
              <w:t xml:space="preserve">Price </w:t>
            </w:r>
            <w:r>
              <w:rPr>
                <w:rFonts w:ascii="Arial" w:cs="Arial" w:eastAsia="Arial" w:hAnsi="Arial"/>
                <w:sz w:val="7"/>
                <w:szCs w:val="7"/>
                <w:b w:val="1"/>
                <w:bCs w:val="1"/>
                <w:u w:val="single" w:color="auto"/>
                <w:color w:val="auto"/>
                <w:w w:val="96"/>
              </w:rPr>
              <w:t>($</w:t>
            </w:r>
            <w:r>
              <w:rPr>
                <w:rFonts w:ascii="Arial" w:cs="Arial" w:eastAsia="Arial" w:hAnsi="Arial"/>
                <w:sz w:val="7"/>
                <w:szCs w:val="7"/>
                <w:b w:val="1"/>
                <w:bCs w:val="1"/>
                <w:color w:val="auto"/>
                <w:w w:val="96"/>
              </w:rPr>
              <w:t>'s)</w:t>
            </w:r>
          </w:p>
        </w:tc>
        <w:tc>
          <w:tcPr>
            <w:tcW w:w="580" w:type="dxa"/>
            <w:vAlign w:val="bottom"/>
          </w:tcPr>
          <w:p>
            <w:pPr>
              <w:spacing w:after="0"/>
              <w:rPr>
                <w:sz w:val="18"/>
                <w:szCs w:val="18"/>
                <w:color w:val="auto"/>
              </w:rPr>
            </w:pPr>
          </w:p>
        </w:tc>
        <w:tc>
          <w:tcPr>
            <w:tcW w:w="640" w:type="dxa"/>
            <w:vAlign w:val="bottom"/>
            <w:gridSpan w:val="4"/>
          </w:tcPr>
          <w:p>
            <w:pPr>
              <w:jc w:val="center"/>
              <w:ind w:right="180"/>
              <w:spacing w:after="0"/>
              <w:rPr>
                <w:sz w:val="20"/>
                <w:szCs w:val="20"/>
                <w:color w:val="auto"/>
              </w:rPr>
            </w:pPr>
            <w:r>
              <w:rPr>
                <w:rFonts w:ascii="Arial" w:cs="Arial" w:eastAsia="Arial" w:hAnsi="Arial"/>
                <w:sz w:val="7"/>
                <w:szCs w:val="7"/>
                <w:b w:val="1"/>
                <w:bCs w:val="1"/>
                <w:color w:val="auto"/>
              </w:rPr>
              <w:t xml:space="preserve">Price </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's/SF)</w:t>
            </w:r>
          </w:p>
        </w:tc>
      </w:tr>
      <w:tr>
        <w:trPr>
          <w:trHeight w:val="214"/>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2000 - 2015 Sales</w:t>
            </w:r>
          </w:p>
        </w:tc>
        <w:tc>
          <w:tcPr>
            <w:tcW w:w="24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r>
      <w:tr>
        <w:trPr>
          <w:trHeight w:val="203"/>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8"/>
              </w:rPr>
              <w:t>Feb-00</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29</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West 35th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78,000</w:t>
            </w:r>
          </w:p>
        </w:tc>
        <w:tc>
          <w:tcPr>
            <w:tcW w:w="560" w:type="dxa"/>
            <w:vAlign w:val="bottom"/>
          </w:tcPr>
          <w:p>
            <w:pPr>
              <w:spacing w:after="0"/>
              <w:rPr>
                <w:sz w:val="17"/>
                <w:szCs w:val="17"/>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11,700</w:t>
            </w:r>
          </w:p>
        </w:tc>
        <w:tc>
          <w:tcPr>
            <w:tcW w:w="720" w:type="dxa"/>
            <w:vAlign w:val="bottom"/>
            <w:gridSpan w:val="3"/>
          </w:tcPr>
          <w:p>
            <w:pPr>
              <w:jc w:val="right"/>
              <w:ind w:right="20"/>
              <w:spacing w:after="0"/>
              <w:rPr>
                <w:sz w:val="20"/>
                <w:szCs w:val="20"/>
                <w:color w:val="auto"/>
              </w:rPr>
            </w:pPr>
            <w:r>
              <w:rPr>
                <w:rFonts w:ascii="Arial" w:cs="Arial" w:eastAsia="Arial" w:hAnsi="Arial"/>
                <w:sz w:val="7"/>
                <w:szCs w:val="7"/>
                <w:color w:val="auto"/>
              </w:rPr>
              <w:t>$</w:t>
            </w:r>
          </w:p>
        </w:tc>
        <w:tc>
          <w:tcPr>
            <w:tcW w:w="320" w:type="dxa"/>
            <w:vAlign w:val="bottom"/>
          </w:tcPr>
          <w:p>
            <w:pPr>
              <w:jc w:val="right"/>
              <w:spacing w:after="0"/>
              <w:rPr>
                <w:sz w:val="20"/>
                <w:szCs w:val="20"/>
                <w:color w:val="auto"/>
              </w:rPr>
            </w:pPr>
            <w:r>
              <w:rPr>
                <w:rFonts w:ascii="Arial" w:cs="Arial" w:eastAsia="Arial" w:hAnsi="Arial"/>
                <w:sz w:val="7"/>
                <w:szCs w:val="7"/>
                <w:color w:val="auto"/>
              </w:rPr>
              <w:t>150</w:t>
            </w:r>
          </w:p>
        </w:tc>
        <w:tc>
          <w:tcPr>
            <w:tcW w:w="180" w:type="dxa"/>
            <w:vAlign w:val="bottom"/>
          </w:tcPr>
          <w:p>
            <w:pPr>
              <w:spacing w:after="0"/>
              <w:rPr>
                <w:sz w:val="17"/>
                <w:szCs w:val="17"/>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Mar-00</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36</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178,000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31,500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177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May-00</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321</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West 44th Street - 35% JV</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203,000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28,400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140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Nov-00</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90</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Broad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Financial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339,000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177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Dec-00</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17</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Battery South</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Financial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392,000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53,000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135</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Jan-01</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633</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Third Ave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North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40,623</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13,250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326</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May-01</w:t>
            </w:r>
          </w:p>
        </w:tc>
        <w:tc>
          <w:tcPr>
            <w:tcW w:w="1840" w:type="dxa"/>
            <w:vAlign w:val="bottom"/>
            <w:gridSpan w:val="6"/>
          </w:tcPr>
          <w:p>
            <w:pPr>
              <w:ind w:left="240"/>
              <w:spacing w:after="0"/>
              <w:rPr>
                <w:sz w:val="20"/>
                <w:szCs w:val="20"/>
                <w:color w:val="auto"/>
              </w:rPr>
            </w:pPr>
            <w:r>
              <w:rPr>
                <w:rFonts w:ascii="Arial" w:cs="Arial" w:eastAsia="Arial" w:hAnsi="Arial"/>
                <w:sz w:val="7"/>
                <w:szCs w:val="7"/>
                <w:color w:val="auto"/>
              </w:rPr>
              <w:t>1 Park Ave - 45% JV</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913,000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233,900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256</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Jun-01</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1412</w:t>
            </w:r>
          </w:p>
        </w:tc>
        <w:tc>
          <w:tcPr>
            <w:tcW w:w="142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389,000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90,700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233</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Jul-01</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110</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East 42nd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69,700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14,500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208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Sep-01</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1250</w:t>
            </w:r>
          </w:p>
        </w:tc>
        <w:tc>
          <w:tcPr>
            <w:tcW w:w="1420" w:type="dxa"/>
            <w:vAlign w:val="bottom"/>
            <w:gridSpan w:val="2"/>
          </w:tcPr>
          <w:p>
            <w:pPr>
              <w:spacing w:after="0"/>
              <w:rPr>
                <w:sz w:val="20"/>
                <w:szCs w:val="20"/>
                <w:color w:val="auto"/>
              </w:rPr>
            </w:pPr>
            <w:r>
              <w:rPr>
                <w:rFonts w:ascii="Arial" w:cs="Arial" w:eastAsia="Arial" w:hAnsi="Arial"/>
                <w:sz w:val="7"/>
                <w:szCs w:val="7"/>
                <w:color w:val="auto"/>
              </w:rPr>
              <w:t xml:space="preserve">Broadway </w:t>
            </w:r>
            <w:r>
              <w:rPr>
                <w:rFonts w:ascii="Arial" w:cs="Arial" w:eastAsia="Arial" w:hAnsi="Arial"/>
                <w:sz w:val="6"/>
                <w:szCs w:val="6"/>
                <w:color w:val="auto"/>
              </w:rPr>
              <w:t>(1)</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670,000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126,500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189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Jun-02</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469</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Seventh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253,000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53,100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210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Mar-03</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50</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West 23rd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Chelsea</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333,000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66,000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198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Jul-03</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1370</w:t>
            </w:r>
          </w:p>
        </w:tc>
        <w:tc>
          <w:tcPr>
            <w:tcW w:w="142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255,000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58,500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229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Dec-03</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321</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203,000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35,000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172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May-04</w:t>
            </w:r>
          </w:p>
        </w:tc>
        <w:tc>
          <w:tcPr>
            <w:tcW w:w="1840" w:type="dxa"/>
            <w:vAlign w:val="bottom"/>
            <w:gridSpan w:val="6"/>
          </w:tcPr>
          <w:p>
            <w:pPr>
              <w:ind w:left="240"/>
              <w:spacing w:after="0"/>
              <w:rPr>
                <w:sz w:val="20"/>
                <w:szCs w:val="20"/>
                <w:color w:val="auto"/>
              </w:rPr>
            </w:pPr>
            <w:r>
              <w:rPr>
                <w:rFonts w:ascii="Arial" w:cs="Arial" w:eastAsia="Arial" w:hAnsi="Arial"/>
                <w:sz w:val="7"/>
                <w:szCs w:val="7"/>
                <w:color w:val="auto"/>
              </w:rPr>
              <w:t xml:space="preserve">1 Park Avenue </w:t>
            </w:r>
            <w:r>
              <w:rPr>
                <w:rFonts w:ascii="Arial" w:cs="Arial" w:eastAsia="Arial" w:hAnsi="Arial"/>
                <w:sz w:val="6"/>
                <w:szCs w:val="6"/>
                <w:color w:val="auto"/>
              </w:rPr>
              <w:t>(2)</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913,000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318,500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349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Oct-04</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17</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Battery Place North</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Financial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419,000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70,000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167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Nov-04</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1466</w:t>
            </w:r>
          </w:p>
        </w:tc>
        <w:tc>
          <w:tcPr>
            <w:tcW w:w="142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289,000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554</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Apr-05</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1414</w:t>
            </w:r>
          </w:p>
        </w:tc>
        <w:tc>
          <w:tcPr>
            <w:tcW w:w="1420" w:type="dxa"/>
            <w:vAlign w:val="bottom"/>
            <w:gridSpan w:val="2"/>
          </w:tcPr>
          <w:p>
            <w:pPr>
              <w:spacing w:after="0"/>
              <w:rPr>
                <w:sz w:val="20"/>
                <w:szCs w:val="20"/>
                <w:color w:val="auto"/>
              </w:rPr>
            </w:pPr>
            <w:r>
              <w:rPr>
                <w:rFonts w:ascii="Arial" w:cs="Arial" w:eastAsia="Arial" w:hAnsi="Arial"/>
                <w:sz w:val="7"/>
                <w:szCs w:val="7"/>
                <w:color w:val="auto"/>
              </w:rPr>
              <w:t>Avenue of the Americas</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Plaza District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111,000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60,500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545</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Aug-05</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180</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Madison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265,000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92,700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350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Jul-06</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286</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&amp; 290 Madison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149,000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63,000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423</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Aug-06</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1140</w:t>
            </w:r>
          </w:p>
        </w:tc>
        <w:tc>
          <w:tcPr>
            <w:tcW w:w="1420" w:type="dxa"/>
            <w:vAlign w:val="bottom"/>
            <w:gridSpan w:val="2"/>
          </w:tcPr>
          <w:p>
            <w:pPr>
              <w:spacing w:after="0"/>
              <w:rPr>
                <w:sz w:val="20"/>
                <w:szCs w:val="20"/>
                <w:color w:val="auto"/>
              </w:rPr>
            </w:pPr>
            <w:r>
              <w:rPr>
                <w:rFonts w:ascii="Arial" w:cs="Arial" w:eastAsia="Arial" w:hAnsi="Arial"/>
                <w:sz w:val="7"/>
                <w:szCs w:val="7"/>
                <w:color w:val="auto"/>
              </w:rPr>
              <w:t>Avenue of the Americas</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Leasehold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Rockefeller Center</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191,000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97,500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510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Dec-06</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521</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 xml:space="preserve">Fifth Avenue </w:t>
            </w:r>
            <w:r>
              <w:rPr>
                <w:rFonts w:ascii="Arial" w:cs="Arial" w:eastAsia="Arial" w:hAnsi="Arial"/>
                <w:sz w:val="6"/>
                <w:szCs w:val="6"/>
                <w:color w:val="auto"/>
              </w:rPr>
              <w:t>(3)</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Leasehold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460,000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240,000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522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Mar-07</w:t>
            </w:r>
          </w:p>
        </w:tc>
        <w:tc>
          <w:tcPr>
            <w:tcW w:w="1840" w:type="dxa"/>
            <w:vAlign w:val="bottom"/>
            <w:gridSpan w:val="6"/>
          </w:tcPr>
          <w:p>
            <w:pPr>
              <w:ind w:left="240"/>
              <w:spacing w:after="0"/>
              <w:rPr>
                <w:sz w:val="20"/>
                <w:szCs w:val="20"/>
                <w:color w:val="auto"/>
              </w:rPr>
            </w:pPr>
            <w:r>
              <w:rPr>
                <w:rFonts w:ascii="Arial" w:cs="Arial" w:eastAsia="Arial" w:hAnsi="Arial"/>
                <w:sz w:val="7"/>
                <w:szCs w:val="7"/>
                <w:color w:val="auto"/>
              </w:rPr>
              <w:t>1 Park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913,000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550,000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602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9"/>
              </w:rPr>
              <w:t>Mar-07</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70</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West 36th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Garment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151,000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61,500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407</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Jun-07</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110</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East 42nd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North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181,000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111,500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616</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Jun-07</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125</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Broad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Downtown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525,000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273,000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520</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Jun-07</w:t>
            </w:r>
          </w:p>
        </w:tc>
        <w:tc>
          <w:tcPr>
            <w:tcW w:w="1840" w:type="dxa"/>
            <w:vAlign w:val="bottom"/>
            <w:gridSpan w:val="6"/>
          </w:tcPr>
          <w:p>
            <w:pPr>
              <w:ind w:left="240"/>
              <w:spacing w:after="0"/>
              <w:rPr>
                <w:sz w:val="20"/>
                <w:szCs w:val="20"/>
                <w:color w:val="auto"/>
              </w:rPr>
            </w:pPr>
            <w:r>
              <w:rPr>
                <w:rFonts w:ascii="Arial" w:cs="Arial" w:eastAsia="Arial" w:hAnsi="Arial"/>
                <w:sz w:val="7"/>
                <w:szCs w:val="7"/>
                <w:color w:val="auto"/>
              </w:rPr>
              <w:t>5 Madison Clock Tower</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Park Avenue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267,000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749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Jul-07</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292</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Madison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187,000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140,000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749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Jul-07</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1372</w:t>
            </w:r>
          </w:p>
        </w:tc>
        <w:tc>
          <w:tcPr>
            <w:tcW w:w="1420" w:type="dxa"/>
            <w:vAlign w:val="bottom"/>
            <w:gridSpan w:val="2"/>
          </w:tcPr>
          <w:p>
            <w:pPr>
              <w:spacing w:after="0"/>
              <w:rPr>
                <w:sz w:val="20"/>
                <w:szCs w:val="20"/>
                <w:color w:val="auto"/>
              </w:rPr>
            </w:pPr>
            <w:r>
              <w:rPr>
                <w:rFonts w:ascii="Arial" w:cs="Arial" w:eastAsia="Arial" w:hAnsi="Arial"/>
                <w:sz w:val="7"/>
                <w:szCs w:val="7"/>
                <w:color w:val="auto"/>
              </w:rPr>
              <w:t xml:space="preserve">Broadway </w:t>
            </w:r>
            <w:r>
              <w:rPr>
                <w:rFonts w:ascii="Arial" w:cs="Arial" w:eastAsia="Arial" w:hAnsi="Arial"/>
                <w:sz w:val="6"/>
                <w:szCs w:val="6"/>
                <w:color w:val="auto"/>
              </w:rPr>
              <w:t>(4)</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Station/Garment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508,000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335,000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659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Nov-07</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470</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Park Avenue South</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Park Avenue South/Flatiron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260,000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157,000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604</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Jan-08</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440</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Ninth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339,000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472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May-08</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1250</w:t>
            </w:r>
          </w:p>
        </w:tc>
        <w:tc>
          <w:tcPr>
            <w:tcW w:w="1420" w:type="dxa"/>
            <w:vAlign w:val="bottom"/>
            <w:gridSpan w:val="2"/>
          </w:tcPr>
          <w:p>
            <w:pPr>
              <w:spacing w:after="0"/>
              <w:rPr>
                <w:sz w:val="20"/>
                <w:szCs w:val="20"/>
                <w:color w:val="auto"/>
              </w:rPr>
            </w:pPr>
            <w:r>
              <w:rPr>
                <w:rFonts w:ascii="Arial" w:cs="Arial" w:eastAsia="Arial" w:hAnsi="Arial"/>
                <w:sz w:val="7"/>
                <w:szCs w:val="7"/>
                <w:color w:val="auto"/>
              </w:rPr>
              <w:t>Broadway</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670,000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310,000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463</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Oct-08</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1372</w:t>
            </w:r>
          </w:p>
        </w:tc>
        <w:tc>
          <w:tcPr>
            <w:tcW w:w="1420" w:type="dxa"/>
            <w:vAlign w:val="bottom"/>
            <w:gridSpan w:val="2"/>
          </w:tcPr>
          <w:p>
            <w:pPr>
              <w:spacing w:after="0"/>
              <w:rPr>
                <w:sz w:val="20"/>
                <w:szCs w:val="20"/>
                <w:color w:val="auto"/>
              </w:rPr>
            </w:pPr>
            <w:r>
              <w:rPr>
                <w:rFonts w:ascii="Arial" w:cs="Arial" w:eastAsia="Arial" w:hAnsi="Arial"/>
                <w:sz w:val="7"/>
                <w:szCs w:val="7"/>
                <w:color w:val="auto"/>
              </w:rPr>
              <w:t xml:space="preserve">Broadway </w:t>
            </w:r>
            <w:r>
              <w:rPr>
                <w:rFonts w:ascii="Arial" w:cs="Arial" w:eastAsia="Arial" w:hAnsi="Arial"/>
                <w:sz w:val="6"/>
                <w:szCs w:val="6"/>
                <w:color w:val="auto"/>
              </w:rPr>
              <w:t>(5)</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Station/Garment</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508,000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274,000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539</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May-10</w:t>
            </w:r>
          </w:p>
        </w:tc>
        <w:tc>
          <w:tcPr>
            <w:tcW w:w="420" w:type="dxa"/>
            <w:vAlign w:val="bottom"/>
            <w:gridSpan w:val="4"/>
          </w:tcPr>
          <w:p>
            <w:pPr>
              <w:ind w:left="240"/>
              <w:spacing w:after="0"/>
              <w:rPr>
                <w:sz w:val="20"/>
                <w:szCs w:val="20"/>
                <w:color w:val="auto"/>
              </w:rPr>
            </w:pPr>
            <w:r>
              <w:rPr>
                <w:rFonts w:ascii="Arial" w:cs="Arial" w:eastAsia="Arial" w:hAnsi="Arial"/>
                <w:sz w:val="7"/>
                <w:szCs w:val="7"/>
                <w:color w:val="auto"/>
              </w:rPr>
              <w:t>1221</w:t>
            </w:r>
          </w:p>
        </w:tc>
        <w:tc>
          <w:tcPr>
            <w:tcW w:w="1420" w:type="dxa"/>
            <w:vAlign w:val="bottom"/>
            <w:gridSpan w:val="2"/>
          </w:tcPr>
          <w:p>
            <w:pPr>
              <w:spacing w:after="0"/>
              <w:rPr>
                <w:sz w:val="20"/>
                <w:szCs w:val="20"/>
                <w:color w:val="auto"/>
              </w:rPr>
            </w:pPr>
            <w:r>
              <w:rPr>
                <w:rFonts w:ascii="Arial" w:cs="Arial" w:eastAsia="Arial" w:hAnsi="Arial"/>
                <w:sz w:val="7"/>
                <w:szCs w:val="7"/>
                <w:color w:val="auto"/>
              </w:rPr>
              <w:t xml:space="preserve">Avenue of the Americas </w:t>
            </w:r>
            <w:r>
              <w:rPr>
                <w:rFonts w:ascii="Arial" w:cs="Arial" w:eastAsia="Arial" w:hAnsi="Arial"/>
                <w:sz w:val="6"/>
                <w:szCs w:val="6"/>
                <w:color w:val="auto"/>
              </w:rPr>
              <w:t>(6)</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Rockefeller Center</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2,550,000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1,280,000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502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Sep-10</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19</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292,000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123,150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422</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May-11</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28</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West 44th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359,000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161,000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448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Aug-13</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333</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West 34th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Penn Station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345,400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220,250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638</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204"/>
              <w:spacing w:after="0"/>
              <w:rPr>
                <w:sz w:val="20"/>
                <w:szCs w:val="20"/>
                <w:color w:val="auto"/>
              </w:rPr>
            </w:pPr>
            <w:r>
              <w:rPr>
                <w:rFonts w:ascii="Arial" w:cs="Arial" w:eastAsia="Arial" w:hAnsi="Arial"/>
                <w:sz w:val="7"/>
                <w:szCs w:val="7"/>
                <w:color w:val="auto"/>
              </w:rPr>
              <w:t>May-14</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673</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First Avenue</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Leasehold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Grand Central South</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422,000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145,000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344</w:t>
            </w:r>
          </w:p>
        </w:tc>
        <w:tc>
          <w:tcPr>
            <w:tcW w:w="180" w:type="dxa"/>
            <w:vAlign w:val="bottom"/>
          </w:tcPr>
          <w:p>
            <w:pPr>
              <w:spacing w:after="0"/>
              <w:rPr>
                <w:sz w:val="19"/>
                <w:szCs w:val="19"/>
                <w:color w:val="auto"/>
              </w:rPr>
            </w:pPr>
          </w:p>
        </w:tc>
      </w:tr>
      <w:tr>
        <w:trPr>
          <w:trHeight w:val="219"/>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Sep-15</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120</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West 45th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Midtown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440,000</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365,000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7"/>
                <w:szCs w:val="7"/>
                <w:color w:val="auto"/>
              </w:rPr>
              <w:t>830</w:t>
            </w:r>
          </w:p>
        </w:tc>
        <w:tc>
          <w:tcPr>
            <w:tcW w:w="180" w:type="dxa"/>
            <w:vAlign w:val="bottom"/>
          </w:tcPr>
          <w:p>
            <w:pPr>
              <w:spacing w:after="0"/>
              <w:rPr>
                <w:sz w:val="19"/>
                <w:szCs w:val="19"/>
                <w:color w:val="auto"/>
              </w:rPr>
            </w:pPr>
          </w:p>
        </w:tc>
      </w:tr>
      <w:tr>
        <w:trPr>
          <w:trHeight w:val="225"/>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Sep-15</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315</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West 36th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Times Square South</w:t>
            </w:r>
          </w:p>
        </w:tc>
        <w:tc>
          <w:tcPr>
            <w:tcW w:w="54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148,000</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115,000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777</w:t>
            </w:r>
          </w:p>
        </w:tc>
        <w:tc>
          <w:tcPr>
            <w:tcW w:w="180" w:type="dxa"/>
            <w:vAlign w:val="bottom"/>
          </w:tcPr>
          <w:p>
            <w:pPr>
              <w:spacing w:after="0"/>
              <w:rPr>
                <w:sz w:val="19"/>
                <w:szCs w:val="19"/>
                <w:color w:val="auto"/>
              </w:rPr>
            </w:pPr>
          </w:p>
        </w:tc>
      </w:tr>
      <w:tr>
        <w:trPr>
          <w:trHeight w:val="192"/>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16,178,723</w:t>
            </w:r>
          </w:p>
        </w:tc>
        <w:tc>
          <w:tcPr>
            <w:tcW w:w="560" w:type="dxa"/>
            <w:vAlign w:val="bottom"/>
          </w:tcPr>
          <w:p>
            <w:pPr>
              <w:spacing w:after="0"/>
              <w:rPr>
                <w:sz w:val="16"/>
                <w:szCs w:val="16"/>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6,959,650</w:t>
            </w:r>
          </w:p>
        </w:tc>
        <w:tc>
          <w:tcPr>
            <w:tcW w:w="72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w:t>
            </w:r>
          </w:p>
        </w:tc>
        <w:tc>
          <w:tcPr>
            <w:tcW w:w="320" w:type="dxa"/>
            <w:vAlign w:val="bottom"/>
          </w:tcPr>
          <w:p>
            <w:pPr>
              <w:jc w:val="right"/>
              <w:spacing w:after="0"/>
              <w:rPr>
                <w:sz w:val="20"/>
                <w:szCs w:val="20"/>
                <w:color w:val="auto"/>
              </w:rPr>
            </w:pPr>
            <w:r>
              <w:rPr>
                <w:rFonts w:ascii="Arial" w:cs="Arial" w:eastAsia="Arial" w:hAnsi="Arial"/>
                <w:sz w:val="7"/>
                <w:szCs w:val="7"/>
                <w:b w:val="1"/>
                <w:bCs w:val="1"/>
                <w:color w:val="auto"/>
              </w:rPr>
              <w:t>430</w:t>
            </w:r>
          </w:p>
        </w:tc>
        <w:tc>
          <w:tcPr>
            <w:tcW w:w="180" w:type="dxa"/>
            <w:vAlign w:val="bottom"/>
          </w:tcPr>
          <w:p>
            <w:pPr>
              <w:spacing w:after="0"/>
              <w:rPr>
                <w:sz w:val="16"/>
                <w:szCs w:val="16"/>
                <w:color w:val="auto"/>
              </w:rPr>
            </w:pPr>
          </w:p>
        </w:tc>
      </w:tr>
      <w:tr>
        <w:trPr>
          <w:trHeight w:val="323"/>
        </w:trPr>
        <w:tc>
          <w:tcPr>
            <w:tcW w:w="960" w:type="dxa"/>
            <w:vAlign w:val="bottom"/>
            <w:tcBorders>
              <w:bottom w:val="single" w:sz="8" w:color="auto"/>
            </w:tcBorders>
          </w:tcPr>
          <w:p>
            <w:pPr>
              <w:ind w:left="20"/>
              <w:spacing w:after="0"/>
              <w:rPr>
                <w:sz w:val="20"/>
                <w:szCs w:val="20"/>
                <w:color w:val="auto"/>
              </w:rPr>
            </w:pPr>
            <w:r>
              <w:rPr>
                <w:rFonts w:ascii="Arial" w:cs="Arial" w:eastAsia="Arial" w:hAnsi="Arial"/>
                <w:sz w:val="7"/>
                <w:szCs w:val="7"/>
                <w:b w:val="1"/>
                <w:bCs w:val="1"/>
                <w:color w:val="auto"/>
              </w:rPr>
              <w:t>2016 Sales</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3"/>
        </w:trPr>
        <w:tc>
          <w:tcPr>
            <w:tcW w:w="960" w:type="dxa"/>
            <w:vAlign w:val="bottom"/>
          </w:tcPr>
          <w:p>
            <w:pPr>
              <w:jc w:val="center"/>
              <w:ind w:left="184"/>
              <w:spacing w:after="0"/>
              <w:rPr>
                <w:sz w:val="20"/>
                <w:szCs w:val="20"/>
                <w:color w:val="auto"/>
              </w:rPr>
            </w:pPr>
            <w:r>
              <w:rPr>
                <w:rFonts w:ascii="Arial" w:cs="Arial" w:eastAsia="Arial" w:hAnsi="Arial"/>
                <w:sz w:val="7"/>
                <w:szCs w:val="7"/>
                <w:color w:val="auto"/>
              </w:rPr>
              <w:t>Jun-16</w:t>
            </w:r>
          </w:p>
        </w:tc>
        <w:tc>
          <w:tcPr>
            <w:tcW w:w="360" w:type="dxa"/>
            <w:vAlign w:val="bottom"/>
            <w:gridSpan w:val="3"/>
          </w:tcPr>
          <w:p>
            <w:pPr>
              <w:ind w:left="240"/>
              <w:spacing w:after="0"/>
              <w:rPr>
                <w:sz w:val="20"/>
                <w:szCs w:val="20"/>
                <w:color w:val="auto"/>
              </w:rPr>
            </w:pPr>
            <w:r>
              <w:rPr>
                <w:rFonts w:ascii="Arial" w:cs="Arial" w:eastAsia="Arial" w:hAnsi="Arial"/>
                <w:sz w:val="7"/>
                <w:szCs w:val="7"/>
                <w:color w:val="auto"/>
                <w:w w:val="85"/>
              </w:rPr>
              <w:t>388</w:t>
            </w:r>
          </w:p>
        </w:tc>
        <w:tc>
          <w:tcPr>
            <w:tcW w:w="1480" w:type="dxa"/>
            <w:vAlign w:val="bottom"/>
            <w:gridSpan w:val="3"/>
          </w:tcPr>
          <w:p>
            <w:pPr>
              <w:ind w:left="20"/>
              <w:spacing w:after="0"/>
              <w:rPr>
                <w:sz w:val="20"/>
                <w:szCs w:val="20"/>
                <w:color w:val="auto"/>
              </w:rPr>
            </w:pPr>
            <w:r>
              <w:rPr>
                <w:rFonts w:ascii="Arial" w:cs="Arial" w:eastAsia="Arial" w:hAnsi="Arial"/>
                <w:sz w:val="7"/>
                <w:szCs w:val="7"/>
                <w:color w:val="auto"/>
              </w:rPr>
              <w:t>&amp; 390 Greenwich Street</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Downtown</w:t>
            </w:r>
          </w:p>
        </w:tc>
        <w:tc>
          <w:tcPr>
            <w:tcW w:w="1120" w:type="dxa"/>
            <w:vAlign w:val="bottom"/>
            <w:gridSpan w:val="4"/>
          </w:tcPr>
          <w:p>
            <w:pPr>
              <w:jc w:val="right"/>
              <w:ind w:right="20"/>
              <w:spacing w:after="0"/>
              <w:rPr>
                <w:sz w:val="20"/>
                <w:szCs w:val="20"/>
                <w:color w:val="auto"/>
              </w:rPr>
            </w:pPr>
            <w:r>
              <w:rPr>
                <w:rFonts w:ascii="Arial" w:cs="Arial" w:eastAsia="Arial" w:hAnsi="Arial"/>
                <w:sz w:val="7"/>
                <w:szCs w:val="7"/>
                <w:color w:val="auto"/>
              </w:rPr>
              <w:t>2,635,000</w:t>
            </w:r>
          </w:p>
        </w:tc>
        <w:tc>
          <w:tcPr>
            <w:tcW w:w="560" w:type="dxa"/>
            <w:vAlign w:val="bottom"/>
          </w:tcPr>
          <w:p>
            <w:pPr>
              <w:spacing w:after="0"/>
              <w:rPr>
                <w:sz w:val="17"/>
                <w:szCs w:val="17"/>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color w:val="auto"/>
              </w:rPr>
              <w:t>2,000,000</w:t>
            </w:r>
          </w:p>
        </w:tc>
        <w:tc>
          <w:tcPr>
            <w:tcW w:w="720" w:type="dxa"/>
            <w:vAlign w:val="bottom"/>
            <w:gridSpan w:val="3"/>
          </w:tcPr>
          <w:p>
            <w:pPr>
              <w:jc w:val="right"/>
              <w:ind w:right="20"/>
              <w:spacing w:after="0"/>
              <w:rPr>
                <w:sz w:val="20"/>
                <w:szCs w:val="20"/>
                <w:color w:val="auto"/>
              </w:rPr>
            </w:pPr>
            <w:r>
              <w:rPr>
                <w:rFonts w:ascii="Arial" w:cs="Arial" w:eastAsia="Arial" w:hAnsi="Arial"/>
                <w:sz w:val="7"/>
                <w:szCs w:val="7"/>
                <w:color w:val="auto"/>
              </w:rPr>
              <w:t>$</w:t>
            </w:r>
          </w:p>
        </w:tc>
        <w:tc>
          <w:tcPr>
            <w:tcW w:w="320" w:type="dxa"/>
            <w:vAlign w:val="bottom"/>
          </w:tcPr>
          <w:p>
            <w:pPr>
              <w:jc w:val="right"/>
              <w:spacing w:after="0"/>
              <w:rPr>
                <w:sz w:val="20"/>
                <w:szCs w:val="20"/>
                <w:color w:val="auto"/>
              </w:rPr>
            </w:pPr>
            <w:r>
              <w:rPr>
                <w:rFonts w:ascii="Arial" w:cs="Arial" w:eastAsia="Arial" w:hAnsi="Arial"/>
                <w:sz w:val="7"/>
                <w:szCs w:val="7"/>
                <w:color w:val="auto"/>
              </w:rPr>
              <w:t>759</w:t>
            </w:r>
          </w:p>
        </w:tc>
        <w:tc>
          <w:tcPr>
            <w:tcW w:w="180" w:type="dxa"/>
            <w:vAlign w:val="bottom"/>
          </w:tcPr>
          <w:p>
            <w:pPr>
              <w:spacing w:after="0"/>
              <w:rPr>
                <w:sz w:val="17"/>
                <w:szCs w:val="17"/>
                <w:color w:val="auto"/>
              </w:rPr>
            </w:pPr>
          </w:p>
        </w:tc>
      </w:tr>
      <w:tr>
        <w:trPr>
          <w:trHeight w:val="225"/>
        </w:trPr>
        <w:tc>
          <w:tcPr>
            <w:tcW w:w="960" w:type="dxa"/>
            <w:vAlign w:val="bottom"/>
          </w:tcPr>
          <w:p>
            <w:pPr>
              <w:jc w:val="center"/>
              <w:ind w:left="184"/>
              <w:spacing w:after="0"/>
              <w:rPr>
                <w:sz w:val="20"/>
                <w:szCs w:val="20"/>
                <w:color w:val="auto"/>
              </w:rPr>
            </w:pPr>
            <w:r>
              <w:rPr>
                <w:rFonts w:ascii="Arial" w:cs="Arial" w:eastAsia="Arial" w:hAnsi="Arial"/>
                <w:sz w:val="7"/>
                <w:szCs w:val="7"/>
                <w:color w:val="auto"/>
                <w:w w:val="97"/>
              </w:rPr>
              <w:t>Aug-16</w:t>
            </w:r>
          </w:p>
        </w:tc>
        <w:tc>
          <w:tcPr>
            <w:tcW w:w="320" w:type="dxa"/>
            <w:vAlign w:val="bottom"/>
            <w:gridSpan w:val="2"/>
          </w:tcPr>
          <w:p>
            <w:pPr>
              <w:ind w:left="240"/>
              <w:spacing w:after="0"/>
              <w:rPr>
                <w:sz w:val="20"/>
                <w:szCs w:val="20"/>
                <w:color w:val="auto"/>
              </w:rPr>
            </w:pPr>
            <w:r>
              <w:rPr>
                <w:rFonts w:ascii="Arial" w:cs="Arial" w:eastAsia="Arial" w:hAnsi="Arial"/>
                <w:sz w:val="7"/>
                <w:szCs w:val="7"/>
                <w:color w:val="auto"/>
                <w:w w:val="76"/>
              </w:rPr>
              <w:t>11</w:t>
            </w:r>
          </w:p>
        </w:tc>
        <w:tc>
          <w:tcPr>
            <w:tcW w:w="1520" w:type="dxa"/>
            <w:vAlign w:val="bottom"/>
            <w:gridSpan w:val="4"/>
          </w:tcPr>
          <w:p>
            <w:pPr>
              <w:ind w:left="20"/>
              <w:spacing w:after="0"/>
              <w:rPr>
                <w:sz w:val="20"/>
                <w:szCs w:val="20"/>
                <w:color w:val="auto"/>
              </w:rPr>
            </w:pPr>
            <w:r>
              <w:rPr>
                <w:rFonts w:ascii="Arial" w:cs="Arial" w:eastAsia="Arial" w:hAnsi="Arial"/>
                <w:sz w:val="7"/>
                <w:szCs w:val="7"/>
                <w:color w:val="auto"/>
              </w:rPr>
              <w:t xml:space="preserve">Madison Avenue </w:t>
            </w:r>
            <w:r>
              <w:rPr>
                <w:rFonts w:ascii="Arial" w:cs="Arial" w:eastAsia="Arial" w:hAnsi="Arial"/>
                <w:sz w:val="6"/>
                <w:szCs w:val="6"/>
                <w:color w:val="auto"/>
              </w:rPr>
              <w:t>(7)</w:t>
            </w:r>
          </w:p>
        </w:tc>
        <w:tc>
          <w:tcPr>
            <w:tcW w:w="1680" w:type="dxa"/>
            <w:vAlign w:val="bottom"/>
            <w:gridSpan w:val="3"/>
          </w:tcPr>
          <w:p>
            <w:pPr>
              <w:ind w:left="540"/>
              <w:spacing w:after="0"/>
              <w:rPr>
                <w:sz w:val="20"/>
                <w:szCs w:val="20"/>
                <w:color w:val="auto"/>
              </w:rPr>
            </w:pPr>
            <w:r>
              <w:rPr>
                <w:rFonts w:ascii="Arial" w:cs="Arial" w:eastAsia="Arial" w:hAnsi="Arial"/>
                <w:sz w:val="7"/>
                <w:szCs w:val="7"/>
                <w:color w:val="auto"/>
              </w:rPr>
              <w:t>Fee Interest</w:t>
            </w:r>
          </w:p>
        </w:tc>
        <w:tc>
          <w:tcPr>
            <w:tcW w:w="1900" w:type="dxa"/>
            <w:vAlign w:val="bottom"/>
            <w:gridSpan w:val="3"/>
          </w:tcPr>
          <w:p>
            <w:pPr>
              <w:ind w:left="480"/>
              <w:spacing w:after="0"/>
              <w:rPr>
                <w:sz w:val="20"/>
                <w:szCs w:val="20"/>
                <w:color w:val="auto"/>
              </w:rPr>
            </w:pPr>
            <w:r>
              <w:rPr>
                <w:rFonts w:ascii="Arial" w:cs="Arial" w:eastAsia="Arial" w:hAnsi="Arial"/>
                <w:sz w:val="7"/>
                <w:szCs w:val="7"/>
                <w:color w:val="auto"/>
              </w:rPr>
              <w:t>Park Avenue South</w:t>
            </w:r>
          </w:p>
        </w:tc>
        <w:tc>
          <w:tcPr>
            <w:tcW w:w="540" w:type="dxa"/>
            <w:vAlign w:val="bottom"/>
            <w:gridSpan w:val="2"/>
          </w:tcPr>
          <w:p>
            <w:pPr>
              <w:spacing w:after="0"/>
              <w:rPr>
                <w:sz w:val="19"/>
                <w:szCs w:val="19"/>
                <w:color w:val="auto"/>
              </w:rPr>
            </w:pP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2,314,000</w:t>
            </w:r>
          </w:p>
        </w:tc>
        <w:tc>
          <w:tcPr>
            <w:tcW w:w="5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7"/>
                <w:szCs w:val="7"/>
                <w:color w:val="auto"/>
              </w:rPr>
              <w:t>2,600,000</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7"/>
                <w:szCs w:val="7"/>
                <w:color w:val="auto"/>
              </w:rPr>
              <w:t>1,124</w:t>
            </w:r>
          </w:p>
        </w:tc>
        <w:tc>
          <w:tcPr>
            <w:tcW w:w="180" w:type="dxa"/>
            <w:vAlign w:val="bottom"/>
          </w:tcPr>
          <w:p>
            <w:pPr>
              <w:spacing w:after="0"/>
              <w:rPr>
                <w:sz w:val="19"/>
                <w:szCs w:val="19"/>
                <w:color w:val="auto"/>
              </w:rPr>
            </w:pPr>
          </w:p>
        </w:tc>
      </w:tr>
      <w:tr>
        <w:trPr>
          <w:trHeight w:val="192"/>
        </w:trPr>
        <w:tc>
          <w:tcPr>
            <w:tcW w:w="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gridSpan w:val="4"/>
          </w:tcPr>
          <w:p>
            <w:pPr>
              <w:jc w:val="right"/>
              <w:ind w:right="20"/>
              <w:spacing w:after="0"/>
              <w:rPr>
                <w:sz w:val="20"/>
                <w:szCs w:val="20"/>
                <w:color w:val="auto"/>
              </w:rPr>
            </w:pPr>
            <w:r>
              <w:rPr>
                <w:rFonts w:ascii="Arial" w:cs="Arial" w:eastAsia="Arial" w:hAnsi="Arial"/>
                <w:sz w:val="7"/>
                <w:szCs w:val="7"/>
                <w:b w:val="1"/>
                <w:bCs w:val="1"/>
                <w:color w:val="auto"/>
              </w:rPr>
              <w:t>4,949,000</w:t>
            </w:r>
          </w:p>
        </w:tc>
        <w:tc>
          <w:tcPr>
            <w:tcW w:w="560" w:type="dxa"/>
            <w:vAlign w:val="bottom"/>
          </w:tcPr>
          <w:p>
            <w:pPr>
              <w:spacing w:after="0"/>
              <w:rPr>
                <w:sz w:val="16"/>
                <w:szCs w:val="16"/>
                <w:color w:val="auto"/>
              </w:rPr>
            </w:pPr>
          </w:p>
        </w:tc>
        <w:tc>
          <w:tcPr>
            <w:tcW w:w="220" w:type="dxa"/>
            <w:vAlign w:val="bottom"/>
          </w:tcPr>
          <w:p>
            <w:pPr>
              <w:jc w:val="right"/>
              <w:ind w:right="124"/>
              <w:spacing w:after="0"/>
              <w:rPr>
                <w:sz w:val="20"/>
                <w:szCs w:val="20"/>
                <w:color w:val="auto"/>
              </w:rPr>
            </w:pPr>
            <w:r>
              <w:rPr>
                <w:rFonts w:ascii="Arial" w:cs="Arial" w:eastAsia="Arial" w:hAnsi="Arial"/>
                <w:sz w:val="7"/>
                <w:szCs w:val="7"/>
                <w:b w:val="1"/>
                <w:bCs w:val="1"/>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7"/>
                <w:szCs w:val="7"/>
                <w:b w:val="1"/>
                <w:bCs w:val="1"/>
                <w:color w:val="auto"/>
              </w:rPr>
              <w:t>4,600,000</w:t>
            </w:r>
          </w:p>
        </w:tc>
        <w:tc>
          <w:tcPr>
            <w:tcW w:w="720" w:type="dxa"/>
            <w:vAlign w:val="bottom"/>
            <w:gridSpan w:val="3"/>
          </w:tcPr>
          <w:p>
            <w:pPr>
              <w:jc w:val="right"/>
              <w:ind w:right="20"/>
              <w:spacing w:after="0"/>
              <w:rPr>
                <w:sz w:val="20"/>
                <w:szCs w:val="20"/>
                <w:color w:val="auto"/>
              </w:rPr>
            </w:pPr>
            <w:r>
              <w:rPr>
                <w:rFonts w:ascii="Arial" w:cs="Arial" w:eastAsia="Arial" w:hAnsi="Arial"/>
                <w:sz w:val="7"/>
                <w:szCs w:val="7"/>
                <w:b w:val="1"/>
                <w:bCs w:val="1"/>
                <w:color w:val="auto"/>
              </w:rPr>
              <w:t>$</w:t>
            </w:r>
          </w:p>
        </w:tc>
        <w:tc>
          <w:tcPr>
            <w:tcW w:w="320" w:type="dxa"/>
            <w:vAlign w:val="bottom"/>
          </w:tcPr>
          <w:p>
            <w:pPr>
              <w:jc w:val="right"/>
              <w:spacing w:after="0"/>
              <w:rPr>
                <w:sz w:val="20"/>
                <w:szCs w:val="20"/>
                <w:color w:val="auto"/>
              </w:rPr>
            </w:pPr>
            <w:r>
              <w:rPr>
                <w:rFonts w:ascii="Arial" w:cs="Arial" w:eastAsia="Arial" w:hAnsi="Arial"/>
                <w:sz w:val="7"/>
                <w:szCs w:val="7"/>
                <w:b w:val="1"/>
                <w:bCs w:val="1"/>
                <w:color w:val="auto"/>
              </w:rPr>
              <w:t>929</w:t>
            </w:r>
          </w:p>
        </w:tc>
        <w:tc>
          <w:tcPr>
            <w:tcW w:w="180" w:type="dxa"/>
            <w:vAlign w:val="bottom"/>
          </w:tcPr>
          <w:p>
            <w:pPr>
              <w:spacing w:after="0"/>
              <w:rPr>
                <w:sz w:val="16"/>
                <w:szCs w:val="16"/>
                <w:color w:val="auto"/>
              </w:rPr>
            </w:pPr>
          </w:p>
        </w:tc>
      </w:tr>
    </w:tbl>
    <w:p>
      <w:pPr>
        <w:spacing w:after="0" w:line="133" w:lineRule="exact"/>
        <w:rPr>
          <w:sz w:val="20"/>
          <w:szCs w:val="20"/>
          <w:color w:val="auto"/>
        </w:rPr>
      </w:pPr>
    </w:p>
    <w:p>
      <w:pPr>
        <w:ind w:left="160" w:hanging="111"/>
        <w:spacing w:after="0"/>
        <w:tabs>
          <w:tab w:leader="none" w:pos="160" w:val="left"/>
        </w:tabs>
        <w:numPr>
          <w:ilvl w:val="0"/>
          <w:numId w:val="35"/>
        </w:numPr>
        <w:rPr>
          <w:rFonts w:ascii="Arial" w:cs="Arial" w:eastAsia="Arial" w:hAnsi="Arial"/>
          <w:sz w:val="7"/>
          <w:szCs w:val="7"/>
          <w:color w:val="auto"/>
        </w:rPr>
      </w:pPr>
      <w:r>
        <w:rPr>
          <w:rFonts w:ascii="Arial" w:cs="Arial" w:eastAsia="Arial" w:hAnsi="Arial"/>
          <w:sz w:val="7"/>
          <w:szCs w:val="7"/>
          <w:color w:val="auto"/>
        </w:rPr>
        <w:t>Company sold a 45% JV interest in the property at an implied $126.5 million gross asset valuation.</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5"/>
        </w:numPr>
        <w:rPr>
          <w:rFonts w:ascii="Arial" w:cs="Arial" w:eastAsia="Arial" w:hAnsi="Arial"/>
          <w:sz w:val="7"/>
          <w:szCs w:val="7"/>
          <w:color w:val="auto"/>
        </w:rPr>
      </w:pPr>
      <w:r>
        <w:rPr>
          <w:rFonts w:ascii="Arial" w:cs="Arial" w:eastAsia="Arial" w:hAnsi="Arial"/>
          <w:sz w:val="7"/>
          <w:szCs w:val="7"/>
          <w:color w:val="auto"/>
        </w:rPr>
        <w:t>Company sold a 75% JV interest in the property at an implied $318.5 million gross asset valuation.</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5"/>
        </w:numPr>
        <w:rPr>
          <w:rFonts w:ascii="Arial" w:cs="Arial" w:eastAsia="Arial" w:hAnsi="Arial"/>
          <w:sz w:val="7"/>
          <w:szCs w:val="7"/>
          <w:color w:val="auto"/>
        </w:rPr>
      </w:pPr>
      <w:r>
        <w:rPr>
          <w:rFonts w:ascii="Arial" w:cs="Arial" w:eastAsia="Arial" w:hAnsi="Arial"/>
          <w:sz w:val="7"/>
          <w:szCs w:val="7"/>
          <w:color w:val="auto"/>
        </w:rPr>
        <w:t>Company sold a 50% JV interest in the property at an implied $240.0 million gross asset valuation.</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5"/>
        </w:numPr>
        <w:rPr>
          <w:rFonts w:ascii="Arial" w:cs="Arial" w:eastAsia="Arial" w:hAnsi="Arial"/>
          <w:sz w:val="7"/>
          <w:szCs w:val="7"/>
          <w:color w:val="auto"/>
        </w:rPr>
      </w:pPr>
      <w:r>
        <w:rPr>
          <w:rFonts w:ascii="Arial" w:cs="Arial" w:eastAsia="Arial" w:hAnsi="Arial"/>
          <w:sz w:val="7"/>
          <w:szCs w:val="7"/>
          <w:color w:val="auto"/>
        </w:rPr>
        <w:t>Company sold a 85% JV interest in the property at an implied $335.0 million gross asset valuation.</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5"/>
        </w:numPr>
        <w:rPr>
          <w:rFonts w:ascii="Arial" w:cs="Arial" w:eastAsia="Arial" w:hAnsi="Arial"/>
          <w:sz w:val="7"/>
          <w:szCs w:val="7"/>
          <w:color w:val="auto"/>
        </w:rPr>
      </w:pPr>
      <w:r>
        <w:rPr>
          <w:rFonts w:ascii="Arial" w:cs="Arial" w:eastAsia="Arial" w:hAnsi="Arial"/>
          <w:sz w:val="7"/>
          <w:szCs w:val="7"/>
          <w:color w:val="auto"/>
        </w:rPr>
        <w:t>Company sold a 15% JV interest in the property at an implied $274.0 million gross asset valuation.</w:t>
      </w:r>
    </w:p>
    <w:p>
      <w:pPr>
        <w:spacing w:after="0" w:line="138" w:lineRule="exact"/>
        <w:rPr>
          <w:rFonts w:ascii="Arial" w:cs="Arial" w:eastAsia="Arial" w:hAnsi="Arial"/>
          <w:sz w:val="7"/>
          <w:szCs w:val="7"/>
          <w:color w:val="auto"/>
        </w:rPr>
      </w:pPr>
    </w:p>
    <w:p>
      <w:pPr>
        <w:ind w:left="160" w:hanging="111"/>
        <w:spacing w:after="0"/>
        <w:tabs>
          <w:tab w:leader="none" w:pos="160" w:val="left"/>
        </w:tabs>
        <w:numPr>
          <w:ilvl w:val="0"/>
          <w:numId w:val="35"/>
        </w:numPr>
        <w:rPr>
          <w:rFonts w:ascii="Arial" w:cs="Arial" w:eastAsia="Arial" w:hAnsi="Arial"/>
          <w:sz w:val="7"/>
          <w:szCs w:val="7"/>
          <w:color w:val="auto"/>
        </w:rPr>
      </w:pPr>
      <w:r>
        <w:rPr>
          <w:rFonts w:ascii="Arial" w:cs="Arial" w:eastAsia="Arial" w:hAnsi="Arial"/>
          <w:sz w:val="7"/>
          <w:szCs w:val="7"/>
          <w:color w:val="auto"/>
        </w:rPr>
        <w:t>Company sold a 45% JV interest in the property at an implied $1.28 billion gross asset valuation.</w:t>
      </w:r>
    </w:p>
    <w:p>
      <w:pPr>
        <w:spacing w:after="0" w:line="39" w:lineRule="exact"/>
        <w:rPr>
          <w:rFonts w:ascii="Arial" w:cs="Arial" w:eastAsia="Arial" w:hAnsi="Arial"/>
          <w:sz w:val="7"/>
          <w:szCs w:val="7"/>
          <w:color w:val="auto"/>
        </w:rPr>
      </w:pPr>
    </w:p>
    <w:p>
      <w:pPr>
        <w:ind w:left="160" w:hanging="111"/>
        <w:spacing w:after="0"/>
        <w:tabs>
          <w:tab w:leader="none" w:pos="160" w:val="left"/>
        </w:tabs>
        <w:numPr>
          <w:ilvl w:val="0"/>
          <w:numId w:val="35"/>
        </w:numPr>
        <w:rPr>
          <w:rFonts w:ascii="Arial" w:cs="Arial" w:eastAsia="Arial" w:hAnsi="Arial"/>
          <w:sz w:val="7"/>
          <w:szCs w:val="7"/>
          <w:color w:val="auto"/>
        </w:rPr>
      </w:pPr>
      <w:r>
        <w:rPr>
          <w:rFonts w:ascii="Arial" w:cs="Arial" w:eastAsia="Arial" w:hAnsi="Arial"/>
          <w:sz w:val="7"/>
          <w:szCs w:val="7"/>
          <w:color w:val="auto"/>
        </w:rPr>
        <w:t>Company sold a 40% JV interest in the property at an implied $2.6 billion gross asset valuation, inclusive of the cost associated with lease stipulated improvements to the property.</w:t>
      </w:r>
    </w:p>
    <w:p>
      <w:pPr>
        <w:sectPr>
          <w:pgSz w:w="11900" w:h="16838" w:orient="portrait"/>
          <w:cols w:equalWidth="0" w:num="1">
            <w:col w:w="10080"/>
          </w:cols>
          <w:pgMar w:left="900" w:top="338" w:right="919" w:bottom="1440" w:gutter="0" w:footer="0" w:header="0"/>
        </w:sectPr>
      </w:pPr>
    </w:p>
    <w:p>
      <w:pPr>
        <w:spacing w:after="0" w:line="341"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52</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080"/>
          </w:cols>
          <w:pgMar w:left="900" w:top="338" w:right="919" w:bottom="1440" w:gutter="0" w:footer="0" w:header="0"/>
          <w:type w:val="continuous"/>
        </w:sectPr>
      </w:pPr>
    </w:p>
    <w:bookmarkStart w:id="69" w:name="page70"/>
    <w:bookmarkEnd w:id="69"/>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ACQUISITION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5988050</wp:posOffset>
            </wp:positionH>
            <wp:positionV relativeFrom="paragraph">
              <wp:posOffset>-27940</wp:posOffset>
            </wp:positionV>
            <wp:extent cx="1263015" cy="36068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Suburban</w:t>
      </w:r>
    </w:p>
    <w:p>
      <w:pPr>
        <w:spacing w:after="0"/>
        <w:rPr>
          <w:sz w:val="20"/>
          <w:szCs w:val="20"/>
          <w:color w:val="auto"/>
        </w:rPr>
      </w:pPr>
      <w:r>
        <w:rPr>
          <w:rFonts w:ascii="Arial" w:cs="Arial" w:eastAsia="Arial" w:hAnsi="Arial"/>
          <w:sz w:val="15"/>
          <w:szCs w:val="15"/>
          <w:b w:val="1"/>
          <w:bCs w:val="1"/>
          <w:color w:val="auto"/>
        </w:rPr>
        <w:t>Unaudited</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27940</wp:posOffset>
            </wp:positionV>
            <wp:extent cx="641223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tbl>
      <w:tblPr>
        <w:tblLayout w:type="fixed"/>
        <w:tblInd w:w="660" w:type="dxa"/>
        <w:tblCellMar>
          <w:top w:w="0" w:type="dxa"/>
          <w:left w:w="0" w:type="dxa"/>
          <w:bottom w:w="0" w:type="dxa"/>
          <w:right w:w="0" w:type="dxa"/>
        </w:tblCellMar>
      </w:tblPr>
      <w:tr>
        <w:trPr>
          <w:trHeight w:val="124"/>
        </w:trPr>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9"/>
                <w:szCs w:val="9"/>
                <w:b w:val="1"/>
                <w:bCs w:val="1"/>
                <w:color w:val="auto"/>
              </w:rPr>
              <w:t>Occupancy (%)</w:t>
            </w:r>
          </w:p>
        </w:tc>
        <w:tc>
          <w:tcPr>
            <w:tcW w:w="3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7"/>
              </w:rPr>
              <w:t>Acquisition</w:t>
            </w:r>
          </w:p>
        </w:tc>
      </w:tr>
      <w:tr>
        <w:trPr>
          <w:trHeight w:val="175"/>
        </w:trPr>
        <w:tc>
          <w:tcPr>
            <w:tcW w:w="1160" w:type="dxa"/>
            <w:vAlign w:val="bottom"/>
          </w:tcPr>
          <w:p>
            <w:pPr>
              <w:spacing w:after="0"/>
              <w:rPr>
                <w:sz w:val="15"/>
                <w:szCs w:val="15"/>
                <w:color w:val="auto"/>
              </w:rPr>
            </w:pPr>
          </w:p>
        </w:tc>
        <w:tc>
          <w:tcPr>
            <w:tcW w:w="1660" w:type="dxa"/>
            <w:vAlign w:val="bottom"/>
            <w:gridSpan w:val="4"/>
          </w:tcPr>
          <w:p>
            <w:pPr>
              <w:ind w:left="120"/>
              <w:spacing w:after="0"/>
              <w:rPr>
                <w:sz w:val="20"/>
                <w:szCs w:val="20"/>
                <w:color w:val="auto"/>
              </w:rPr>
            </w:pPr>
            <w:r>
              <w:rPr>
                <w:rFonts w:ascii="Arial" w:cs="Arial" w:eastAsia="Arial" w:hAnsi="Arial"/>
                <w:sz w:val="9"/>
                <w:szCs w:val="9"/>
                <w:b w:val="1"/>
                <w:bCs w:val="1"/>
                <w:color w:val="auto"/>
              </w:rPr>
              <w:t>Property</w:t>
            </w:r>
          </w:p>
        </w:tc>
        <w:tc>
          <w:tcPr>
            <w:tcW w:w="1460" w:type="dxa"/>
            <w:vAlign w:val="bottom"/>
            <w:gridSpan w:val="3"/>
          </w:tcPr>
          <w:p>
            <w:pPr>
              <w:ind w:left="60"/>
              <w:spacing w:after="0"/>
              <w:rPr>
                <w:sz w:val="20"/>
                <w:szCs w:val="20"/>
                <w:color w:val="auto"/>
              </w:rPr>
            </w:pPr>
            <w:r>
              <w:rPr>
                <w:rFonts w:ascii="Arial" w:cs="Arial" w:eastAsia="Arial" w:hAnsi="Arial"/>
                <w:sz w:val="9"/>
                <w:szCs w:val="9"/>
                <w:b w:val="1"/>
                <w:bCs w:val="1"/>
                <w:color w:val="auto"/>
              </w:rPr>
              <w:t>Type of Ownership</w:t>
            </w:r>
          </w:p>
        </w:tc>
        <w:tc>
          <w:tcPr>
            <w:tcW w:w="1320" w:type="dxa"/>
            <w:vAlign w:val="bottom"/>
            <w:gridSpan w:val="3"/>
          </w:tcPr>
          <w:p>
            <w:pPr>
              <w:ind w:left="100"/>
              <w:spacing w:after="0"/>
              <w:rPr>
                <w:sz w:val="20"/>
                <w:szCs w:val="20"/>
                <w:color w:val="auto"/>
              </w:rPr>
            </w:pPr>
            <w:r>
              <w:rPr>
                <w:rFonts w:ascii="Arial" w:cs="Arial" w:eastAsia="Arial" w:hAnsi="Arial"/>
                <w:sz w:val="9"/>
                <w:szCs w:val="9"/>
                <w:b w:val="1"/>
                <w:bCs w:val="1"/>
                <w:color w:val="auto"/>
              </w:rPr>
              <w:t>Submarket</w:t>
            </w:r>
          </w:p>
        </w:tc>
        <w:tc>
          <w:tcPr>
            <w:tcW w:w="980" w:type="dxa"/>
            <w:vAlign w:val="bottom"/>
            <w:gridSpan w:val="4"/>
          </w:tcPr>
          <w:p>
            <w:pPr>
              <w:ind w:left="300"/>
              <w:spacing w:after="0"/>
              <w:rPr>
                <w:sz w:val="20"/>
                <w:szCs w:val="20"/>
                <w:color w:val="auto"/>
              </w:rPr>
            </w:pPr>
            <w:r>
              <w:rPr>
                <w:rFonts w:ascii="Arial" w:cs="Arial" w:eastAsia="Arial" w:hAnsi="Arial"/>
                <w:sz w:val="9"/>
                <w:szCs w:val="9"/>
                <w:b w:val="1"/>
                <w:bCs w:val="1"/>
                <w:color w:val="auto"/>
                <w:w w:val="95"/>
              </w:rPr>
              <w:t>Net Rentable SF</w:t>
            </w: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2"/>
          </w:tcPr>
          <w:p>
            <w:pPr>
              <w:jc w:val="right"/>
              <w:ind w:right="720"/>
              <w:spacing w:after="0"/>
              <w:rPr>
                <w:sz w:val="20"/>
                <w:szCs w:val="20"/>
                <w:color w:val="auto"/>
              </w:rPr>
            </w:pPr>
            <w:r>
              <w:rPr>
                <w:rFonts w:ascii="Arial" w:cs="Arial" w:eastAsia="Arial" w:hAnsi="Arial"/>
                <w:sz w:val="9"/>
                <w:szCs w:val="9"/>
                <w:b w:val="1"/>
                <w:bCs w:val="1"/>
                <w:color w:val="auto"/>
                <w:w w:val="92"/>
              </w:rPr>
              <w:t>at acquisition</w:t>
            </w:r>
          </w:p>
        </w:tc>
        <w:tc>
          <w:tcPr>
            <w:tcW w:w="380" w:type="dxa"/>
            <w:vAlign w:val="bottom"/>
          </w:tcPr>
          <w:p>
            <w:pPr>
              <w:jc w:val="right"/>
              <w:spacing w:after="0"/>
              <w:rPr>
                <w:sz w:val="20"/>
                <w:szCs w:val="20"/>
                <w:color w:val="auto"/>
              </w:rPr>
            </w:pPr>
            <w:r>
              <w:rPr>
                <w:rFonts w:ascii="Arial" w:cs="Arial" w:eastAsia="Arial" w:hAnsi="Arial"/>
                <w:sz w:val="9"/>
                <w:szCs w:val="9"/>
                <w:b w:val="1"/>
                <w:bCs w:val="1"/>
                <w:color w:val="auto"/>
                <w:w w:val="89"/>
              </w:rPr>
              <w:t>9/30/2016</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9"/>
                <w:szCs w:val="9"/>
                <w:b w:val="1"/>
                <w:bCs w:val="1"/>
                <w:color w:val="auto"/>
                <w:w w:val="93"/>
              </w:rPr>
              <w:t xml:space="preserve">Price </w:t>
            </w:r>
            <w:r>
              <w:rPr>
                <w:rFonts w:ascii="Arial" w:cs="Arial" w:eastAsia="Arial" w:hAnsi="Arial"/>
                <w:sz w:val="9"/>
                <w:szCs w:val="9"/>
                <w:b w:val="1"/>
                <w:bCs w:val="1"/>
                <w:u w:val="single" w:color="auto"/>
                <w:color w:val="auto"/>
                <w:w w:val="93"/>
              </w:rPr>
              <w:t>($</w:t>
            </w:r>
            <w:r>
              <w:rPr>
                <w:rFonts w:ascii="Arial" w:cs="Arial" w:eastAsia="Arial" w:hAnsi="Arial"/>
                <w:sz w:val="9"/>
                <w:szCs w:val="9"/>
                <w:b w:val="1"/>
                <w:bCs w:val="1"/>
                <w:color w:val="auto"/>
                <w:w w:val="93"/>
              </w:rPr>
              <w:t xml:space="preserve">'s) </w:t>
            </w:r>
            <w:r>
              <w:rPr>
                <w:rFonts w:ascii="Arial" w:cs="Arial" w:eastAsia="Arial" w:hAnsi="Arial"/>
                <w:sz w:val="5"/>
                <w:szCs w:val="5"/>
                <w:b w:val="1"/>
                <w:bCs w:val="1"/>
                <w:color w:val="auto"/>
                <w:w w:val="93"/>
              </w:rPr>
              <w:t>(1)</w:t>
            </w:r>
          </w:p>
        </w:tc>
      </w:tr>
      <w:tr>
        <w:trPr>
          <w:trHeight w:val="223"/>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2007 - 2016 Acquisitions</w:t>
            </w: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r>
      <w:tr>
        <w:trPr>
          <w:trHeight w:val="201"/>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4"/>
              </w:rPr>
              <w:t>Jan-07</w:t>
            </w:r>
          </w:p>
        </w:tc>
        <w:tc>
          <w:tcPr>
            <w:tcW w:w="280" w:type="dxa"/>
            <w:vAlign w:val="bottom"/>
            <w:gridSpan w:val="2"/>
          </w:tcPr>
          <w:p>
            <w:pPr>
              <w:ind w:left="120"/>
              <w:spacing w:after="0"/>
              <w:rPr>
                <w:sz w:val="20"/>
                <w:szCs w:val="20"/>
                <w:color w:val="auto"/>
              </w:rPr>
            </w:pPr>
            <w:r>
              <w:rPr>
                <w:rFonts w:ascii="Arial" w:cs="Arial" w:eastAsia="Arial" w:hAnsi="Arial"/>
                <w:sz w:val="9"/>
                <w:szCs w:val="9"/>
                <w:color w:val="auto"/>
                <w:w w:val="92"/>
              </w:rPr>
              <w:t>300</w:t>
            </w:r>
          </w:p>
        </w:tc>
        <w:tc>
          <w:tcPr>
            <w:tcW w:w="1380" w:type="dxa"/>
            <w:vAlign w:val="bottom"/>
            <w:gridSpan w:val="2"/>
          </w:tcPr>
          <w:p>
            <w:pPr>
              <w:ind w:left="20"/>
              <w:spacing w:after="0"/>
              <w:rPr>
                <w:sz w:val="20"/>
                <w:szCs w:val="20"/>
                <w:color w:val="auto"/>
              </w:rPr>
            </w:pPr>
            <w:r>
              <w:rPr>
                <w:rFonts w:ascii="Arial" w:cs="Arial" w:eastAsia="Arial" w:hAnsi="Arial"/>
                <w:sz w:val="9"/>
                <w:szCs w:val="9"/>
                <w:color w:val="auto"/>
              </w:rPr>
              <w:t>Main Street</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Stamford, Connecticut</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130,000</w:t>
            </w:r>
          </w:p>
        </w:tc>
        <w:tc>
          <w:tcPr>
            <w:tcW w:w="20" w:type="dxa"/>
            <w:vAlign w:val="bottom"/>
          </w:tcPr>
          <w:p>
            <w:pPr>
              <w:spacing w:after="0"/>
              <w:rPr>
                <w:sz w:val="17"/>
                <w:szCs w:val="17"/>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92.5</w:t>
            </w: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200" w:type="dxa"/>
            <w:vAlign w:val="bottom"/>
          </w:tcPr>
          <w:p>
            <w:pPr>
              <w:jc w:val="right"/>
              <w:ind w:right="96"/>
              <w:spacing w:after="0"/>
              <w:rPr>
                <w:sz w:val="20"/>
                <w:szCs w:val="20"/>
                <w:color w:val="auto"/>
              </w:rPr>
            </w:pPr>
            <w:r>
              <w:rPr>
                <w:rFonts w:ascii="Arial" w:cs="Arial" w:eastAsia="Arial" w:hAnsi="Arial"/>
                <w:sz w:val="9"/>
                <w:szCs w:val="9"/>
                <w:color w:val="auto"/>
                <w:w w:val="78"/>
              </w:rPr>
              <w:t>$</w:t>
            </w: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15,000</w:t>
            </w:r>
          </w:p>
        </w:tc>
      </w:tr>
      <w:tr>
        <w:trPr>
          <w:trHeight w:val="219"/>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4"/>
              </w:rPr>
              <w:t>Jan-07</w:t>
            </w:r>
          </w:p>
        </w:tc>
        <w:tc>
          <w:tcPr>
            <w:tcW w:w="280" w:type="dxa"/>
            <w:vAlign w:val="bottom"/>
            <w:gridSpan w:val="2"/>
          </w:tcPr>
          <w:p>
            <w:pPr>
              <w:ind w:left="120"/>
              <w:spacing w:after="0"/>
              <w:rPr>
                <w:sz w:val="20"/>
                <w:szCs w:val="20"/>
                <w:color w:val="auto"/>
              </w:rPr>
            </w:pPr>
            <w:r>
              <w:rPr>
                <w:rFonts w:ascii="Arial" w:cs="Arial" w:eastAsia="Arial" w:hAnsi="Arial"/>
                <w:sz w:val="9"/>
                <w:szCs w:val="9"/>
                <w:color w:val="auto"/>
                <w:w w:val="92"/>
              </w:rPr>
              <w:t>399</w:t>
            </w:r>
          </w:p>
        </w:tc>
        <w:tc>
          <w:tcPr>
            <w:tcW w:w="1380" w:type="dxa"/>
            <w:vAlign w:val="bottom"/>
            <w:gridSpan w:val="2"/>
          </w:tcPr>
          <w:p>
            <w:pPr>
              <w:ind w:left="20"/>
              <w:spacing w:after="0"/>
              <w:rPr>
                <w:sz w:val="20"/>
                <w:szCs w:val="20"/>
                <w:color w:val="auto"/>
              </w:rPr>
            </w:pPr>
            <w:r>
              <w:rPr>
                <w:rFonts w:ascii="Arial" w:cs="Arial" w:eastAsia="Arial" w:hAnsi="Arial"/>
                <w:sz w:val="9"/>
                <w:szCs w:val="9"/>
                <w:color w:val="auto"/>
              </w:rPr>
              <w:t>Knollwood Road</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White Plains, New York</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145,000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96.6</w:t>
            </w: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31,600</w:t>
            </w:r>
          </w:p>
        </w:tc>
      </w:tr>
      <w:tr>
        <w:trPr>
          <w:trHeight w:val="219"/>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4"/>
              </w:rPr>
              <w:t>Jan-07</w:t>
            </w:r>
          </w:p>
        </w:tc>
        <w:tc>
          <w:tcPr>
            <w:tcW w:w="1660" w:type="dxa"/>
            <w:vAlign w:val="bottom"/>
            <w:gridSpan w:val="4"/>
          </w:tcPr>
          <w:p>
            <w:pPr>
              <w:ind w:left="120"/>
              <w:spacing w:after="0"/>
              <w:rPr>
                <w:sz w:val="20"/>
                <w:szCs w:val="20"/>
                <w:color w:val="auto"/>
              </w:rPr>
            </w:pPr>
            <w:r>
              <w:rPr>
                <w:rFonts w:ascii="Arial" w:cs="Arial" w:eastAsia="Arial" w:hAnsi="Arial"/>
                <w:sz w:val="9"/>
                <w:szCs w:val="9"/>
                <w:color w:val="auto"/>
              </w:rPr>
              <w:t>Reckson - Connecticut Portfolio</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Interests / Leasehold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Stamford, Connecticut</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1,369,800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88.9</w:t>
            </w:r>
          </w:p>
        </w:tc>
        <w:tc>
          <w:tcPr>
            <w:tcW w:w="380" w:type="dxa"/>
            <w:vAlign w:val="bottom"/>
          </w:tcPr>
          <w:p>
            <w:pPr>
              <w:jc w:val="right"/>
              <w:spacing w:after="0"/>
              <w:rPr>
                <w:sz w:val="20"/>
                <w:szCs w:val="20"/>
                <w:color w:val="auto"/>
              </w:rPr>
            </w:pPr>
            <w:r>
              <w:rPr>
                <w:rFonts w:ascii="Arial" w:cs="Arial" w:eastAsia="Arial" w:hAnsi="Arial"/>
                <w:sz w:val="9"/>
                <w:szCs w:val="9"/>
                <w:color w:val="auto"/>
              </w:rPr>
              <w:t>87.9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490,750</w:t>
            </w:r>
          </w:p>
        </w:tc>
      </w:tr>
      <w:tr>
        <w:trPr>
          <w:trHeight w:val="219"/>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4"/>
              </w:rPr>
              <w:t>Jan-07</w:t>
            </w:r>
          </w:p>
        </w:tc>
        <w:tc>
          <w:tcPr>
            <w:tcW w:w="1660" w:type="dxa"/>
            <w:vAlign w:val="bottom"/>
            <w:gridSpan w:val="4"/>
          </w:tcPr>
          <w:p>
            <w:pPr>
              <w:ind w:left="120"/>
              <w:spacing w:after="0"/>
              <w:rPr>
                <w:sz w:val="20"/>
                <w:szCs w:val="20"/>
                <w:color w:val="auto"/>
              </w:rPr>
            </w:pPr>
            <w:r>
              <w:rPr>
                <w:rFonts w:ascii="Arial" w:cs="Arial" w:eastAsia="Arial" w:hAnsi="Arial"/>
                <w:sz w:val="9"/>
                <w:szCs w:val="9"/>
                <w:color w:val="auto"/>
              </w:rPr>
              <w:t>Reckson - Westchester Portfolio</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Interests / Leasehold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Westchester</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2,346,100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90.6</w:t>
            </w:r>
          </w:p>
        </w:tc>
        <w:tc>
          <w:tcPr>
            <w:tcW w:w="380" w:type="dxa"/>
            <w:vAlign w:val="bottom"/>
          </w:tcPr>
          <w:p>
            <w:pPr>
              <w:jc w:val="right"/>
              <w:spacing w:after="0"/>
              <w:rPr>
                <w:sz w:val="20"/>
                <w:szCs w:val="20"/>
                <w:color w:val="auto"/>
              </w:rPr>
            </w:pPr>
            <w:r>
              <w:rPr>
                <w:rFonts w:ascii="Arial" w:cs="Arial" w:eastAsia="Arial" w:hAnsi="Arial"/>
                <w:sz w:val="9"/>
                <w:szCs w:val="9"/>
                <w:color w:val="auto"/>
              </w:rPr>
              <w:t>80.0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570,190</w:t>
            </w:r>
          </w:p>
        </w:tc>
      </w:tr>
      <w:tr>
        <w:trPr>
          <w:trHeight w:val="219"/>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6"/>
              </w:rPr>
              <w:t>Apr-07</w:t>
            </w:r>
          </w:p>
        </w:tc>
        <w:tc>
          <w:tcPr>
            <w:tcW w:w="1660" w:type="dxa"/>
            <w:vAlign w:val="bottom"/>
            <w:gridSpan w:val="4"/>
          </w:tcPr>
          <w:p>
            <w:pPr>
              <w:ind w:left="120"/>
              <w:spacing w:after="0"/>
              <w:rPr>
                <w:sz w:val="20"/>
                <w:szCs w:val="20"/>
                <w:color w:val="auto"/>
              </w:rPr>
            </w:pPr>
            <w:r>
              <w:rPr>
                <w:rFonts w:ascii="Arial" w:cs="Arial" w:eastAsia="Arial" w:hAnsi="Arial"/>
                <w:sz w:val="9"/>
                <w:szCs w:val="9"/>
                <w:color w:val="auto"/>
              </w:rPr>
              <w:t>Jericho Plazas - 20.26% JV</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Jericho, New York</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640,000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98.4</w:t>
            </w:r>
          </w:p>
        </w:tc>
        <w:tc>
          <w:tcPr>
            <w:tcW w:w="380" w:type="dxa"/>
            <w:vAlign w:val="bottom"/>
          </w:tcPr>
          <w:p>
            <w:pPr>
              <w:jc w:val="right"/>
              <w:spacing w:after="0"/>
              <w:rPr>
                <w:sz w:val="20"/>
                <w:szCs w:val="20"/>
                <w:color w:val="auto"/>
              </w:rPr>
            </w:pPr>
            <w:r>
              <w:rPr>
                <w:rFonts w:ascii="Arial" w:cs="Arial" w:eastAsia="Arial" w:hAnsi="Arial"/>
                <w:sz w:val="9"/>
                <w:szCs w:val="9"/>
                <w:color w:val="auto"/>
              </w:rPr>
              <w:t>71.0</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210,000</w:t>
            </w:r>
          </w:p>
        </w:tc>
      </w:tr>
      <w:tr>
        <w:trPr>
          <w:trHeight w:val="219"/>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4"/>
              </w:rPr>
              <w:t>Jun-07</w:t>
            </w:r>
          </w:p>
        </w:tc>
        <w:tc>
          <w:tcPr>
            <w:tcW w:w="1660" w:type="dxa"/>
            <w:vAlign w:val="bottom"/>
            <w:gridSpan w:val="4"/>
          </w:tcPr>
          <w:p>
            <w:pPr>
              <w:ind w:left="120"/>
              <w:spacing w:after="0"/>
              <w:rPr>
                <w:sz w:val="20"/>
                <w:szCs w:val="20"/>
                <w:color w:val="auto"/>
              </w:rPr>
            </w:pPr>
            <w:r>
              <w:rPr>
                <w:rFonts w:ascii="Arial" w:cs="Arial" w:eastAsia="Arial" w:hAnsi="Arial"/>
                <w:sz w:val="9"/>
                <w:szCs w:val="9"/>
                <w:color w:val="auto"/>
              </w:rPr>
              <w:t>1010 Washington Boulevard</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Stamford, Connecticut</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143,400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95.6</w:t>
            </w:r>
          </w:p>
        </w:tc>
        <w:tc>
          <w:tcPr>
            <w:tcW w:w="380" w:type="dxa"/>
            <w:vAlign w:val="bottom"/>
          </w:tcPr>
          <w:p>
            <w:pPr>
              <w:jc w:val="right"/>
              <w:spacing w:after="0"/>
              <w:rPr>
                <w:sz w:val="20"/>
                <w:szCs w:val="20"/>
                <w:color w:val="auto"/>
              </w:rPr>
            </w:pPr>
            <w:r>
              <w:rPr>
                <w:rFonts w:ascii="Arial" w:cs="Arial" w:eastAsia="Arial" w:hAnsi="Arial"/>
                <w:sz w:val="9"/>
                <w:szCs w:val="9"/>
                <w:color w:val="auto"/>
              </w:rPr>
              <w:t>88.2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38,000</w:t>
            </w:r>
          </w:p>
        </w:tc>
      </w:tr>
      <w:tr>
        <w:trPr>
          <w:trHeight w:val="219"/>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4"/>
              </w:rPr>
              <w:t>Jun-07</w:t>
            </w:r>
          </w:p>
        </w:tc>
        <w:tc>
          <w:tcPr>
            <w:tcW w:w="280" w:type="dxa"/>
            <w:vAlign w:val="bottom"/>
            <w:gridSpan w:val="2"/>
          </w:tcPr>
          <w:p>
            <w:pPr>
              <w:ind w:left="120"/>
              <w:spacing w:after="0"/>
              <w:rPr>
                <w:sz w:val="20"/>
                <w:szCs w:val="20"/>
                <w:color w:val="auto"/>
              </w:rPr>
            </w:pPr>
            <w:r>
              <w:rPr>
                <w:rFonts w:ascii="Arial" w:cs="Arial" w:eastAsia="Arial" w:hAnsi="Arial"/>
                <w:sz w:val="9"/>
                <w:szCs w:val="9"/>
                <w:color w:val="auto"/>
                <w:w w:val="92"/>
              </w:rPr>
              <w:t>500</w:t>
            </w:r>
          </w:p>
        </w:tc>
        <w:tc>
          <w:tcPr>
            <w:tcW w:w="1380" w:type="dxa"/>
            <w:vAlign w:val="bottom"/>
            <w:gridSpan w:val="2"/>
          </w:tcPr>
          <w:p>
            <w:pPr>
              <w:ind w:left="20"/>
              <w:spacing w:after="0"/>
              <w:rPr>
                <w:sz w:val="20"/>
                <w:szCs w:val="20"/>
                <w:color w:val="auto"/>
              </w:rPr>
            </w:pPr>
            <w:r>
              <w:rPr>
                <w:rFonts w:ascii="Arial" w:cs="Arial" w:eastAsia="Arial" w:hAnsi="Arial"/>
                <w:sz w:val="9"/>
                <w:szCs w:val="9"/>
                <w:color w:val="auto"/>
              </w:rPr>
              <w:t>West Putnam Avenue</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Greenwich, Connecticut</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121,500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94.4</w:t>
            </w: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56,000</w:t>
            </w:r>
          </w:p>
        </w:tc>
      </w:tr>
      <w:tr>
        <w:trPr>
          <w:trHeight w:val="219"/>
        </w:trPr>
        <w:tc>
          <w:tcPr>
            <w:tcW w:w="1160" w:type="dxa"/>
            <w:vAlign w:val="bottom"/>
          </w:tcPr>
          <w:p>
            <w:pPr>
              <w:jc w:val="center"/>
              <w:ind w:left="36"/>
              <w:spacing w:after="0"/>
              <w:rPr>
                <w:sz w:val="20"/>
                <w:szCs w:val="20"/>
                <w:color w:val="auto"/>
              </w:rPr>
            </w:pPr>
            <w:r>
              <w:rPr>
                <w:rFonts w:ascii="Arial" w:cs="Arial" w:eastAsia="Arial" w:hAnsi="Arial"/>
                <w:sz w:val="9"/>
                <w:szCs w:val="9"/>
                <w:color w:val="auto"/>
                <w:w w:val="97"/>
              </w:rPr>
              <w:t>Jul-07</w:t>
            </w:r>
          </w:p>
        </w:tc>
        <w:tc>
          <w:tcPr>
            <w:tcW w:w="1660" w:type="dxa"/>
            <w:vAlign w:val="bottom"/>
            <w:gridSpan w:val="4"/>
          </w:tcPr>
          <w:p>
            <w:pPr>
              <w:ind w:left="120"/>
              <w:spacing w:after="0"/>
              <w:rPr>
                <w:sz w:val="20"/>
                <w:szCs w:val="20"/>
                <w:color w:val="auto"/>
              </w:rPr>
            </w:pPr>
            <w:r>
              <w:rPr>
                <w:rFonts w:ascii="Arial" w:cs="Arial" w:eastAsia="Arial" w:hAnsi="Arial"/>
                <w:sz w:val="9"/>
                <w:szCs w:val="9"/>
                <w:color w:val="auto"/>
              </w:rPr>
              <w:t>16 Court Street - 35% JV</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Brooklyn, New York</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317,600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80.6</w:t>
            </w:r>
          </w:p>
        </w:tc>
        <w:tc>
          <w:tcPr>
            <w:tcW w:w="380" w:type="dxa"/>
            <w:vAlign w:val="bottom"/>
          </w:tcPr>
          <w:p>
            <w:pPr>
              <w:jc w:val="right"/>
              <w:spacing w:after="0"/>
              <w:rPr>
                <w:sz w:val="20"/>
                <w:szCs w:val="20"/>
                <w:color w:val="auto"/>
              </w:rPr>
            </w:pPr>
            <w:r>
              <w:rPr>
                <w:rFonts w:ascii="Arial" w:cs="Arial" w:eastAsia="Arial" w:hAnsi="Arial"/>
                <w:sz w:val="9"/>
                <w:szCs w:val="9"/>
                <w:color w:val="auto"/>
              </w:rPr>
              <w:t>95.9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107,500</w:t>
            </w:r>
          </w:p>
        </w:tc>
      </w:tr>
      <w:tr>
        <w:trPr>
          <w:trHeight w:val="219"/>
        </w:trPr>
        <w:tc>
          <w:tcPr>
            <w:tcW w:w="1160" w:type="dxa"/>
            <w:vAlign w:val="bottom"/>
          </w:tcPr>
          <w:p>
            <w:pPr>
              <w:jc w:val="center"/>
              <w:ind w:left="36"/>
              <w:spacing w:after="0"/>
              <w:rPr>
                <w:sz w:val="20"/>
                <w:szCs w:val="20"/>
                <w:color w:val="auto"/>
              </w:rPr>
            </w:pPr>
            <w:r>
              <w:rPr>
                <w:rFonts w:ascii="Arial" w:cs="Arial" w:eastAsia="Arial" w:hAnsi="Arial"/>
                <w:sz w:val="9"/>
                <w:szCs w:val="9"/>
                <w:color w:val="auto"/>
                <w:w w:val="96"/>
              </w:rPr>
              <w:t>Aug-07</w:t>
            </w:r>
          </w:p>
        </w:tc>
        <w:tc>
          <w:tcPr>
            <w:tcW w:w="280" w:type="dxa"/>
            <w:vAlign w:val="bottom"/>
            <w:gridSpan w:val="2"/>
          </w:tcPr>
          <w:p>
            <w:pPr>
              <w:ind w:left="120"/>
              <w:spacing w:after="0"/>
              <w:rPr>
                <w:sz w:val="20"/>
                <w:szCs w:val="20"/>
                <w:color w:val="auto"/>
              </w:rPr>
            </w:pPr>
            <w:r>
              <w:rPr>
                <w:rFonts w:ascii="Arial" w:cs="Arial" w:eastAsia="Arial" w:hAnsi="Arial"/>
                <w:sz w:val="9"/>
                <w:szCs w:val="9"/>
                <w:color w:val="auto"/>
                <w:w w:val="92"/>
              </w:rPr>
              <w:t>150</w:t>
            </w:r>
          </w:p>
        </w:tc>
        <w:tc>
          <w:tcPr>
            <w:tcW w:w="1380" w:type="dxa"/>
            <w:vAlign w:val="bottom"/>
            <w:gridSpan w:val="2"/>
          </w:tcPr>
          <w:p>
            <w:pPr>
              <w:ind w:left="20"/>
              <w:spacing w:after="0"/>
              <w:rPr>
                <w:sz w:val="20"/>
                <w:szCs w:val="20"/>
                <w:color w:val="auto"/>
              </w:rPr>
            </w:pPr>
            <w:r>
              <w:rPr>
                <w:rFonts w:ascii="Arial" w:cs="Arial" w:eastAsia="Arial" w:hAnsi="Arial"/>
                <w:sz w:val="9"/>
                <w:szCs w:val="9"/>
                <w:color w:val="auto"/>
              </w:rPr>
              <w:t>Grand Street</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White Plains, New York</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85,000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52.9</w:t>
            </w: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6,700</w:t>
            </w:r>
          </w:p>
        </w:tc>
      </w:tr>
      <w:tr>
        <w:trPr>
          <w:trHeight w:val="219"/>
        </w:trPr>
        <w:tc>
          <w:tcPr>
            <w:tcW w:w="1160" w:type="dxa"/>
            <w:vAlign w:val="bottom"/>
          </w:tcPr>
          <w:p>
            <w:pPr>
              <w:jc w:val="center"/>
              <w:ind w:left="36"/>
              <w:spacing w:after="0"/>
              <w:rPr>
                <w:sz w:val="20"/>
                <w:szCs w:val="20"/>
                <w:color w:val="auto"/>
              </w:rPr>
            </w:pPr>
            <w:r>
              <w:rPr>
                <w:rFonts w:ascii="Arial" w:cs="Arial" w:eastAsia="Arial" w:hAnsi="Arial"/>
                <w:sz w:val="9"/>
                <w:szCs w:val="9"/>
                <w:color w:val="auto"/>
                <w:w w:val="96"/>
              </w:rPr>
              <w:t>Sep-07</w:t>
            </w:r>
          </w:p>
        </w:tc>
        <w:tc>
          <w:tcPr>
            <w:tcW w:w="1660" w:type="dxa"/>
            <w:vAlign w:val="bottom"/>
            <w:gridSpan w:val="4"/>
          </w:tcPr>
          <w:p>
            <w:pPr>
              <w:ind w:left="120"/>
              <w:spacing w:after="0"/>
              <w:rPr>
                <w:sz w:val="20"/>
                <w:szCs w:val="20"/>
                <w:color w:val="auto"/>
              </w:rPr>
            </w:pPr>
            <w:r>
              <w:rPr>
                <w:rFonts w:ascii="Arial" w:cs="Arial" w:eastAsia="Arial" w:hAnsi="Arial"/>
                <w:sz w:val="9"/>
                <w:szCs w:val="9"/>
                <w:color w:val="auto"/>
              </w:rPr>
              <w:t>The Meadows - 25% JV</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Rutherford, New Jersey</w:t>
            </w:r>
          </w:p>
        </w:tc>
        <w:tc>
          <w:tcPr>
            <w:tcW w:w="960" w:type="dxa"/>
            <w:vAlign w:val="bottom"/>
            <w:gridSpan w:val="3"/>
          </w:tcPr>
          <w:p>
            <w:pPr>
              <w:jc w:val="right"/>
              <w:spacing w:after="0"/>
              <w:rPr>
                <w:sz w:val="20"/>
                <w:szCs w:val="20"/>
                <w:color w:val="auto"/>
              </w:rPr>
            </w:pPr>
            <w:r>
              <w:rPr>
                <w:rFonts w:ascii="Arial" w:cs="Arial" w:eastAsia="Arial" w:hAnsi="Arial"/>
                <w:sz w:val="9"/>
                <w:szCs w:val="9"/>
                <w:color w:val="auto"/>
              </w:rPr>
              <w:t>582,100</w:t>
            </w:r>
          </w:p>
        </w:tc>
        <w:tc>
          <w:tcPr>
            <w:tcW w:w="20" w:type="dxa"/>
            <w:vAlign w:val="bottom"/>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81.3</w:t>
            </w:r>
          </w:p>
        </w:tc>
        <w:tc>
          <w:tcPr>
            <w:tcW w:w="740" w:type="dxa"/>
            <w:vAlign w:val="bottom"/>
            <w:gridSpan w:val="3"/>
          </w:tcPr>
          <w:p>
            <w:pPr>
              <w:ind w:left="240"/>
              <w:spacing w:after="0"/>
              <w:rPr>
                <w:sz w:val="20"/>
                <w:szCs w:val="20"/>
                <w:color w:val="auto"/>
              </w:rPr>
            </w:pPr>
            <w:r>
              <w:rPr>
                <w:rFonts w:ascii="Arial" w:cs="Arial" w:eastAsia="Arial" w:hAnsi="Arial"/>
                <w:sz w:val="9"/>
                <w:szCs w:val="9"/>
                <w:color w:val="auto"/>
              </w:rPr>
              <w:t>N/A</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color w:val="auto"/>
              </w:rPr>
              <w:t>111,500</w:t>
            </w:r>
          </w:p>
        </w:tc>
      </w:tr>
      <w:tr>
        <w:trPr>
          <w:trHeight w:val="227"/>
        </w:trPr>
        <w:tc>
          <w:tcPr>
            <w:tcW w:w="1160" w:type="dxa"/>
            <w:vAlign w:val="bottom"/>
          </w:tcPr>
          <w:p>
            <w:pPr>
              <w:jc w:val="center"/>
              <w:ind w:left="56"/>
              <w:spacing w:after="0"/>
              <w:rPr>
                <w:sz w:val="20"/>
                <w:szCs w:val="20"/>
                <w:color w:val="auto"/>
              </w:rPr>
            </w:pPr>
            <w:r>
              <w:rPr>
                <w:rFonts w:ascii="Arial" w:cs="Arial" w:eastAsia="Arial" w:hAnsi="Arial"/>
                <w:sz w:val="9"/>
                <w:szCs w:val="9"/>
                <w:color w:val="auto"/>
                <w:w w:val="96"/>
              </w:rPr>
              <w:t>Apr-13</w:t>
            </w:r>
          </w:p>
        </w:tc>
        <w:tc>
          <w:tcPr>
            <w:tcW w:w="1660" w:type="dxa"/>
            <w:vAlign w:val="bottom"/>
            <w:gridSpan w:val="4"/>
          </w:tcPr>
          <w:p>
            <w:pPr>
              <w:ind w:left="120"/>
              <w:spacing w:after="0"/>
              <w:rPr>
                <w:sz w:val="20"/>
                <w:szCs w:val="20"/>
                <w:color w:val="auto"/>
              </w:rPr>
            </w:pPr>
            <w:r>
              <w:rPr>
                <w:rFonts w:ascii="Arial" w:cs="Arial" w:eastAsia="Arial" w:hAnsi="Arial"/>
                <w:sz w:val="9"/>
                <w:szCs w:val="9"/>
                <w:color w:val="auto"/>
                <w:w w:val="99"/>
              </w:rPr>
              <w:t>16 Court Street - additional JV interest</w:t>
            </w:r>
          </w:p>
        </w:tc>
        <w:tc>
          <w:tcPr>
            <w:tcW w:w="1460" w:type="dxa"/>
            <w:vAlign w:val="bottom"/>
            <w:gridSpan w:val="3"/>
          </w:tcPr>
          <w:p>
            <w:pPr>
              <w:ind w:left="60"/>
              <w:spacing w:after="0"/>
              <w:rPr>
                <w:sz w:val="20"/>
                <w:szCs w:val="20"/>
                <w:color w:val="auto"/>
              </w:rPr>
            </w:pPr>
            <w:r>
              <w:rPr>
                <w:rFonts w:ascii="Arial" w:cs="Arial" w:eastAsia="Arial" w:hAnsi="Arial"/>
                <w:sz w:val="9"/>
                <w:szCs w:val="9"/>
                <w:color w:val="auto"/>
              </w:rPr>
              <w:t>Fee Interest</w:t>
            </w:r>
          </w:p>
        </w:tc>
        <w:tc>
          <w:tcPr>
            <w:tcW w:w="1320" w:type="dxa"/>
            <w:vAlign w:val="bottom"/>
            <w:gridSpan w:val="3"/>
          </w:tcPr>
          <w:p>
            <w:pPr>
              <w:ind w:left="100"/>
              <w:spacing w:after="0"/>
              <w:rPr>
                <w:sz w:val="20"/>
                <w:szCs w:val="20"/>
                <w:color w:val="auto"/>
              </w:rPr>
            </w:pPr>
            <w:r>
              <w:rPr>
                <w:rFonts w:ascii="Arial" w:cs="Arial" w:eastAsia="Arial" w:hAnsi="Arial"/>
                <w:sz w:val="9"/>
                <w:szCs w:val="9"/>
                <w:color w:val="auto"/>
              </w:rPr>
              <w:t>Brooklyn, New York</w:t>
            </w:r>
          </w:p>
        </w:tc>
        <w:tc>
          <w:tcPr>
            <w:tcW w:w="340" w:type="dxa"/>
            <w:vAlign w:val="bottom"/>
            <w:gridSpan w:val="2"/>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317,600</w:t>
            </w:r>
          </w:p>
        </w:tc>
        <w:tc>
          <w:tcPr>
            <w:tcW w:w="20" w:type="dxa"/>
            <w:vAlign w:val="bottom"/>
            <w:tcBorders>
              <w:bottom w:val="single" w:sz="8" w:color="auto"/>
            </w:tcBorders>
          </w:tcPr>
          <w:p>
            <w:pPr>
              <w:spacing w:after="0"/>
              <w:rPr>
                <w:sz w:val="19"/>
                <w:szCs w:val="19"/>
                <w:color w:val="auto"/>
              </w:rPr>
            </w:pPr>
          </w:p>
        </w:tc>
        <w:tc>
          <w:tcPr>
            <w:tcW w:w="1880" w:type="dxa"/>
            <w:vAlign w:val="bottom"/>
            <w:gridSpan w:val="4"/>
          </w:tcPr>
          <w:p>
            <w:pPr>
              <w:jc w:val="right"/>
              <w:ind w:right="560"/>
              <w:spacing w:after="0"/>
              <w:rPr>
                <w:sz w:val="20"/>
                <w:szCs w:val="20"/>
                <w:color w:val="auto"/>
              </w:rPr>
            </w:pPr>
            <w:r>
              <w:rPr>
                <w:rFonts w:ascii="Arial" w:cs="Arial" w:eastAsia="Arial" w:hAnsi="Arial"/>
                <w:sz w:val="9"/>
                <w:szCs w:val="9"/>
                <w:color w:val="auto"/>
              </w:rPr>
              <w:t>84.9</w:t>
            </w:r>
          </w:p>
        </w:tc>
        <w:tc>
          <w:tcPr>
            <w:tcW w:w="380" w:type="dxa"/>
            <w:vAlign w:val="bottom"/>
          </w:tcPr>
          <w:p>
            <w:pPr>
              <w:jc w:val="right"/>
              <w:spacing w:after="0"/>
              <w:rPr>
                <w:sz w:val="20"/>
                <w:szCs w:val="20"/>
                <w:color w:val="auto"/>
              </w:rPr>
            </w:pPr>
            <w:r>
              <w:rPr>
                <w:rFonts w:ascii="Arial" w:cs="Arial" w:eastAsia="Arial" w:hAnsi="Arial"/>
                <w:sz w:val="9"/>
                <w:szCs w:val="9"/>
                <w:color w:val="auto"/>
              </w:rPr>
              <w:t>95.9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96,200</w:t>
            </w:r>
          </w:p>
        </w:tc>
      </w:tr>
      <w:tr>
        <w:trPr>
          <w:trHeight w:val="190"/>
        </w:trPr>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gridSpan w:val="3"/>
          </w:tcPr>
          <w:p>
            <w:pPr>
              <w:jc w:val="right"/>
              <w:spacing w:after="0"/>
              <w:rPr>
                <w:sz w:val="20"/>
                <w:szCs w:val="20"/>
                <w:color w:val="auto"/>
              </w:rPr>
            </w:pPr>
            <w:r>
              <w:rPr>
                <w:rFonts w:ascii="Arial" w:cs="Arial" w:eastAsia="Arial" w:hAnsi="Arial"/>
                <w:sz w:val="9"/>
                <w:szCs w:val="9"/>
                <w:b w:val="1"/>
                <w:bCs w:val="1"/>
                <w:color w:val="auto"/>
              </w:rPr>
              <w:t>6,198,100</w:t>
            </w: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$1,733,440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288925</wp:posOffset>
            </wp:positionV>
            <wp:extent cx="634301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343015" cy="2794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80"/>
        <w:spacing w:after="0"/>
        <w:rPr>
          <w:sz w:val="20"/>
          <w:szCs w:val="20"/>
          <w:color w:val="auto"/>
        </w:rPr>
      </w:pPr>
      <w:r>
        <w:rPr>
          <w:rFonts w:ascii="Arial" w:cs="Arial" w:eastAsia="Arial" w:hAnsi="Arial"/>
          <w:sz w:val="19"/>
          <w:szCs w:val="19"/>
          <w:b w:val="1"/>
          <w:bCs w:val="1"/>
          <w:color w:val="auto"/>
        </w:rPr>
        <w:t>SUMMARY OF REAL ESTATE SALES ACTIVITY</w:t>
      </w:r>
    </w:p>
    <w:p>
      <w:pPr>
        <w:spacing w:after="0" w:line="22"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Suburban</w:t>
      </w:r>
    </w:p>
    <w:p>
      <w:pPr>
        <w:ind w:left="680"/>
        <w:spacing w:after="0" w:line="234" w:lineRule="auto"/>
        <w:rPr>
          <w:sz w:val="20"/>
          <w:szCs w:val="20"/>
          <w:color w:val="auto"/>
        </w:rPr>
      </w:pPr>
      <w:r>
        <w:rPr>
          <w:rFonts w:ascii="Arial" w:cs="Arial" w:eastAsia="Arial" w:hAnsi="Arial"/>
          <w:sz w:val="15"/>
          <w:szCs w:val="15"/>
          <w:b w:val="1"/>
          <w:bCs w:val="1"/>
          <w:color w:val="auto"/>
        </w:rPr>
        <w:t>Unaudited</w:t>
      </w:r>
    </w:p>
    <w:p>
      <w:pPr>
        <w:ind w:left="680"/>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429260</wp:posOffset>
            </wp:positionH>
            <wp:positionV relativeFrom="paragraph">
              <wp:posOffset>20955</wp:posOffset>
            </wp:positionV>
            <wp:extent cx="634301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343015" cy="41910"/>
                    </a:xfrm>
                    <a:prstGeom prst="rect">
                      <a:avLst/>
                    </a:prstGeom>
                    <a:noFill/>
                  </pic:spPr>
                </pic:pic>
              </a:graphicData>
            </a:graphic>
          </wp:anchor>
        </w:drawing>
      </w:r>
    </w:p>
    <w:p>
      <w:pPr>
        <w:spacing w:after="0" w:line="292" w:lineRule="exact"/>
        <w:rPr>
          <w:sz w:val="20"/>
          <w:szCs w:val="20"/>
          <w:color w:val="auto"/>
        </w:rPr>
      </w:pPr>
    </w:p>
    <w:tbl>
      <w:tblPr>
        <w:tblLayout w:type="fixed"/>
        <w:tblInd w:w="660" w:type="dxa"/>
        <w:tblCellMar>
          <w:top w:w="0" w:type="dxa"/>
          <w:left w:w="0" w:type="dxa"/>
          <w:bottom w:w="0" w:type="dxa"/>
          <w:right w:w="0" w:type="dxa"/>
        </w:tblCellMar>
      </w:tblPr>
      <w:tr>
        <w:trPr>
          <w:trHeight w:val="103"/>
        </w:trPr>
        <w:tc>
          <w:tcPr>
            <w:tcW w:w="1020" w:type="dxa"/>
            <w:vAlign w:val="bottom"/>
          </w:tcPr>
          <w:p>
            <w:pPr>
              <w:spacing w:after="0"/>
              <w:rPr>
                <w:sz w:val="8"/>
                <w:szCs w:val="8"/>
                <w:color w:val="auto"/>
              </w:rPr>
            </w:pPr>
          </w:p>
        </w:tc>
        <w:tc>
          <w:tcPr>
            <w:tcW w:w="1640" w:type="dxa"/>
            <w:vAlign w:val="bottom"/>
            <w:gridSpan w:val="4"/>
          </w:tcPr>
          <w:p>
            <w:pPr>
              <w:ind w:left="260"/>
              <w:spacing w:after="0"/>
              <w:rPr>
                <w:sz w:val="20"/>
                <w:szCs w:val="20"/>
                <w:color w:val="auto"/>
              </w:rPr>
            </w:pPr>
            <w:r>
              <w:rPr>
                <w:rFonts w:ascii="Arial" w:cs="Arial" w:eastAsia="Arial" w:hAnsi="Arial"/>
                <w:sz w:val="9"/>
                <w:szCs w:val="9"/>
                <w:b w:val="1"/>
                <w:bCs w:val="1"/>
                <w:color w:val="auto"/>
              </w:rPr>
              <w:t>Property</w:t>
            </w:r>
          </w:p>
        </w:tc>
        <w:tc>
          <w:tcPr>
            <w:tcW w:w="1360" w:type="dxa"/>
            <w:vAlign w:val="bottom"/>
            <w:gridSpan w:val="3"/>
          </w:tcPr>
          <w:p>
            <w:pPr>
              <w:ind w:left="220"/>
              <w:spacing w:after="0"/>
              <w:rPr>
                <w:sz w:val="20"/>
                <w:szCs w:val="20"/>
                <w:color w:val="auto"/>
              </w:rPr>
            </w:pPr>
            <w:r>
              <w:rPr>
                <w:rFonts w:ascii="Arial" w:cs="Arial" w:eastAsia="Arial" w:hAnsi="Arial"/>
                <w:sz w:val="9"/>
                <w:szCs w:val="9"/>
                <w:b w:val="1"/>
                <w:bCs w:val="1"/>
                <w:color w:val="auto"/>
              </w:rPr>
              <w:t>Type of Ownership</w:t>
            </w:r>
          </w:p>
        </w:tc>
        <w:tc>
          <w:tcPr>
            <w:tcW w:w="1820" w:type="dxa"/>
            <w:vAlign w:val="bottom"/>
            <w:gridSpan w:val="3"/>
          </w:tcPr>
          <w:p>
            <w:pPr>
              <w:ind w:left="360"/>
              <w:spacing w:after="0"/>
              <w:rPr>
                <w:sz w:val="20"/>
                <w:szCs w:val="20"/>
                <w:color w:val="auto"/>
              </w:rPr>
            </w:pPr>
            <w:r>
              <w:rPr>
                <w:rFonts w:ascii="Arial" w:cs="Arial" w:eastAsia="Arial" w:hAnsi="Arial"/>
                <w:sz w:val="9"/>
                <w:szCs w:val="9"/>
                <w:b w:val="1"/>
                <w:bCs w:val="1"/>
                <w:color w:val="auto"/>
              </w:rPr>
              <w:t>Submarket</w:t>
            </w:r>
          </w:p>
        </w:tc>
        <w:tc>
          <w:tcPr>
            <w:tcW w:w="1580" w:type="dxa"/>
            <w:vAlign w:val="bottom"/>
            <w:gridSpan w:val="3"/>
          </w:tcPr>
          <w:p>
            <w:pPr>
              <w:ind w:left="20"/>
              <w:spacing w:after="0"/>
              <w:rPr>
                <w:sz w:val="20"/>
                <w:szCs w:val="20"/>
                <w:color w:val="auto"/>
              </w:rPr>
            </w:pPr>
            <w:r>
              <w:rPr>
                <w:rFonts w:ascii="Arial" w:cs="Arial" w:eastAsia="Arial" w:hAnsi="Arial"/>
                <w:sz w:val="9"/>
                <w:szCs w:val="9"/>
                <w:b w:val="1"/>
                <w:bCs w:val="1"/>
                <w:color w:val="auto"/>
              </w:rPr>
              <w:t>Net Rentable SF</w:t>
            </w:r>
          </w:p>
        </w:tc>
        <w:tc>
          <w:tcPr>
            <w:tcW w:w="160" w:type="dxa"/>
            <w:vAlign w:val="bottom"/>
          </w:tcPr>
          <w:p>
            <w:pPr>
              <w:spacing w:after="0"/>
              <w:rPr>
                <w:sz w:val="8"/>
                <w:szCs w:val="8"/>
                <w:color w:val="auto"/>
              </w:rPr>
            </w:pPr>
          </w:p>
        </w:tc>
        <w:tc>
          <w:tcPr>
            <w:tcW w:w="320" w:type="dxa"/>
            <w:vAlign w:val="bottom"/>
          </w:tcPr>
          <w:p>
            <w:pPr>
              <w:spacing w:after="0"/>
              <w:rPr>
                <w:sz w:val="20"/>
                <w:szCs w:val="20"/>
                <w:color w:val="auto"/>
              </w:rPr>
            </w:pPr>
            <w:r>
              <w:rPr>
                <w:rFonts w:ascii="Arial" w:cs="Arial" w:eastAsia="Arial" w:hAnsi="Arial"/>
                <w:sz w:val="9"/>
                <w:szCs w:val="9"/>
                <w:b w:val="1"/>
                <w:bCs w:val="1"/>
                <w:color w:val="auto"/>
                <w:w w:val="92"/>
              </w:rPr>
              <w:t xml:space="preserve">Price </w:t>
            </w:r>
            <w:r>
              <w:rPr>
                <w:rFonts w:ascii="Arial" w:cs="Arial" w:eastAsia="Arial" w:hAnsi="Arial"/>
                <w:sz w:val="9"/>
                <w:szCs w:val="9"/>
                <w:b w:val="1"/>
                <w:bCs w:val="1"/>
                <w:u w:val="single" w:color="auto"/>
                <w:color w:val="auto"/>
                <w:w w:val="92"/>
              </w:rPr>
              <w:t>($</w:t>
            </w:r>
          </w:p>
        </w:tc>
        <w:tc>
          <w:tcPr>
            <w:tcW w:w="1160" w:type="dxa"/>
            <w:vAlign w:val="bottom"/>
            <w:gridSpan w:val="3"/>
          </w:tcPr>
          <w:p>
            <w:pPr>
              <w:spacing w:after="0"/>
              <w:rPr>
                <w:sz w:val="20"/>
                <w:szCs w:val="20"/>
                <w:color w:val="auto"/>
              </w:rPr>
            </w:pPr>
            <w:r>
              <w:rPr>
                <w:rFonts w:ascii="Arial" w:cs="Arial" w:eastAsia="Arial" w:hAnsi="Arial"/>
                <w:sz w:val="9"/>
                <w:szCs w:val="9"/>
                <w:b w:val="1"/>
                <w:bCs w:val="1"/>
                <w:color w:val="auto"/>
              </w:rPr>
              <w:t>'s)</w:t>
            </w:r>
          </w:p>
        </w:tc>
        <w:tc>
          <w:tcPr>
            <w:tcW w:w="40" w:type="dxa"/>
            <w:vAlign w:val="bottom"/>
          </w:tcPr>
          <w:p>
            <w:pPr>
              <w:spacing w:after="0"/>
              <w:rPr>
                <w:sz w:val="8"/>
                <w:szCs w:val="8"/>
                <w:color w:val="auto"/>
              </w:rPr>
            </w:pPr>
          </w:p>
        </w:tc>
        <w:tc>
          <w:tcPr>
            <w:tcW w:w="600" w:type="dxa"/>
            <w:vAlign w:val="bottom"/>
            <w:gridSpan w:val="3"/>
          </w:tcPr>
          <w:p>
            <w:pPr>
              <w:jc w:val="right"/>
              <w:ind w:right="40"/>
              <w:spacing w:after="0"/>
              <w:rPr>
                <w:sz w:val="20"/>
                <w:szCs w:val="20"/>
                <w:color w:val="auto"/>
              </w:rPr>
            </w:pPr>
            <w:r>
              <w:rPr>
                <w:rFonts w:ascii="Arial" w:cs="Arial" w:eastAsia="Arial" w:hAnsi="Arial"/>
                <w:sz w:val="9"/>
                <w:szCs w:val="9"/>
                <w:b w:val="1"/>
                <w:bCs w:val="1"/>
                <w:color w:val="auto"/>
                <w:w w:val="95"/>
              </w:rPr>
              <w:t xml:space="preserve">Price </w:t>
            </w:r>
            <w:r>
              <w:rPr>
                <w:rFonts w:ascii="Arial" w:cs="Arial" w:eastAsia="Arial" w:hAnsi="Arial"/>
                <w:sz w:val="9"/>
                <w:szCs w:val="9"/>
                <w:b w:val="1"/>
                <w:bCs w:val="1"/>
                <w:u w:val="single" w:color="auto"/>
                <w:color w:val="auto"/>
                <w:w w:val="95"/>
              </w:rPr>
              <w:t>($</w:t>
            </w:r>
            <w:r>
              <w:rPr>
                <w:rFonts w:ascii="Arial" w:cs="Arial" w:eastAsia="Arial" w:hAnsi="Arial"/>
                <w:sz w:val="9"/>
                <w:szCs w:val="9"/>
                <w:b w:val="1"/>
                <w:bCs w:val="1"/>
                <w:color w:val="auto"/>
                <w:w w:val="95"/>
              </w:rPr>
              <w:t>'s/SF)</w:t>
            </w: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2008 - 2015 Sales</w:t>
            </w:r>
          </w:p>
        </w:tc>
        <w:tc>
          <w:tcPr>
            <w:tcW w:w="26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1020" w:type="dxa"/>
            <w:vAlign w:val="bottom"/>
            <w:vMerge w:val="restart"/>
          </w:tcPr>
          <w:p>
            <w:pPr>
              <w:ind w:left="500"/>
              <w:spacing w:after="0"/>
              <w:rPr>
                <w:sz w:val="20"/>
                <w:szCs w:val="20"/>
                <w:color w:val="auto"/>
              </w:rPr>
            </w:pPr>
            <w:r>
              <w:rPr>
                <w:rFonts w:ascii="Arial" w:cs="Arial" w:eastAsia="Arial" w:hAnsi="Arial"/>
                <w:sz w:val="9"/>
                <w:szCs w:val="9"/>
                <w:color w:val="auto"/>
              </w:rPr>
              <w:t>Oct-08</w:t>
            </w:r>
          </w:p>
        </w:tc>
        <w:tc>
          <w:tcPr>
            <w:tcW w:w="420" w:type="dxa"/>
            <w:vAlign w:val="bottom"/>
            <w:gridSpan w:val="2"/>
            <w:vMerge w:val="restart"/>
          </w:tcPr>
          <w:p>
            <w:pPr>
              <w:ind w:left="260"/>
              <w:spacing w:after="0"/>
              <w:rPr>
                <w:sz w:val="20"/>
                <w:szCs w:val="20"/>
                <w:color w:val="auto"/>
              </w:rPr>
            </w:pPr>
            <w:r>
              <w:rPr>
                <w:rFonts w:ascii="Arial" w:cs="Arial" w:eastAsia="Arial" w:hAnsi="Arial"/>
                <w:sz w:val="9"/>
                <w:szCs w:val="9"/>
                <w:color w:val="auto"/>
                <w:w w:val="92"/>
              </w:rPr>
              <w:t>100</w:t>
            </w:r>
          </w:p>
        </w:tc>
        <w:tc>
          <w:tcPr>
            <w:tcW w:w="1220" w:type="dxa"/>
            <w:vAlign w:val="bottom"/>
            <w:gridSpan w:val="2"/>
            <w:vMerge w:val="restart"/>
          </w:tcPr>
          <w:p>
            <w:pPr>
              <w:ind w:left="20"/>
              <w:spacing w:after="0"/>
              <w:rPr>
                <w:sz w:val="20"/>
                <w:szCs w:val="20"/>
                <w:color w:val="auto"/>
              </w:rPr>
            </w:pPr>
            <w:r>
              <w:rPr>
                <w:rFonts w:ascii="Arial" w:cs="Arial" w:eastAsia="Arial" w:hAnsi="Arial"/>
                <w:sz w:val="9"/>
                <w:szCs w:val="9"/>
                <w:color w:val="auto"/>
              </w:rPr>
              <w:t>&amp; 120 White Plains Road</w:t>
            </w:r>
          </w:p>
        </w:tc>
        <w:tc>
          <w:tcPr>
            <w:tcW w:w="1360" w:type="dxa"/>
            <w:vAlign w:val="bottom"/>
            <w:gridSpan w:val="3"/>
            <w:vMerge w:val="restart"/>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vMerge w:val="restart"/>
          </w:tcPr>
          <w:p>
            <w:pPr>
              <w:ind w:left="360"/>
              <w:spacing w:after="0"/>
              <w:rPr>
                <w:sz w:val="20"/>
                <w:szCs w:val="20"/>
                <w:color w:val="auto"/>
              </w:rPr>
            </w:pPr>
            <w:r>
              <w:rPr>
                <w:rFonts w:ascii="Arial" w:cs="Arial" w:eastAsia="Arial" w:hAnsi="Arial"/>
                <w:sz w:val="9"/>
                <w:szCs w:val="9"/>
                <w:color w:val="auto"/>
              </w:rPr>
              <w:t>Tarrytown, New York</w:t>
            </w:r>
          </w:p>
        </w:tc>
        <w:tc>
          <w:tcPr>
            <w:tcW w:w="660" w:type="dxa"/>
            <w:vAlign w:val="bottom"/>
          </w:tcPr>
          <w:p>
            <w:pPr>
              <w:jc w:val="right"/>
              <w:spacing w:after="0"/>
              <w:rPr>
                <w:sz w:val="20"/>
                <w:szCs w:val="20"/>
                <w:color w:val="auto"/>
              </w:rPr>
            </w:pPr>
            <w:r>
              <w:rPr>
                <w:rFonts w:ascii="Arial" w:cs="Arial" w:eastAsia="Arial" w:hAnsi="Arial"/>
                <w:sz w:val="9"/>
                <w:szCs w:val="9"/>
                <w:color w:val="auto"/>
              </w:rPr>
              <w:t>211,000</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w:t>
            </w:r>
          </w:p>
        </w:tc>
        <w:tc>
          <w:tcPr>
            <w:tcW w:w="32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48,000</w:t>
            </w:r>
          </w:p>
        </w:tc>
        <w:tc>
          <w:tcPr>
            <w:tcW w:w="740" w:type="dxa"/>
            <w:vAlign w:val="bottom"/>
          </w:tcPr>
          <w:p>
            <w:pPr>
              <w:spacing w:after="0"/>
              <w:rPr>
                <w:sz w:val="10"/>
                <w:szCs w:val="10"/>
                <w:color w:val="auto"/>
              </w:rPr>
            </w:pPr>
          </w:p>
        </w:tc>
        <w:tc>
          <w:tcPr>
            <w:tcW w:w="260" w:type="dxa"/>
            <w:vAlign w:val="bottom"/>
            <w:gridSpan w:val="2"/>
          </w:tcPr>
          <w:p>
            <w:pPr>
              <w:jc w:val="right"/>
              <w:ind w:right="156"/>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227</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0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020" w:type="dxa"/>
            <w:vAlign w:val="bottom"/>
          </w:tcPr>
          <w:p>
            <w:pPr>
              <w:ind w:left="500"/>
              <w:spacing w:after="0"/>
              <w:rPr>
                <w:sz w:val="20"/>
                <w:szCs w:val="20"/>
                <w:color w:val="auto"/>
              </w:rPr>
            </w:pPr>
            <w:r>
              <w:rPr>
                <w:rFonts w:ascii="Arial" w:cs="Arial" w:eastAsia="Arial" w:hAnsi="Arial"/>
                <w:sz w:val="9"/>
                <w:szCs w:val="9"/>
                <w:color w:val="auto"/>
              </w:rPr>
              <w:t>Jan-09</w:t>
            </w:r>
          </w:p>
        </w:tc>
        <w:tc>
          <w:tcPr>
            <w:tcW w:w="1640" w:type="dxa"/>
            <w:vAlign w:val="bottom"/>
            <w:gridSpan w:val="4"/>
          </w:tcPr>
          <w:p>
            <w:pPr>
              <w:ind w:left="260"/>
              <w:spacing w:after="0"/>
              <w:rPr>
                <w:sz w:val="20"/>
                <w:szCs w:val="20"/>
                <w:color w:val="auto"/>
              </w:rPr>
            </w:pPr>
            <w:r>
              <w:rPr>
                <w:rFonts w:ascii="Arial" w:cs="Arial" w:eastAsia="Arial" w:hAnsi="Arial"/>
                <w:sz w:val="9"/>
                <w:szCs w:val="9"/>
                <w:color w:val="auto"/>
              </w:rPr>
              <w:t>55 Corporate Drive</w:t>
            </w:r>
          </w:p>
        </w:tc>
        <w:tc>
          <w:tcPr>
            <w:tcW w:w="1360" w:type="dxa"/>
            <w:vAlign w:val="bottom"/>
            <w:gridSpan w:val="3"/>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tcPr>
          <w:p>
            <w:pPr>
              <w:ind w:left="360"/>
              <w:spacing w:after="0"/>
              <w:rPr>
                <w:sz w:val="20"/>
                <w:szCs w:val="20"/>
                <w:color w:val="auto"/>
              </w:rPr>
            </w:pPr>
            <w:r>
              <w:rPr>
                <w:rFonts w:ascii="Arial" w:cs="Arial" w:eastAsia="Arial" w:hAnsi="Arial"/>
                <w:sz w:val="9"/>
                <w:szCs w:val="9"/>
                <w:color w:val="auto"/>
              </w:rPr>
              <w:t>Bridgewater, New Jersey</w:t>
            </w:r>
          </w:p>
        </w:tc>
        <w:tc>
          <w:tcPr>
            <w:tcW w:w="660" w:type="dxa"/>
            <w:vAlign w:val="bottom"/>
          </w:tcPr>
          <w:p>
            <w:pPr>
              <w:jc w:val="right"/>
              <w:spacing w:after="0"/>
              <w:rPr>
                <w:sz w:val="20"/>
                <w:szCs w:val="20"/>
                <w:color w:val="auto"/>
              </w:rPr>
            </w:pPr>
            <w:r>
              <w:rPr>
                <w:rFonts w:ascii="Arial" w:cs="Arial" w:eastAsia="Arial" w:hAnsi="Arial"/>
                <w:sz w:val="9"/>
                <w:szCs w:val="9"/>
                <w:color w:val="auto"/>
              </w:rPr>
              <w:t>670,000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230,000</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343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480"/>
              <w:spacing w:after="0"/>
              <w:rPr>
                <w:sz w:val="20"/>
                <w:szCs w:val="20"/>
                <w:color w:val="auto"/>
              </w:rPr>
            </w:pPr>
            <w:r>
              <w:rPr>
                <w:rFonts w:ascii="Arial" w:cs="Arial" w:eastAsia="Arial" w:hAnsi="Arial"/>
                <w:sz w:val="9"/>
                <w:szCs w:val="9"/>
                <w:color w:val="auto"/>
              </w:rPr>
              <w:t>Aug-09</w:t>
            </w:r>
          </w:p>
        </w:tc>
        <w:tc>
          <w:tcPr>
            <w:tcW w:w="420" w:type="dxa"/>
            <w:vAlign w:val="bottom"/>
            <w:gridSpan w:val="2"/>
            <w:vMerge w:val="restart"/>
          </w:tcPr>
          <w:p>
            <w:pPr>
              <w:ind w:left="260"/>
              <w:spacing w:after="0"/>
              <w:rPr>
                <w:sz w:val="20"/>
                <w:szCs w:val="20"/>
                <w:color w:val="auto"/>
              </w:rPr>
            </w:pPr>
            <w:r>
              <w:rPr>
                <w:rFonts w:ascii="Arial" w:cs="Arial" w:eastAsia="Arial" w:hAnsi="Arial"/>
                <w:sz w:val="9"/>
                <w:szCs w:val="9"/>
                <w:color w:val="auto"/>
                <w:w w:val="92"/>
              </w:rPr>
              <w:t>399</w:t>
            </w:r>
          </w:p>
        </w:tc>
        <w:tc>
          <w:tcPr>
            <w:tcW w:w="1220" w:type="dxa"/>
            <w:vAlign w:val="bottom"/>
            <w:gridSpan w:val="2"/>
            <w:vMerge w:val="restart"/>
          </w:tcPr>
          <w:p>
            <w:pPr>
              <w:ind w:left="20"/>
              <w:spacing w:after="0"/>
              <w:rPr>
                <w:sz w:val="20"/>
                <w:szCs w:val="20"/>
                <w:color w:val="auto"/>
              </w:rPr>
            </w:pPr>
            <w:r>
              <w:rPr>
                <w:rFonts w:ascii="Arial" w:cs="Arial" w:eastAsia="Arial" w:hAnsi="Arial"/>
                <w:sz w:val="9"/>
                <w:szCs w:val="9"/>
                <w:color w:val="auto"/>
              </w:rPr>
              <w:t>Knollwood Road</w:t>
            </w:r>
          </w:p>
        </w:tc>
        <w:tc>
          <w:tcPr>
            <w:tcW w:w="1360" w:type="dxa"/>
            <w:vAlign w:val="bottom"/>
            <w:gridSpan w:val="3"/>
            <w:vMerge w:val="restart"/>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vMerge w:val="restart"/>
          </w:tcPr>
          <w:p>
            <w:pPr>
              <w:ind w:left="360"/>
              <w:spacing w:after="0"/>
              <w:rPr>
                <w:sz w:val="20"/>
                <w:szCs w:val="20"/>
                <w:color w:val="auto"/>
              </w:rPr>
            </w:pPr>
            <w:r>
              <w:rPr>
                <w:rFonts w:ascii="Arial" w:cs="Arial" w:eastAsia="Arial" w:hAnsi="Arial"/>
                <w:sz w:val="9"/>
                <w:szCs w:val="9"/>
                <w:color w:val="auto"/>
              </w:rPr>
              <w:t>White Plains, New York</w:t>
            </w:r>
          </w:p>
        </w:tc>
        <w:tc>
          <w:tcPr>
            <w:tcW w:w="660" w:type="dxa"/>
            <w:vAlign w:val="bottom"/>
          </w:tcPr>
          <w:p>
            <w:pPr>
              <w:jc w:val="right"/>
              <w:spacing w:after="0"/>
              <w:rPr>
                <w:sz w:val="20"/>
                <w:szCs w:val="20"/>
                <w:color w:val="auto"/>
              </w:rPr>
            </w:pPr>
            <w:r>
              <w:rPr>
                <w:rFonts w:ascii="Arial" w:cs="Arial" w:eastAsia="Arial" w:hAnsi="Arial"/>
                <w:sz w:val="9"/>
                <w:szCs w:val="9"/>
                <w:color w:val="auto"/>
              </w:rPr>
              <w:t>145,000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20,767</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143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10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500"/>
              <w:spacing w:after="0"/>
              <w:rPr>
                <w:sz w:val="20"/>
                <w:szCs w:val="20"/>
                <w:color w:val="auto"/>
              </w:rPr>
            </w:pPr>
            <w:r>
              <w:rPr>
                <w:rFonts w:ascii="Arial" w:cs="Arial" w:eastAsia="Arial" w:hAnsi="Arial"/>
                <w:sz w:val="9"/>
                <w:szCs w:val="9"/>
                <w:color w:val="auto"/>
              </w:rPr>
              <w:t>Jul-12</w:t>
            </w:r>
          </w:p>
        </w:tc>
        <w:tc>
          <w:tcPr>
            <w:tcW w:w="1640" w:type="dxa"/>
            <w:vAlign w:val="bottom"/>
            <w:gridSpan w:val="4"/>
            <w:vMerge w:val="restart"/>
          </w:tcPr>
          <w:p>
            <w:pPr>
              <w:ind w:left="260"/>
              <w:spacing w:after="0"/>
              <w:rPr>
                <w:sz w:val="20"/>
                <w:szCs w:val="20"/>
                <w:color w:val="auto"/>
              </w:rPr>
            </w:pPr>
            <w:r>
              <w:rPr>
                <w:rFonts w:ascii="Arial" w:cs="Arial" w:eastAsia="Arial" w:hAnsi="Arial"/>
                <w:sz w:val="9"/>
                <w:szCs w:val="9"/>
                <w:color w:val="auto"/>
              </w:rPr>
              <w:t>One Court Square</w:t>
            </w:r>
          </w:p>
        </w:tc>
        <w:tc>
          <w:tcPr>
            <w:tcW w:w="1360" w:type="dxa"/>
            <w:vAlign w:val="bottom"/>
            <w:gridSpan w:val="3"/>
            <w:vMerge w:val="restart"/>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vMerge w:val="restart"/>
          </w:tcPr>
          <w:p>
            <w:pPr>
              <w:ind w:left="360"/>
              <w:spacing w:after="0"/>
              <w:rPr>
                <w:sz w:val="20"/>
                <w:szCs w:val="20"/>
                <w:color w:val="auto"/>
              </w:rPr>
            </w:pPr>
            <w:r>
              <w:rPr>
                <w:rFonts w:ascii="Arial" w:cs="Arial" w:eastAsia="Arial" w:hAnsi="Arial"/>
                <w:sz w:val="9"/>
                <w:szCs w:val="9"/>
                <w:color w:val="auto"/>
              </w:rPr>
              <w:t>Long Island City, New York</w:t>
            </w:r>
          </w:p>
        </w:tc>
        <w:tc>
          <w:tcPr>
            <w:tcW w:w="660" w:type="dxa"/>
            <w:vAlign w:val="bottom"/>
          </w:tcPr>
          <w:p>
            <w:pPr>
              <w:jc w:val="right"/>
              <w:spacing w:after="0"/>
              <w:rPr>
                <w:sz w:val="20"/>
                <w:szCs w:val="20"/>
                <w:color w:val="auto"/>
              </w:rPr>
            </w:pPr>
            <w:r>
              <w:rPr>
                <w:rFonts w:ascii="Arial" w:cs="Arial" w:eastAsia="Arial" w:hAnsi="Arial"/>
                <w:sz w:val="9"/>
                <w:szCs w:val="9"/>
                <w:color w:val="auto"/>
              </w:rPr>
              <w:t>1,402,000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481,100</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343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1640" w:type="dxa"/>
            <w:vAlign w:val="bottom"/>
            <w:gridSpan w:val="4"/>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480"/>
              <w:spacing w:after="0"/>
              <w:rPr>
                <w:sz w:val="20"/>
                <w:szCs w:val="20"/>
                <w:color w:val="auto"/>
              </w:rPr>
            </w:pPr>
            <w:r>
              <w:rPr>
                <w:rFonts w:ascii="Arial" w:cs="Arial" w:eastAsia="Arial" w:hAnsi="Arial"/>
                <w:sz w:val="9"/>
                <w:szCs w:val="9"/>
                <w:color w:val="auto"/>
              </w:rPr>
              <w:t>Sep-13</w:t>
            </w:r>
          </w:p>
        </w:tc>
        <w:tc>
          <w:tcPr>
            <w:tcW w:w="420" w:type="dxa"/>
            <w:vAlign w:val="bottom"/>
            <w:gridSpan w:val="2"/>
            <w:vMerge w:val="restart"/>
          </w:tcPr>
          <w:p>
            <w:pPr>
              <w:ind w:left="260"/>
              <w:spacing w:after="0"/>
              <w:rPr>
                <w:sz w:val="20"/>
                <w:szCs w:val="20"/>
                <w:color w:val="auto"/>
              </w:rPr>
            </w:pPr>
            <w:r>
              <w:rPr>
                <w:rFonts w:ascii="Arial" w:cs="Arial" w:eastAsia="Arial" w:hAnsi="Arial"/>
                <w:sz w:val="9"/>
                <w:szCs w:val="9"/>
                <w:color w:val="auto"/>
                <w:w w:val="92"/>
              </w:rPr>
              <w:t>300</w:t>
            </w:r>
          </w:p>
        </w:tc>
        <w:tc>
          <w:tcPr>
            <w:tcW w:w="1220" w:type="dxa"/>
            <w:vAlign w:val="bottom"/>
            <w:gridSpan w:val="2"/>
            <w:vMerge w:val="restart"/>
          </w:tcPr>
          <w:p>
            <w:pPr>
              <w:ind w:left="20"/>
              <w:spacing w:after="0"/>
              <w:rPr>
                <w:sz w:val="20"/>
                <w:szCs w:val="20"/>
                <w:color w:val="auto"/>
              </w:rPr>
            </w:pPr>
            <w:r>
              <w:rPr>
                <w:rFonts w:ascii="Arial" w:cs="Arial" w:eastAsia="Arial" w:hAnsi="Arial"/>
                <w:sz w:val="9"/>
                <w:szCs w:val="9"/>
                <w:color w:val="auto"/>
              </w:rPr>
              <w:t>Main Street</w:t>
            </w:r>
          </w:p>
        </w:tc>
        <w:tc>
          <w:tcPr>
            <w:tcW w:w="1360" w:type="dxa"/>
            <w:vAlign w:val="bottom"/>
            <w:gridSpan w:val="3"/>
            <w:vMerge w:val="restart"/>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vMerge w:val="restart"/>
          </w:tcPr>
          <w:p>
            <w:pPr>
              <w:ind w:left="360"/>
              <w:spacing w:after="0"/>
              <w:rPr>
                <w:sz w:val="20"/>
                <w:szCs w:val="20"/>
                <w:color w:val="auto"/>
              </w:rPr>
            </w:pPr>
            <w:r>
              <w:rPr>
                <w:rFonts w:ascii="Arial" w:cs="Arial" w:eastAsia="Arial" w:hAnsi="Arial"/>
                <w:sz w:val="9"/>
                <w:szCs w:val="9"/>
                <w:color w:val="auto"/>
              </w:rPr>
              <w:t>Stamford, Connecticut</w:t>
            </w:r>
          </w:p>
        </w:tc>
        <w:tc>
          <w:tcPr>
            <w:tcW w:w="660" w:type="dxa"/>
            <w:vAlign w:val="bottom"/>
          </w:tcPr>
          <w:p>
            <w:pPr>
              <w:jc w:val="right"/>
              <w:spacing w:after="0"/>
              <w:rPr>
                <w:sz w:val="20"/>
                <w:szCs w:val="20"/>
                <w:color w:val="auto"/>
              </w:rPr>
            </w:pPr>
            <w:r>
              <w:rPr>
                <w:rFonts w:ascii="Arial" w:cs="Arial" w:eastAsia="Arial" w:hAnsi="Arial"/>
                <w:sz w:val="9"/>
                <w:szCs w:val="9"/>
                <w:color w:val="auto"/>
              </w:rPr>
              <w:t>130,000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13,500</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104</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42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1020" w:type="dxa"/>
            <w:vAlign w:val="bottom"/>
          </w:tcPr>
          <w:p>
            <w:pPr>
              <w:ind w:left="480"/>
              <w:spacing w:after="0"/>
              <w:rPr>
                <w:sz w:val="20"/>
                <w:szCs w:val="20"/>
                <w:color w:val="auto"/>
              </w:rPr>
            </w:pPr>
            <w:r>
              <w:rPr>
                <w:rFonts w:ascii="Arial" w:cs="Arial" w:eastAsia="Arial" w:hAnsi="Arial"/>
                <w:sz w:val="9"/>
                <w:szCs w:val="9"/>
                <w:color w:val="auto"/>
              </w:rPr>
              <w:t>Aug-15</w:t>
            </w:r>
          </w:p>
        </w:tc>
        <w:tc>
          <w:tcPr>
            <w:tcW w:w="1640" w:type="dxa"/>
            <w:vAlign w:val="bottom"/>
            <w:gridSpan w:val="4"/>
          </w:tcPr>
          <w:p>
            <w:pPr>
              <w:ind w:left="260"/>
              <w:spacing w:after="0"/>
              <w:rPr>
                <w:sz w:val="20"/>
                <w:szCs w:val="20"/>
                <w:color w:val="auto"/>
              </w:rPr>
            </w:pPr>
            <w:r>
              <w:rPr>
                <w:rFonts w:ascii="Arial" w:cs="Arial" w:eastAsia="Arial" w:hAnsi="Arial"/>
                <w:sz w:val="9"/>
                <w:szCs w:val="9"/>
                <w:color w:val="auto"/>
              </w:rPr>
              <w:t>The Meadows</w:t>
            </w:r>
          </w:p>
        </w:tc>
        <w:tc>
          <w:tcPr>
            <w:tcW w:w="1360" w:type="dxa"/>
            <w:vAlign w:val="bottom"/>
            <w:gridSpan w:val="3"/>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tcPr>
          <w:p>
            <w:pPr>
              <w:ind w:left="360"/>
              <w:spacing w:after="0"/>
              <w:rPr>
                <w:sz w:val="20"/>
                <w:szCs w:val="20"/>
                <w:color w:val="auto"/>
              </w:rPr>
            </w:pPr>
            <w:r>
              <w:rPr>
                <w:rFonts w:ascii="Arial" w:cs="Arial" w:eastAsia="Arial" w:hAnsi="Arial"/>
                <w:sz w:val="9"/>
                <w:szCs w:val="9"/>
                <w:color w:val="auto"/>
              </w:rPr>
              <w:t>Rutherford, New Jersey</w:t>
            </w:r>
          </w:p>
        </w:tc>
        <w:tc>
          <w:tcPr>
            <w:tcW w:w="660" w:type="dxa"/>
            <w:vAlign w:val="bottom"/>
          </w:tcPr>
          <w:p>
            <w:pPr>
              <w:jc w:val="right"/>
              <w:spacing w:after="0"/>
              <w:rPr>
                <w:sz w:val="20"/>
                <w:szCs w:val="20"/>
                <w:color w:val="auto"/>
              </w:rPr>
            </w:pPr>
            <w:r>
              <w:rPr>
                <w:rFonts w:ascii="Arial" w:cs="Arial" w:eastAsia="Arial" w:hAnsi="Arial"/>
                <w:sz w:val="9"/>
                <w:szCs w:val="9"/>
                <w:color w:val="auto"/>
              </w:rPr>
              <w:t>582,100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121,100</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208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020" w:type="dxa"/>
            <w:vAlign w:val="bottom"/>
          </w:tcPr>
          <w:p>
            <w:pPr>
              <w:ind w:left="480"/>
              <w:spacing w:after="0"/>
              <w:rPr>
                <w:sz w:val="20"/>
                <w:szCs w:val="20"/>
                <w:color w:val="auto"/>
              </w:rPr>
            </w:pPr>
            <w:r>
              <w:rPr>
                <w:rFonts w:ascii="Arial" w:cs="Arial" w:eastAsia="Arial" w:hAnsi="Arial"/>
                <w:sz w:val="9"/>
                <w:szCs w:val="9"/>
                <w:color w:val="auto"/>
              </w:rPr>
              <w:t>Dec-15</w:t>
            </w:r>
          </w:p>
        </w:tc>
        <w:tc>
          <w:tcPr>
            <w:tcW w:w="420" w:type="dxa"/>
            <w:vAlign w:val="bottom"/>
            <w:gridSpan w:val="2"/>
          </w:tcPr>
          <w:p>
            <w:pPr>
              <w:ind w:left="260"/>
              <w:spacing w:after="0"/>
              <w:rPr>
                <w:sz w:val="20"/>
                <w:szCs w:val="20"/>
                <w:color w:val="auto"/>
              </w:rPr>
            </w:pPr>
            <w:r>
              <w:rPr>
                <w:rFonts w:ascii="Arial" w:cs="Arial" w:eastAsia="Arial" w:hAnsi="Arial"/>
                <w:sz w:val="9"/>
                <w:szCs w:val="9"/>
                <w:color w:val="auto"/>
                <w:w w:val="92"/>
              </w:rPr>
              <w:t>140</w:t>
            </w:r>
          </w:p>
        </w:tc>
        <w:tc>
          <w:tcPr>
            <w:tcW w:w="1220" w:type="dxa"/>
            <w:vAlign w:val="bottom"/>
            <w:gridSpan w:val="2"/>
          </w:tcPr>
          <w:p>
            <w:pPr>
              <w:ind w:left="20"/>
              <w:spacing w:after="0"/>
              <w:rPr>
                <w:sz w:val="20"/>
                <w:szCs w:val="20"/>
                <w:color w:val="auto"/>
              </w:rPr>
            </w:pPr>
            <w:r>
              <w:rPr>
                <w:rFonts w:ascii="Arial" w:cs="Arial" w:eastAsia="Arial" w:hAnsi="Arial"/>
                <w:sz w:val="9"/>
                <w:szCs w:val="9"/>
                <w:color w:val="auto"/>
              </w:rPr>
              <w:t>Grand Street</w:t>
            </w:r>
          </w:p>
        </w:tc>
        <w:tc>
          <w:tcPr>
            <w:tcW w:w="1360" w:type="dxa"/>
            <w:vAlign w:val="bottom"/>
            <w:gridSpan w:val="3"/>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tcPr>
          <w:p>
            <w:pPr>
              <w:ind w:left="360"/>
              <w:spacing w:after="0"/>
              <w:rPr>
                <w:sz w:val="20"/>
                <w:szCs w:val="20"/>
                <w:color w:val="auto"/>
              </w:rPr>
            </w:pPr>
            <w:r>
              <w:rPr>
                <w:rFonts w:ascii="Arial" w:cs="Arial" w:eastAsia="Arial" w:hAnsi="Arial"/>
                <w:sz w:val="9"/>
                <w:szCs w:val="9"/>
                <w:color w:val="auto"/>
              </w:rPr>
              <w:t>White Plains, New York</w:t>
            </w:r>
          </w:p>
        </w:tc>
        <w:tc>
          <w:tcPr>
            <w:tcW w:w="660" w:type="dxa"/>
            <w:vAlign w:val="bottom"/>
          </w:tcPr>
          <w:p>
            <w:pPr>
              <w:jc w:val="right"/>
              <w:spacing w:after="0"/>
              <w:rPr>
                <w:sz w:val="20"/>
                <w:szCs w:val="20"/>
                <w:color w:val="auto"/>
              </w:rPr>
            </w:pPr>
            <w:r>
              <w:rPr>
                <w:rFonts w:ascii="Arial" w:cs="Arial" w:eastAsia="Arial" w:hAnsi="Arial"/>
                <w:sz w:val="9"/>
                <w:szCs w:val="9"/>
                <w:color w:val="auto"/>
              </w:rPr>
              <w:t>130,100</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22,400</w:t>
            </w: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172</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480"/>
              <w:spacing w:after="0"/>
              <w:rPr>
                <w:sz w:val="20"/>
                <w:szCs w:val="20"/>
                <w:color w:val="auto"/>
              </w:rPr>
            </w:pPr>
            <w:r>
              <w:rPr>
                <w:rFonts w:ascii="Arial" w:cs="Arial" w:eastAsia="Arial" w:hAnsi="Arial"/>
                <w:sz w:val="9"/>
                <w:szCs w:val="9"/>
                <w:color w:val="auto"/>
              </w:rPr>
              <w:t>Dec-15</w:t>
            </w:r>
          </w:p>
        </w:tc>
        <w:tc>
          <w:tcPr>
            <w:tcW w:w="420" w:type="dxa"/>
            <w:vAlign w:val="bottom"/>
            <w:gridSpan w:val="2"/>
            <w:vMerge w:val="restart"/>
          </w:tcPr>
          <w:p>
            <w:pPr>
              <w:ind w:left="260"/>
              <w:spacing w:after="0"/>
              <w:rPr>
                <w:sz w:val="20"/>
                <w:szCs w:val="20"/>
                <w:color w:val="auto"/>
              </w:rPr>
            </w:pPr>
            <w:r>
              <w:rPr>
                <w:rFonts w:ascii="Arial" w:cs="Arial" w:eastAsia="Arial" w:hAnsi="Arial"/>
                <w:sz w:val="9"/>
                <w:szCs w:val="9"/>
                <w:color w:val="auto"/>
                <w:w w:val="92"/>
              </w:rPr>
              <w:t>150</w:t>
            </w:r>
          </w:p>
        </w:tc>
        <w:tc>
          <w:tcPr>
            <w:tcW w:w="1220" w:type="dxa"/>
            <w:vAlign w:val="bottom"/>
            <w:gridSpan w:val="2"/>
            <w:vMerge w:val="restart"/>
          </w:tcPr>
          <w:p>
            <w:pPr>
              <w:ind w:left="20"/>
              <w:spacing w:after="0"/>
              <w:rPr>
                <w:sz w:val="20"/>
                <w:szCs w:val="20"/>
                <w:color w:val="auto"/>
              </w:rPr>
            </w:pPr>
            <w:r>
              <w:rPr>
                <w:rFonts w:ascii="Arial" w:cs="Arial" w:eastAsia="Arial" w:hAnsi="Arial"/>
                <w:sz w:val="9"/>
                <w:szCs w:val="9"/>
                <w:color w:val="auto"/>
              </w:rPr>
              <w:t>Grand Street</w:t>
            </w:r>
          </w:p>
        </w:tc>
        <w:tc>
          <w:tcPr>
            <w:tcW w:w="1360" w:type="dxa"/>
            <w:vAlign w:val="bottom"/>
            <w:gridSpan w:val="3"/>
            <w:vMerge w:val="restart"/>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vMerge w:val="restart"/>
          </w:tcPr>
          <w:p>
            <w:pPr>
              <w:ind w:left="360"/>
              <w:spacing w:after="0"/>
              <w:rPr>
                <w:sz w:val="20"/>
                <w:szCs w:val="20"/>
                <w:color w:val="auto"/>
              </w:rPr>
            </w:pPr>
            <w:r>
              <w:rPr>
                <w:rFonts w:ascii="Arial" w:cs="Arial" w:eastAsia="Arial" w:hAnsi="Arial"/>
                <w:sz w:val="9"/>
                <w:szCs w:val="9"/>
                <w:color w:val="auto"/>
              </w:rPr>
              <w:t>White Plains, New York</w:t>
            </w:r>
          </w:p>
        </w:tc>
        <w:tc>
          <w:tcPr>
            <w:tcW w:w="660" w:type="dxa"/>
            <w:vAlign w:val="bottom"/>
          </w:tcPr>
          <w:p>
            <w:pPr>
              <w:jc w:val="right"/>
              <w:spacing w:after="0"/>
              <w:rPr>
                <w:sz w:val="20"/>
                <w:szCs w:val="20"/>
                <w:color w:val="auto"/>
              </w:rPr>
            </w:pPr>
            <w:r>
              <w:rPr>
                <w:rFonts w:ascii="Arial" w:cs="Arial" w:eastAsia="Arial" w:hAnsi="Arial"/>
                <w:sz w:val="9"/>
                <w:szCs w:val="9"/>
                <w:color w:val="auto"/>
              </w:rPr>
              <w:t>85,000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9,600</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113</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02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3,355,200</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b w:val="1"/>
                <w:bCs w:val="1"/>
                <w:color w:val="auto"/>
                <w:w w:val="78"/>
              </w:rPr>
              <w:t>$</w:t>
            </w:r>
          </w:p>
        </w:tc>
        <w:tc>
          <w:tcPr>
            <w:tcW w:w="32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946,467</w:t>
            </w:r>
          </w:p>
        </w:tc>
        <w:tc>
          <w:tcPr>
            <w:tcW w:w="740" w:type="dxa"/>
            <w:vAlign w:val="bottom"/>
          </w:tcPr>
          <w:p>
            <w:pPr>
              <w:spacing w:after="0"/>
              <w:rPr>
                <w:sz w:val="10"/>
                <w:szCs w:val="10"/>
                <w:color w:val="auto"/>
              </w:rPr>
            </w:pPr>
          </w:p>
        </w:tc>
        <w:tc>
          <w:tcPr>
            <w:tcW w:w="260" w:type="dxa"/>
            <w:vAlign w:val="bottom"/>
            <w:gridSpan w:val="2"/>
          </w:tcPr>
          <w:p>
            <w:pPr>
              <w:jc w:val="right"/>
              <w:ind w:right="156"/>
              <w:spacing w:after="0"/>
              <w:rPr>
                <w:sz w:val="20"/>
                <w:szCs w:val="20"/>
                <w:color w:val="auto"/>
              </w:rPr>
            </w:pPr>
            <w:r>
              <w:rPr>
                <w:rFonts w:ascii="Arial" w:cs="Arial" w:eastAsia="Arial" w:hAnsi="Arial"/>
                <w:sz w:val="9"/>
                <w:szCs w:val="9"/>
                <w:b w:val="1"/>
                <w:bCs w:val="1"/>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282</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3"/>
        </w:trPr>
        <w:tc>
          <w:tcPr>
            <w:tcW w:w="102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2016 Sales</w:t>
            </w: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020" w:type="dxa"/>
            <w:vAlign w:val="bottom"/>
            <w:vMerge w:val="restart"/>
          </w:tcPr>
          <w:p>
            <w:pPr>
              <w:ind w:left="480"/>
              <w:spacing w:after="0"/>
              <w:rPr>
                <w:sz w:val="20"/>
                <w:szCs w:val="20"/>
                <w:color w:val="auto"/>
              </w:rPr>
            </w:pPr>
            <w:r>
              <w:rPr>
                <w:rFonts w:ascii="Arial" w:cs="Arial" w:eastAsia="Arial" w:hAnsi="Arial"/>
                <w:sz w:val="9"/>
                <w:szCs w:val="9"/>
                <w:color w:val="auto"/>
              </w:rPr>
              <w:t>Mar-16</w:t>
            </w:r>
          </w:p>
        </w:tc>
        <w:tc>
          <w:tcPr>
            <w:tcW w:w="1640" w:type="dxa"/>
            <w:vAlign w:val="bottom"/>
            <w:gridSpan w:val="4"/>
            <w:vMerge w:val="restart"/>
          </w:tcPr>
          <w:p>
            <w:pPr>
              <w:ind w:left="260"/>
              <w:spacing w:after="0"/>
              <w:rPr>
                <w:sz w:val="20"/>
                <w:szCs w:val="20"/>
                <w:color w:val="auto"/>
              </w:rPr>
            </w:pPr>
            <w:r>
              <w:rPr>
                <w:rFonts w:ascii="Arial" w:cs="Arial" w:eastAsia="Arial" w:hAnsi="Arial"/>
                <w:sz w:val="9"/>
                <w:szCs w:val="9"/>
                <w:color w:val="auto"/>
              </w:rPr>
              <w:t>7 Renaissance Square</w:t>
            </w:r>
          </w:p>
        </w:tc>
        <w:tc>
          <w:tcPr>
            <w:tcW w:w="1360" w:type="dxa"/>
            <w:vAlign w:val="bottom"/>
            <w:gridSpan w:val="3"/>
            <w:vMerge w:val="restart"/>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vMerge w:val="restart"/>
          </w:tcPr>
          <w:p>
            <w:pPr>
              <w:ind w:left="360"/>
              <w:spacing w:after="0"/>
              <w:rPr>
                <w:sz w:val="20"/>
                <w:szCs w:val="20"/>
                <w:color w:val="auto"/>
              </w:rPr>
            </w:pPr>
            <w:r>
              <w:rPr>
                <w:rFonts w:ascii="Arial" w:cs="Arial" w:eastAsia="Arial" w:hAnsi="Arial"/>
                <w:sz w:val="9"/>
                <w:szCs w:val="9"/>
                <w:color w:val="auto"/>
              </w:rPr>
              <w:t>White Plains, New York</w:t>
            </w:r>
          </w:p>
        </w:tc>
        <w:tc>
          <w:tcPr>
            <w:tcW w:w="660" w:type="dxa"/>
            <w:vAlign w:val="bottom"/>
          </w:tcPr>
          <w:p>
            <w:pPr>
              <w:jc w:val="right"/>
              <w:spacing w:after="0"/>
              <w:rPr>
                <w:sz w:val="20"/>
                <w:szCs w:val="20"/>
                <w:color w:val="auto"/>
              </w:rPr>
            </w:pPr>
            <w:r>
              <w:rPr>
                <w:rFonts w:ascii="Arial" w:cs="Arial" w:eastAsia="Arial" w:hAnsi="Arial"/>
                <w:sz w:val="9"/>
                <w:szCs w:val="9"/>
                <w:color w:val="auto"/>
              </w:rPr>
              <w:t>65,641</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w:t>
            </w:r>
          </w:p>
        </w:tc>
        <w:tc>
          <w:tcPr>
            <w:tcW w:w="32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21,000</w:t>
            </w:r>
          </w:p>
        </w:tc>
        <w:tc>
          <w:tcPr>
            <w:tcW w:w="740" w:type="dxa"/>
            <w:vAlign w:val="bottom"/>
          </w:tcPr>
          <w:p>
            <w:pPr>
              <w:spacing w:after="0"/>
              <w:rPr>
                <w:sz w:val="10"/>
                <w:szCs w:val="10"/>
                <w:color w:val="auto"/>
              </w:rPr>
            </w:pPr>
          </w:p>
        </w:tc>
        <w:tc>
          <w:tcPr>
            <w:tcW w:w="260" w:type="dxa"/>
            <w:vAlign w:val="bottom"/>
            <w:gridSpan w:val="2"/>
          </w:tcPr>
          <w:p>
            <w:pPr>
              <w:jc w:val="right"/>
              <w:ind w:right="156"/>
              <w:spacing w:after="0"/>
              <w:rPr>
                <w:sz w:val="20"/>
                <w:szCs w:val="20"/>
                <w:color w:val="auto"/>
              </w:rPr>
            </w:pPr>
            <w:r>
              <w:rPr>
                <w:rFonts w:ascii="Arial" w:cs="Arial" w:eastAsia="Arial" w:hAnsi="Arial"/>
                <w:sz w:val="9"/>
                <w:szCs w:val="9"/>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320</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020" w:type="dxa"/>
            <w:vAlign w:val="bottom"/>
            <w:vMerge w:val="continue"/>
          </w:tcPr>
          <w:p>
            <w:pPr>
              <w:spacing w:after="0"/>
              <w:rPr>
                <w:sz w:val="6"/>
                <w:szCs w:val="6"/>
                <w:color w:val="auto"/>
              </w:rPr>
            </w:pPr>
          </w:p>
        </w:tc>
        <w:tc>
          <w:tcPr>
            <w:tcW w:w="1640" w:type="dxa"/>
            <w:vAlign w:val="bottom"/>
            <w:gridSpan w:val="4"/>
            <w:vMerge w:val="continue"/>
          </w:tcPr>
          <w:p>
            <w:pPr>
              <w:spacing w:after="0"/>
              <w:rPr>
                <w:sz w:val="6"/>
                <w:szCs w:val="6"/>
                <w:color w:val="auto"/>
              </w:rPr>
            </w:pPr>
          </w:p>
        </w:tc>
        <w:tc>
          <w:tcPr>
            <w:tcW w:w="1360" w:type="dxa"/>
            <w:vAlign w:val="bottom"/>
            <w:gridSpan w:val="3"/>
            <w:vMerge w:val="continue"/>
          </w:tcPr>
          <w:p>
            <w:pPr>
              <w:spacing w:after="0"/>
              <w:rPr>
                <w:sz w:val="6"/>
                <w:szCs w:val="6"/>
                <w:color w:val="auto"/>
              </w:rPr>
            </w:pPr>
          </w:p>
        </w:tc>
        <w:tc>
          <w:tcPr>
            <w:tcW w:w="1820" w:type="dxa"/>
            <w:vAlign w:val="bottom"/>
            <w:gridSpan w:val="3"/>
            <w:vMerge w:val="continue"/>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900" w:type="dxa"/>
            <w:vAlign w:val="bottom"/>
          </w:tcPr>
          <w:p>
            <w:pPr>
              <w:spacing w:after="0"/>
              <w:rPr>
                <w:sz w:val="6"/>
                <w:szCs w:val="6"/>
                <w:color w:val="auto"/>
              </w:rPr>
            </w:pPr>
          </w:p>
        </w:tc>
        <w:tc>
          <w:tcPr>
            <w:tcW w:w="1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20" w:type="dxa"/>
            <w:vAlign w:val="bottom"/>
            <w:vMerge w:val="restart"/>
          </w:tcPr>
          <w:p>
            <w:pPr>
              <w:ind w:left="500"/>
              <w:spacing w:after="0"/>
              <w:rPr>
                <w:sz w:val="20"/>
                <w:szCs w:val="20"/>
                <w:color w:val="auto"/>
              </w:rPr>
            </w:pPr>
            <w:r>
              <w:rPr>
                <w:rFonts w:ascii="Arial" w:cs="Arial" w:eastAsia="Arial" w:hAnsi="Arial"/>
                <w:sz w:val="9"/>
                <w:szCs w:val="9"/>
                <w:color w:val="auto"/>
              </w:rPr>
              <w:t>Jul-16</w:t>
            </w:r>
          </w:p>
        </w:tc>
        <w:tc>
          <w:tcPr>
            <w:tcW w:w="420" w:type="dxa"/>
            <w:vAlign w:val="bottom"/>
            <w:gridSpan w:val="2"/>
            <w:vMerge w:val="restart"/>
          </w:tcPr>
          <w:p>
            <w:pPr>
              <w:ind w:left="260"/>
              <w:spacing w:after="0"/>
              <w:rPr>
                <w:sz w:val="20"/>
                <w:szCs w:val="20"/>
                <w:color w:val="auto"/>
              </w:rPr>
            </w:pPr>
            <w:r>
              <w:rPr>
                <w:rFonts w:ascii="Arial" w:cs="Arial" w:eastAsia="Arial" w:hAnsi="Arial"/>
                <w:sz w:val="9"/>
                <w:szCs w:val="9"/>
                <w:color w:val="auto"/>
                <w:w w:val="92"/>
              </w:rPr>
              <w:t>500</w:t>
            </w:r>
          </w:p>
        </w:tc>
        <w:tc>
          <w:tcPr>
            <w:tcW w:w="1220" w:type="dxa"/>
            <w:vAlign w:val="bottom"/>
            <w:gridSpan w:val="2"/>
            <w:vMerge w:val="restart"/>
          </w:tcPr>
          <w:p>
            <w:pPr>
              <w:ind w:left="20"/>
              <w:spacing w:after="0"/>
              <w:rPr>
                <w:sz w:val="20"/>
                <w:szCs w:val="20"/>
                <w:color w:val="auto"/>
              </w:rPr>
            </w:pPr>
            <w:r>
              <w:rPr>
                <w:rFonts w:ascii="Arial" w:cs="Arial" w:eastAsia="Arial" w:hAnsi="Arial"/>
                <w:sz w:val="9"/>
                <w:szCs w:val="9"/>
                <w:color w:val="auto"/>
              </w:rPr>
              <w:t>West Putnam Avenue</w:t>
            </w:r>
          </w:p>
        </w:tc>
        <w:tc>
          <w:tcPr>
            <w:tcW w:w="1360" w:type="dxa"/>
            <w:vAlign w:val="bottom"/>
            <w:gridSpan w:val="3"/>
            <w:vMerge w:val="restart"/>
          </w:tcPr>
          <w:p>
            <w:pPr>
              <w:ind w:left="220"/>
              <w:spacing w:after="0"/>
              <w:rPr>
                <w:sz w:val="20"/>
                <w:szCs w:val="20"/>
                <w:color w:val="auto"/>
              </w:rPr>
            </w:pPr>
            <w:r>
              <w:rPr>
                <w:rFonts w:ascii="Arial" w:cs="Arial" w:eastAsia="Arial" w:hAnsi="Arial"/>
                <w:sz w:val="9"/>
                <w:szCs w:val="9"/>
                <w:color w:val="auto"/>
              </w:rPr>
              <w:t>Fee Interest</w:t>
            </w:r>
          </w:p>
        </w:tc>
        <w:tc>
          <w:tcPr>
            <w:tcW w:w="1820" w:type="dxa"/>
            <w:vAlign w:val="bottom"/>
            <w:gridSpan w:val="3"/>
            <w:vMerge w:val="restart"/>
          </w:tcPr>
          <w:p>
            <w:pPr>
              <w:ind w:left="360"/>
              <w:spacing w:after="0"/>
              <w:rPr>
                <w:sz w:val="20"/>
                <w:szCs w:val="20"/>
                <w:color w:val="auto"/>
              </w:rPr>
            </w:pPr>
            <w:r>
              <w:rPr>
                <w:rFonts w:ascii="Arial" w:cs="Arial" w:eastAsia="Arial" w:hAnsi="Arial"/>
                <w:sz w:val="9"/>
                <w:szCs w:val="9"/>
                <w:color w:val="auto"/>
              </w:rPr>
              <w:t>Greenwich, Connecticut</w:t>
            </w:r>
          </w:p>
        </w:tc>
        <w:tc>
          <w:tcPr>
            <w:tcW w:w="660" w:type="dxa"/>
            <w:vAlign w:val="bottom"/>
          </w:tcPr>
          <w:p>
            <w:pPr>
              <w:jc w:val="right"/>
              <w:spacing w:after="0"/>
              <w:rPr>
                <w:sz w:val="20"/>
                <w:szCs w:val="20"/>
                <w:color w:val="auto"/>
              </w:rPr>
            </w:pPr>
            <w:r>
              <w:rPr>
                <w:rFonts w:ascii="Arial" w:cs="Arial" w:eastAsia="Arial" w:hAnsi="Arial"/>
                <w:sz w:val="9"/>
                <w:szCs w:val="9"/>
                <w:color w:val="auto"/>
              </w:rPr>
              <w:t>121,500</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color w:val="auto"/>
              </w:rPr>
              <w:t>41,000</w:t>
            </w: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9"/>
                <w:szCs w:val="9"/>
                <w:color w:val="auto"/>
              </w:rPr>
              <w:t>337</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020" w:type="dxa"/>
            <w:vAlign w:val="bottom"/>
            <w:vMerge w:val="continue"/>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360" w:type="dxa"/>
            <w:vAlign w:val="bottom"/>
            <w:gridSpan w:val="3"/>
            <w:vMerge w:val="continue"/>
          </w:tcPr>
          <w:p>
            <w:pPr>
              <w:spacing w:after="0"/>
              <w:rPr>
                <w:sz w:val="7"/>
                <w:szCs w:val="7"/>
                <w:color w:val="auto"/>
              </w:rPr>
            </w:pPr>
          </w:p>
        </w:tc>
        <w:tc>
          <w:tcPr>
            <w:tcW w:w="1820" w:type="dxa"/>
            <w:vAlign w:val="bottom"/>
            <w:gridSpan w:val="3"/>
            <w:vMerge w:val="continue"/>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740" w:type="dxa"/>
            <w:vAlign w:val="bottom"/>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60" w:type="dxa"/>
            <w:vAlign w:val="bottom"/>
          </w:tcPr>
          <w:p>
            <w:pPr>
              <w:jc w:val="right"/>
              <w:spacing w:after="0"/>
              <w:rPr>
                <w:sz w:val="20"/>
                <w:szCs w:val="20"/>
                <w:color w:val="auto"/>
              </w:rPr>
            </w:pPr>
            <w:r>
              <w:rPr>
                <w:rFonts w:ascii="Arial" w:cs="Arial" w:eastAsia="Arial" w:hAnsi="Arial"/>
                <w:sz w:val="9"/>
                <w:szCs w:val="9"/>
                <w:b w:val="1"/>
                <w:bCs w:val="1"/>
                <w:color w:val="auto"/>
              </w:rPr>
              <w:t>187,141</w:t>
            </w: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b w:val="1"/>
                <w:bCs w:val="1"/>
                <w:color w:val="auto"/>
                <w:w w:val="78"/>
              </w:rPr>
              <w:t>$</w:t>
            </w:r>
          </w:p>
        </w:tc>
        <w:tc>
          <w:tcPr>
            <w:tcW w:w="320" w:type="dxa"/>
            <w:vAlign w:val="bottom"/>
          </w:tcPr>
          <w:p>
            <w:pPr>
              <w:spacing w:after="0"/>
              <w:rPr>
                <w:sz w:val="10"/>
                <w:szCs w:val="1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62,000</w:t>
            </w:r>
          </w:p>
        </w:tc>
        <w:tc>
          <w:tcPr>
            <w:tcW w:w="740" w:type="dxa"/>
            <w:vAlign w:val="bottom"/>
          </w:tcPr>
          <w:p>
            <w:pPr>
              <w:spacing w:after="0"/>
              <w:rPr>
                <w:sz w:val="10"/>
                <w:szCs w:val="10"/>
                <w:color w:val="auto"/>
              </w:rPr>
            </w:pPr>
          </w:p>
        </w:tc>
        <w:tc>
          <w:tcPr>
            <w:tcW w:w="260" w:type="dxa"/>
            <w:vAlign w:val="bottom"/>
            <w:gridSpan w:val="2"/>
          </w:tcPr>
          <w:p>
            <w:pPr>
              <w:jc w:val="right"/>
              <w:ind w:right="156"/>
              <w:spacing w:after="0"/>
              <w:rPr>
                <w:sz w:val="20"/>
                <w:szCs w:val="20"/>
                <w:color w:val="auto"/>
              </w:rPr>
            </w:pPr>
            <w:r>
              <w:rPr>
                <w:rFonts w:ascii="Arial" w:cs="Arial" w:eastAsia="Arial" w:hAnsi="Arial"/>
                <w:sz w:val="9"/>
                <w:szCs w:val="9"/>
                <w:b w:val="1"/>
                <w:bCs w:val="1"/>
                <w:color w:val="auto"/>
                <w:w w:val="78"/>
              </w:rPr>
              <w:t>$</w:t>
            </w:r>
          </w:p>
        </w:tc>
        <w:tc>
          <w:tcPr>
            <w:tcW w:w="38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331</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80"/>
        <w:spacing w:after="0"/>
        <w:rPr>
          <w:sz w:val="20"/>
          <w:szCs w:val="20"/>
          <w:color w:val="auto"/>
        </w:rPr>
      </w:pPr>
      <w:r>
        <w:rPr>
          <w:rFonts w:ascii="Arial" w:cs="Arial" w:eastAsia="Arial" w:hAnsi="Arial"/>
          <w:sz w:val="9"/>
          <w:szCs w:val="9"/>
          <w:color w:val="auto"/>
        </w:rPr>
        <w:t>(1) Acquisition price represents purchase price for consolidated acquisitions and purchase price or imputed value for joint venture properties.</w:t>
      </w:r>
    </w:p>
    <w:p>
      <w:pPr>
        <w:spacing w:after="0" w:line="342" w:lineRule="exact"/>
        <w:rPr>
          <w:sz w:val="20"/>
          <w:szCs w:val="20"/>
          <w:color w:val="auto"/>
        </w:rPr>
      </w:pPr>
    </w:p>
    <w:p>
      <w:pPr>
        <w:ind w:left="700"/>
        <w:spacing w:after="0"/>
        <w:tabs>
          <w:tab w:leader="none" w:pos="5620" w:val="left"/>
          <w:tab w:leader="none" w:pos="986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53</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780"/>
          </w:cols>
          <w:pgMar w:left="240" w:top="338" w:right="879" w:bottom="1440" w:gutter="0" w:footer="0" w:header="0"/>
        </w:sectPr>
      </w:pPr>
    </w:p>
    <w:bookmarkStart w:id="70" w:name="page71"/>
    <w:bookmarkEnd w:id="70"/>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ACQUISITION ACTIVITY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Retail, Residential, Development / Redevelopment &amp; Land</w:t>
      </w:r>
    </w:p>
    <w:p>
      <w:pPr>
        <w:spacing w:after="0" w:line="234" w:lineRule="auto"/>
        <w:rPr>
          <w:sz w:val="20"/>
          <w:szCs w:val="20"/>
          <w:color w:val="auto"/>
        </w:rPr>
      </w:pPr>
      <w:r>
        <w:rPr>
          <w:rFonts w:ascii="Arial" w:cs="Arial" w:eastAsia="Arial" w:hAnsi="Arial"/>
          <w:sz w:val="15"/>
          <w:szCs w:val="15"/>
          <w:b w:val="1"/>
          <w:bCs w:val="1"/>
          <w:color w:val="auto"/>
        </w:rPr>
        <w:t>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641223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960" w:type="dxa"/>
        <w:tblCellMar>
          <w:top w:w="0" w:type="dxa"/>
          <w:left w:w="0" w:type="dxa"/>
          <w:bottom w:w="0" w:type="dxa"/>
          <w:right w:w="0" w:type="dxa"/>
        </w:tblCellMar>
      </w:tblPr>
      <w:tr>
        <w:trPr>
          <w:trHeight w:val="94"/>
        </w:trPr>
        <w:tc>
          <w:tcPr>
            <w:tcW w:w="3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gridSpan w:val="2"/>
          </w:tcPr>
          <w:p>
            <w:pPr>
              <w:ind w:left="460"/>
              <w:spacing w:after="0"/>
              <w:rPr>
                <w:sz w:val="20"/>
                <w:szCs w:val="20"/>
                <w:color w:val="auto"/>
              </w:rPr>
            </w:pPr>
            <w:r>
              <w:rPr>
                <w:rFonts w:ascii="Arial" w:cs="Arial" w:eastAsia="Arial" w:hAnsi="Arial"/>
                <w:sz w:val="7"/>
                <w:szCs w:val="7"/>
                <w:b w:val="1"/>
                <w:bCs w:val="1"/>
                <w:color w:val="auto"/>
              </w:rPr>
              <w:t>Occupancy (%)</w:t>
            </w: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gridSpan w:val="2"/>
          </w:tcPr>
          <w:p>
            <w:pPr>
              <w:jc w:val="center"/>
              <w:spacing w:after="0"/>
              <w:rPr>
                <w:sz w:val="20"/>
                <w:szCs w:val="20"/>
                <w:color w:val="auto"/>
              </w:rPr>
            </w:pPr>
            <w:r>
              <w:rPr>
                <w:rFonts w:ascii="Arial" w:cs="Arial" w:eastAsia="Arial" w:hAnsi="Arial"/>
                <w:sz w:val="7"/>
                <w:szCs w:val="7"/>
                <w:b w:val="1"/>
                <w:bCs w:val="1"/>
                <w:color w:val="auto"/>
              </w:rPr>
              <w:t>Acquisition</w:t>
            </w:r>
          </w:p>
        </w:tc>
        <w:tc>
          <w:tcPr>
            <w:tcW w:w="0" w:type="dxa"/>
            <w:vAlign w:val="bottom"/>
          </w:tcPr>
          <w:p>
            <w:pPr>
              <w:spacing w:after="0"/>
              <w:rPr>
                <w:sz w:val="1"/>
                <w:szCs w:val="1"/>
                <w:color w:val="auto"/>
              </w:rPr>
            </w:pPr>
          </w:p>
        </w:tc>
      </w:tr>
      <w:tr>
        <w:trPr>
          <w:trHeight w:val="111"/>
        </w:trPr>
        <w:tc>
          <w:tcPr>
            <w:tcW w:w="300" w:type="dxa"/>
            <w:vAlign w:val="bottom"/>
            <w:vMerge w:val="restart"/>
          </w:tcPr>
          <w:p>
            <w:pPr>
              <w:spacing w:after="0"/>
              <w:rPr>
                <w:sz w:val="20"/>
                <w:szCs w:val="20"/>
                <w:color w:val="auto"/>
              </w:rPr>
            </w:pPr>
            <w:r>
              <w:rPr>
                <w:rFonts w:ascii="Arial" w:cs="Arial" w:eastAsia="Arial" w:hAnsi="Arial"/>
                <w:sz w:val="7"/>
                <w:szCs w:val="7"/>
                <w:b w:val="1"/>
                <w:bCs w:val="1"/>
                <w:color w:val="auto"/>
                <w:w w:val="97"/>
              </w:rPr>
              <w:t>Property</w:t>
            </w:r>
          </w:p>
        </w:tc>
        <w:tc>
          <w:tcPr>
            <w:tcW w:w="1420" w:type="dxa"/>
            <w:vAlign w:val="bottom"/>
          </w:tcPr>
          <w:p>
            <w:pPr>
              <w:spacing w:after="0"/>
              <w:rPr>
                <w:sz w:val="9"/>
                <w:szCs w:val="9"/>
                <w:color w:val="auto"/>
              </w:rPr>
            </w:pPr>
          </w:p>
        </w:tc>
        <w:tc>
          <w:tcPr>
            <w:tcW w:w="170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Type of Ownership</w:t>
            </w:r>
          </w:p>
        </w:tc>
        <w:tc>
          <w:tcPr>
            <w:tcW w:w="158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Submarket</w:t>
            </w:r>
          </w:p>
        </w:tc>
        <w:tc>
          <w:tcPr>
            <w:tcW w:w="106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Net Rentable SF</w:t>
            </w:r>
          </w:p>
        </w:tc>
        <w:tc>
          <w:tcPr>
            <w:tcW w:w="2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440" w:type="dxa"/>
            <w:vAlign w:val="bottom"/>
            <w:gridSpan w:val="2"/>
            <w:vMerge w:val="restart"/>
          </w:tcPr>
          <w:p>
            <w:pPr>
              <w:jc w:val="center"/>
              <w:spacing w:after="0"/>
              <w:rPr>
                <w:sz w:val="20"/>
                <w:szCs w:val="20"/>
                <w:color w:val="auto"/>
              </w:rPr>
            </w:pPr>
            <w:r>
              <w:rPr>
                <w:rFonts w:ascii="Arial" w:cs="Arial" w:eastAsia="Arial" w:hAnsi="Arial"/>
                <w:sz w:val="7"/>
                <w:szCs w:val="7"/>
                <w:b w:val="1"/>
                <w:bCs w:val="1"/>
                <w:color w:val="auto"/>
              </w:rPr>
              <w:t xml:space="preserve">Price </w:t>
            </w:r>
            <w:r>
              <w:rPr>
                <w:rFonts w:ascii="Arial" w:cs="Arial" w:eastAsia="Arial" w:hAnsi="Arial"/>
                <w:sz w:val="7"/>
                <w:szCs w:val="7"/>
                <w:b w:val="1"/>
                <w:bCs w:val="1"/>
                <w:u w:val="single" w:color="auto"/>
                <w:color w:val="auto"/>
              </w:rPr>
              <w:t>($</w:t>
            </w:r>
            <w:r>
              <w:rPr>
                <w:rFonts w:ascii="Arial" w:cs="Arial" w:eastAsia="Arial" w:hAnsi="Arial"/>
                <w:sz w:val="7"/>
                <w:szCs w:val="7"/>
                <w:b w:val="1"/>
                <w:bCs w:val="1"/>
                <w:color w:val="auto"/>
              </w:rPr>
              <w:t xml:space="preserve">'s) </w:t>
            </w:r>
            <w:r>
              <w:rPr>
                <w:rFonts w:ascii="Arial" w:cs="Arial" w:eastAsia="Arial" w:hAnsi="Arial"/>
                <w:sz w:val="6"/>
                <w:szCs w:val="6"/>
                <w:b w:val="1"/>
                <w:bCs w:val="1"/>
                <w:color w:val="auto"/>
              </w:rPr>
              <w:t>(1)</w:t>
            </w:r>
          </w:p>
        </w:tc>
        <w:tc>
          <w:tcPr>
            <w:tcW w:w="0" w:type="dxa"/>
            <w:vAlign w:val="bottom"/>
          </w:tcPr>
          <w:p>
            <w:pPr>
              <w:spacing w:after="0"/>
              <w:rPr>
                <w:sz w:val="1"/>
                <w:szCs w:val="1"/>
                <w:color w:val="auto"/>
              </w:rPr>
            </w:pPr>
          </w:p>
        </w:tc>
      </w:tr>
      <w:tr>
        <w:trPr>
          <w:trHeight w:val="78"/>
        </w:trPr>
        <w:tc>
          <w:tcPr>
            <w:tcW w:w="300" w:type="dxa"/>
            <w:vAlign w:val="bottom"/>
            <w:vMerge w:val="continue"/>
          </w:tcPr>
          <w:p>
            <w:pPr>
              <w:spacing w:after="0"/>
              <w:rPr>
                <w:sz w:val="6"/>
                <w:szCs w:val="6"/>
                <w:color w:val="auto"/>
              </w:rPr>
            </w:pPr>
          </w:p>
        </w:tc>
        <w:tc>
          <w:tcPr>
            <w:tcW w:w="1420" w:type="dxa"/>
            <w:vAlign w:val="bottom"/>
          </w:tcPr>
          <w:p>
            <w:pPr>
              <w:spacing w:after="0"/>
              <w:rPr>
                <w:sz w:val="6"/>
                <w:szCs w:val="6"/>
                <w:color w:val="auto"/>
              </w:rPr>
            </w:pPr>
          </w:p>
        </w:tc>
        <w:tc>
          <w:tcPr>
            <w:tcW w:w="1700" w:type="dxa"/>
            <w:vAlign w:val="bottom"/>
            <w:gridSpan w:val="2"/>
            <w:vMerge w:val="continue"/>
          </w:tcPr>
          <w:p>
            <w:pPr>
              <w:spacing w:after="0"/>
              <w:rPr>
                <w:sz w:val="6"/>
                <w:szCs w:val="6"/>
                <w:color w:val="auto"/>
              </w:rPr>
            </w:pPr>
          </w:p>
        </w:tc>
        <w:tc>
          <w:tcPr>
            <w:tcW w:w="1580" w:type="dxa"/>
            <w:vAlign w:val="bottom"/>
            <w:gridSpan w:val="2"/>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220" w:type="dxa"/>
            <w:vAlign w:val="bottom"/>
            <w:gridSpan w:val="3"/>
          </w:tcPr>
          <w:p>
            <w:pPr>
              <w:ind w:left="220"/>
              <w:spacing w:after="0" w:line="68" w:lineRule="exact"/>
              <w:rPr>
                <w:sz w:val="20"/>
                <w:szCs w:val="20"/>
                <w:color w:val="auto"/>
              </w:rPr>
            </w:pPr>
            <w:r>
              <w:rPr>
                <w:rFonts w:ascii="Arial" w:cs="Arial" w:eastAsia="Arial" w:hAnsi="Arial"/>
                <w:sz w:val="7"/>
                <w:szCs w:val="7"/>
                <w:b w:val="1"/>
                <w:bCs w:val="1"/>
                <w:color w:val="auto"/>
              </w:rPr>
              <w:t>at acquisition</w:t>
            </w:r>
          </w:p>
        </w:tc>
        <w:tc>
          <w:tcPr>
            <w:tcW w:w="340" w:type="dxa"/>
            <w:vAlign w:val="bottom"/>
            <w:gridSpan w:val="2"/>
          </w:tcPr>
          <w:p>
            <w:pPr>
              <w:jc w:val="right"/>
              <w:spacing w:after="0" w:line="68" w:lineRule="exact"/>
              <w:rPr>
                <w:sz w:val="20"/>
                <w:szCs w:val="20"/>
                <w:color w:val="auto"/>
              </w:rPr>
            </w:pPr>
            <w:r>
              <w:rPr>
                <w:rFonts w:ascii="Arial" w:cs="Arial" w:eastAsia="Arial" w:hAnsi="Arial"/>
                <w:sz w:val="7"/>
                <w:szCs w:val="7"/>
                <w:b w:val="1"/>
                <w:bCs w:val="1"/>
                <w:color w:val="auto"/>
              </w:rPr>
              <w:t>9/30/2016</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
        </w:trPr>
        <w:tc>
          <w:tcPr>
            <w:tcW w:w="30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20"/>
        <w:spacing w:after="0"/>
        <w:rPr>
          <w:sz w:val="20"/>
          <w:szCs w:val="20"/>
          <w:color w:val="auto"/>
        </w:rPr>
      </w:pPr>
      <w:r>
        <w:rPr>
          <w:rFonts w:ascii="Arial" w:cs="Arial" w:eastAsia="Arial" w:hAnsi="Arial"/>
          <w:sz w:val="7"/>
          <w:szCs w:val="7"/>
          <w:b w:val="1"/>
          <w:bCs w:val="1"/>
          <w:color w:val="auto"/>
        </w:rPr>
        <w:t>2005 - 2015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79375</wp:posOffset>
            </wp:positionV>
            <wp:extent cx="641223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412230" cy="6985"/>
                    </a:xfrm>
                    <a:prstGeom prst="rect">
                      <a:avLst/>
                    </a:prstGeom>
                    <a:noFill/>
                  </pic:spPr>
                </pic:pic>
              </a:graphicData>
            </a:graphic>
          </wp:anchor>
        </w:drawing>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86"/>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Jul-05</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1551-1555 Broadway - 10%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25,600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jc w:val="right"/>
              <w:ind w:right="2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85,000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Jul-05</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21 West 34th Street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w:t>
            </w:r>
          </w:p>
        </w:tc>
        <w:tc>
          <w:tcPr>
            <w:tcW w:w="640" w:type="dxa"/>
            <w:vAlign w:val="bottom"/>
          </w:tcPr>
          <w:p>
            <w:pPr>
              <w:jc w:val="right"/>
              <w:spacing w:after="0"/>
              <w:rPr>
                <w:sz w:val="20"/>
                <w:szCs w:val="20"/>
                <w:color w:val="auto"/>
              </w:rPr>
            </w:pPr>
            <w:r>
              <w:rPr>
                <w:rFonts w:ascii="Arial" w:cs="Arial" w:eastAsia="Arial" w:hAnsi="Arial"/>
                <w:sz w:val="7"/>
                <w:szCs w:val="7"/>
                <w:color w:val="auto"/>
              </w:rPr>
              <w:t>30,100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17,500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Sep-05</w:t>
            </w:r>
          </w:p>
        </w:tc>
        <w:tc>
          <w:tcPr>
            <w:tcW w:w="300" w:type="dxa"/>
            <w:vAlign w:val="bottom"/>
          </w:tcPr>
          <w:p>
            <w:pPr>
              <w:ind w:left="160"/>
              <w:spacing w:after="0"/>
              <w:rPr>
                <w:sz w:val="20"/>
                <w:szCs w:val="20"/>
                <w:color w:val="auto"/>
              </w:rPr>
            </w:pPr>
            <w:r>
              <w:rPr>
                <w:rFonts w:ascii="Arial" w:cs="Arial" w:eastAsia="Arial" w:hAnsi="Arial"/>
                <w:sz w:val="7"/>
                <w:szCs w:val="7"/>
                <w:color w:val="auto"/>
              </w:rPr>
              <w:t>141</w:t>
            </w:r>
          </w:p>
        </w:tc>
        <w:tc>
          <w:tcPr>
            <w:tcW w:w="1400" w:type="dxa"/>
            <w:vAlign w:val="bottom"/>
          </w:tcPr>
          <w:p>
            <w:pPr>
              <w:spacing w:after="0"/>
              <w:rPr>
                <w:sz w:val="20"/>
                <w:szCs w:val="20"/>
                <w:color w:val="auto"/>
              </w:rPr>
            </w:pPr>
            <w:r>
              <w:rPr>
                <w:rFonts w:ascii="Arial" w:cs="Arial" w:eastAsia="Arial" w:hAnsi="Arial"/>
                <w:sz w:val="7"/>
                <w:szCs w:val="7"/>
                <w:color w:val="auto"/>
              </w:rPr>
              <w:t>Fifth Avenue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Flatiron</w:t>
            </w:r>
          </w:p>
        </w:tc>
        <w:tc>
          <w:tcPr>
            <w:tcW w:w="640" w:type="dxa"/>
            <w:vAlign w:val="bottom"/>
          </w:tcPr>
          <w:p>
            <w:pPr>
              <w:jc w:val="right"/>
              <w:spacing w:after="0"/>
              <w:rPr>
                <w:sz w:val="20"/>
                <w:szCs w:val="20"/>
                <w:color w:val="auto"/>
              </w:rPr>
            </w:pPr>
            <w:r>
              <w:rPr>
                <w:rFonts w:ascii="Arial" w:cs="Arial" w:eastAsia="Arial" w:hAnsi="Arial"/>
                <w:sz w:val="7"/>
                <w:szCs w:val="7"/>
                <w:color w:val="auto"/>
              </w:rPr>
              <w:t>21,500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13,250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Nov-05</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1604 Broadway - 63% JV</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29,876</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17.2</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4,400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Dec-05</w:t>
            </w:r>
          </w:p>
        </w:tc>
        <w:tc>
          <w:tcPr>
            <w:tcW w:w="300" w:type="dxa"/>
            <w:vAlign w:val="bottom"/>
          </w:tcPr>
          <w:p>
            <w:pPr>
              <w:ind w:left="160"/>
              <w:spacing w:after="0"/>
              <w:rPr>
                <w:sz w:val="20"/>
                <w:szCs w:val="20"/>
                <w:color w:val="auto"/>
              </w:rPr>
            </w:pPr>
            <w:r>
              <w:rPr>
                <w:rFonts w:ascii="Arial" w:cs="Arial" w:eastAsia="Arial" w:hAnsi="Arial"/>
                <w:sz w:val="7"/>
                <w:szCs w:val="7"/>
                <w:color w:val="auto"/>
              </w:rPr>
              <w:t>379</w:t>
            </w:r>
          </w:p>
        </w:tc>
        <w:tc>
          <w:tcPr>
            <w:tcW w:w="1400" w:type="dxa"/>
            <w:vAlign w:val="bottom"/>
          </w:tcPr>
          <w:p>
            <w:pPr>
              <w:spacing w:after="0"/>
              <w:rPr>
                <w:sz w:val="20"/>
                <w:szCs w:val="20"/>
                <w:color w:val="auto"/>
              </w:rPr>
            </w:pPr>
            <w:r>
              <w:rPr>
                <w:rFonts w:ascii="Arial" w:cs="Arial" w:eastAsia="Arial" w:hAnsi="Arial"/>
                <w:sz w:val="7"/>
                <w:szCs w:val="7"/>
                <w:color w:val="auto"/>
              </w:rPr>
              <w:t>West Broadway - 45% JV</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62,006</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19,750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Jan-06</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25-29 West 34th Street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Square/Penn Station</w:t>
            </w:r>
          </w:p>
        </w:tc>
        <w:tc>
          <w:tcPr>
            <w:tcW w:w="640" w:type="dxa"/>
            <w:vAlign w:val="bottom"/>
          </w:tcPr>
          <w:p>
            <w:pPr>
              <w:jc w:val="right"/>
              <w:spacing w:after="0"/>
              <w:rPr>
                <w:sz w:val="20"/>
                <w:szCs w:val="20"/>
                <w:color w:val="auto"/>
              </w:rPr>
            </w:pPr>
            <w:r>
              <w:rPr>
                <w:rFonts w:ascii="Arial" w:cs="Arial" w:eastAsia="Arial" w:hAnsi="Arial"/>
                <w:sz w:val="7"/>
                <w:szCs w:val="7"/>
                <w:color w:val="auto"/>
              </w:rPr>
              <w:t>41,000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55.8</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30,000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Sep-06</w:t>
            </w:r>
          </w:p>
        </w:tc>
        <w:tc>
          <w:tcPr>
            <w:tcW w:w="300" w:type="dxa"/>
            <w:vAlign w:val="bottom"/>
          </w:tcPr>
          <w:p>
            <w:pPr>
              <w:ind w:left="160"/>
              <w:spacing w:after="0"/>
              <w:rPr>
                <w:sz w:val="20"/>
                <w:szCs w:val="20"/>
                <w:color w:val="auto"/>
              </w:rPr>
            </w:pPr>
            <w:r>
              <w:rPr>
                <w:rFonts w:ascii="Arial" w:cs="Arial" w:eastAsia="Arial" w:hAnsi="Arial"/>
                <w:sz w:val="7"/>
                <w:szCs w:val="7"/>
                <w:color w:val="auto"/>
              </w:rPr>
              <w:t>717</w:t>
            </w:r>
          </w:p>
        </w:tc>
        <w:tc>
          <w:tcPr>
            <w:tcW w:w="1400" w:type="dxa"/>
            <w:vAlign w:val="bottom"/>
          </w:tcPr>
          <w:p>
            <w:pPr>
              <w:spacing w:after="0"/>
              <w:rPr>
                <w:sz w:val="20"/>
                <w:szCs w:val="20"/>
                <w:color w:val="auto"/>
              </w:rPr>
            </w:pPr>
            <w:r>
              <w:rPr>
                <w:rFonts w:ascii="Arial" w:cs="Arial" w:eastAsia="Arial" w:hAnsi="Arial"/>
                <w:sz w:val="7"/>
                <w:szCs w:val="7"/>
                <w:color w:val="auto"/>
              </w:rPr>
              <w:t>Fifth Avenue - 32.75%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119,550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63.1</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81.1</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251,900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Aug-07</w:t>
            </w:r>
          </w:p>
        </w:tc>
        <w:tc>
          <w:tcPr>
            <w:tcW w:w="300" w:type="dxa"/>
            <w:vAlign w:val="bottom"/>
          </w:tcPr>
          <w:p>
            <w:pPr>
              <w:ind w:left="160"/>
              <w:spacing w:after="0"/>
              <w:rPr>
                <w:sz w:val="20"/>
                <w:szCs w:val="20"/>
                <w:color w:val="auto"/>
              </w:rPr>
            </w:pPr>
            <w:r>
              <w:rPr>
                <w:rFonts w:ascii="Arial" w:cs="Arial" w:eastAsia="Arial" w:hAnsi="Arial"/>
                <w:sz w:val="7"/>
                <w:szCs w:val="7"/>
                <w:color w:val="auto"/>
              </w:rPr>
              <w:t>180</w:t>
            </w:r>
          </w:p>
        </w:tc>
        <w:tc>
          <w:tcPr>
            <w:tcW w:w="1400" w:type="dxa"/>
            <w:vAlign w:val="bottom"/>
          </w:tcPr>
          <w:p>
            <w:pPr>
              <w:spacing w:after="0"/>
              <w:rPr>
                <w:sz w:val="20"/>
                <w:szCs w:val="20"/>
                <w:color w:val="auto"/>
              </w:rPr>
            </w:pPr>
            <w:r>
              <w:rPr>
                <w:rFonts w:ascii="Arial" w:cs="Arial" w:eastAsia="Arial" w:hAnsi="Arial"/>
                <w:sz w:val="7"/>
                <w:szCs w:val="7"/>
                <w:color w:val="auto"/>
              </w:rPr>
              <w:t>Broadway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Manahattan</w:t>
            </w:r>
          </w:p>
        </w:tc>
        <w:tc>
          <w:tcPr>
            <w:tcW w:w="640" w:type="dxa"/>
            <w:vAlign w:val="bottom"/>
          </w:tcPr>
          <w:p>
            <w:pPr>
              <w:jc w:val="right"/>
              <w:spacing w:after="0"/>
              <w:rPr>
                <w:sz w:val="20"/>
                <w:szCs w:val="20"/>
                <w:color w:val="auto"/>
              </w:rPr>
            </w:pPr>
            <w:r>
              <w:rPr>
                <w:rFonts w:ascii="Arial" w:cs="Arial" w:eastAsia="Arial" w:hAnsi="Arial"/>
                <w:sz w:val="7"/>
                <w:szCs w:val="7"/>
                <w:color w:val="auto"/>
              </w:rPr>
              <w:t>24,300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85.2</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13,600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Apr-07</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Two Herald Square - 55%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w:t>
            </w:r>
          </w:p>
        </w:tc>
        <w:tc>
          <w:tcPr>
            <w:tcW w:w="640" w:type="dxa"/>
            <w:vAlign w:val="bottom"/>
          </w:tcPr>
          <w:p>
            <w:pPr>
              <w:jc w:val="right"/>
              <w:spacing w:after="0"/>
              <w:rPr>
                <w:sz w:val="20"/>
                <w:szCs w:val="20"/>
                <w:color w:val="auto"/>
              </w:rPr>
            </w:pPr>
            <w:r>
              <w:rPr>
                <w:rFonts w:ascii="Arial" w:cs="Arial" w:eastAsia="Arial" w:hAnsi="Arial"/>
                <w:sz w:val="7"/>
                <w:szCs w:val="7"/>
                <w:color w:val="auto"/>
              </w:rPr>
              <w:t>N/A</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225,000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Jul-07</w:t>
            </w:r>
          </w:p>
        </w:tc>
        <w:tc>
          <w:tcPr>
            <w:tcW w:w="300" w:type="dxa"/>
            <w:vAlign w:val="bottom"/>
          </w:tcPr>
          <w:p>
            <w:pPr>
              <w:ind w:left="160"/>
              <w:spacing w:after="0"/>
              <w:rPr>
                <w:sz w:val="20"/>
                <w:szCs w:val="20"/>
                <w:color w:val="auto"/>
              </w:rPr>
            </w:pPr>
            <w:r>
              <w:rPr>
                <w:rFonts w:ascii="Arial" w:cs="Arial" w:eastAsia="Arial" w:hAnsi="Arial"/>
                <w:sz w:val="7"/>
                <w:szCs w:val="7"/>
                <w:color w:val="auto"/>
              </w:rPr>
              <w:t>885</w:t>
            </w:r>
          </w:p>
        </w:tc>
        <w:tc>
          <w:tcPr>
            <w:tcW w:w="1400" w:type="dxa"/>
            <w:vAlign w:val="bottom"/>
          </w:tcPr>
          <w:p>
            <w:pPr>
              <w:spacing w:after="0"/>
              <w:rPr>
                <w:sz w:val="20"/>
                <w:szCs w:val="20"/>
                <w:color w:val="auto"/>
              </w:rPr>
            </w:pPr>
            <w:r>
              <w:rPr>
                <w:rFonts w:ascii="Arial" w:cs="Arial" w:eastAsia="Arial" w:hAnsi="Arial"/>
                <w:sz w:val="7"/>
                <w:szCs w:val="7"/>
                <w:color w:val="auto"/>
              </w:rPr>
              <w:t>Third Avenue - 55%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 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N/A</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317,000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Jan-08</w:t>
            </w:r>
          </w:p>
        </w:tc>
        <w:tc>
          <w:tcPr>
            <w:tcW w:w="300" w:type="dxa"/>
            <w:vAlign w:val="bottom"/>
          </w:tcPr>
          <w:p>
            <w:pPr>
              <w:ind w:left="160"/>
              <w:spacing w:after="0"/>
              <w:rPr>
                <w:sz w:val="20"/>
                <w:szCs w:val="20"/>
                <w:color w:val="auto"/>
              </w:rPr>
            </w:pPr>
            <w:r>
              <w:rPr>
                <w:rFonts w:ascii="Arial" w:cs="Arial" w:eastAsia="Arial" w:hAnsi="Arial"/>
                <w:sz w:val="7"/>
                <w:szCs w:val="7"/>
                <w:color w:val="auto"/>
              </w:rPr>
              <w:t>125</w:t>
            </w:r>
          </w:p>
        </w:tc>
        <w:tc>
          <w:tcPr>
            <w:tcW w:w="1400" w:type="dxa"/>
            <w:vAlign w:val="bottom"/>
          </w:tcPr>
          <w:p>
            <w:pPr>
              <w:spacing w:after="0"/>
              <w:rPr>
                <w:sz w:val="20"/>
                <w:szCs w:val="20"/>
                <w:color w:val="auto"/>
              </w:rPr>
            </w:pPr>
            <w:r>
              <w:rPr>
                <w:rFonts w:ascii="Arial" w:cs="Arial" w:eastAsia="Arial" w:hAnsi="Arial"/>
                <w:sz w:val="7"/>
                <w:szCs w:val="7"/>
                <w:color w:val="auto"/>
              </w:rPr>
              <w:t>Chubb Way</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Lyndhurst, New Jersey</w:t>
            </w:r>
          </w:p>
        </w:tc>
        <w:tc>
          <w:tcPr>
            <w:tcW w:w="640" w:type="dxa"/>
            <w:vAlign w:val="bottom"/>
          </w:tcPr>
          <w:p>
            <w:pPr>
              <w:jc w:val="right"/>
              <w:spacing w:after="0"/>
              <w:rPr>
                <w:sz w:val="20"/>
                <w:szCs w:val="20"/>
                <w:color w:val="auto"/>
              </w:rPr>
            </w:pPr>
            <w:r>
              <w:rPr>
                <w:rFonts w:ascii="Arial" w:cs="Arial" w:eastAsia="Arial" w:hAnsi="Arial"/>
                <w:sz w:val="7"/>
                <w:szCs w:val="7"/>
                <w:color w:val="auto"/>
              </w:rPr>
              <w:t>278,000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73.3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29,364</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Feb-08</w:t>
            </w:r>
          </w:p>
        </w:tc>
        <w:tc>
          <w:tcPr>
            <w:tcW w:w="300" w:type="dxa"/>
            <w:vAlign w:val="bottom"/>
          </w:tcPr>
          <w:p>
            <w:pPr>
              <w:ind w:left="160"/>
              <w:spacing w:after="0"/>
              <w:rPr>
                <w:sz w:val="20"/>
                <w:szCs w:val="20"/>
                <w:color w:val="auto"/>
              </w:rPr>
            </w:pPr>
            <w:r>
              <w:rPr>
                <w:rFonts w:ascii="Arial" w:cs="Arial" w:eastAsia="Arial" w:hAnsi="Arial"/>
                <w:sz w:val="7"/>
                <w:szCs w:val="7"/>
                <w:color w:val="auto"/>
              </w:rPr>
              <w:t>182</w:t>
            </w:r>
          </w:p>
        </w:tc>
        <w:tc>
          <w:tcPr>
            <w:tcW w:w="1400" w:type="dxa"/>
            <w:vAlign w:val="bottom"/>
          </w:tcPr>
          <w:p>
            <w:pPr>
              <w:spacing w:after="0"/>
              <w:rPr>
                <w:sz w:val="20"/>
                <w:szCs w:val="20"/>
                <w:color w:val="auto"/>
              </w:rPr>
            </w:pPr>
            <w:r>
              <w:rPr>
                <w:rFonts w:ascii="Arial" w:cs="Arial" w:eastAsia="Arial" w:hAnsi="Arial"/>
                <w:sz w:val="7"/>
                <w:szCs w:val="7"/>
                <w:color w:val="auto"/>
              </w:rPr>
              <w:t>Broadway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46,280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83.8</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30,000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Nov-10</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Williamsburg Terrace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52,000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18,000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Dec-10</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11 West 34th Street - 30%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Square/Penn Station</w:t>
            </w:r>
          </w:p>
        </w:tc>
        <w:tc>
          <w:tcPr>
            <w:tcW w:w="640" w:type="dxa"/>
            <w:vAlign w:val="bottom"/>
          </w:tcPr>
          <w:p>
            <w:pPr>
              <w:jc w:val="right"/>
              <w:spacing w:after="0"/>
              <w:rPr>
                <w:sz w:val="20"/>
                <w:szCs w:val="20"/>
                <w:color w:val="auto"/>
              </w:rPr>
            </w:pPr>
            <w:r>
              <w:rPr>
                <w:rFonts w:ascii="Arial" w:cs="Arial" w:eastAsia="Arial" w:hAnsi="Arial"/>
                <w:sz w:val="7"/>
                <w:szCs w:val="7"/>
                <w:color w:val="auto"/>
              </w:rPr>
              <w:t>17,150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10,800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Dec-10</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7 Renaissance Square - 50% JV</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White Plains,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65,641</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Dec-10</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 xml:space="preserve">Two Herald Square - 45% </w:t>
            </w:r>
            <w:r>
              <w:rPr>
                <w:rFonts w:ascii="Arial" w:cs="Arial" w:eastAsia="Arial" w:hAnsi="Arial"/>
                <w:sz w:val="6"/>
                <w:szCs w:val="6"/>
                <w:color w:val="auto"/>
              </w:rPr>
              <w:t>(2)</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Herald Square</w:t>
            </w:r>
          </w:p>
        </w:tc>
        <w:tc>
          <w:tcPr>
            <w:tcW w:w="640" w:type="dxa"/>
            <w:vAlign w:val="bottom"/>
          </w:tcPr>
          <w:p>
            <w:pPr>
              <w:jc w:val="right"/>
              <w:spacing w:after="0"/>
              <w:rPr>
                <w:sz w:val="20"/>
                <w:szCs w:val="20"/>
                <w:color w:val="auto"/>
              </w:rPr>
            </w:pPr>
            <w:r>
              <w:rPr>
                <w:rFonts w:ascii="Arial" w:cs="Arial" w:eastAsia="Arial" w:hAnsi="Arial"/>
                <w:sz w:val="7"/>
                <w:szCs w:val="7"/>
                <w:color w:val="auto"/>
              </w:rPr>
              <w:t>354,400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247,500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Dec-10</w:t>
            </w:r>
          </w:p>
        </w:tc>
        <w:tc>
          <w:tcPr>
            <w:tcW w:w="300" w:type="dxa"/>
            <w:vAlign w:val="bottom"/>
          </w:tcPr>
          <w:p>
            <w:pPr>
              <w:ind w:left="160"/>
              <w:spacing w:after="0"/>
              <w:rPr>
                <w:sz w:val="20"/>
                <w:szCs w:val="20"/>
                <w:color w:val="auto"/>
              </w:rPr>
            </w:pPr>
            <w:r>
              <w:rPr>
                <w:rFonts w:ascii="Arial" w:cs="Arial" w:eastAsia="Arial" w:hAnsi="Arial"/>
                <w:sz w:val="7"/>
                <w:szCs w:val="7"/>
                <w:color w:val="auto"/>
              </w:rPr>
              <w:t>885</w:t>
            </w:r>
          </w:p>
        </w:tc>
        <w:tc>
          <w:tcPr>
            <w:tcW w:w="1400" w:type="dxa"/>
            <w:vAlign w:val="bottom"/>
          </w:tcPr>
          <w:p>
            <w:pPr>
              <w:spacing w:after="0"/>
              <w:rPr>
                <w:sz w:val="20"/>
                <w:szCs w:val="20"/>
                <w:color w:val="auto"/>
              </w:rPr>
            </w:pPr>
            <w:r>
              <w:rPr>
                <w:rFonts w:ascii="Arial" w:cs="Arial" w:eastAsia="Arial" w:hAnsi="Arial"/>
                <w:sz w:val="7"/>
                <w:szCs w:val="7"/>
                <w:color w:val="auto"/>
              </w:rPr>
              <w:t xml:space="preserve">Third Avenue - 45% </w:t>
            </w:r>
            <w:r>
              <w:rPr>
                <w:rFonts w:ascii="Arial" w:cs="Arial" w:eastAsia="Arial" w:hAnsi="Arial"/>
                <w:sz w:val="6"/>
                <w:szCs w:val="6"/>
                <w:color w:val="auto"/>
              </w:rPr>
              <w:t>(2)</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 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607,000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352,000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Dec-10</w:t>
            </w:r>
          </w:p>
        </w:tc>
        <w:tc>
          <w:tcPr>
            <w:tcW w:w="300" w:type="dxa"/>
            <w:vAlign w:val="bottom"/>
          </w:tcPr>
          <w:p>
            <w:pPr>
              <w:ind w:left="160"/>
              <w:spacing w:after="0"/>
              <w:rPr>
                <w:sz w:val="20"/>
                <w:szCs w:val="20"/>
                <w:color w:val="auto"/>
              </w:rPr>
            </w:pPr>
            <w:r>
              <w:rPr>
                <w:rFonts w:ascii="Arial" w:cs="Arial" w:eastAsia="Arial" w:hAnsi="Arial"/>
                <w:sz w:val="7"/>
                <w:szCs w:val="7"/>
                <w:color w:val="auto"/>
              </w:rPr>
              <w:t>292</w:t>
            </w:r>
          </w:p>
        </w:tc>
        <w:tc>
          <w:tcPr>
            <w:tcW w:w="1400" w:type="dxa"/>
            <w:vAlign w:val="bottom"/>
          </w:tcPr>
          <w:p>
            <w:pPr>
              <w:spacing w:after="0"/>
              <w:rPr>
                <w:sz w:val="20"/>
                <w:szCs w:val="20"/>
                <w:color w:val="auto"/>
              </w:rPr>
            </w:pPr>
            <w:r>
              <w:rPr>
                <w:rFonts w:ascii="Arial" w:cs="Arial" w:eastAsia="Arial" w:hAnsi="Arial"/>
                <w:sz w:val="7"/>
                <w:szCs w:val="7"/>
                <w:color w:val="auto"/>
              </w:rPr>
              <w:t>Madison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Grand Central South</w:t>
            </w:r>
          </w:p>
        </w:tc>
        <w:tc>
          <w:tcPr>
            <w:tcW w:w="640" w:type="dxa"/>
            <w:vAlign w:val="bottom"/>
          </w:tcPr>
          <w:p>
            <w:pPr>
              <w:jc w:val="right"/>
              <w:spacing w:after="0"/>
              <w:rPr>
                <w:sz w:val="20"/>
                <w:szCs w:val="20"/>
                <w:color w:val="auto"/>
              </w:rPr>
            </w:pPr>
            <w:r>
              <w:rPr>
                <w:rFonts w:ascii="Arial" w:cs="Arial" w:eastAsia="Arial" w:hAnsi="Arial"/>
                <w:sz w:val="7"/>
                <w:szCs w:val="7"/>
                <w:color w:val="auto"/>
              </w:rPr>
              <w:t>203,800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N/A</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78,300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Jan-11</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3 Columbus Circle - 48.9%</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Columbus Circle</w:t>
            </w:r>
          </w:p>
        </w:tc>
        <w:tc>
          <w:tcPr>
            <w:tcW w:w="640" w:type="dxa"/>
            <w:vAlign w:val="bottom"/>
          </w:tcPr>
          <w:p>
            <w:pPr>
              <w:jc w:val="right"/>
              <w:spacing w:after="0"/>
              <w:rPr>
                <w:sz w:val="20"/>
                <w:szCs w:val="20"/>
                <w:color w:val="auto"/>
              </w:rPr>
            </w:pPr>
            <w:r>
              <w:rPr>
                <w:rFonts w:ascii="Arial" w:cs="Arial" w:eastAsia="Arial" w:hAnsi="Arial"/>
                <w:sz w:val="7"/>
                <w:szCs w:val="7"/>
                <w:color w:val="auto"/>
              </w:rPr>
              <w:t>741,500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20.1</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96.2</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500,000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Aug-11</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1552-1560 Broadway - 50%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35,897</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59.7</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67.5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136,550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Sep-11</w:t>
            </w:r>
          </w:p>
        </w:tc>
        <w:tc>
          <w:tcPr>
            <w:tcW w:w="300" w:type="dxa"/>
            <w:vAlign w:val="bottom"/>
          </w:tcPr>
          <w:p>
            <w:pPr>
              <w:ind w:left="160"/>
              <w:spacing w:after="0"/>
              <w:rPr>
                <w:sz w:val="20"/>
                <w:szCs w:val="20"/>
                <w:color w:val="auto"/>
              </w:rPr>
            </w:pPr>
            <w:r>
              <w:rPr>
                <w:rFonts w:ascii="Arial" w:cs="Arial" w:eastAsia="Arial" w:hAnsi="Arial"/>
                <w:sz w:val="7"/>
                <w:szCs w:val="7"/>
                <w:color w:val="auto"/>
              </w:rPr>
              <w:t>747</w:t>
            </w:r>
          </w:p>
        </w:tc>
        <w:tc>
          <w:tcPr>
            <w:tcW w:w="1400" w:type="dxa"/>
            <w:vAlign w:val="bottom"/>
          </w:tcPr>
          <w:p>
            <w:pPr>
              <w:spacing w:after="0"/>
              <w:rPr>
                <w:sz w:val="20"/>
                <w:szCs w:val="20"/>
                <w:color w:val="auto"/>
              </w:rPr>
            </w:pPr>
            <w:r>
              <w:rPr>
                <w:rFonts w:ascii="Arial" w:cs="Arial" w:eastAsia="Arial" w:hAnsi="Arial"/>
                <w:sz w:val="7"/>
                <w:szCs w:val="7"/>
                <w:color w:val="auto"/>
              </w:rPr>
              <w:t>Madison Avenue - 33.33%</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10,000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66,250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Jan-12</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DFR Residential and Retail Portfolio - 80%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Interests / 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 Upper East Side</w:t>
            </w:r>
          </w:p>
        </w:tc>
        <w:tc>
          <w:tcPr>
            <w:tcW w:w="640" w:type="dxa"/>
            <w:vAlign w:val="bottom"/>
          </w:tcPr>
          <w:p>
            <w:pPr>
              <w:jc w:val="right"/>
              <w:spacing w:after="0"/>
              <w:rPr>
                <w:sz w:val="20"/>
                <w:szCs w:val="20"/>
                <w:color w:val="auto"/>
              </w:rPr>
            </w:pPr>
            <w:r>
              <w:rPr>
                <w:rFonts w:ascii="Arial" w:cs="Arial" w:eastAsia="Arial" w:hAnsi="Arial"/>
                <w:sz w:val="7"/>
                <w:szCs w:val="7"/>
                <w:color w:val="auto"/>
              </w:rPr>
              <w:t>489,882</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95.1</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91.3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193,000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Jan-12</w:t>
            </w:r>
          </w:p>
        </w:tc>
        <w:tc>
          <w:tcPr>
            <w:tcW w:w="300" w:type="dxa"/>
            <w:vAlign w:val="bottom"/>
          </w:tcPr>
          <w:p>
            <w:pPr>
              <w:ind w:left="160"/>
              <w:spacing w:after="0"/>
              <w:rPr>
                <w:sz w:val="20"/>
                <w:szCs w:val="20"/>
                <w:color w:val="auto"/>
              </w:rPr>
            </w:pPr>
            <w:r>
              <w:rPr>
                <w:rFonts w:ascii="Arial" w:cs="Arial" w:eastAsia="Arial" w:hAnsi="Arial"/>
                <w:sz w:val="7"/>
                <w:szCs w:val="7"/>
                <w:color w:val="auto"/>
              </w:rPr>
              <w:t>724</w:t>
            </w:r>
          </w:p>
        </w:tc>
        <w:tc>
          <w:tcPr>
            <w:tcW w:w="1400" w:type="dxa"/>
            <w:vAlign w:val="bottom"/>
          </w:tcPr>
          <w:p>
            <w:pPr>
              <w:spacing w:after="0"/>
              <w:rPr>
                <w:sz w:val="20"/>
                <w:szCs w:val="20"/>
                <w:color w:val="auto"/>
              </w:rPr>
            </w:pPr>
            <w:r>
              <w:rPr>
                <w:rFonts w:ascii="Arial" w:cs="Arial" w:eastAsia="Arial" w:hAnsi="Arial"/>
                <w:sz w:val="7"/>
                <w:szCs w:val="7"/>
                <w:color w:val="auto"/>
              </w:rPr>
              <w:t>Fifth Avenue - 50%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65,010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92.9</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97.0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223,000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Jul-12</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West Coast Office Portfolio - 27.63%</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4,473,603</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76.3</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880,104</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Aug-12</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33 Beekman Street - 45.9%</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Downtown</w:t>
            </w:r>
          </w:p>
        </w:tc>
        <w:tc>
          <w:tcPr>
            <w:tcW w:w="640" w:type="dxa"/>
            <w:vAlign w:val="bottom"/>
          </w:tcPr>
          <w:p>
            <w:pPr>
              <w:jc w:val="right"/>
              <w:spacing w:after="0"/>
              <w:rPr>
                <w:sz w:val="20"/>
                <w:szCs w:val="20"/>
                <w:color w:val="auto"/>
              </w:rPr>
            </w:pPr>
            <w:r>
              <w:rPr>
                <w:rFonts w:ascii="Arial" w:cs="Arial" w:eastAsia="Arial" w:hAnsi="Arial"/>
                <w:sz w:val="7"/>
                <w:szCs w:val="7"/>
                <w:color w:val="auto"/>
              </w:rPr>
              <w:t>163,500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31,160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Sep-12</w:t>
            </w:r>
          </w:p>
        </w:tc>
        <w:tc>
          <w:tcPr>
            <w:tcW w:w="300" w:type="dxa"/>
            <w:vAlign w:val="bottom"/>
          </w:tcPr>
          <w:p>
            <w:pPr>
              <w:ind w:left="160"/>
              <w:spacing w:after="0"/>
              <w:rPr>
                <w:sz w:val="20"/>
                <w:szCs w:val="20"/>
                <w:color w:val="auto"/>
              </w:rPr>
            </w:pPr>
            <w:r>
              <w:rPr>
                <w:rFonts w:ascii="Arial" w:cs="Arial" w:eastAsia="Arial" w:hAnsi="Arial"/>
                <w:sz w:val="7"/>
                <w:szCs w:val="7"/>
                <w:color w:val="auto"/>
              </w:rPr>
              <w:t>635</w:t>
            </w:r>
          </w:p>
        </w:tc>
        <w:tc>
          <w:tcPr>
            <w:tcW w:w="1400" w:type="dxa"/>
            <w:vAlign w:val="bottom"/>
          </w:tcPr>
          <w:p>
            <w:pPr>
              <w:spacing w:after="0"/>
              <w:rPr>
                <w:sz w:val="20"/>
                <w:szCs w:val="20"/>
                <w:color w:val="auto"/>
              </w:rPr>
            </w:pPr>
            <w:r>
              <w:rPr>
                <w:rFonts w:ascii="Arial" w:cs="Arial" w:eastAsia="Arial" w:hAnsi="Arial"/>
                <w:sz w:val="7"/>
                <w:szCs w:val="7"/>
                <w:color w:val="auto"/>
              </w:rPr>
              <w:t>Sixth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South</w:t>
            </w:r>
          </w:p>
        </w:tc>
        <w:tc>
          <w:tcPr>
            <w:tcW w:w="640" w:type="dxa"/>
            <w:vAlign w:val="bottom"/>
          </w:tcPr>
          <w:p>
            <w:pPr>
              <w:jc w:val="right"/>
              <w:spacing w:after="0"/>
              <w:rPr>
                <w:sz w:val="20"/>
                <w:szCs w:val="20"/>
                <w:color w:val="auto"/>
              </w:rPr>
            </w:pPr>
            <w:r>
              <w:rPr>
                <w:rFonts w:ascii="Arial" w:cs="Arial" w:eastAsia="Arial" w:hAnsi="Arial"/>
                <w:sz w:val="7"/>
                <w:szCs w:val="7"/>
                <w:color w:val="auto"/>
              </w:rPr>
              <w:t>104,000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83,000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Oct-12</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1080 Amsterdam - 87.5%</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Upper West Side</w:t>
            </w:r>
          </w:p>
        </w:tc>
        <w:tc>
          <w:tcPr>
            <w:tcW w:w="640" w:type="dxa"/>
            <w:vAlign w:val="bottom"/>
          </w:tcPr>
          <w:p>
            <w:pPr>
              <w:jc w:val="right"/>
              <w:spacing w:after="0"/>
              <w:rPr>
                <w:sz w:val="20"/>
                <w:szCs w:val="20"/>
                <w:color w:val="auto"/>
              </w:rPr>
            </w:pPr>
            <w:r>
              <w:rPr>
                <w:rFonts w:ascii="Arial" w:cs="Arial" w:eastAsia="Arial" w:hAnsi="Arial"/>
                <w:sz w:val="7"/>
                <w:szCs w:val="7"/>
                <w:color w:val="auto"/>
              </w:rPr>
              <w:t>82,250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2.2</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88.5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Dec-12</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21 East 66th Street - 32.28%</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16,736</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75,000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Dec-12</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985-987 Third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Upper East Side</w:t>
            </w:r>
          </w:p>
        </w:tc>
        <w:tc>
          <w:tcPr>
            <w:tcW w:w="640" w:type="dxa"/>
            <w:vAlign w:val="bottom"/>
          </w:tcPr>
          <w:p>
            <w:pPr>
              <w:jc w:val="right"/>
              <w:spacing w:after="0"/>
              <w:rPr>
                <w:sz w:val="20"/>
                <w:szCs w:val="20"/>
                <w:color w:val="auto"/>
              </w:rPr>
            </w:pPr>
            <w:r>
              <w:rPr>
                <w:rFonts w:ascii="Arial" w:cs="Arial" w:eastAsia="Arial" w:hAnsi="Arial"/>
                <w:sz w:val="7"/>
                <w:szCs w:val="7"/>
                <w:color w:val="auto"/>
              </w:rPr>
              <w:t>13,678</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18,000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Dec-12</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131-137 Spring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68,342</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93.9</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122,300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Mar-13</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248-252 Bedford Avenue - 90%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66,611</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54,900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Nov-13</w:t>
            </w:r>
          </w:p>
        </w:tc>
        <w:tc>
          <w:tcPr>
            <w:tcW w:w="300" w:type="dxa"/>
            <w:vAlign w:val="bottom"/>
          </w:tcPr>
          <w:p>
            <w:pPr>
              <w:ind w:left="160"/>
              <w:spacing w:after="0"/>
              <w:rPr>
                <w:sz w:val="20"/>
                <w:szCs w:val="20"/>
                <w:color w:val="auto"/>
              </w:rPr>
            </w:pPr>
            <w:r>
              <w:rPr>
                <w:rFonts w:ascii="Arial" w:cs="Arial" w:eastAsia="Arial" w:hAnsi="Arial"/>
                <w:sz w:val="7"/>
                <w:szCs w:val="7"/>
                <w:color w:val="auto"/>
              </w:rPr>
              <w:t>650</w:t>
            </w:r>
          </w:p>
        </w:tc>
        <w:tc>
          <w:tcPr>
            <w:tcW w:w="1400" w:type="dxa"/>
            <w:vAlign w:val="bottom"/>
          </w:tcPr>
          <w:p>
            <w:pPr>
              <w:spacing w:after="0"/>
              <w:rPr>
                <w:sz w:val="20"/>
                <w:szCs w:val="20"/>
                <w:color w:val="auto"/>
              </w:rPr>
            </w:pPr>
            <w:r>
              <w:rPr>
                <w:rFonts w:ascii="Arial" w:cs="Arial" w:eastAsia="Arial" w:hAnsi="Arial"/>
                <w:sz w:val="7"/>
                <w:szCs w:val="7"/>
                <w:color w:val="auto"/>
              </w:rPr>
              <w:t>Fifth Avenue - 50%</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32,324</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63.6</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10.5</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Nov-13</w:t>
            </w:r>
          </w:p>
        </w:tc>
        <w:tc>
          <w:tcPr>
            <w:tcW w:w="300" w:type="dxa"/>
            <w:vAlign w:val="bottom"/>
          </w:tcPr>
          <w:p>
            <w:pPr>
              <w:ind w:left="160"/>
              <w:spacing w:after="0"/>
              <w:rPr>
                <w:sz w:val="20"/>
                <w:szCs w:val="20"/>
                <w:color w:val="auto"/>
              </w:rPr>
            </w:pPr>
            <w:r>
              <w:rPr>
                <w:rFonts w:ascii="Arial" w:cs="Arial" w:eastAsia="Arial" w:hAnsi="Arial"/>
                <w:sz w:val="7"/>
                <w:szCs w:val="7"/>
                <w:color w:val="auto"/>
              </w:rPr>
              <w:t>315</w:t>
            </w:r>
          </w:p>
        </w:tc>
        <w:tc>
          <w:tcPr>
            <w:tcW w:w="1400" w:type="dxa"/>
            <w:vAlign w:val="bottom"/>
          </w:tcPr>
          <w:p>
            <w:pPr>
              <w:spacing w:after="0"/>
              <w:rPr>
                <w:sz w:val="20"/>
                <w:szCs w:val="20"/>
                <w:color w:val="auto"/>
              </w:rPr>
            </w:pPr>
            <w:r>
              <w:rPr>
                <w:rFonts w:ascii="Arial" w:cs="Arial" w:eastAsia="Arial" w:hAnsi="Arial"/>
                <w:sz w:val="7"/>
                <w:szCs w:val="7"/>
                <w:color w:val="auto"/>
              </w:rPr>
              <w:t>West 33rd Street - The Olivia</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Penn Station</w:t>
            </w:r>
          </w:p>
        </w:tc>
        <w:tc>
          <w:tcPr>
            <w:tcW w:w="640" w:type="dxa"/>
            <w:vAlign w:val="bottom"/>
          </w:tcPr>
          <w:p>
            <w:pPr>
              <w:jc w:val="right"/>
              <w:spacing w:after="0"/>
              <w:rPr>
                <w:sz w:val="20"/>
                <w:szCs w:val="20"/>
                <w:color w:val="auto"/>
              </w:rPr>
            </w:pPr>
            <w:r>
              <w:rPr>
                <w:rFonts w:ascii="Arial" w:cs="Arial" w:eastAsia="Arial" w:hAnsi="Arial"/>
                <w:sz w:val="7"/>
                <w:szCs w:val="7"/>
                <w:color w:val="auto"/>
              </w:rPr>
              <w:t>492,987</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96.6</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97.3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386,775</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Nov-13</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562, 570 &amp; 574 Fifth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66,962</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74.6</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N/A</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146,222</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Jul-14</w:t>
            </w:r>
          </w:p>
        </w:tc>
        <w:tc>
          <w:tcPr>
            <w:tcW w:w="300" w:type="dxa"/>
            <w:vAlign w:val="bottom"/>
          </w:tcPr>
          <w:p>
            <w:pPr>
              <w:ind w:left="160"/>
              <w:spacing w:after="0"/>
              <w:rPr>
                <w:sz w:val="20"/>
                <w:szCs w:val="20"/>
                <w:color w:val="auto"/>
              </w:rPr>
            </w:pPr>
            <w:r>
              <w:rPr>
                <w:rFonts w:ascii="Arial" w:cs="Arial" w:eastAsia="Arial" w:hAnsi="Arial"/>
                <w:sz w:val="7"/>
                <w:szCs w:val="7"/>
                <w:color w:val="auto"/>
              </w:rPr>
              <w:t>719</w:t>
            </w:r>
          </w:p>
        </w:tc>
        <w:tc>
          <w:tcPr>
            <w:tcW w:w="1400" w:type="dxa"/>
            <w:vAlign w:val="bottom"/>
          </w:tcPr>
          <w:p>
            <w:pPr>
              <w:spacing w:after="0"/>
              <w:rPr>
                <w:sz w:val="20"/>
                <w:szCs w:val="20"/>
                <w:color w:val="auto"/>
              </w:rPr>
            </w:pPr>
            <w:r>
              <w:rPr>
                <w:rFonts w:ascii="Arial" w:cs="Arial" w:eastAsia="Arial" w:hAnsi="Arial"/>
                <w:sz w:val="7"/>
                <w:szCs w:val="7"/>
                <w:color w:val="auto"/>
              </w:rPr>
              <w:t>Seventh Avenue - 75%</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Times Square</w:t>
            </w:r>
          </w:p>
        </w:tc>
        <w:tc>
          <w:tcPr>
            <w:tcW w:w="640" w:type="dxa"/>
            <w:vAlign w:val="bottom"/>
          </w:tcPr>
          <w:p>
            <w:pPr>
              <w:jc w:val="right"/>
              <w:spacing w:after="0"/>
              <w:rPr>
                <w:sz w:val="20"/>
                <w:szCs w:val="20"/>
                <w:color w:val="auto"/>
              </w:rPr>
            </w:pPr>
            <w:r>
              <w:rPr>
                <w:rFonts w:ascii="Arial" w:cs="Arial" w:eastAsia="Arial" w:hAnsi="Arial"/>
                <w:sz w:val="7"/>
                <w:szCs w:val="7"/>
                <w:color w:val="auto"/>
              </w:rPr>
              <w:t>6,000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41,149</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Jul-14</w:t>
            </w:r>
          </w:p>
        </w:tc>
        <w:tc>
          <w:tcPr>
            <w:tcW w:w="300" w:type="dxa"/>
            <w:vAlign w:val="bottom"/>
          </w:tcPr>
          <w:p>
            <w:pPr>
              <w:ind w:left="160"/>
              <w:spacing w:after="0"/>
              <w:rPr>
                <w:sz w:val="20"/>
                <w:szCs w:val="20"/>
                <w:color w:val="auto"/>
              </w:rPr>
            </w:pPr>
            <w:r>
              <w:rPr>
                <w:rFonts w:ascii="Arial" w:cs="Arial" w:eastAsia="Arial" w:hAnsi="Arial"/>
                <w:sz w:val="7"/>
                <w:szCs w:val="7"/>
                <w:color w:val="auto"/>
              </w:rPr>
              <w:t>115</w:t>
            </w:r>
          </w:p>
        </w:tc>
        <w:tc>
          <w:tcPr>
            <w:tcW w:w="1400" w:type="dxa"/>
            <w:vAlign w:val="bottom"/>
          </w:tcPr>
          <w:p>
            <w:pPr>
              <w:spacing w:after="0"/>
              <w:rPr>
                <w:sz w:val="20"/>
                <w:szCs w:val="20"/>
                <w:color w:val="auto"/>
              </w:rPr>
            </w:pPr>
            <w:r>
              <w:rPr>
                <w:rFonts w:ascii="Arial" w:cs="Arial" w:eastAsia="Arial" w:hAnsi="Arial"/>
                <w:sz w:val="7"/>
                <w:szCs w:val="7"/>
                <w:color w:val="auto"/>
              </w:rPr>
              <w:t>Spring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5,218</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52,000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Jul-14</w:t>
            </w:r>
          </w:p>
        </w:tc>
        <w:tc>
          <w:tcPr>
            <w:tcW w:w="300" w:type="dxa"/>
            <w:vAlign w:val="bottom"/>
          </w:tcPr>
          <w:p>
            <w:pPr>
              <w:ind w:left="160"/>
              <w:spacing w:after="0"/>
              <w:rPr>
                <w:sz w:val="20"/>
                <w:szCs w:val="20"/>
                <w:color w:val="auto"/>
              </w:rPr>
            </w:pPr>
            <w:r>
              <w:rPr>
                <w:rFonts w:ascii="Arial" w:cs="Arial" w:eastAsia="Arial" w:hAnsi="Arial"/>
                <w:sz w:val="7"/>
                <w:szCs w:val="7"/>
                <w:color w:val="auto"/>
              </w:rPr>
              <w:t>752</w:t>
            </w:r>
          </w:p>
        </w:tc>
        <w:tc>
          <w:tcPr>
            <w:tcW w:w="1400" w:type="dxa"/>
            <w:vAlign w:val="bottom"/>
          </w:tcPr>
          <w:p>
            <w:pPr>
              <w:spacing w:after="0"/>
              <w:rPr>
                <w:sz w:val="20"/>
                <w:szCs w:val="20"/>
                <w:color w:val="auto"/>
              </w:rPr>
            </w:pPr>
            <w:r>
              <w:rPr>
                <w:rFonts w:ascii="Arial" w:cs="Arial" w:eastAsia="Arial" w:hAnsi="Arial"/>
                <w:sz w:val="7"/>
                <w:szCs w:val="7"/>
                <w:color w:val="auto"/>
              </w:rPr>
              <w:t>Madison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21,124</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282,415</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Sep-14</w:t>
            </w:r>
          </w:p>
        </w:tc>
        <w:tc>
          <w:tcPr>
            <w:tcW w:w="300" w:type="dxa"/>
            <w:vAlign w:val="bottom"/>
          </w:tcPr>
          <w:p>
            <w:pPr>
              <w:ind w:left="160"/>
              <w:spacing w:after="0"/>
              <w:rPr>
                <w:sz w:val="20"/>
                <w:szCs w:val="20"/>
                <w:color w:val="auto"/>
              </w:rPr>
            </w:pPr>
            <w:r>
              <w:rPr>
                <w:rFonts w:ascii="Arial" w:cs="Arial" w:eastAsia="Arial" w:hAnsi="Arial"/>
                <w:sz w:val="7"/>
                <w:szCs w:val="7"/>
                <w:color w:val="auto"/>
              </w:rPr>
              <w:t>121</w:t>
            </w:r>
          </w:p>
        </w:tc>
        <w:tc>
          <w:tcPr>
            <w:tcW w:w="1400" w:type="dxa"/>
            <w:vAlign w:val="bottom"/>
          </w:tcPr>
          <w:p>
            <w:pPr>
              <w:spacing w:after="0"/>
              <w:rPr>
                <w:sz w:val="20"/>
                <w:szCs w:val="20"/>
                <w:color w:val="auto"/>
              </w:rPr>
            </w:pPr>
            <w:r>
              <w:rPr>
                <w:rFonts w:ascii="Arial" w:cs="Arial" w:eastAsia="Arial" w:hAnsi="Arial"/>
                <w:sz w:val="7"/>
                <w:szCs w:val="7"/>
                <w:color w:val="auto"/>
              </w:rPr>
              <w:t>Greene Street - 50%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7,131</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27,400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Sep-14</w:t>
            </w:r>
          </w:p>
        </w:tc>
        <w:tc>
          <w:tcPr>
            <w:tcW w:w="300" w:type="dxa"/>
            <w:vAlign w:val="bottom"/>
          </w:tcPr>
          <w:p>
            <w:pPr>
              <w:ind w:left="160"/>
              <w:spacing w:after="0"/>
              <w:rPr>
                <w:sz w:val="20"/>
                <w:szCs w:val="20"/>
                <w:color w:val="auto"/>
              </w:rPr>
            </w:pPr>
            <w:r>
              <w:rPr>
                <w:rFonts w:ascii="Arial" w:cs="Arial" w:eastAsia="Arial" w:hAnsi="Arial"/>
                <w:sz w:val="7"/>
                <w:szCs w:val="7"/>
                <w:color w:val="auto"/>
              </w:rPr>
              <w:t>635</w:t>
            </w:r>
          </w:p>
        </w:tc>
        <w:tc>
          <w:tcPr>
            <w:tcW w:w="1400" w:type="dxa"/>
            <w:vAlign w:val="bottom"/>
          </w:tcPr>
          <w:p>
            <w:pPr>
              <w:spacing w:after="0"/>
              <w:rPr>
                <w:sz w:val="20"/>
                <w:szCs w:val="20"/>
                <w:color w:val="auto"/>
              </w:rPr>
            </w:pPr>
            <w:r>
              <w:rPr>
                <w:rFonts w:ascii="Arial" w:cs="Arial" w:eastAsia="Arial" w:hAnsi="Arial"/>
                <w:sz w:val="7"/>
                <w:szCs w:val="7"/>
                <w:color w:val="auto"/>
              </w:rPr>
              <w:t xml:space="preserve">Madison Avenue </w:t>
            </w:r>
            <w:r>
              <w:rPr>
                <w:rFonts w:ascii="Arial" w:cs="Arial" w:eastAsia="Arial" w:hAnsi="Arial"/>
                <w:sz w:val="6"/>
                <w:szCs w:val="6"/>
                <w:color w:val="auto"/>
              </w:rPr>
              <w:t>(2)</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Plaza District</w:t>
            </w:r>
          </w:p>
        </w:tc>
        <w:tc>
          <w:tcPr>
            <w:tcW w:w="640" w:type="dxa"/>
            <w:vAlign w:val="bottom"/>
          </w:tcPr>
          <w:p>
            <w:pPr>
              <w:jc w:val="right"/>
              <w:spacing w:after="0"/>
              <w:rPr>
                <w:sz w:val="20"/>
                <w:szCs w:val="20"/>
                <w:color w:val="auto"/>
              </w:rPr>
            </w:pPr>
            <w:r>
              <w:rPr>
                <w:rFonts w:ascii="Arial" w:cs="Arial" w:eastAsia="Arial" w:hAnsi="Arial"/>
                <w:sz w:val="7"/>
                <w:szCs w:val="7"/>
                <w:color w:val="auto"/>
              </w:rPr>
              <w:t>176,530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145,000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Oct-14</w:t>
            </w:r>
          </w:p>
        </w:tc>
        <w:tc>
          <w:tcPr>
            <w:tcW w:w="300" w:type="dxa"/>
            <w:vAlign w:val="bottom"/>
          </w:tcPr>
          <w:p>
            <w:pPr>
              <w:ind w:left="160"/>
              <w:spacing w:after="0"/>
              <w:rPr>
                <w:sz w:val="20"/>
                <w:szCs w:val="20"/>
                <w:color w:val="auto"/>
              </w:rPr>
            </w:pPr>
            <w:r>
              <w:rPr>
                <w:rFonts w:ascii="Arial" w:cs="Arial" w:eastAsia="Arial" w:hAnsi="Arial"/>
                <w:sz w:val="7"/>
                <w:szCs w:val="7"/>
                <w:color w:val="auto"/>
              </w:rPr>
              <w:t>102</w:t>
            </w:r>
          </w:p>
        </w:tc>
        <w:tc>
          <w:tcPr>
            <w:tcW w:w="1400" w:type="dxa"/>
            <w:vAlign w:val="bottom"/>
          </w:tcPr>
          <w:p>
            <w:pPr>
              <w:spacing w:after="0"/>
              <w:rPr>
                <w:sz w:val="20"/>
                <w:szCs w:val="20"/>
                <w:color w:val="auto"/>
              </w:rPr>
            </w:pPr>
            <w:r>
              <w:rPr>
                <w:rFonts w:ascii="Arial" w:cs="Arial" w:eastAsia="Arial" w:hAnsi="Arial"/>
                <w:sz w:val="7"/>
                <w:szCs w:val="7"/>
                <w:color w:val="auto"/>
              </w:rPr>
              <w:t>Greene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Soho</w:t>
            </w:r>
          </w:p>
        </w:tc>
        <w:tc>
          <w:tcPr>
            <w:tcW w:w="640" w:type="dxa"/>
            <w:vAlign w:val="bottom"/>
          </w:tcPr>
          <w:p>
            <w:pPr>
              <w:jc w:val="right"/>
              <w:spacing w:after="0"/>
              <w:rPr>
                <w:sz w:val="20"/>
                <w:szCs w:val="20"/>
                <w:color w:val="auto"/>
              </w:rPr>
            </w:pPr>
            <w:r>
              <w:rPr>
                <w:rFonts w:ascii="Arial" w:cs="Arial" w:eastAsia="Arial" w:hAnsi="Arial"/>
                <w:sz w:val="7"/>
                <w:szCs w:val="7"/>
                <w:color w:val="auto"/>
              </w:rPr>
              <w:t>9,200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54.3</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32,250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Oct-14</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175-225 Third Street - 95%</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72,500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Nov-14</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55 West 46th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w:t>
            </w:r>
          </w:p>
        </w:tc>
        <w:tc>
          <w:tcPr>
            <w:tcW w:w="640" w:type="dxa"/>
            <w:vAlign w:val="bottom"/>
          </w:tcPr>
          <w:p>
            <w:pPr>
              <w:jc w:val="right"/>
              <w:spacing w:after="0"/>
              <w:rPr>
                <w:sz w:val="20"/>
                <w:szCs w:val="20"/>
                <w:color w:val="auto"/>
              </w:rPr>
            </w:pPr>
            <w:r>
              <w:rPr>
                <w:rFonts w:ascii="Arial" w:cs="Arial" w:eastAsia="Arial" w:hAnsi="Arial"/>
                <w:sz w:val="7"/>
                <w:szCs w:val="7"/>
                <w:color w:val="auto"/>
              </w:rPr>
              <w:t>347,000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17.1</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295,000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Feb-15</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Stonehenge Portfolio</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w:t>
            </w:r>
          </w:p>
        </w:tc>
        <w:tc>
          <w:tcPr>
            <w:tcW w:w="640" w:type="dxa"/>
            <w:vAlign w:val="bottom"/>
          </w:tcPr>
          <w:p>
            <w:pPr>
              <w:jc w:val="right"/>
              <w:spacing w:after="0"/>
              <w:rPr>
                <w:sz w:val="20"/>
                <w:szCs w:val="20"/>
                <w:color w:val="auto"/>
              </w:rPr>
            </w:pPr>
            <w:r>
              <w:rPr>
                <w:rFonts w:ascii="Arial" w:cs="Arial" w:eastAsia="Arial" w:hAnsi="Arial"/>
                <w:sz w:val="7"/>
                <w:szCs w:val="7"/>
                <w:color w:val="auto"/>
              </w:rPr>
              <w:t>2,589,184</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96.5</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92.2</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40,000</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Mar-15</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1640 Flatbush Avenue</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Brooklyn, New York</w:t>
            </w:r>
          </w:p>
        </w:tc>
        <w:tc>
          <w:tcPr>
            <w:tcW w:w="640" w:type="dxa"/>
            <w:vAlign w:val="bottom"/>
          </w:tcPr>
          <w:p>
            <w:pPr>
              <w:jc w:val="right"/>
              <w:spacing w:after="0"/>
              <w:rPr>
                <w:sz w:val="20"/>
                <w:szCs w:val="20"/>
                <w:color w:val="auto"/>
              </w:rPr>
            </w:pPr>
            <w:r>
              <w:rPr>
                <w:rFonts w:ascii="Arial" w:cs="Arial" w:eastAsia="Arial" w:hAnsi="Arial"/>
                <w:sz w:val="7"/>
                <w:szCs w:val="7"/>
                <w:color w:val="auto"/>
              </w:rPr>
              <w:t>1,000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100.0</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100.0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6,799</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Jun-15</w:t>
            </w:r>
          </w:p>
        </w:tc>
        <w:tc>
          <w:tcPr>
            <w:tcW w:w="1700" w:type="dxa"/>
            <w:vAlign w:val="bottom"/>
            <w:gridSpan w:val="2"/>
          </w:tcPr>
          <w:p>
            <w:pPr>
              <w:ind w:left="160"/>
              <w:spacing w:after="0"/>
              <w:rPr>
                <w:sz w:val="20"/>
                <w:szCs w:val="20"/>
                <w:color w:val="auto"/>
              </w:rPr>
            </w:pPr>
            <w:r>
              <w:rPr>
                <w:rFonts w:ascii="Arial" w:cs="Arial" w:eastAsia="Arial" w:hAnsi="Arial"/>
                <w:sz w:val="7"/>
                <w:szCs w:val="7"/>
                <w:color w:val="auto"/>
              </w:rPr>
              <w:t>Upper East Side Residential - 90%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Upper East Side Residential</w:t>
            </w:r>
          </w:p>
        </w:tc>
        <w:tc>
          <w:tcPr>
            <w:tcW w:w="640" w:type="dxa"/>
            <w:vAlign w:val="bottom"/>
          </w:tcPr>
          <w:p>
            <w:pPr>
              <w:jc w:val="right"/>
              <w:spacing w:after="0"/>
              <w:rPr>
                <w:sz w:val="20"/>
                <w:szCs w:val="20"/>
                <w:color w:val="auto"/>
              </w:rPr>
            </w:pPr>
            <w:r>
              <w:rPr>
                <w:rFonts w:ascii="Arial" w:cs="Arial" w:eastAsia="Arial" w:hAnsi="Arial"/>
                <w:sz w:val="7"/>
                <w:szCs w:val="7"/>
                <w:color w:val="auto"/>
              </w:rPr>
              <w:t>27,000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96.4</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42.9</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50,074</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Aug-15</w:t>
            </w:r>
          </w:p>
        </w:tc>
        <w:tc>
          <w:tcPr>
            <w:tcW w:w="300" w:type="dxa"/>
            <w:vAlign w:val="bottom"/>
          </w:tcPr>
          <w:p>
            <w:pPr>
              <w:ind w:left="160"/>
              <w:spacing w:after="0"/>
              <w:rPr>
                <w:sz w:val="20"/>
                <w:szCs w:val="20"/>
                <w:color w:val="auto"/>
              </w:rPr>
            </w:pPr>
            <w:r>
              <w:rPr>
                <w:rFonts w:ascii="Arial" w:cs="Arial" w:eastAsia="Arial" w:hAnsi="Arial"/>
                <w:sz w:val="7"/>
                <w:szCs w:val="7"/>
                <w:color w:val="auto"/>
              </w:rPr>
              <w:t>187</w:t>
            </w:r>
          </w:p>
        </w:tc>
        <w:tc>
          <w:tcPr>
            <w:tcW w:w="1400" w:type="dxa"/>
            <w:vAlign w:val="bottom"/>
          </w:tcPr>
          <w:p>
            <w:pPr>
              <w:spacing w:after="0"/>
              <w:rPr>
                <w:sz w:val="20"/>
                <w:szCs w:val="20"/>
                <w:color w:val="auto"/>
              </w:rPr>
            </w:pPr>
            <w:r>
              <w:rPr>
                <w:rFonts w:ascii="Arial" w:cs="Arial" w:eastAsia="Arial" w:hAnsi="Arial"/>
                <w:sz w:val="7"/>
                <w:szCs w:val="7"/>
                <w:color w:val="auto"/>
              </w:rPr>
              <w:t>Broadway &amp; 5-7 Dey Street</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73,600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90.5</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54.1</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63,690</w:t>
            </w:r>
          </w:p>
        </w:tc>
      </w:tr>
      <w:tr>
        <w:trPr>
          <w:trHeight w:val="111"/>
        </w:trPr>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98"/>
        </w:trPr>
        <w:tc>
          <w:tcPr>
            <w:tcW w:w="8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12,164,472</w:t>
            </w:r>
          </w:p>
        </w:tc>
        <w:tc>
          <w:tcPr>
            <w:tcW w:w="1700" w:type="dxa"/>
            <w:vAlign w:val="bottom"/>
          </w:tcPr>
          <w:p>
            <w:pPr>
              <w:spacing w:after="0"/>
              <w:rPr>
                <w:sz w:val="8"/>
                <w:szCs w:val="8"/>
                <w:color w:val="auto"/>
              </w:rPr>
            </w:pPr>
          </w:p>
        </w:tc>
        <w:tc>
          <w:tcPr>
            <w:tcW w:w="920" w:type="dxa"/>
            <w:vAlign w:val="bottom"/>
          </w:tcPr>
          <w:p>
            <w:pPr>
              <w:spacing w:after="0"/>
              <w:rPr>
                <w:sz w:val="8"/>
                <w:szCs w:val="8"/>
                <w:color w:val="auto"/>
              </w:rPr>
            </w:pPr>
          </w:p>
        </w:tc>
        <w:tc>
          <w:tcPr>
            <w:tcW w:w="300" w:type="dxa"/>
            <w:vAlign w:val="bottom"/>
          </w:tcPr>
          <w:p>
            <w:pPr>
              <w:jc w:val="right"/>
              <w:ind w:right="20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5,771,901</w:t>
            </w:r>
          </w:p>
        </w:tc>
      </w:tr>
      <w:tr>
        <w:trPr>
          <w:trHeight w:val="208"/>
        </w:trPr>
        <w:tc>
          <w:tcPr>
            <w:tcW w:w="800" w:type="dxa"/>
            <w:vAlign w:val="bottom"/>
          </w:tcPr>
          <w:p>
            <w:pPr>
              <w:ind w:left="20"/>
              <w:spacing w:after="0"/>
              <w:rPr>
                <w:sz w:val="20"/>
                <w:szCs w:val="20"/>
                <w:color w:val="auto"/>
              </w:rPr>
            </w:pPr>
            <w:r>
              <w:rPr>
                <w:rFonts w:ascii="Arial" w:cs="Arial" w:eastAsia="Arial" w:hAnsi="Arial"/>
                <w:sz w:val="7"/>
                <w:szCs w:val="7"/>
                <w:b w:val="1"/>
                <w:bCs w:val="1"/>
                <w:color w:val="auto"/>
              </w:rPr>
              <w:t>2016 Acquisitions</w:t>
            </w: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111"/>
        </w:trPr>
        <w:tc>
          <w:tcPr>
            <w:tcW w:w="8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98"/>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Mar-16</w:t>
            </w:r>
          </w:p>
        </w:tc>
        <w:tc>
          <w:tcPr>
            <w:tcW w:w="300" w:type="dxa"/>
            <w:vAlign w:val="bottom"/>
          </w:tcPr>
          <w:p>
            <w:pPr>
              <w:ind w:left="160"/>
              <w:spacing w:after="0"/>
              <w:rPr>
                <w:sz w:val="20"/>
                <w:szCs w:val="20"/>
                <w:color w:val="auto"/>
              </w:rPr>
            </w:pPr>
            <w:r>
              <w:rPr>
                <w:rFonts w:ascii="Arial" w:cs="Arial" w:eastAsia="Arial" w:hAnsi="Arial"/>
                <w:sz w:val="7"/>
                <w:szCs w:val="7"/>
                <w:color w:val="auto"/>
              </w:rPr>
              <w:t>183</w:t>
            </w:r>
          </w:p>
        </w:tc>
        <w:tc>
          <w:tcPr>
            <w:tcW w:w="1400" w:type="dxa"/>
            <w:vAlign w:val="bottom"/>
          </w:tcPr>
          <w:p>
            <w:pPr>
              <w:spacing w:after="0"/>
              <w:rPr>
                <w:sz w:val="20"/>
                <w:szCs w:val="20"/>
                <w:color w:val="auto"/>
              </w:rPr>
            </w:pPr>
            <w:r>
              <w:rPr>
                <w:rFonts w:ascii="Arial" w:cs="Arial" w:eastAsia="Arial" w:hAnsi="Arial"/>
                <w:sz w:val="7"/>
                <w:szCs w:val="7"/>
                <w:color w:val="auto"/>
              </w:rPr>
              <w:t>Broadway</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Lower Manhattan</w:t>
            </w:r>
          </w:p>
        </w:tc>
        <w:tc>
          <w:tcPr>
            <w:tcW w:w="640" w:type="dxa"/>
            <w:vAlign w:val="bottom"/>
          </w:tcPr>
          <w:p>
            <w:pPr>
              <w:jc w:val="right"/>
              <w:spacing w:after="0"/>
              <w:rPr>
                <w:sz w:val="20"/>
                <w:szCs w:val="20"/>
                <w:color w:val="auto"/>
              </w:rPr>
            </w:pPr>
            <w:r>
              <w:rPr>
                <w:rFonts w:ascii="Arial" w:cs="Arial" w:eastAsia="Arial" w:hAnsi="Arial"/>
                <w:sz w:val="7"/>
                <w:szCs w:val="7"/>
                <w:color w:val="auto"/>
              </w:rPr>
              <w:t>9,100</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58.3</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37.4</w:t>
            </w:r>
          </w:p>
        </w:tc>
        <w:tc>
          <w:tcPr>
            <w:tcW w:w="300" w:type="dxa"/>
            <w:vAlign w:val="bottom"/>
          </w:tcPr>
          <w:p>
            <w:pPr>
              <w:jc w:val="right"/>
              <w:ind w:right="204"/>
              <w:spacing w:after="0"/>
              <w:rPr>
                <w:sz w:val="20"/>
                <w:szCs w:val="20"/>
                <w:color w:val="auto"/>
              </w:rPr>
            </w:pPr>
            <w:r>
              <w:rPr>
                <w:rFonts w:ascii="Arial" w:cs="Arial" w:eastAsia="Arial" w:hAnsi="Arial"/>
                <w:sz w:val="7"/>
                <w:szCs w:val="7"/>
                <w:color w:val="auto"/>
              </w:rPr>
              <w:t>$</w:t>
            </w:r>
          </w:p>
        </w:tc>
        <w:tc>
          <w:tcPr>
            <w:tcW w:w="580" w:type="dxa"/>
            <w:vAlign w:val="bottom"/>
          </w:tcPr>
          <w:p>
            <w:pPr>
              <w:jc w:val="right"/>
              <w:spacing w:after="0"/>
              <w:rPr>
                <w:sz w:val="20"/>
                <w:szCs w:val="20"/>
                <w:color w:val="auto"/>
              </w:rPr>
            </w:pPr>
            <w:r>
              <w:rPr>
                <w:rFonts w:ascii="Arial" w:cs="Arial" w:eastAsia="Arial" w:hAnsi="Arial"/>
                <w:sz w:val="7"/>
                <w:szCs w:val="7"/>
                <w:color w:val="auto"/>
              </w:rPr>
              <w:t>28,500</w:t>
            </w:r>
          </w:p>
        </w:tc>
      </w:tr>
      <w:tr>
        <w:trPr>
          <w:trHeight w:val="219"/>
        </w:trPr>
        <w:tc>
          <w:tcPr>
            <w:tcW w:w="800" w:type="dxa"/>
            <w:vAlign w:val="bottom"/>
          </w:tcPr>
          <w:p>
            <w:pPr>
              <w:jc w:val="center"/>
              <w:ind w:left="104"/>
              <w:spacing w:after="0"/>
              <w:rPr>
                <w:sz w:val="20"/>
                <w:szCs w:val="20"/>
                <w:color w:val="auto"/>
              </w:rPr>
            </w:pPr>
            <w:r>
              <w:rPr>
                <w:rFonts w:ascii="Arial" w:cs="Arial" w:eastAsia="Arial" w:hAnsi="Arial"/>
                <w:sz w:val="7"/>
                <w:szCs w:val="7"/>
                <w:color w:val="auto"/>
              </w:rPr>
              <w:t>Apr-16</w:t>
            </w:r>
          </w:p>
        </w:tc>
        <w:tc>
          <w:tcPr>
            <w:tcW w:w="300" w:type="dxa"/>
            <w:vAlign w:val="bottom"/>
          </w:tcPr>
          <w:p>
            <w:pPr>
              <w:ind w:left="160"/>
              <w:spacing w:after="0"/>
              <w:rPr>
                <w:sz w:val="20"/>
                <w:szCs w:val="20"/>
                <w:color w:val="auto"/>
              </w:rPr>
            </w:pPr>
            <w:r>
              <w:rPr>
                <w:rFonts w:ascii="Arial" w:cs="Arial" w:eastAsia="Arial" w:hAnsi="Arial"/>
                <w:sz w:val="7"/>
                <w:szCs w:val="7"/>
                <w:color w:val="auto"/>
              </w:rPr>
              <w:t>605</w:t>
            </w:r>
          </w:p>
        </w:tc>
        <w:tc>
          <w:tcPr>
            <w:tcW w:w="1400" w:type="dxa"/>
            <w:vAlign w:val="bottom"/>
          </w:tcPr>
          <w:p>
            <w:pPr>
              <w:spacing w:after="0"/>
              <w:rPr>
                <w:sz w:val="20"/>
                <w:szCs w:val="20"/>
                <w:color w:val="auto"/>
              </w:rPr>
            </w:pPr>
            <w:r>
              <w:rPr>
                <w:rFonts w:ascii="Arial" w:cs="Arial" w:eastAsia="Arial" w:hAnsi="Arial"/>
                <w:sz w:val="7"/>
                <w:szCs w:val="7"/>
                <w:color w:val="auto"/>
              </w:rPr>
              <w:t>West 42nd Street - 20%</w:t>
            </w:r>
          </w:p>
        </w:tc>
        <w:tc>
          <w:tcPr>
            <w:tcW w:w="1580" w:type="dxa"/>
            <w:vAlign w:val="bottom"/>
          </w:tcPr>
          <w:p>
            <w:pPr>
              <w:ind w:left="180"/>
              <w:spacing w:after="0"/>
              <w:rPr>
                <w:sz w:val="20"/>
                <w:szCs w:val="20"/>
                <w:color w:val="auto"/>
              </w:rPr>
            </w:pPr>
            <w:r>
              <w:rPr>
                <w:rFonts w:ascii="Arial" w:cs="Arial" w:eastAsia="Arial" w:hAnsi="Arial"/>
                <w:sz w:val="7"/>
                <w:szCs w:val="7"/>
                <w:color w:val="auto"/>
              </w:rPr>
              <w:t>Fee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West</w:t>
            </w:r>
          </w:p>
        </w:tc>
        <w:tc>
          <w:tcPr>
            <w:tcW w:w="640" w:type="dxa"/>
            <w:vAlign w:val="bottom"/>
          </w:tcPr>
          <w:p>
            <w:pPr>
              <w:jc w:val="right"/>
              <w:spacing w:after="0"/>
              <w:rPr>
                <w:sz w:val="20"/>
                <w:szCs w:val="20"/>
                <w:color w:val="auto"/>
              </w:rPr>
            </w:pPr>
            <w:r>
              <w:rPr>
                <w:rFonts w:ascii="Arial" w:cs="Arial" w:eastAsia="Arial" w:hAnsi="Arial"/>
                <w:sz w:val="7"/>
                <w:szCs w:val="7"/>
                <w:color w:val="auto"/>
              </w:rPr>
              <w:t>927,358</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55.0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759,046</w:t>
            </w:r>
          </w:p>
        </w:tc>
      </w:tr>
      <w:tr>
        <w:trPr>
          <w:trHeight w:val="219"/>
        </w:trPr>
        <w:tc>
          <w:tcPr>
            <w:tcW w:w="800" w:type="dxa"/>
            <w:vAlign w:val="bottom"/>
          </w:tcPr>
          <w:p>
            <w:pPr>
              <w:jc w:val="center"/>
              <w:ind w:left="124"/>
              <w:spacing w:after="0"/>
              <w:rPr>
                <w:sz w:val="20"/>
                <w:szCs w:val="20"/>
                <w:color w:val="auto"/>
              </w:rPr>
            </w:pPr>
            <w:r>
              <w:rPr>
                <w:rFonts w:ascii="Arial" w:cs="Arial" w:eastAsia="Arial" w:hAnsi="Arial"/>
                <w:sz w:val="7"/>
                <w:szCs w:val="7"/>
                <w:color w:val="auto"/>
              </w:rPr>
              <w:t>Aug-16</w:t>
            </w:r>
          </w:p>
        </w:tc>
        <w:tc>
          <w:tcPr>
            <w:tcW w:w="300" w:type="dxa"/>
            <w:vAlign w:val="bottom"/>
          </w:tcPr>
          <w:p>
            <w:pPr>
              <w:ind w:left="160"/>
              <w:spacing w:after="0"/>
              <w:rPr>
                <w:sz w:val="20"/>
                <w:szCs w:val="20"/>
                <w:color w:val="auto"/>
              </w:rPr>
            </w:pPr>
            <w:r>
              <w:rPr>
                <w:rFonts w:ascii="Arial" w:cs="Arial" w:eastAsia="Arial" w:hAnsi="Arial"/>
                <w:sz w:val="7"/>
                <w:szCs w:val="7"/>
                <w:color w:val="auto"/>
              </w:rPr>
              <w:t>333</w:t>
            </w:r>
          </w:p>
        </w:tc>
        <w:tc>
          <w:tcPr>
            <w:tcW w:w="1400" w:type="dxa"/>
            <w:vAlign w:val="bottom"/>
          </w:tcPr>
          <w:p>
            <w:pPr>
              <w:spacing w:after="0"/>
              <w:rPr>
                <w:sz w:val="20"/>
                <w:szCs w:val="20"/>
                <w:color w:val="auto"/>
              </w:rPr>
            </w:pPr>
            <w:r>
              <w:rPr>
                <w:rFonts w:ascii="Arial" w:cs="Arial" w:eastAsia="Arial" w:hAnsi="Arial"/>
                <w:sz w:val="7"/>
                <w:szCs w:val="7"/>
                <w:color w:val="auto"/>
              </w:rPr>
              <w:t xml:space="preserve">East 22nd Street - 33.3% </w:t>
            </w:r>
            <w:r>
              <w:rPr>
                <w:rFonts w:ascii="Arial" w:cs="Arial" w:eastAsia="Arial" w:hAnsi="Arial"/>
                <w:sz w:val="6"/>
                <w:szCs w:val="6"/>
                <w:color w:val="auto"/>
              </w:rPr>
              <w:t>(3)</w:t>
            </w:r>
          </w:p>
        </w:tc>
        <w:tc>
          <w:tcPr>
            <w:tcW w:w="1580" w:type="dxa"/>
            <w:vAlign w:val="bottom"/>
          </w:tcPr>
          <w:p>
            <w:pPr>
              <w:ind w:left="180"/>
              <w:spacing w:after="0"/>
              <w:rPr>
                <w:sz w:val="20"/>
                <w:szCs w:val="20"/>
                <w:color w:val="auto"/>
              </w:rPr>
            </w:pPr>
            <w:r>
              <w:rPr>
                <w:rFonts w:ascii="Arial" w:cs="Arial" w:eastAsia="Arial" w:hAnsi="Arial"/>
                <w:sz w:val="7"/>
                <w:szCs w:val="7"/>
                <w:color w:val="auto"/>
              </w:rPr>
              <w:t>Leasehold Interest</w:t>
            </w:r>
          </w:p>
        </w:tc>
        <w:tc>
          <w:tcPr>
            <w:tcW w:w="1880" w:type="dxa"/>
            <w:vAlign w:val="bottom"/>
          </w:tcPr>
          <w:p>
            <w:pPr>
              <w:ind w:left="300"/>
              <w:spacing w:after="0"/>
              <w:rPr>
                <w:sz w:val="20"/>
                <w:szCs w:val="20"/>
                <w:color w:val="auto"/>
              </w:rPr>
            </w:pPr>
            <w:r>
              <w:rPr>
                <w:rFonts w:ascii="Arial" w:cs="Arial" w:eastAsia="Arial" w:hAnsi="Arial"/>
                <w:sz w:val="7"/>
                <w:szCs w:val="7"/>
                <w:color w:val="auto"/>
              </w:rPr>
              <w:t>Midtown South</w:t>
            </w:r>
          </w:p>
        </w:tc>
        <w:tc>
          <w:tcPr>
            <w:tcW w:w="640" w:type="dxa"/>
            <w:vAlign w:val="bottom"/>
          </w:tcPr>
          <w:p>
            <w:pPr>
              <w:jc w:val="right"/>
              <w:spacing w:after="0"/>
              <w:rPr>
                <w:sz w:val="20"/>
                <w:szCs w:val="20"/>
                <w:color w:val="auto"/>
              </w:rPr>
            </w:pPr>
            <w:r>
              <w:rPr>
                <w:rFonts w:ascii="Arial" w:cs="Arial" w:eastAsia="Arial" w:hAnsi="Arial"/>
                <w:sz w:val="7"/>
                <w:szCs w:val="7"/>
                <w:color w:val="auto"/>
              </w:rPr>
              <w:t>26,926</w:t>
            </w:r>
          </w:p>
        </w:tc>
        <w:tc>
          <w:tcPr>
            <w:tcW w:w="1700" w:type="dxa"/>
            <w:vAlign w:val="bottom"/>
          </w:tcPr>
          <w:p>
            <w:pPr>
              <w:jc w:val="right"/>
              <w:ind w:right="344"/>
              <w:spacing w:after="0"/>
              <w:rPr>
                <w:sz w:val="20"/>
                <w:szCs w:val="20"/>
                <w:color w:val="auto"/>
              </w:rPr>
            </w:pPr>
            <w:r>
              <w:rPr>
                <w:rFonts w:ascii="Arial" w:cs="Arial" w:eastAsia="Arial" w:hAnsi="Arial"/>
                <w:sz w:val="7"/>
                <w:szCs w:val="7"/>
                <w:color w:val="auto"/>
              </w:rPr>
              <w:t>—</w:t>
            </w:r>
          </w:p>
        </w:tc>
        <w:tc>
          <w:tcPr>
            <w:tcW w:w="920" w:type="dxa"/>
            <w:vAlign w:val="bottom"/>
          </w:tcPr>
          <w:p>
            <w:pPr>
              <w:jc w:val="right"/>
              <w:ind w:right="324"/>
              <w:spacing w:after="0"/>
              <w:rPr>
                <w:sz w:val="20"/>
                <w:szCs w:val="20"/>
                <w:color w:val="auto"/>
              </w:rPr>
            </w:pPr>
            <w:r>
              <w:rPr>
                <w:rFonts w:ascii="Arial" w:cs="Arial" w:eastAsia="Arial" w:hAnsi="Arial"/>
                <w:sz w:val="7"/>
                <w:szCs w:val="7"/>
                <w:color w:val="auto"/>
              </w:rPr>
              <w: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7"/>
                <w:szCs w:val="7"/>
                <w:color w:val="auto"/>
              </w:rPr>
              <w:t>—</w:t>
            </w:r>
          </w:p>
        </w:tc>
      </w:tr>
      <w:tr>
        <w:trPr>
          <w:trHeight w:val="111"/>
        </w:trPr>
        <w:tc>
          <w:tcPr>
            <w:tcW w:w="8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88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70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r>
      <w:tr>
        <w:trPr>
          <w:trHeight w:val="186"/>
        </w:trPr>
        <w:tc>
          <w:tcPr>
            <w:tcW w:w="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7"/>
                <w:szCs w:val="7"/>
                <w:b w:val="1"/>
                <w:bCs w:val="1"/>
                <w:color w:val="auto"/>
              </w:rPr>
              <w:t>963,384</w:t>
            </w:r>
          </w:p>
        </w:tc>
        <w:tc>
          <w:tcPr>
            <w:tcW w:w="17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jc w:val="right"/>
              <w:ind w:right="204"/>
              <w:spacing w:after="0"/>
              <w:rPr>
                <w:sz w:val="20"/>
                <w:szCs w:val="20"/>
                <w:color w:val="auto"/>
              </w:rPr>
            </w:pPr>
            <w:r>
              <w:rPr>
                <w:rFonts w:ascii="Arial" w:cs="Arial" w:eastAsia="Arial" w:hAnsi="Arial"/>
                <w:sz w:val="7"/>
                <w:szCs w:val="7"/>
                <w:b w:val="1"/>
                <w:bCs w:val="1"/>
                <w:color w:val="auto"/>
              </w:rPr>
              <w:t>$</w:t>
            </w:r>
          </w:p>
        </w:tc>
        <w:tc>
          <w:tcPr>
            <w:tcW w:w="580" w:type="dxa"/>
            <w:vAlign w:val="bottom"/>
          </w:tcPr>
          <w:p>
            <w:pPr>
              <w:jc w:val="right"/>
              <w:spacing w:after="0"/>
              <w:rPr>
                <w:sz w:val="20"/>
                <w:szCs w:val="20"/>
                <w:color w:val="auto"/>
              </w:rPr>
            </w:pPr>
            <w:r>
              <w:rPr>
                <w:rFonts w:ascii="Arial" w:cs="Arial" w:eastAsia="Arial" w:hAnsi="Arial"/>
                <w:sz w:val="7"/>
                <w:szCs w:val="7"/>
                <w:b w:val="1"/>
                <w:bCs w:val="1"/>
                <w:color w:val="auto"/>
              </w:rPr>
              <w:t>787,546</w:t>
            </w:r>
          </w:p>
        </w:tc>
      </w:tr>
    </w:tbl>
    <w:p>
      <w:pPr>
        <w:spacing w:after="0" w:line="34" w:lineRule="exact"/>
        <w:rPr>
          <w:sz w:val="20"/>
          <w:szCs w:val="20"/>
          <w:color w:val="auto"/>
        </w:rPr>
      </w:pPr>
    </w:p>
    <w:p>
      <w:pPr>
        <w:ind w:left="140" w:hanging="113"/>
        <w:spacing w:after="0"/>
        <w:tabs>
          <w:tab w:leader="none" w:pos="140" w:val="left"/>
        </w:tabs>
        <w:numPr>
          <w:ilvl w:val="0"/>
          <w:numId w:val="36"/>
        </w:numPr>
        <w:rPr>
          <w:rFonts w:ascii="Arial" w:cs="Arial" w:eastAsia="Arial" w:hAnsi="Arial"/>
          <w:sz w:val="7"/>
          <w:szCs w:val="7"/>
          <w:color w:val="auto"/>
        </w:rPr>
      </w:pPr>
      <w:r>
        <w:rPr>
          <w:rFonts w:ascii="Arial" w:cs="Arial" w:eastAsia="Arial" w:hAnsi="Arial"/>
          <w:sz w:val="7"/>
          <w:szCs w:val="7"/>
          <w:color w:val="auto"/>
        </w:rPr>
        <w:t>Acquisition price represents purchase price for consolidated acquisitions and purchase price or imputed value for joint venture properties.</w:t>
      </w:r>
    </w:p>
    <w:p>
      <w:pPr>
        <w:spacing w:after="0" w:line="138" w:lineRule="exact"/>
        <w:rPr>
          <w:rFonts w:ascii="Arial" w:cs="Arial" w:eastAsia="Arial" w:hAnsi="Arial"/>
          <w:sz w:val="7"/>
          <w:szCs w:val="7"/>
          <w:color w:val="auto"/>
        </w:rPr>
      </w:pPr>
    </w:p>
    <w:p>
      <w:pPr>
        <w:ind w:left="140" w:hanging="113"/>
        <w:spacing w:after="0"/>
        <w:tabs>
          <w:tab w:leader="none" w:pos="140" w:val="left"/>
        </w:tabs>
        <w:numPr>
          <w:ilvl w:val="0"/>
          <w:numId w:val="36"/>
        </w:numPr>
        <w:rPr>
          <w:rFonts w:ascii="Arial" w:cs="Arial" w:eastAsia="Arial" w:hAnsi="Arial"/>
          <w:sz w:val="7"/>
          <w:szCs w:val="7"/>
          <w:color w:val="auto"/>
        </w:rPr>
      </w:pPr>
      <w:r>
        <w:rPr>
          <w:rFonts w:ascii="Arial" w:cs="Arial" w:eastAsia="Arial" w:hAnsi="Arial"/>
          <w:sz w:val="7"/>
          <w:szCs w:val="7"/>
          <w:color w:val="auto"/>
        </w:rPr>
        <w:t>Subject to long-term, third party net operating leases.</w:t>
      </w:r>
    </w:p>
    <w:p>
      <w:pPr>
        <w:spacing w:after="0" w:line="138" w:lineRule="exact"/>
        <w:rPr>
          <w:rFonts w:ascii="Arial" w:cs="Arial" w:eastAsia="Arial" w:hAnsi="Arial"/>
          <w:sz w:val="7"/>
          <w:szCs w:val="7"/>
          <w:color w:val="auto"/>
        </w:rPr>
      </w:pPr>
    </w:p>
    <w:p>
      <w:pPr>
        <w:ind w:left="140" w:hanging="113"/>
        <w:spacing w:after="0"/>
        <w:tabs>
          <w:tab w:leader="none" w:pos="140" w:val="left"/>
        </w:tabs>
        <w:numPr>
          <w:ilvl w:val="0"/>
          <w:numId w:val="36"/>
        </w:numPr>
        <w:rPr>
          <w:rFonts w:ascii="Arial" w:cs="Arial" w:eastAsia="Arial" w:hAnsi="Arial"/>
          <w:sz w:val="7"/>
          <w:szCs w:val="7"/>
          <w:color w:val="auto"/>
        </w:rPr>
      </w:pPr>
      <w:r>
        <w:rPr>
          <w:rFonts w:ascii="Arial" w:cs="Arial" w:eastAsia="Arial" w:hAnsi="Arial"/>
          <w:sz w:val="7"/>
          <w:szCs w:val="7"/>
          <w:color w:val="auto"/>
        </w:rPr>
        <w:t>Ground lease will commence on 10/1/2016.</w:t>
      </w:r>
    </w:p>
    <w:p>
      <w:pPr>
        <w:sectPr>
          <w:pgSz w:w="11900" w:h="16838" w:orient="portrait"/>
          <w:cols w:equalWidth="0" w:num="1">
            <w:col w:w="10100"/>
          </w:cols>
          <w:pgMar w:left="900" w:top="338" w:right="899" w:bottom="1440" w:gutter="0" w:footer="0" w:header="0"/>
        </w:sectPr>
      </w:pPr>
    </w:p>
    <w:p>
      <w:pPr>
        <w:spacing w:after="0" w:line="341"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54</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type w:val="continuous"/>
        </w:sectPr>
      </w:pPr>
    </w:p>
    <w:bookmarkStart w:id="71" w:name="page72"/>
    <w:bookmarkEnd w:id="71"/>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SUMMARY OF REAL ESTATE SALES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5152390</wp:posOffset>
            </wp:positionH>
            <wp:positionV relativeFrom="paragraph">
              <wp:posOffset>-48895</wp:posOffset>
            </wp:positionV>
            <wp:extent cx="1263015" cy="3606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63015" cy="360680"/>
                    </a:xfrm>
                    <a:prstGeom prst="rect">
                      <a:avLst/>
                    </a:prstGeom>
                    <a:noFill/>
                  </pic:spPr>
                </pic:pic>
              </a:graphicData>
            </a:graphic>
          </wp:anchor>
        </w:drawing>
      </w:r>
    </w:p>
    <w:p>
      <w:pPr>
        <w:spacing w:after="0" w:line="11" w:lineRule="exact"/>
        <w:rPr>
          <w:sz w:val="20"/>
          <w:szCs w:val="20"/>
          <w:color w:val="auto"/>
        </w:rPr>
      </w:pPr>
    </w:p>
    <w:p>
      <w:pPr>
        <w:ind w:right="5960"/>
        <w:spacing w:after="0" w:line="231" w:lineRule="auto"/>
        <w:rPr>
          <w:sz w:val="20"/>
          <w:szCs w:val="20"/>
          <w:color w:val="auto"/>
        </w:rPr>
      </w:pPr>
      <w:r>
        <w:rPr>
          <w:rFonts w:ascii="Arial" w:cs="Arial" w:eastAsia="Arial" w:hAnsi="Arial"/>
          <w:sz w:val="15"/>
          <w:szCs w:val="15"/>
          <w:b w:val="1"/>
          <w:bCs w:val="1"/>
          <w:color w:val="auto"/>
        </w:rPr>
        <w:t>Retail, Residential, Development / Redevelopment and Land Unaudited</w:t>
      </w:r>
    </w:p>
    <w:p>
      <w:pPr>
        <w:spacing w:after="0"/>
        <w:rPr>
          <w:sz w:val="20"/>
          <w:szCs w:val="20"/>
          <w:color w:val="auto"/>
        </w:rPr>
      </w:pPr>
      <w:r>
        <w:rPr>
          <w:rFonts w:ascii="Arial" w:cs="Arial" w:eastAsia="Arial" w:hAnsi="Arial"/>
          <w:sz w:val="12"/>
          <w:szCs w:val="12"/>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wp:posOffset>
            </wp:positionV>
            <wp:extent cx="641223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2230" cy="41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1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9"/>
                <w:szCs w:val="9"/>
                <w:b w:val="1"/>
                <w:bCs w:val="1"/>
                <w:color w:val="auto"/>
              </w:rPr>
              <w:t>Sales</w:t>
            </w: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4"/>
          </w:tcPr>
          <w:p>
            <w:pPr>
              <w:jc w:val="center"/>
              <w:ind w:right="240"/>
              <w:spacing w:after="0"/>
              <w:rPr>
                <w:sz w:val="20"/>
                <w:szCs w:val="20"/>
                <w:color w:val="auto"/>
              </w:rPr>
            </w:pPr>
            <w:r>
              <w:rPr>
                <w:rFonts w:ascii="Arial" w:cs="Arial" w:eastAsia="Arial" w:hAnsi="Arial"/>
                <w:sz w:val="9"/>
                <w:szCs w:val="9"/>
                <w:b w:val="1"/>
                <w:bCs w:val="1"/>
                <w:color w:val="auto"/>
                <w:w w:val="93"/>
              </w:rPr>
              <w:t>Sales</w:t>
            </w:r>
          </w:p>
        </w:tc>
      </w:tr>
      <w:tr>
        <w:trPr>
          <w:trHeight w:val="204"/>
        </w:trPr>
        <w:tc>
          <w:tcPr>
            <w:tcW w:w="1200" w:type="dxa"/>
            <w:vAlign w:val="bottom"/>
          </w:tcPr>
          <w:p>
            <w:pPr>
              <w:spacing w:after="0"/>
              <w:rPr>
                <w:sz w:val="17"/>
                <w:szCs w:val="17"/>
                <w:color w:val="auto"/>
              </w:rPr>
            </w:pPr>
          </w:p>
        </w:tc>
        <w:tc>
          <w:tcPr>
            <w:tcW w:w="1700" w:type="dxa"/>
            <w:vAlign w:val="bottom"/>
            <w:gridSpan w:val="3"/>
          </w:tcPr>
          <w:p>
            <w:pPr>
              <w:spacing w:after="0"/>
              <w:rPr>
                <w:sz w:val="20"/>
                <w:szCs w:val="20"/>
                <w:color w:val="auto"/>
              </w:rPr>
            </w:pPr>
            <w:r>
              <w:rPr>
                <w:rFonts w:ascii="Arial" w:cs="Arial" w:eastAsia="Arial" w:hAnsi="Arial"/>
                <w:sz w:val="9"/>
                <w:szCs w:val="9"/>
                <w:b w:val="1"/>
                <w:bCs w:val="1"/>
                <w:color w:val="auto"/>
              </w:rPr>
              <w:t>Property</w:t>
            </w:r>
          </w:p>
        </w:tc>
        <w:tc>
          <w:tcPr>
            <w:tcW w:w="1660" w:type="dxa"/>
            <w:vAlign w:val="bottom"/>
            <w:gridSpan w:val="3"/>
          </w:tcPr>
          <w:p>
            <w:pPr>
              <w:ind w:left="460"/>
              <w:spacing w:after="0"/>
              <w:rPr>
                <w:sz w:val="20"/>
                <w:szCs w:val="20"/>
                <w:color w:val="auto"/>
              </w:rPr>
            </w:pPr>
            <w:r>
              <w:rPr>
                <w:rFonts w:ascii="Arial" w:cs="Arial" w:eastAsia="Arial" w:hAnsi="Arial"/>
                <w:sz w:val="9"/>
                <w:szCs w:val="9"/>
                <w:b w:val="1"/>
                <w:bCs w:val="1"/>
                <w:color w:val="auto"/>
              </w:rPr>
              <w:t>Type of Ownership</w:t>
            </w:r>
          </w:p>
        </w:tc>
        <w:tc>
          <w:tcPr>
            <w:tcW w:w="2300" w:type="dxa"/>
            <w:vAlign w:val="bottom"/>
            <w:gridSpan w:val="3"/>
          </w:tcPr>
          <w:p>
            <w:pPr>
              <w:ind w:left="420"/>
              <w:spacing w:after="0"/>
              <w:rPr>
                <w:sz w:val="20"/>
                <w:szCs w:val="20"/>
                <w:color w:val="auto"/>
              </w:rPr>
            </w:pPr>
            <w:r>
              <w:rPr>
                <w:rFonts w:ascii="Arial" w:cs="Arial" w:eastAsia="Arial" w:hAnsi="Arial"/>
                <w:sz w:val="9"/>
                <w:szCs w:val="9"/>
                <w:b w:val="1"/>
                <w:bCs w:val="1"/>
                <w:color w:val="auto"/>
              </w:rPr>
              <w:t>Submarket</w:t>
            </w:r>
          </w:p>
        </w:tc>
        <w:tc>
          <w:tcPr>
            <w:tcW w:w="1220" w:type="dxa"/>
            <w:vAlign w:val="bottom"/>
            <w:gridSpan w:val="4"/>
          </w:tcPr>
          <w:p>
            <w:pPr>
              <w:spacing w:after="0"/>
              <w:rPr>
                <w:sz w:val="20"/>
                <w:szCs w:val="20"/>
                <w:color w:val="auto"/>
              </w:rPr>
            </w:pPr>
            <w:r>
              <w:rPr>
                <w:rFonts w:ascii="Arial" w:cs="Arial" w:eastAsia="Arial" w:hAnsi="Arial"/>
                <w:sz w:val="9"/>
                <w:szCs w:val="9"/>
                <w:b w:val="1"/>
                <w:bCs w:val="1"/>
                <w:color w:val="auto"/>
              </w:rPr>
              <w:t>Net Rentable SF</w:t>
            </w:r>
          </w:p>
        </w:tc>
        <w:tc>
          <w:tcPr>
            <w:tcW w:w="16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9"/>
                <w:szCs w:val="9"/>
                <w:b w:val="1"/>
                <w:bCs w:val="1"/>
                <w:color w:val="auto"/>
                <w:w w:val="93"/>
              </w:rPr>
              <w:t xml:space="preserve">Price </w:t>
            </w:r>
            <w:r>
              <w:rPr>
                <w:rFonts w:ascii="Arial" w:cs="Arial" w:eastAsia="Arial" w:hAnsi="Arial"/>
                <w:sz w:val="9"/>
                <w:szCs w:val="9"/>
                <w:b w:val="1"/>
                <w:bCs w:val="1"/>
                <w:u w:val="single" w:color="auto"/>
                <w:color w:val="auto"/>
                <w:w w:val="93"/>
              </w:rPr>
              <w:t>($</w:t>
            </w:r>
            <w:r>
              <w:rPr>
                <w:rFonts w:ascii="Arial" w:cs="Arial" w:eastAsia="Arial" w:hAnsi="Arial"/>
                <w:sz w:val="9"/>
                <w:szCs w:val="9"/>
                <w:b w:val="1"/>
                <w:bCs w:val="1"/>
                <w:color w:val="auto"/>
                <w:w w:val="93"/>
              </w:rPr>
              <w:t>'s)</w:t>
            </w:r>
          </w:p>
        </w:tc>
        <w:tc>
          <w:tcPr>
            <w:tcW w:w="1240" w:type="dxa"/>
            <w:vAlign w:val="bottom"/>
            <w:gridSpan w:val="6"/>
          </w:tcPr>
          <w:p>
            <w:pPr>
              <w:jc w:val="center"/>
              <w:ind w:left="376"/>
              <w:spacing w:after="0"/>
              <w:rPr>
                <w:sz w:val="20"/>
                <w:szCs w:val="20"/>
                <w:color w:val="auto"/>
              </w:rPr>
            </w:pPr>
            <w:r>
              <w:rPr>
                <w:rFonts w:ascii="Arial" w:cs="Arial" w:eastAsia="Arial" w:hAnsi="Arial"/>
                <w:sz w:val="9"/>
                <w:szCs w:val="9"/>
                <w:b w:val="1"/>
                <w:bCs w:val="1"/>
                <w:color w:val="auto"/>
                <w:w w:val="95"/>
              </w:rPr>
              <w:t xml:space="preserve">Price </w:t>
            </w:r>
            <w:r>
              <w:rPr>
                <w:rFonts w:ascii="Arial" w:cs="Arial" w:eastAsia="Arial" w:hAnsi="Arial"/>
                <w:sz w:val="9"/>
                <w:szCs w:val="9"/>
                <w:b w:val="1"/>
                <w:bCs w:val="1"/>
                <w:u w:val="single" w:color="auto"/>
                <w:color w:val="auto"/>
                <w:w w:val="95"/>
              </w:rPr>
              <w:t>($</w:t>
            </w:r>
            <w:r>
              <w:rPr>
                <w:rFonts w:ascii="Arial" w:cs="Arial" w:eastAsia="Arial" w:hAnsi="Arial"/>
                <w:sz w:val="9"/>
                <w:szCs w:val="9"/>
                <w:b w:val="1"/>
                <w:bCs w:val="1"/>
                <w:color w:val="auto"/>
                <w:w w:val="95"/>
              </w:rPr>
              <w:t>'s/SF)</w:t>
            </w:r>
          </w:p>
        </w:tc>
      </w:tr>
      <w:tr>
        <w:trPr>
          <w:trHeight w:val="223"/>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2011 - 2015 Sales</w:t>
            </w:r>
          </w:p>
        </w:tc>
        <w:tc>
          <w:tcPr>
            <w:tcW w:w="16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01"/>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Sep-11</w:t>
            </w:r>
          </w:p>
        </w:tc>
        <w:tc>
          <w:tcPr>
            <w:tcW w:w="1700" w:type="dxa"/>
            <w:vAlign w:val="bottom"/>
            <w:gridSpan w:val="3"/>
          </w:tcPr>
          <w:p>
            <w:pPr>
              <w:spacing w:after="0"/>
              <w:rPr>
                <w:sz w:val="20"/>
                <w:szCs w:val="20"/>
                <w:color w:val="auto"/>
              </w:rPr>
            </w:pPr>
            <w:r>
              <w:rPr>
                <w:rFonts w:ascii="Arial" w:cs="Arial" w:eastAsia="Arial" w:hAnsi="Arial"/>
                <w:sz w:val="9"/>
                <w:szCs w:val="9"/>
                <w:color w:val="auto"/>
              </w:rPr>
              <w:t xml:space="preserve">1551-1555 Broadway </w:t>
            </w:r>
            <w:r>
              <w:rPr>
                <w:rFonts w:ascii="Arial" w:cs="Arial" w:eastAsia="Arial" w:hAnsi="Arial"/>
                <w:sz w:val="5"/>
                <w:szCs w:val="5"/>
                <w:color w:val="auto"/>
              </w:rPr>
              <w:t>(1)</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Times Square</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25,600</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276,757</w:t>
            </w:r>
          </w:p>
        </w:tc>
        <w:tc>
          <w:tcPr>
            <w:tcW w:w="1060" w:type="dxa"/>
            <w:vAlign w:val="bottom"/>
            <w:gridSpan w:val="4"/>
          </w:tcPr>
          <w:p>
            <w:pPr>
              <w:jc w:val="right"/>
              <w:spacing w:after="0"/>
              <w:rPr>
                <w:sz w:val="20"/>
                <w:szCs w:val="20"/>
                <w:color w:val="auto"/>
              </w:rPr>
            </w:pPr>
            <w:r>
              <w:rPr>
                <w:rFonts w:ascii="Arial" w:cs="Arial" w:eastAsia="Arial" w:hAnsi="Arial"/>
                <w:sz w:val="9"/>
                <w:szCs w:val="9"/>
                <w:color w:val="auto"/>
              </w:rPr>
              <w:t>$ 10,811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Feb-12</w:t>
            </w:r>
          </w:p>
        </w:tc>
        <w:tc>
          <w:tcPr>
            <w:tcW w:w="160" w:type="dxa"/>
            <w:vAlign w:val="bottom"/>
          </w:tcPr>
          <w:p>
            <w:pPr>
              <w:spacing w:after="0"/>
              <w:rPr>
                <w:sz w:val="20"/>
                <w:szCs w:val="20"/>
                <w:color w:val="auto"/>
              </w:rPr>
            </w:pPr>
            <w:r>
              <w:rPr>
                <w:rFonts w:ascii="Arial" w:cs="Arial" w:eastAsia="Arial" w:hAnsi="Arial"/>
                <w:sz w:val="9"/>
                <w:szCs w:val="9"/>
                <w:color w:val="auto"/>
                <w:w w:val="92"/>
              </w:rPr>
              <w:t>141</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 xml:space="preserve">Fifth Avenue </w:t>
            </w:r>
            <w:r>
              <w:rPr>
                <w:rFonts w:ascii="Arial" w:cs="Arial" w:eastAsia="Arial" w:hAnsi="Arial"/>
                <w:sz w:val="5"/>
                <w:szCs w:val="5"/>
                <w:color w:val="auto"/>
              </w:rPr>
              <w:t>(2)</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Flatiron</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13,000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46,000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3,538</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Feb-12</w:t>
            </w:r>
          </w:p>
        </w:tc>
        <w:tc>
          <w:tcPr>
            <w:tcW w:w="160" w:type="dxa"/>
            <w:vAlign w:val="bottom"/>
          </w:tcPr>
          <w:p>
            <w:pPr>
              <w:spacing w:after="0"/>
              <w:rPr>
                <w:sz w:val="20"/>
                <w:szCs w:val="20"/>
                <w:color w:val="auto"/>
              </w:rPr>
            </w:pPr>
            <w:r>
              <w:rPr>
                <w:rFonts w:ascii="Arial" w:cs="Arial" w:eastAsia="Arial" w:hAnsi="Arial"/>
                <w:sz w:val="9"/>
                <w:szCs w:val="9"/>
                <w:color w:val="auto"/>
                <w:w w:val="92"/>
              </w:rPr>
              <w:t>292</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Madison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Grand Central South</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203,800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85,000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417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Apr-12</w:t>
            </w:r>
          </w:p>
        </w:tc>
        <w:tc>
          <w:tcPr>
            <w:tcW w:w="160" w:type="dxa"/>
            <w:vAlign w:val="bottom"/>
          </w:tcPr>
          <w:p>
            <w:pPr>
              <w:spacing w:after="0"/>
              <w:rPr>
                <w:sz w:val="20"/>
                <w:szCs w:val="20"/>
                <w:color w:val="auto"/>
              </w:rPr>
            </w:pPr>
            <w:r>
              <w:rPr>
                <w:rFonts w:ascii="Arial" w:cs="Arial" w:eastAsia="Arial" w:hAnsi="Arial"/>
                <w:sz w:val="9"/>
                <w:szCs w:val="9"/>
                <w:color w:val="auto"/>
                <w:w w:val="92"/>
              </w:rPr>
              <w:t>379</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West Broadway</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Leasehold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Lower Manhattan</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62,006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48,500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782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Jun-12</w:t>
            </w:r>
          </w:p>
        </w:tc>
        <w:tc>
          <w:tcPr>
            <w:tcW w:w="160" w:type="dxa"/>
            <w:vAlign w:val="bottom"/>
          </w:tcPr>
          <w:p>
            <w:pPr>
              <w:spacing w:after="0"/>
              <w:rPr>
                <w:sz w:val="20"/>
                <w:szCs w:val="20"/>
                <w:color w:val="auto"/>
              </w:rPr>
            </w:pPr>
            <w:r>
              <w:rPr>
                <w:rFonts w:ascii="Arial" w:cs="Arial" w:eastAsia="Arial" w:hAnsi="Arial"/>
                <w:sz w:val="9"/>
                <w:szCs w:val="9"/>
                <w:color w:val="auto"/>
                <w:w w:val="92"/>
              </w:rPr>
              <w:t>717</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 xml:space="preserve">Fifth Avenue </w:t>
            </w:r>
            <w:r>
              <w:rPr>
                <w:rFonts w:ascii="Arial" w:cs="Arial" w:eastAsia="Arial" w:hAnsi="Arial"/>
                <w:sz w:val="5"/>
                <w:szCs w:val="5"/>
                <w:color w:val="auto"/>
              </w:rPr>
              <w:t>(3)</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Midtown/Plaza District</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119,550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617,584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5,166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Sep-12</w:t>
            </w:r>
          </w:p>
        </w:tc>
        <w:tc>
          <w:tcPr>
            <w:tcW w:w="1700" w:type="dxa"/>
            <w:vAlign w:val="bottom"/>
            <w:gridSpan w:val="3"/>
          </w:tcPr>
          <w:p>
            <w:pPr>
              <w:spacing w:after="0"/>
              <w:rPr>
                <w:sz w:val="20"/>
                <w:szCs w:val="20"/>
                <w:color w:val="auto"/>
              </w:rPr>
            </w:pPr>
            <w:r>
              <w:rPr>
                <w:rFonts w:ascii="Arial" w:cs="Arial" w:eastAsia="Arial" w:hAnsi="Arial"/>
                <w:sz w:val="9"/>
                <w:szCs w:val="9"/>
                <w:color w:val="auto"/>
              </w:rPr>
              <w:t xml:space="preserve">3 Columbus Circle </w:t>
            </w:r>
            <w:r>
              <w:rPr>
                <w:rFonts w:ascii="Arial" w:cs="Arial" w:eastAsia="Arial" w:hAnsi="Arial"/>
                <w:sz w:val="5"/>
                <w:szCs w:val="5"/>
                <w:color w:val="auto"/>
              </w:rPr>
              <w:t>(4)</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Columbus Circle</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214,372</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143,600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670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Feb-13</w:t>
            </w:r>
          </w:p>
        </w:tc>
        <w:tc>
          <w:tcPr>
            <w:tcW w:w="1700" w:type="dxa"/>
            <w:vAlign w:val="bottom"/>
            <w:gridSpan w:val="3"/>
          </w:tcPr>
          <w:p>
            <w:pPr>
              <w:spacing w:after="0"/>
              <w:rPr>
                <w:sz w:val="20"/>
                <w:szCs w:val="20"/>
                <w:color w:val="auto"/>
              </w:rPr>
            </w:pPr>
            <w:r>
              <w:rPr>
                <w:rFonts w:ascii="Arial" w:cs="Arial" w:eastAsia="Arial" w:hAnsi="Arial"/>
                <w:sz w:val="9"/>
                <w:szCs w:val="9"/>
                <w:color w:val="auto"/>
              </w:rPr>
              <w:t>44 West 55th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Plaza District</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8,557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6,250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Jun-13</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Los Angeles, California</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406,740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111,925</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275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Aug-13</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Fountain Valley, California</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302,037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66,994</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222</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Sep-13</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San Diego, California</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110,511</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45,400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411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Dec-13</w:t>
            </w:r>
          </w:p>
        </w:tc>
        <w:tc>
          <w:tcPr>
            <w:tcW w:w="1700" w:type="dxa"/>
            <w:vAlign w:val="bottom"/>
            <w:gridSpan w:val="3"/>
          </w:tcPr>
          <w:p>
            <w:pPr>
              <w:spacing w:after="0"/>
              <w:rPr>
                <w:sz w:val="20"/>
                <w:szCs w:val="20"/>
                <w:color w:val="auto"/>
              </w:rPr>
            </w:pPr>
            <w:r>
              <w:rPr>
                <w:rFonts w:ascii="Arial" w:cs="Arial" w:eastAsia="Arial" w:hAnsi="Arial"/>
                <w:sz w:val="9"/>
                <w:szCs w:val="9"/>
                <w:color w:val="auto"/>
              </w:rPr>
              <w:t>27-29 West 34th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Herald Square/Penn Station</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15,600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70,052</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4,491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Jan-14</w:t>
            </w:r>
          </w:p>
        </w:tc>
        <w:tc>
          <w:tcPr>
            <w:tcW w:w="1700" w:type="dxa"/>
            <w:vAlign w:val="bottom"/>
            <w:gridSpan w:val="3"/>
          </w:tcPr>
          <w:p>
            <w:pPr>
              <w:spacing w:after="0"/>
              <w:rPr>
                <w:sz w:val="20"/>
                <w:szCs w:val="20"/>
                <w:color w:val="auto"/>
              </w:rPr>
            </w:pPr>
            <w:r>
              <w:rPr>
                <w:rFonts w:ascii="Arial" w:cs="Arial" w:eastAsia="Arial" w:hAnsi="Arial"/>
                <w:sz w:val="9"/>
                <w:szCs w:val="9"/>
                <w:color w:val="auto"/>
              </w:rPr>
              <w:t>21-25 West 34th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Herald Square/Penn Station</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30,100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114,948</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3,819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Mar-14</w:t>
            </w:r>
          </w:p>
        </w:tc>
        <w:tc>
          <w:tcPr>
            <w:tcW w:w="1700" w:type="dxa"/>
            <w:vAlign w:val="bottom"/>
            <w:gridSpan w:val="3"/>
          </w:tcPr>
          <w:p>
            <w:pPr>
              <w:spacing w:after="0"/>
              <w:rPr>
                <w:sz w:val="20"/>
                <w:szCs w:val="20"/>
                <w:color w:val="auto"/>
              </w:rPr>
            </w:pPr>
            <w:r>
              <w:rPr>
                <w:rFonts w:ascii="Arial" w:cs="Arial" w:eastAsia="Arial" w:hAnsi="Arial"/>
                <w:sz w:val="9"/>
                <w:szCs w:val="9"/>
                <w:color w:val="auto"/>
              </w:rPr>
              <w:t>West Coast Office Portfolio</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3,654,315</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756,000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207</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9"/>
              </w:rPr>
              <w:t>May-14</w:t>
            </w:r>
          </w:p>
        </w:tc>
        <w:tc>
          <w:tcPr>
            <w:tcW w:w="160" w:type="dxa"/>
            <w:vAlign w:val="bottom"/>
          </w:tcPr>
          <w:p>
            <w:pPr>
              <w:spacing w:after="0"/>
              <w:rPr>
                <w:sz w:val="20"/>
                <w:szCs w:val="20"/>
                <w:color w:val="auto"/>
              </w:rPr>
            </w:pPr>
            <w:r>
              <w:rPr>
                <w:rFonts w:ascii="Arial" w:cs="Arial" w:eastAsia="Arial" w:hAnsi="Arial"/>
                <w:sz w:val="9"/>
                <w:szCs w:val="9"/>
                <w:color w:val="auto"/>
                <w:w w:val="92"/>
              </w:rPr>
              <w:t>747</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Madison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Plaza District</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10,000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160,000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w w:val="94"/>
              </w:rPr>
              <w:t>16,000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7"/>
              </w:rPr>
              <w:t>Jul-14</w:t>
            </w:r>
          </w:p>
        </w:tc>
        <w:tc>
          <w:tcPr>
            <w:tcW w:w="1700" w:type="dxa"/>
            <w:vAlign w:val="bottom"/>
            <w:gridSpan w:val="3"/>
          </w:tcPr>
          <w:p>
            <w:pPr>
              <w:spacing w:after="0"/>
              <w:rPr>
                <w:sz w:val="20"/>
                <w:szCs w:val="20"/>
                <w:color w:val="auto"/>
              </w:rPr>
            </w:pPr>
            <w:r>
              <w:rPr>
                <w:rFonts w:ascii="Arial" w:cs="Arial" w:eastAsia="Arial" w:hAnsi="Arial"/>
                <w:sz w:val="9"/>
                <w:szCs w:val="9"/>
                <w:color w:val="auto"/>
              </w:rPr>
              <w:t>985-987 Third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Upper East Side</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13,678</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68,700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5,023</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Sep-14</w:t>
            </w:r>
          </w:p>
        </w:tc>
        <w:tc>
          <w:tcPr>
            <w:tcW w:w="1700" w:type="dxa"/>
            <w:vAlign w:val="bottom"/>
            <w:gridSpan w:val="3"/>
          </w:tcPr>
          <w:p>
            <w:pPr>
              <w:spacing w:after="0"/>
              <w:rPr>
                <w:sz w:val="20"/>
                <w:szCs w:val="20"/>
                <w:color w:val="auto"/>
              </w:rPr>
            </w:pPr>
            <w:r>
              <w:rPr>
                <w:rFonts w:ascii="Arial" w:cs="Arial" w:eastAsia="Arial" w:hAnsi="Arial"/>
                <w:sz w:val="9"/>
                <w:szCs w:val="9"/>
                <w:color w:val="auto"/>
              </w:rPr>
              <w:t>180-182 Broadway</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Lower Manhattan</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156,086</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222,500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1,425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6"/>
              </w:rPr>
              <w:t>Nov-14</w:t>
            </w:r>
          </w:p>
        </w:tc>
        <w:tc>
          <w:tcPr>
            <w:tcW w:w="1700" w:type="dxa"/>
            <w:vAlign w:val="bottom"/>
            <w:gridSpan w:val="3"/>
          </w:tcPr>
          <w:p>
            <w:pPr>
              <w:spacing w:after="0"/>
              <w:rPr>
                <w:sz w:val="20"/>
                <w:szCs w:val="20"/>
                <w:color w:val="auto"/>
              </w:rPr>
            </w:pPr>
            <w:r>
              <w:rPr>
                <w:rFonts w:ascii="Arial" w:cs="Arial" w:eastAsia="Arial" w:hAnsi="Arial"/>
                <w:sz w:val="9"/>
                <w:szCs w:val="9"/>
                <w:color w:val="auto"/>
              </w:rPr>
              <w:t>2 Herald Square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Herald Square/Penn Station</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354,400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365,000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1,030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4"/>
              </w:rPr>
              <w:t>Jan-15</w:t>
            </w:r>
          </w:p>
        </w:tc>
        <w:tc>
          <w:tcPr>
            <w:tcW w:w="160" w:type="dxa"/>
            <w:vAlign w:val="bottom"/>
          </w:tcPr>
          <w:p>
            <w:pPr>
              <w:spacing w:after="0"/>
              <w:rPr>
                <w:sz w:val="20"/>
                <w:szCs w:val="20"/>
                <w:color w:val="auto"/>
              </w:rPr>
            </w:pPr>
            <w:r>
              <w:rPr>
                <w:rFonts w:ascii="Arial" w:cs="Arial" w:eastAsia="Arial" w:hAnsi="Arial"/>
                <w:sz w:val="9"/>
                <w:szCs w:val="9"/>
                <w:color w:val="auto"/>
                <w:w w:val="92"/>
              </w:rPr>
              <w:t>180</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Maiden Lane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Financial East</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1,090,000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470,000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431</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7"/>
        </w:trPr>
        <w:tc>
          <w:tcPr>
            <w:tcW w:w="1200" w:type="dxa"/>
            <w:vAlign w:val="bottom"/>
          </w:tcPr>
          <w:p>
            <w:pPr>
              <w:jc w:val="center"/>
              <w:spacing w:after="0"/>
              <w:rPr>
                <w:sz w:val="20"/>
                <w:szCs w:val="20"/>
                <w:color w:val="auto"/>
              </w:rPr>
            </w:pPr>
            <w:r>
              <w:rPr>
                <w:rFonts w:ascii="Arial" w:cs="Arial" w:eastAsia="Arial" w:hAnsi="Arial"/>
                <w:sz w:val="9"/>
                <w:szCs w:val="9"/>
                <w:color w:val="auto"/>
                <w:w w:val="96"/>
              </w:rPr>
              <w:t>Dec-15</w:t>
            </w:r>
          </w:p>
        </w:tc>
        <w:tc>
          <w:tcPr>
            <w:tcW w:w="160" w:type="dxa"/>
            <w:vAlign w:val="bottom"/>
          </w:tcPr>
          <w:p>
            <w:pPr>
              <w:spacing w:after="0"/>
              <w:rPr>
                <w:sz w:val="20"/>
                <w:szCs w:val="20"/>
                <w:color w:val="auto"/>
              </w:rPr>
            </w:pPr>
            <w:r>
              <w:rPr>
                <w:rFonts w:ascii="Arial" w:cs="Arial" w:eastAsia="Arial" w:hAnsi="Arial"/>
                <w:sz w:val="9"/>
                <w:szCs w:val="9"/>
                <w:color w:val="auto"/>
                <w:w w:val="92"/>
              </w:rPr>
              <w:t>570</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&amp; 574 Fifth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Plaza District</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24,327</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125,400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5,155</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0"/>
        </w:trPr>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9"/>
                <w:szCs w:val="9"/>
                <w:b w:val="1"/>
                <w:bCs w:val="1"/>
                <w:color w:val="auto"/>
              </w:rPr>
              <w:t>6,814,679</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b w:val="1"/>
                <w:bCs w:val="1"/>
                <w:color w:val="auto"/>
                <w:w w:val="78"/>
              </w:rPr>
              <w:t>$</w:t>
            </w:r>
          </w:p>
        </w:tc>
        <w:tc>
          <w:tcPr>
            <w:tcW w:w="6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3,800,610</w:t>
            </w:r>
          </w:p>
        </w:tc>
        <w:tc>
          <w:tcPr>
            <w:tcW w:w="740" w:type="dxa"/>
            <w:vAlign w:val="bottom"/>
            <w:gridSpan w:val="3"/>
          </w:tcPr>
          <w:p>
            <w:pPr>
              <w:jc w:val="right"/>
              <w:spacing w:after="0"/>
              <w:rPr>
                <w:sz w:val="20"/>
                <w:szCs w:val="20"/>
                <w:color w:val="auto"/>
              </w:rPr>
            </w:pPr>
            <w:r>
              <w:rPr>
                <w:rFonts w:ascii="Arial" w:cs="Arial" w:eastAsia="Arial" w:hAnsi="Arial"/>
                <w:sz w:val="9"/>
                <w:szCs w:val="9"/>
                <w:b w:val="1"/>
                <w:bCs w:val="1"/>
                <w:color w:val="auto"/>
              </w:rPr>
              <w:t>$</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558</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27"/>
        </w:trPr>
        <w:tc>
          <w:tcPr>
            <w:tcW w:w="1200" w:type="dxa"/>
            <w:vAlign w:val="bottom"/>
            <w:tcBorders>
              <w:bottom w:val="single" w:sz="8" w:color="auto"/>
            </w:tcBorders>
          </w:tcPr>
          <w:p>
            <w:pPr>
              <w:ind w:left="20"/>
              <w:spacing w:after="0"/>
              <w:rPr>
                <w:sz w:val="20"/>
                <w:szCs w:val="20"/>
                <w:color w:val="auto"/>
              </w:rPr>
            </w:pPr>
            <w:r>
              <w:rPr>
                <w:rFonts w:ascii="Arial" w:cs="Arial" w:eastAsia="Arial" w:hAnsi="Arial"/>
                <w:sz w:val="9"/>
                <w:szCs w:val="9"/>
                <w:b w:val="1"/>
                <w:bCs w:val="1"/>
                <w:color w:val="auto"/>
              </w:rPr>
              <w:t>2016 Sales</w:t>
            </w:r>
          </w:p>
        </w:tc>
        <w:tc>
          <w:tcPr>
            <w:tcW w:w="1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r>
      <w:tr>
        <w:trPr>
          <w:trHeight w:val="201"/>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Feb-16</w:t>
            </w:r>
          </w:p>
        </w:tc>
        <w:tc>
          <w:tcPr>
            <w:tcW w:w="1700" w:type="dxa"/>
            <w:vAlign w:val="bottom"/>
            <w:gridSpan w:val="3"/>
          </w:tcPr>
          <w:p>
            <w:pPr>
              <w:spacing w:after="0"/>
              <w:rPr>
                <w:sz w:val="20"/>
                <w:szCs w:val="20"/>
                <w:color w:val="auto"/>
              </w:rPr>
            </w:pPr>
            <w:r>
              <w:rPr>
                <w:rFonts w:ascii="Arial" w:cs="Arial" w:eastAsia="Arial" w:hAnsi="Arial"/>
                <w:sz w:val="9"/>
                <w:szCs w:val="9"/>
                <w:color w:val="auto"/>
              </w:rPr>
              <w:t>248-252 Bedford Avenue - 90%</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Brooklyn, New York</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66,611</w:t>
            </w: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color w:val="auto"/>
                <w:w w:val="78"/>
              </w:rPr>
              <w:t>$</w:t>
            </w: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55,000</w:t>
            </w:r>
          </w:p>
        </w:tc>
        <w:tc>
          <w:tcPr>
            <w:tcW w:w="740" w:type="dxa"/>
            <w:vAlign w:val="bottom"/>
            <w:gridSpan w:val="3"/>
          </w:tcPr>
          <w:p>
            <w:pPr>
              <w:jc w:val="right"/>
              <w:spacing w:after="0"/>
              <w:rPr>
                <w:sz w:val="20"/>
                <w:szCs w:val="20"/>
                <w:color w:val="auto"/>
              </w:rPr>
            </w:pPr>
            <w:r>
              <w:rPr>
                <w:rFonts w:ascii="Arial" w:cs="Arial" w:eastAsia="Arial" w:hAnsi="Arial"/>
                <w:sz w:val="9"/>
                <w:szCs w:val="9"/>
                <w:color w:val="auto"/>
              </w:rPr>
              <w:t>$</w:t>
            </w:r>
          </w:p>
        </w:tc>
        <w:tc>
          <w:tcPr>
            <w:tcW w:w="320" w:type="dxa"/>
            <w:vAlign w:val="bottom"/>
          </w:tcPr>
          <w:p>
            <w:pPr>
              <w:jc w:val="right"/>
              <w:spacing w:after="0"/>
              <w:rPr>
                <w:sz w:val="20"/>
                <w:szCs w:val="20"/>
                <w:color w:val="auto"/>
              </w:rPr>
            </w:pPr>
            <w:r>
              <w:rPr>
                <w:rFonts w:ascii="Arial" w:cs="Arial" w:eastAsia="Arial" w:hAnsi="Arial"/>
                <w:sz w:val="9"/>
                <w:szCs w:val="9"/>
                <w:color w:val="auto"/>
              </w:rPr>
              <w:t>826</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9"/>
        </w:trPr>
        <w:tc>
          <w:tcPr>
            <w:tcW w:w="1200" w:type="dxa"/>
            <w:vAlign w:val="bottom"/>
          </w:tcPr>
          <w:p>
            <w:pPr>
              <w:jc w:val="center"/>
              <w:spacing w:after="0"/>
              <w:rPr>
                <w:sz w:val="20"/>
                <w:szCs w:val="20"/>
                <w:color w:val="auto"/>
              </w:rPr>
            </w:pPr>
            <w:r>
              <w:rPr>
                <w:rFonts w:ascii="Arial" w:cs="Arial" w:eastAsia="Arial" w:hAnsi="Arial"/>
                <w:sz w:val="9"/>
                <w:szCs w:val="9"/>
                <w:color w:val="auto"/>
                <w:w w:val="98"/>
              </w:rPr>
              <w:t>Feb-16</w:t>
            </w:r>
          </w:p>
        </w:tc>
        <w:tc>
          <w:tcPr>
            <w:tcW w:w="160" w:type="dxa"/>
            <w:vAlign w:val="bottom"/>
          </w:tcPr>
          <w:p>
            <w:pPr>
              <w:spacing w:after="0"/>
              <w:rPr>
                <w:sz w:val="20"/>
                <w:szCs w:val="20"/>
                <w:color w:val="auto"/>
              </w:rPr>
            </w:pPr>
            <w:r>
              <w:rPr>
                <w:rFonts w:ascii="Arial" w:cs="Arial" w:eastAsia="Arial" w:hAnsi="Arial"/>
                <w:sz w:val="9"/>
                <w:szCs w:val="9"/>
                <w:color w:val="auto"/>
                <w:w w:val="92"/>
              </w:rPr>
              <w:t>885</w:t>
            </w:r>
          </w:p>
        </w:tc>
        <w:tc>
          <w:tcPr>
            <w:tcW w:w="1540" w:type="dxa"/>
            <w:vAlign w:val="bottom"/>
            <w:gridSpan w:val="2"/>
          </w:tcPr>
          <w:p>
            <w:pPr>
              <w:ind w:left="20"/>
              <w:spacing w:after="0"/>
              <w:rPr>
                <w:sz w:val="20"/>
                <w:szCs w:val="20"/>
                <w:color w:val="auto"/>
              </w:rPr>
            </w:pPr>
            <w:r>
              <w:rPr>
                <w:rFonts w:ascii="Arial" w:cs="Arial" w:eastAsia="Arial" w:hAnsi="Arial"/>
                <w:sz w:val="9"/>
                <w:szCs w:val="9"/>
                <w:color w:val="auto"/>
              </w:rPr>
              <w:t>Third Avenue</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Midtown / Plaza District</w:t>
            </w:r>
          </w:p>
        </w:tc>
        <w:tc>
          <w:tcPr>
            <w:tcW w:w="640" w:type="dxa"/>
            <w:vAlign w:val="bottom"/>
            <w:gridSpan w:val="2"/>
          </w:tcPr>
          <w:p>
            <w:pPr>
              <w:jc w:val="right"/>
              <w:spacing w:after="0"/>
              <w:rPr>
                <w:sz w:val="20"/>
                <w:szCs w:val="20"/>
                <w:color w:val="auto"/>
              </w:rPr>
            </w:pPr>
            <w:r>
              <w:rPr>
                <w:rFonts w:ascii="Arial" w:cs="Arial" w:eastAsia="Arial" w:hAnsi="Arial"/>
                <w:sz w:val="9"/>
                <w:szCs w:val="9"/>
                <w:color w:val="auto"/>
              </w:rPr>
              <w:t>607,000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9"/>
                <w:szCs w:val="9"/>
                <w:color w:val="auto"/>
              </w:rPr>
              <w:t>453,000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9"/>
                <w:szCs w:val="9"/>
                <w:color w:val="auto"/>
              </w:rPr>
              <w:t>746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27"/>
        </w:trPr>
        <w:tc>
          <w:tcPr>
            <w:tcW w:w="1200" w:type="dxa"/>
            <w:vAlign w:val="bottom"/>
          </w:tcPr>
          <w:p>
            <w:pPr>
              <w:jc w:val="center"/>
              <w:spacing w:after="0"/>
              <w:rPr>
                <w:sz w:val="20"/>
                <w:szCs w:val="20"/>
                <w:color w:val="auto"/>
              </w:rPr>
            </w:pPr>
            <w:r>
              <w:rPr>
                <w:rFonts w:ascii="Arial" w:cs="Arial" w:eastAsia="Arial" w:hAnsi="Arial"/>
                <w:sz w:val="9"/>
                <w:szCs w:val="9"/>
                <w:color w:val="auto"/>
                <w:w w:val="99"/>
              </w:rPr>
              <w:t>May-16</w:t>
            </w:r>
          </w:p>
        </w:tc>
        <w:tc>
          <w:tcPr>
            <w:tcW w:w="1700" w:type="dxa"/>
            <w:vAlign w:val="bottom"/>
            <w:gridSpan w:val="3"/>
          </w:tcPr>
          <w:p>
            <w:pPr>
              <w:spacing w:after="0"/>
              <w:rPr>
                <w:sz w:val="20"/>
                <w:szCs w:val="20"/>
                <w:color w:val="auto"/>
              </w:rPr>
            </w:pPr>
            <w:r>
              <w:rPr>
                <w:rFonts w:ascii="Arial" w:cs="Arial" w:eastAsia="Arial" w:hAnsi="Arial"/>
                <w:sz w:val="9"/>
                <w:szCs w:val="9"/>
                <w:color w:val="auto"/>
              </w:rPr>
              <w:t>33 Beekman Street</w:t>
            </w:r>
          </w:p>
        </w:tc>
        <w:tc>
          <w:tcPr>
            <w:tcW w:w="1660" w:type="dxa"/>
            <w:vAlign w:val="bottom"/>
            <w:gridSpan w:val="3"/>
          </w:tcPr>
          <w:p>
            <w:pPr>
              <w:ind w:left="460"/>
              <w:spacing w:after="0"/>
              <w:rPr>
                <w:sz w:val="20"/>
                <w:szCs w:val="20"/>
                <w:color w:val="auto"/>
              </w:rPr>
            </w:pPr>
            <w:r>
              <w:rPr>
                <w:rFonts w:ascii="Arial" w:cs="Arial" w:eastAsia="Arial" w:hAnsi="Arial"/>
                <w:sz w:val="9"/>
                <w:szCs w:val="9"/>
                <w:color w:val="auto"/>
              </w:rPr>
              <w:t>Fee Interest</w:t>
            </w:r>
          </w:p>
        </w:tc>
        <w:tc>
          <w:tcPr>
            <w:tcW w:w="2300" w:type="dxa"/>
            <w:vAlign w:val="bottom"/>
            <w:gridSpan w:val="3"/>
          </w:tcPr>
          <w:p>
            <w:pPr>
              <w:ind w:left="420"/>
              <w:spacing w:after="0"/>
              <w:rPr>
                <w:sz w:val="20"/>
                <w:szCs w:val="20"/>
                <w:color w:val="auto"/>
              </w:rPr>
            </w:pPr>
            <w:r>
              <w:rPr>
                <w:rFonts w:ascii="Arial" w:cs="Arial" w:eastAsia="Arial" w:hAnsi="Arial"/>
                <w:sz w:val="9"/>
                <w:szCs w:val="9"/>
                <w:color w:val="auto"/>
              </w:rPr>
              <w:t>Downtown</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163,500</w:t>
            </w: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9"/>
                <w:szCs w:val="9"/>
                <w:color w:val="auto"/>
              </w:rPr>
              <w:t>196,000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9"/>
                <w:szCs w:val="9"/>
                <w:color w:val="auto"/>
              </w:rPr>
              <w:t>1,199</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190"/>
        </w:trPr>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640" w:type="dxa"/>
            <w:vAlign w:val="bottom"/>
            <w:gridSpan w:val="2"/>
          </w:tcPr>
          <w:p>
            <w:pPr>
              <w:jc w:val="right"/>
              <w:spacing w:after="0"/>
              <w:rPr>
                <w:sz w:val="20"/>
                <w:szCs w:val="20"/>
                <w:color w:val="auto"/>
              </w:rPr>
            </w:pPr>
            <w:r>
              <w:rPr>
                <w:rFonts w:ascii="Arial" w:cs="Arial" w:eastAsia="Arial" w:hAnsi="Arial"/>
                <w:sz w:val="9"/>
                <w:szCs w:val="9"/>
                <w:b w:val="1"/>
                <w:bCs w:val="1"/>
                <w:color w:val="auto"/>
              </w:rPr>
              <w:t>837,111</w:t>
            </w:r>
          </w:p>
        </w:tc>
        <w:tc>
          <w:tcPr>
            <w:tcW w:w="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0" w:type="dxa"/>
            <w:vAlign w:val="bottom"/>
          </w:tcPr>
          <w:p>
            <w:pPr>
              <w:jc w:val="right"/>
              <w:ind w:right="56"/>
              <w:spacing w:after="0"/>
              <w:rPr>
                <w:sz w:val="20"/>
                <w:szCs w:val="20"/>
                <w:color w:val="auto"/>
              </w:rPr>
            </w:pPr>
            <w:r>
              <w:rPr>
                <w:rFonts w:ascii="Arial" w:cs="Arial" w:eastAsia="Arial" w:hAnsi="Arial"/>
                <w:sz w:val="9"/>
                <w:szCs w:val="9"/>
                <w:b w:val="1"/>
                <w:bCs w:val="1"/>
                <w:color w:val="auto"/>
                <w:w w:val="78"/>
              </w:rPr>
              <w:t>$</w:t>
            </w:r>
          </w:p>
        </w:tc>
        <w:tc>
          <w:tcPr>
            <w:tcW w:w="600" w:type="dxa"/>
            <w:vAlign w:val="bottom"/>
            <w:gridSpan w:val="2"/>
          </w:tcPr>
          <w:p>
            <w:pPr>
              <w:jc w:val="right"/>
              <w:ind w:right="20"/>
              <w:spacing w:after="0"/>
              <w:rPr>
                <w:sz w:val="20"/>
                <w:szCs w:val="20"/>
                <w:color w:val="auto"/>
              </w:rPr>
            </w:pPr>
            <w:r>
              <w:rPr>
                <w:rFonts w:ascii="Arial" w:cs="Arial" w:eastAsia="Arial" w:hAnsi="Arial"/>
                <w:sz w:val="9"/>
                <w:szCs w:val="9"/>
                <w:b w:val="1"/>
                <w:bCs w:val="1"/>
                <w:color w:val="auto"/>
              </w:rPr>
              <w:t>704,000</w:t>
            </w:r>
          </w:p>
        </w:tc>
        <w:tc>
          <w:tcPr>
            <w:tcW w:w="740" w:type="dxa"/>
            <w:vAlign w:val="bottom"/>
            <w:gridSpan w:val="3"/>
          </w:tcPr>
          <w:p>
            <w:pPr>
              <w:jc w:val="right"/>
              <w:spacing w:after="0"/>
              <w:rPr>
                <w:sz w:val="20"/>
                <w:szCs w:val="20"/>
                <w:color w:val="auto"/>
              </w:rPr>
            </w:pPr>
            <w:r>
              <w:rPr>
                <w:rFonts w:ascii="Arial" w:cs="Arial" w:eastAsia="Arial" w:hAnsi="Arial"/>
                <w:sz w:val="9"/>
                <w:szCs w:val="9"/>
                <w:b w:val="1"/>
                <w:bCs w:val="1"/>
                <w:color w:val="auto"/>
              </w:rPr>
              <w:t>$</w:t>
            </w:r>
          </w:p>
        </w:tc>
        <w:tc>
          <w:tcPr>
            <w:tcW w:w="320" w:type="dxa"/>
            <w:vAlign w:val="bottom"/>
          </w:tcPr>
          <w:p>
            <w:pPr>
              <w:jc w:val="right"/>
              <w:spacing w:after="0"/>
              <w:rPr>
                <w:sz w:val="20"/>
                <w:szCs w:val="20"/>
                <w:color w:val="auto"/>
              </w:rPr>
            </w:pPr>
            <w:r>
              <w:rPr>
                <w:rFonts w:ascii="Arial" w:cs="Arial" w:eastAsia="Arial" w:hAnsi="Arial"/>
                <w:sz w:val="9"/>
                <w:szCs w:val="9"/>
                <w:b w:val="1"/>
                <w:bCs w:val="1"/>
                <w:color w:val="auto"/>
              </w:rPr>
              <w:t>840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r>
    </w:tbl>
    <w:p>
      <w:pPr>
        <w:spacing w:after="0" w:line="113" w:lineRule="exact"/>
        <w:rPr>
          <w:sz w:val="20"/>
          <w:szCs w:val="20"/>
          <w:color w:val="auto"/>
        </w:rPr>
      </w:pPr>
    </w:p>
    <w:p>
      <w:pPr>
        <w:ind w:left="160" w:hanging="128"/>
        <w:spacing w:after="0"/>
        <w:tabs>
          <w:tab w:leader="none" w:pos="160" w:val="left"/>
        </w:tabs>
        <w:numPr>
          <w:ilvl w:val="0"/>
          <w:numId w:val="37"/>
        </w:numPr>
        <w:rPr>
          <w:rFonts w:ascii="Arial" w:cs="Arial" w:eastAsia="Arial" w:hAnsi="Arial"/>
          <w:sz w:val="9"/>
          <w:szCs w:val="9"/>
          <w:color w:val="auto"/>
        </w:rPr>
      </w:pPr>
      <w:r>
        <w:rPr>
          <w:rFonts w:ascii="Arial" w:cs="Arial" w:eastAsia="Arial" w:hAnsi="Arial"/>
          <w:sz w:val="9"/>
          <w:szCs w:val="9"/>
          <w:color w:val="auto"/>
        </w:rPr>
        <w:t>Company sold our remaining 10% JV interest in the property at an implied $276.8 million sales price.</w:t>
      </w:r>
    </w:p>
    <w:p>
      <w:pPr>
        <w:spacing w:after="0" w:line="115" w:lineRule="exact"/>
        <w:rPr>
          <w:rFonts w:ascii="Arial" w:cs="Arial" w:eastAsia="Arial" w:hAnsi="Arial"/>
          <w:sz w:val="9"/>
          <w:szCs w:val="9"/>
          <w:color w:val="auto"/>
        </w:rPr>
      </w:pPr>
    </w:p>
    <w:p>
      <w:pPr>
        <w:ind w:left="160" w:hanging="128"/>
        <w:spacing w:after="0"/>
        <w:tabs>
          <w:tab w:leader="none" w:pos="160" w:val="left"/>
        </w:tabs>
        <w:numPr>
          <w:ilvl w:val="0"/>
          <w:numId w:val="37"/>
        </w:numPr>
        <w:rPr>
          <w:rFonts w:ascii="Arial" w:cs="Arial" w:eastAsia="Arial" w:hAnsi="Arial"/>
          <w:sz w:val="9"/>
          <w:szCs w:val="9"/>
          <w:color w:val="auto"/>
        </w:rPr>
      </w:pPr>
      <w:r>
        <w:rPr>
          <w:rFonts w:ascii="Arial" w:cs="Arial" w:eastAsia="Arial" w:hAnsi="Arial"/>
          <w:sz w:val="9"/>
          <w:szCs w:val="9"/>
          <w:color w:val="auto"/>
        </w:rPr>
        <w:t>Inclusive of the fee position which was acquired simultaneously with the sale pursuant to an option.</w:t>
      </w:r>
    </w:p>
    <w:p>
      <w:pPr>
        <w:spacing w:after="0" w:line="115" w:lineRule="exact"/>
        <w:rPr>
          <w:rFonts w:ascii="Arial" w:cs="Arial" w:eastAsia="Arial" w:hAnsi="Arial"/>
          <w:sz w:val="9"/>
          <w:szCs w:val="9"/>
          <w:color w:val="auto"/>
        </w:rPr>
      </w:pPr>
    </w:p>
    <w:p>
      <w:pPr>
        <w:ind w:left="160" w:hanging="128"/>
        <w:spacing w:after="0"/>
        <w:tabs>
          <w:tab w:leader="none" w:pos="160" w:val="left"/>
        </w:tabs>
        <w:numPr>
          <w:ilvl w:val="0"/>
          <w:numId w:val="37"/>
        </w:numPr>
        <w:rPr>
          <w:rFonts w:ascii="Arial" w:cs="Arial" w:eastAsia="Arial" w:hAnsi="Arial"/>
          <w:sz w:val="9"/>
          <w:szCs w:val="9"/>
          <w:color w:val="auto"/>
        </w:rPr>
      </w:pPr>
      <w:r>
        <w:rPr>
          <w:rFonts w:ascii="Arial" w:cs="Arial" w:eastAsia="Arial" w:hAnsi="Arial"/>
          <w:sz w:val="9"/>
          <w:szCs w:val="9"/>
          <w:color w:val="auto"/>
        </w:rPr>
        <w:t>Company sold 50% of its remaining interest after a promote. The Company retained a 10.92% interest in the property.</w:t>
      </w:r>
    </w:p>
    <w:p>
      <w:pPr>
        <w:spacing w:after="0" w:line="115" w:lineRule="exact"/>
        <w:rPr>
          <w:rFonts w:ascii="Arial" w:cs="Arial" w:eastAsia="Arial" w:hAnsi="Arial"/>
          <w:sz w:val="9"/>
          <w:szCs w:val="9"/>
          <w:color w:val="auto"/>
        </w:rPr>
      </w:pPr>
    </w:p>
    <w:p>
      <w:pPr>
        <w:ind w:left="160" w:hanging="128"/>
        <w:spacing w:after="0"/>
        <w:tabs>
          <w:tab w:leader="none" w:pos="160" w:val="left"/>
        </w:tabs>
        <w:numPr>
          <w:ilvl w:val="0"/>
          <w:numId w:val="37"/>
        </w:numPr>
        <w:rPr>
          <w:rFonts w:ascii="Arial" w:cs="Arial" w:eastAsia="Arial" w:hAnsi="Arial"/>
          <w:sz w:val="9"/>
          <w:szCs w:val="9"/>
          <w:color w:val="auto"/>
        </w:rPr>
      </w:pPr>
      <w:r>
        <w:rPr>
          <w:rFonts w:ascii="Arial" w:cs="Arial" w:eastAsia="Arial" w:hAnsi="Arial"/>
          <w:sz w:val="9"/>
          <w:szCs w:val="9"/>
          <w:color w:val="auto"/>
        </w:rPr>
        <w:t>The joint venture sold a 29% condominium interest in the property.</w:t>
      </w:r>
    </w:p>
    <w:p>
      <w:pPr>
        <w:spacing w:after="0" w:line="200" w:lineRule="exact"/>
        <w:rPr>
          <w:sz w:val="20"/>
          <w:szCs w:val="20"/>
          <w:color w:val="auto"/>
        </w:rPr>
      </w:pPr>
    </w:p>
    <w:p>
      <w:pPr>
        <w:spacing w:after="0" w:line="317" w:lineRule="exact"/>
        <w:rPr>
          <w:sz w:val="20"/>
          <w:szCs w:val="20"/>
          <w:color w:val="auto"/>
        </w:rPr>
      </w:pPr>
    </w:p>
    <w:p>
      <w:pPr>
        <w:ind w:left="40"/>
        <w:spacing w:after="0"/>
        <w:tabs>
          <w:tab w:leader="none" w:pos="4960" w:val="left"/>
          <w:tab w:leader="none" w:pos="9200" w:val="left"/>
        </w:tabs>
        <w:rPr>
          <w:sz w:val="20"/>
          <w:szCs w:val="20"/>
          <w:color w:val="auto"/>
        </w:rPr>
      </w:pPr>
      <w:r>
        <w:rPr>
          <w:rFonts w:ascii="Arial" w:cs="Arial" w:eastAsia="Arial" w:hAnsi="Arial"/>
          <w:sz w:val="10"/>
          <w:szCs w:val="10"/>
          <w:color w:val="auto"/>
        </w:rPr>
        <w:t>Supplemental Information</w:t>
      </w:r>
      <w:r>
        <w:rPr>
          <w:sz w:val="20"/>
          <w:szCs w:val="20"/>
          <w:color w:val="auto"/>
        </w:rPr>
        <w:tab/>
      </w:r>
      <w:r>
        <w:rPr>
          <w:rFonts w:ascii="Arial" w:cs="Arial" w:eastAsia="Arial" w:hAnsi="Arial"/>
          <w:sz w:val="10"/>
          <w:szCs w:val="10"/>
          <w:color w:val="auto"/>
        </w:rPr>
        <w:t>55</w:t>
      </w:r>
      <w:r>
        <w:rPr>
          <w:sz w:val="20"/>
          <w:szCs w:val="20"/>
          <w:color w:val="auto"/>
        </w:rPr>
        <w:tab/>
      </w:r>
      <w:r>
        <w:rPr>
          <w:rFonts w:ascii="Arial" w:cs="Arial" w:eastAsia="Arial" w:hAnsi="Arial"/>
          <w:sz w:val="10"/>
          <w:szCs w:val="10"/>
          <w:color w:val="auto"/>
        </w:rPr>
        <w:t>Third Quarter 2016</w:t>
      </w:r>
    </w:p>
    <w:p>
      <w:pPr>
        <w:sectPr>
          <w:pgSz w:w="11900" w:h="16838" w:orient="portrait"/>
          <w:cols w:equalWidth="0" w:num="1">
            <w:col w:w="10100"/>
          </w:cols>
          <w:pgMar w:left="900" w:top="338" w:right="899" w:bottom="1440" w:gutter="0" w:footer="0" w:header="0"/>
        </w:sectPr>
      </w:pPr>
    </w:p>
    <w:bookmarkStart w:id="72" w:name="page73"/>
    <w:bookmarkEnd w:id="72"/>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EXECUTIVE AND 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-48895</wp:posOffset>
            </wp:positionV>
            <wp:extent cx="6412230" cy="4305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ectPr>
          <w:pgSz w:w="11900" w:h="16838" w:orient="portrait"/>
          <w:cols w:equalWidth="0" w:num="1">
            <w:col w:w="9559"/>
          </w:cols>
          <w:pgMar w:left="900" w:top="33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0"/>
        <w:spacing w:after="0"/>
        <w:tabs>
          <w:tab w:leader="none" w:pos="5060" w:val="left"/>
        </w:tabs>
        <w:rPr>
          <w:sz w:val="20"/>
          <w:szCs w:val="20"/>
          <w:color w:val="auto"/>
        </w:rPr>
      </w:pPr>
      <w:r>
        <w:rPr>
          <w:rFonts w:ascii="Arial" w:cs="Arial" w:eastAsia="Arial" w:hAnsi="Arial"/>
          <w:sz w:val="20"/>
          <w:szCs w:val="20"/>
          <w:b w:val="1"/>
          <w:bCs w:val="1"/>
          <w:color w:val="auto"/>
        </w:rPr>
        <w:t>Stephen L. Green</w:t>
      </w:r>
      <w:r>
        <w:rPr>
          <w:sz w:val="20"/>
          <w:szCs w:val="20"/>
          <w:color w:val="auto"/>
        </w:rPr>
        <w:tab/>
      </w:r>
      <w:r>
        <w:rPr>
          <w:rFonts w:ascii="Arial" w:cs="Arial" w:eastAsia="Arial" w:hAnsi="Arial"/>
          <w:sz w:val="20"/>
          <w:szCs w:val="20"/>
          <w:b w:val="1"/>
          <w:bCs w:val="1"/>
          <w:color w:val="auto"/>
        </w:rPr>
        <w:t>Edward V. Piccinich</w:t>
      </w:r>
    </w:p>
    <w:p>
      <w:pPr>
        <w:spacing w:after="0" w:line="82" w:lineRule="exact"/>
        <w:rPr>
          <w:sz w:val="20"/>
          <w:szCs w:val="20"/>
          <w:color w:val="auto"/>
        </w:rPr>
      </w:pPr>
    </w:p>
    <w:p>
      <w:pPr>
        <w:ind w:left="560"/>
        <w:spacing w:after="0"/>
        <w:tabs>
          <w:tab w:leader="none" w:pos="5580" w:val="left"/>
        </w:tabs>
        <w:rPr>
          <w:sz w:val="20"/>
          <w:szCs w:val="20"/>
          <w:color w:val="auto"/>
        </w:rPr>
      </w:pPr>
      <w:r>
        <w:rPr>
          <w:rFonts w:ascii="Arial" w:cs="Arial" w:eastAsia="Arial" w:hAnsi="Arial"/>
          <w:sz w:val="19"/>
          <w:szCs w:val="19"/>
          <w:color w:val="auto"/>
        </w:rPr>
        <w:t>Chairman of the Board</w:t>
      </w:r>
      <w:r>
        <w:rPr>
          <w:sz w:val="20"/>
          <w:szCs w:val="20"/>
          <w:color w:val="auto"/>
        </w:rPr>
        <w:tab/>
      </w:r>
      <w:r>
        <w:rPr>
          <w:rFonts w:ascii="Arial" w:cs="Arial" w:eastAsia="Arial" w:hAnsi="Arial"/>
          <w:sz w:val="18"/>
          <w:szCs w:val="18"/>
          <w:color w:val="auto"/>
        </w:rPr>
        <w:t>Executive Vice President, Property</w:t>
      </w:r>
    </w:p>
    <w:p>
      <w:pPr>
        <w:spacing w:after="0" w:line="55"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Management and Construction</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20"/>
          <w:szCs w:val="20"/>
          <w:b w:val="1"/>
          <w:bCs w:val="1"/>
          <w:color w:val="auto"/>
        </w:rPr>
        <w:t>Marc Holliday</w:t>
      </w:r>
    </w:p>
    <w:p>
      <w:pPr>
        <w:spacing w:after="0" w:line="54" w:lineRule="exact"/>
        <w:rPr>
          <w:sz w:val="20"/>
          <w:szCs w:val="20"/>
          <w:color w:val="auto"/>
        </w:rPr>
      </w:pPr>
    </w:p>
    <w:p>
      <w:pPr>
        <w:ind w:left="560"/>
        <w:spacing w:after="0"/>
        <w:tabs>
          <w:tab w:leader="none" w:pos="5060" w:val="left"/>
        </w:tabs>
        <w:rPr>
          <w:sz w:val="20"/>
          <w:szCs w:val="20"/>
          <w:color w:val="auto"/>
        </w:rPr>
      </w:pPr>
      <w:r>
        <w:rPr>
          <w:rFonts w:ascii="Arial" w:cs="Arial" w:eastAsia="Arial" w:hAnsi="Arial"/>
          <w:sz w:val="19"/>
          <w:szCs w:val="19"/>
          <w:color w:val="auto"/>
        </w:rPr>
        <w:t>Chief Executive Officer</w:t>
      </w:r>
      <w:r>
        <w:rPr>
          <w:sz w:val="20"/>
          <w:szCs w:val="20"/>
          <w:color w:val="auto"/>
        </w:rPr>
        <w:tab/>
      </w:r>
      <w:r>
        <w:rPr>
          <w:rFonts w:ascii="Arial" w:cs="Arial" w:eastAsia="Arial" w:hAnsi="Arial"/>
          <w:sz w:val="20"/>
          <w:szCs w:val="20"/>
          <w:b w:val="1"/>
          <w:bCs w:val="1"/>
          <w:color w:val="auto"/>
        </w:rPr>
        <w:t>Neil H. Kessner</w:t>
      </w:r>
    </w:p>
    <w:p>
      <w:pPr>
        <w:spacing w:after="0" w:line="82" w:lineRule="exact"/>
        <w:rPr>
          <w:sz w:val="20"/>
          <w:szCs w:val="20"/>
          <w:color w:val="auto"/>
        </w:rPr>
      </w:pPr>
    </w:p>
    <w:p>
      <w:pPr>
        <w:ind w:left="5600"/>
        <w:spacing w:after="0"/>
        <w:rPr>
          <w:sz w:val="20"/>
          <w:szCs w:val="20"/>
          <w:color w:val="auto"/>
        </w:rPr>
      </w:pPr>
      <w:r>
        <w:rPr>
          <w:rFonts w:ascii="Arial" w:cs="Arial" w:eastAsia="Arial" w:hAnsi="Arial"/>
          <w:sz w:val="19"/>
          <w:szCs w:val="19"/>
          <w:color w:val="auto"/>
        </w:rPr>
        <w:t>Executive Vice President, General</w:t>
      </w:r>
    </w:p>
    <w:p>
      <w:pPr>
        <w:spacing w:after="0" w:line="27"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0"/>
          <w:szCs w:val="20"/>
          <w:b w:val="1"/>
          <w:bCs w:val="1"/>
          <w:color w:val="auto"/>
        </w:rPr>
        <w:t>Andrew Mathias</w:t>
      </w:r>
      <w:r>
        <w:rPr>
          <w:sz w:val="20"/>
          <w:szCs w:val="20"/>
          <w:color w:val="auto"/>
        </w:rPr>
        <w:tab/>
      </w:r>
      <w:r>
        <w:rPr>
          <w:rFonts w:ascii="Arial" w:cs="Arial" w:eastAsia="Arial" w:hAnsi="Arial"/>
          <w:sz w:val="18"/>
          <w:szCs w:val="18"/>
          <w:color w:val="auto"/>
        </w:rPr>
        <w:t>Counsel - Real Property</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President</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David M. Schonbraun</w:t>
      </w:r>
    </w:p>
    <w:p>
      <w:pPr>
        <w:spacing w:after="0" w:line="54"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0"/>
          <w:szCs w:val="20"/>
          <w:b w:val="1"/>
          <w:bCs w:val="1"/>
          <w:color w:val="auto"/>
        </w:rPr>
        <w:t>Matthew J. DiLiberto</w:t>
      </w:r>
      <w:r>
        <w:rPr>
          <w:sz w:val="20"/>
          <w:szCs w:val="20"/>
          <w:color w:val="auto"/>
        </w:rPr>
        <w:tab/>
      </w:r>
      <w:r>
        <w:rPr>
          <w:rFonts w:ascii="Arial" w:cs="Arial" w:eastAsia="Arial" w:hAnsi="Arial"/>
          <w:sz w:val="18"/>
          <w:szCs w:val="18"/>
          <w:color w:val="auto"/>
        </w:rPr>
        <w:t>Co-Chief Investment Officer</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Chief Financial Officer</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Isaac Zion</w:t>
      </w:r>
    </w:p>
    <w:p>
      <w:pPr>
        <w:spacing w:after="0" w:line="54"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0"/>
          <w:szCs w:val="20"/>
          <w:b w:val="1"/>
          <w:bCs w:val="1"/>
          <w:color w:val="auto"/>
        </w:rPr>
        <w:t>Andrew S. Levine</w:t>
      </w:r>
      <w:r>
        <w:rPr>
          <w:sz w:val="20"/>
          <w:szCs w:val="20"/>
          <w:color w:val="auto"/>
        </w:rPr>
        <w:tab/>
      </w:r>
      <w:r>
        <w:rPr>
          <w:rFonts w:ascii="Arial" w:cs="Arial" w:eastAsia="Arial" w:hAnsi="Arial"/>
          <w:sz w:val="18"/>
          <w:szCs w:val="18"/>
          <w:color w:val="auto"/>
        </w:rPr>
        <w:t>Co-Chief Investment Officer</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Chief Legal Officer</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20"/>
          <w:szCs w:val="20"/>
          <w:b w:val="1"/>
          <w:bCs w:val="1"/>
          <w:color w:val="auto"/>
        </w:rPr>
        <w:t>Maggie Hui</w:t>
      </w:r>
    </w:p>
    <w:p>
      <w:pPr>
        <w:spacing w:after="0" w:line="54" w:lineRule="exact"/>
        <w:rPr>
          <w:sz w:val="20"/>
          <w:szCs w:val="20"/>
          <w:color w:val="auto"/>
        </w:rPr>
      </w:pPr>
    </w:p>
    <w:p>
      <w:pPr>
        <w:ind w:left="40"/>
        <w:spacing w:after="0"/>
        <w:tabs>
          <w:tab w:leader="none" w:pos="5580" w:val="left"/>
        </w:tabs>
        <w:rPr>
          <w:sz w:val="20"/>
          <w:szCs w:val="20"/>
          <w:color w:val="auto"/>
        </w:rPr>
      </w:pPr>
      <w:r>
        <w:rPr>
          <w:rFonts w:ascii="Arial" w:cs="Arial" w:eastAsia="Arial" w:hAnsi="Arial"/>
          <w:sz w:val="20"/>
          <w:szCs w:val="20"/>
          <w:b w:val="1"/>
          <w:bCs w:val="1"/>
          <w:color w:val="auto"/>
        </w:rPr>
        <w:t>Steven M. Durels</w:t>
      </w:r>
      <w:r>
        <w:rPr>
          <w:sz w:val="20"/>
          <w:szCs w:val="20"/>
          <w:color w:val="auto"/>
        </w:rPr>
        <w:tab/>
      </w:r>
      <w:r>
        <w:rPr>
          <w:rFonts w:ascii="Arial" w:cs="Arial" w:eastAsia="Arial" w:hAnsi="Arial"/>
          <w:sz w:val="18"/>
          <w:szCs w:val="18"/>
          <w:color w:val="auto"/>
        </w:rPr>
        <w:t>Chief Accounting Officer</w:t>
      </w:r>
    </w:p>
    <w:p>
      <w:pPr>
        <w:spacing w:after="0" w:line="82" w:lineRule="exact"/>
        <w:rPr>
          <w:sz w:val="20"/>
          <w:szCs w:val="20"/>
          <w:color w:val="auto"/>
        </w:rPr>
      </w:pPr>
    </w:p>
    <w:p>
      <w:pPr>
        <w:ind w:left="560"/>
        <w:spacing w:after="0"/>
        <w:rPr>
          <w:sz w:val="20"/>
          <w:szCs w:val="20"/>
          <w:color w:val="auto"/>
        </w:rPr>
      </w:pPr>
      <w:r>
        <w:rPr>
          <w:rFonts w:ascii="Arial" w:cs="Arial" w:eastAsia="Arial" w:hAnsi="Arial"/>
          <w:sz w:val="19"/>
          <w:szCs w:val="19"/>
          <w:color w:val="auto"/>
        </w:rPr>
        <w:t>Executive Vice President, Director of</w:t>
      </w:r>
    </w:p>
    <w:p>
      <w:pPr>
        <w:spacing w:after="0" w:line="55" w:lineRule="exact"/>
        <w:rPr>
          <w:sz w:val="20"/>
          <w:szCs w:val="20"/>
          <w:color w:val="auto"/>
        </w:rPr>
      </w:pPr>
    </w:p>
    <w:p>
      <w:pPr>
        <w:ind w:left="560"/>
        <w:spacing w:after="0"/>
        <w:rPr>
          <w:sz w:val="20"/>
          <w:szCs w:val="20"/>
          <w:color w:val="auto"/>
        </w:rPr>
      </w:pPr>
      <w:r>
        <w:rPr>
          <w:rFonts w:ascii="Arial" w:cs="Arial" w:eastAsia="Arial" w:hAnsi="Arial"/>
          <w:sz w:val="19"/>
          <w:szCs w:val="19"/>
          <w:color w:val="auto"/>
        </w:rPr>
        <w:t>Leasing and Real Property</w:t>
      </w:r>
    </w:p>
    <w:p>
      <w:pPr>
        <w:spacing w:after="0" w:line="347" w:lineRule="exact"/>
        <w:rPr>
          <w:sz w:val="20"/>
          <w:szCs w:val="20"/>
          <w:color w:val="auto"/>
        </w:rPr>
      </w:pPr>
    </w:p>
    <w:p>
      <w:pPr>
        <w:ind w:left="4980"/>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9559"/>
          </w:cols>
          <w:pgMar w:left="900" w:top="338" w:right="1440" w:bottom="1440" w:gutter="0" w:footer="0" w:header="0"/>
          <w:type w:val="continuous"/>
        </w:sectPr>
      </w:pPr>
    </w:p>
    <w:bookmarkStart w:id="73" w:name="page74"/>
    <w:bookmarkEnd w:id="73"/>
    <w:p>
      <w:pPr>
        <w:ind w:left="660"/>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574675</wp:posOffset>
            </wp:positionH>
            <wp:positionV relativeFrom="page">
              <wp:posOffset>172085</wp:posOffset>
            </wp:positionV>
            <wp:extent cx="6412230"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clrChange>
                        <a:clrFrom>
                          <a:srgbClr val="FFFFFF"/>
                        </a:clrFrom>
                        <a:clrTo>
                          <a:srgbClr val="FFFFFF">
                            <a:alpha val="0"/>
                          </a:srgbClr>
                        </a:clrTo>
                      </a:clrChange>
                      <a:extLst>
                        <a:ext uri="{28A0092B-C50C-407E-A947-70E740481C1C}"/>
                      </a:extLst>
                    </a:blip>
                    <a:srcRect/>
                    <a:stretch>
                      <a:fillRect/>
                    </a:stretch>
                  </pic:blipFill>
                  <pic:spPr bwMode="auto">
                    <a:xfrm>
                      <a:off x="0" y="0"/>
                      <a:ext cx="6412230" cy="27940"/>
                    </a:xfrm>
                    <a:prstGeom prst="rect">
                      <a:avLst/>
                    </a:prstGeom>
                    <a:noFill/>
                  </pic:spPr>
                </pic:pic>
              </a:graphicData>
            </a:graphic>
          </wp:anchor>
        </w:drawing>
        <w:t>ANALYST COVERAGE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-48895</wp:posOffset>
            </wp:positionV>
            <wp:extent cx="6412230" cy="4305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412230" cy="430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80"/>
        <w:spacing w:after="0"/>
        <w:rPr>
          <w:sz w:val="20"/>
          <w:szCs w:val="20"/>
          <w:color w:val="auto"/>
        </w:rPr>
      </w:pPr>
      <w:r>
        <w:rPr>
          <w:rFonts w:ascii="Arial" w:cs="Arial" w:eastAsia="Arial" w:hAnsi="Arial"/>
          <w:sz w:val="15"/>
          <w:szCs w:val="15"/>
          <w:b w:val="1"/>
          <w:bCs w:val="1"/>
          <w:color w:val="auto"/>
        </w:rPr>
        <w:t>ANALYST COVERAGE</w:t>
      </w:r>
    </w:p>
    <w:p>
      <w:pPr>
        <w:spacing w:after="0" w:line="241" w:lineRule="exact"/>
        <w:rPr>
          <w:sz w:val="20"/>
          <w:szCs w:val="20"/>
          <w:color w:val="auto"/>
        </w:rPr>
      </w:pPr>
    </w:p>
    <w:tbl>
      <w:tblPr>
        <w:tblLayout w:type="fixed"/>
        <w:tblInd w:w="670" w:type="dxa"/>
        <w:tblCellMar>
          <w:top w:w="0" w:type="dxa"/>
          <w:left w:w="0" w:type="dxa"/>
          <w:bottom w:w="0" w:type="dxa"/>
          <w:right w:w="0" w:type="dxa"/>
        </w:tblCellMar>
      </w:tblPr>
      <w:tr>
        <w:trPr>
          <w:trHeight w:val="153"/>
        </w:trPr>
        <w:tc>
          <w:tcPr>
            <w:tcW w:w="40" w:type="dxa"/>
            <w:vAlign w:val="bottom"/>
            <w:tcBorders>
              <w:top w:val="single" w:sz="8" w:color="00497F"/>
              <w:left w:val="single" w:sz="8" w:color="00497F"/>
            </w:tcBorders>
          </w:tcPr>
          <w:p>
            <w:pPr>
              <w:spacing w:after="0"/>
              <w:rPr>
                <w:sz w:val="13"/>
                <w:szCs w:val="13"/>
                <w:color w:val="auto"/>
              </w:rPr>
            </w:pPr>
          </w:p>
        </w:tc>
        <w:tc>
          <w:tcPr>
            <w:tcW w:w="260" w:type="dxa"/>
            <w:vAlign w:val="bottom"/>
            <w:tcBorders>
              <w:top w:val="single" w:sz="8" w:color="00497F"/>
            </w:tcBorders>
          </w:tcPr>
          <w:p>
            <w:pPr>
              <w:spacing w:after="0"/>
              <w:rPr>
                <w:sz w:val="20"/>
                <w:szCs w:val="20"/>
                <w:color w:val="auto"/>
              </w:rPr>
            </w:pPr>
            <w:r>
              <w:rPr>
                <w:rFonts w:ascii="Arial" w:cs="Arial" w:eastAsia="Arial" w:hAnsi="Arial"/>
                <w:sz w:val="12"/>
                <w:szCs w:val="12"/>
                <w:b w:val="1"/>
                <w:bCs w:val="1"/>
                <w:color w:val="auto"/>
                <w:w w:val="92"/>
              </w:rPr>
              <w:t>Firm</w:t>
            </w:r>
          </w:p>
        </w:tc>
        <w:tc>
          <w:tcPr>
            <w:tcW w:w="2260" w:type="dxa"/>
            <w:vAlign w:val="bottom"/>
            <w:tcBorders>
              <w:top w:val="single" w:sz="8" w:color="00497F"/>
            </w:tcBorders>
          </w:tcPr>
          <w:p>
            <w:pPr>
              <w:spacing w:after="0"/>
              <w:rPr>
                <w:sz w:val="13"/>
                <w:szCs w:val="13"/>
                <w:color w:val="auto"/>
              </w:rPr>
            </w:pPr>
          </w:p>
        </w:tc>
        <w:tc>
          <w:tcPr>
            <w:tcW w:w="420" w:type="dxa"/>
            <w:vAlign w:val="bottom"/>
            <w:tcBorders>
              <w:top w:val="single" w:sz="8" w:color="00497F"/>
            </w:tcBorders>
          </w:tcPr>
          <w:p>
            <w:pPr>
              <w:spacing w:after="0"/>
              <w:rPr>
                <w:sz w:val="20"/>
                <w:szCs w:val="20"/>
                <w:color w:val="auto"/>
              </w:rPr>
            </w:pPr>
            <w:r>
              <w:rPr>
                <w:rFonts w:ascii="Arial" w:cs="Arial" w:eastAsia="Arial" w:hAnsi="Arial"/>
                <w:sz w:val="12"/>
                <w:szCs w:val="12"/>
                <w:b w:val="1"/>
                <w:bCs w:val="1"/>
                <w:color w:val="auto"/>
                <w:w w:val="92"/>
              </w:rPr>
              <w:t>Analyst</w:t>
            </w:r>
          </w:p>
        </w:tc>
        <w:tc>
          <w:tcPr>
            <w:tcW w:w="1400" w:type="dxa"/>
            <w:vAlign w:val="bottom"/>
            <w:tcBorders>
              <w:top w:val="single" w:sz="8" w:color="00497F"/>
            </w:tcBorders>
          </w:tcPr>
          <w:p>
            <w:pPr>
              <w:spacing w:after="0"/>
              <w:rPr>
                <w:sz w:val="13"/>
                <w:szCs w:val="13"/>
                <w:color w:val="auto"/>
              </w:rPr>
            </w:pPr>
          </w:p>
        </w:tc>
        <w:tc>
          <w:tcPr>
            <w:tcW w:w="3220" w:type="dxa"/>
            <w:vAlign w:val="bottom"/>
            <w:tcBorders>
              <w:top w:val="single" w:sz="8" w:color="00497F"/>
            </w:tcBorders>
            <w:gridSpan w:val="3"/>
          </w:tcPr>
          <w:p>
            <w:pPr>
              <w:ind w:left="700"/>
              <w:spacing w:after="0"/>
              <w:rPr>
                <w:sz w:val="20"/>
                <w:szCs w:val="20"/>
                <w:color w:val="auto"/>
              </w:rPr>
            </w:pPr>
            <w:r>
              <w:rPr>
                <w:rFonts w:ascii="Arial" w:cs="Arial" w:eastAsia="Arial" w:hAnsi="Arial"/>
                <w:sz w:val="12"/>
                <w:szCs w:val="12"/>
                <w:b w:val="1"/>
                <w:bCs w:val="1"/>
                <w:color w:val="auto"/>
              </w:rPr>
              <w:t>Phone</w:t>
            </w:r>
          </w:p>
        </w:tc>
        <w:tc>
          <w:tcPr>
            <w:tcW w:w="2520" w:type="dxa"/>
            <w:vAlign w:val="bottom"/>
            <w:tcBorders>
              <w:top w:val="single" w:sz="8" w:color="00497F"/>
              <w:right w:val="single" w:sz="8" w:color="00497F"/>
            </w:tcBorders>
            <w:gridSpan w:val="2"/>
          </w:tcPr>
          <w:p>
            <w:pPr>
              <w:spacing w:after="0"/>
              <w:rPr>
                <w:sz w:val="20"/>
                <w:szCs w:val="20"/>
                <w:color w:val="auto"/>
              </w:rPr>
            </w:pPr>
            <w:r>
              <w:rPr>
                <w:rFonts w:ascii="Arial" w:cs="Arial" w:eastAsia="Arial" w:hAnsi="Arial"/>
                <w:sz w:val="12"/>
                <w:szCs w:val="12"/>
                <w:b w:val="1"/>
                <w:bCs w:val="1"/>
                <w:color w:val="auto"/>
              </w:rPr>
              <w:t>Email</w:t>
            </w:r>
          </w:p>
        </w:tc>
      </w:tr>
      <w:tr>
        <w:trPr>
          <w:trHeight w:val="20"/>
        </w:trPr>
        <w:tc>
          <w:tcPr>
            <w:tcW w:w="40" w:type="dxa"/>
            <w:vAlign w:val="bottom"/>
            <w:tcBorders>
              <w:left w:val="single" w:sz="8" w:color="00497F"/>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0" w:type="dxa"/>
            <w:vAlign w:val="bottom"/>
            <w:tcBorders>
              <w:right w:val="single" w:sz="8" w:color="00497F"/>
            </w:tcBorders>
          </w:tcPr>
          <w:p>
            <w:pPr>
              <w:spacing w:after="0" w:line="20" w:lineRule="exact"/>
              <w:rPr>
                <w:sz w:val="1"/>
                <w:szCs w:val="1"/>
                <w:color w:val="auto"/>
              </w:rPr>
            </w:pPr>
          </w:p>
        </w:tc>
      </w:tr>
      <w:tr>
        <w:trPr>
          <w:trHeight w:val="178"/>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Bank of America - Merrill Lynch</w:t>
            </w:r>
          </w:p>
        </w:tc>
        <w:tc>
          <w:tcPr>
            <w:tcW w:w="1820" w:type="dxa"/>
            <w:vAlign w:val="bottom"/>
            <w:gridSpan w:val="2"/>
          </w:tcPr>
          <w:p>
            <w:pPr>
              <w:spacing w:after="0"/>
              <w:rPr>
                <w:sz w:val="20"/>
                <w:szCs w:val="20"/>
                <w:color w:val="auto"/>
              </w:rPr>
            </w:pPr>
            <w:r>
              <w:rPr>
                <w:rFonts w:ascii="Arial" w:cs="Arial" w:eastAsia="Arial" w:hAnsi="Arial"/>
                <w:sz w:val="12"/>
                <w:szCs w:val="12"/>
                <w:color w:val="auto"/>
              </w:rPr>
              <w:t>James C. Feldman</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(646) 855-5808</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james.feldman@baml.com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Barclays Capital</w:t>
            </w:r>
          </w:p>
        </w:tc>
        <w:tc>
          <w:tcPr>
            <w:tcW w:w="1820" w:type="dxa"/>
            <w:vAlign w:val="bottom"/>
            <w:gridSpan w:val="2"/>
          </w:tcPr>
          <w:p>
            <w:pPr>
              <w:spacing w:after="0"/>
              <w:rPr>
                <w:sz w:val="20"/>
                <w:szCs w:val="20"/>
                <w:color w:val="auto"/>
              </w:rPr>
            </w:pPr>
            <w:r>
              <w:rPr>
                <w:rFonts w:ascii="Arial" w:cs="Arial" w:eastAsia="Arial" w:hAnsi="Arial"/>
                <w:sz w:val="12"/>
                <w:szCs w:val="12"/>
                <w:color w:val="auto"/>
              </w:rPr>
              <w:t>Ross Smotrich</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526-2306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ross.smotrich@barcap.com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BMO Capital Markets Corp.</w:t>
            </w:r>
          </w:p>
        </w:tc>
        <w:tc>
          <w:tcPr>
            <w:tcW w:w="1820" w:type="dxa"/>
            <w:vAlign w:val="bottom"/>
            <w:gridSpan w:val="2"/>
          </w:tcPr>
          <w:p>
            <w:pPr>
              <w:spacing w:after="0"/>
              <w:rPr>
                <w:sz w:val="20"/>
                <w:szCs w:val="20"/>
                <w:color w:val="auto"/>
              </w:rPr>
            </w:pPr>
            <w:r>
              <w:rPr>
                <w:rFonts w:ascii="Arial" w:cs="Arial" w:eastAsia="Arial" w:hAnsi="Arial"/>
                <w:sz w:val="12"/>
                <w:szCs w:val="12"/>
                <w:color w:val="auto"/>
              </w:rPr>
              <w:t>John P. Kim</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885-4115</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jp.kim@bmo.com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BTIG</w:t>
            </w:r>
          </w:p>
        </w:tc>
        <w:tc>
          <w:tcPr>
            <w:tcW w:w="1820" w:type="dxa"/>
            <w:vAlign w:val="bottom"/>
            <w:gridSpan w:val="2"/>
          </w:tcPr>
          <w:p>
            <w:pPr>
              <w:spacing w:after="0"/>
              <w:rPr>
                <w:sz w:val="20"/>
                <w:szCs w:val="20"/>
                <w:color w:val="auto"/>
              </w:rPr>
            </w:pPr>
            <w:r>
              <w:rPr>
                <w:rFonts w:ascii="Arial" w:cs="Arial" w:eastAsia="Arial" w:hAnsi="Arial"/>
                <w:sz w:val="12"/>
                <w:szCs w:val="12"/>
                <w:color w:val="auto"/>
              </w:rPr>
              <w:t>James Sullivan</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212-738-6139</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jsullivan@btig.com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Citigroup</w:t>
            </w:r>
          </w:p>
        </w:tc>
        <w:tc>
          <w:tcPr>
            <w:tcW w:w="1820" w:type="dxa"/>
            <w:vAlign w:val="bottom"/>
            <w:gridSpan w:val="2"/>
          </w:tcPr>
          <w:p>
            <w:pPr>
              <w:spacing w:after="0"/>
              <w:rPr>
                <w:sz w:val="20"/>
                <w:szCs w:val="20"/>
                <w:color w:val="auto"/>
              </w:rPr>
            </w:pPr>
            <w:r>
              <w:rPr>
                <w:rFonts w:ascii="Arial" w:cs="Arial" w:eastAsia="Arial" w:hAnsi="Arial"/>
                <w:sz w:val="12"/>
                <w:szCs w:val="12"/>
                <w:color w:val="auto"/>
              </w:rPr>
              <w:t>Michael Bilerman</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816-1383</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michael.bilerman@citigroup.com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Credit Suisse</w:t>
            </w:r>
          </w:p>
        </w:tc>
        <w:tc>
          <w:tcPr>
            <w:tcW w:w="1820" w:type="dxa"/>
            <w:vAlign w:val="bottom"/>
            <w:gridSpan w:val="2"/>
          </w:tcPr>
          <w:p>
            <w:pPr>
              <w:spacing w:after="0"/>
              <w:rPr>
                <w:sz w:val="20"/>
                <w:szCs w:val="20"/>
                <w:color w:val="auto"/>
              </w:rPr>
            </w:pPr>
            <w:r>
              <w:rPr>
                <w:rFonts w:ascii="Arial" w:cs="Arial" w:eastAsia="Arial" w:hAnsi="Arial"/>
                <w:sz w:val="12"/>
                <w:szCs w:val="12"/>
                <w:color w:val="auto"/>
              </w:rPr>
              <w:t>Derek J. van Dijkum</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212-325-9752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derek.vandijkum@credit-suisse.com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Deutsche Bank</w:t>
            </w:r>
          </w:p>
        </w:tc>
        <w:tc>
          <w:tcPr>
            <w:tcW w:w="1820" w:type="dxa"/>
            <w:vAlign w:val="bottom"/>
            <w:gridSpan w:val="2"/>
          </w:tcPr>
          <w:p>
            <w:pPr>
              <w:spacing w:after="0"/>
              <w:rPr>
                <w:sz w:val="20"/>
                <w:szCs w:val="20"/>
                <w:color w:val="auto"/>
              </w:rPr>
            </w:pPr>
            <w:r>
              <w:rPr>
                <w:rFonts w:ascii="Arial" w:cs="Arial" w:eastAsia="Arial" w:hAnsi="Arial"/>
                <w:sz w:val="12"/>
                <w:szCs w:val="12"/>
                <w:color w:val="auto"/>
              </w:rPr>
              <w:t>Vin Chao</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250-6799</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vincent.chao@db.com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Goldman Sachs &amp; Co.</w:t>
            </w:r>
          </w:p>
        </w:tc>
        <w:tc>
          <w:tcPr>
            <w:tcW w:w="1820" w:type="dxa"/>
            <w:vAlign w:val="bottom"/>
            <w:gridSpan w:val="2"/>
          </w:tcPr>
          <w:p>
            <w:pPr>
              <w:spacing w:after="0"/>
              <w:rPr>
                <w:sz w:val="20"/>
                <w:szCs w:val="20"/>
                <w:color w:val="auto"/>
              </w:rPr>
            </w:pPr>
            <w:r>
              <w:rPr>
                <w:rFonts w:ascii="Arial" w:cs="Arial" w:eastAsia="Arial" w:hAnsi="Arial"/>
                <w:sz w:val="12"/>
                <w:szCs w:val="12"/>
                <w:color w:val="auto"/>
              </w:rPr>
              <w:t>Brad Burke</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(917) 343-2082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brad.burke@gs.com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Green Street Advisors</w:t>
            </w:r>
          </w:p>
        </w:tc>
        <w:tc>
          <w:tcPr>
            <w:tcW w:w="1820" w:type="dxa"/>
            <w:vAlign w:val="bottom"/>
            <w:gridSpan w:val="2"/>
          </w:tcPr>
          <w:p>
            <w:pPr>
              <w:spacing w:after="0"/>
              <w:rPr>
                <w:sz w:val="20"/>
                <w:szCs w:val="20"/>
                <w:color w:val="auto"/>
              </w:rPr>
            </w:pPr>
            <w:r>
              <w:rPr>
                <w:rFonts w:ascii="Arial" w:cs="Arial" w:eastAsia="Arial" w:hAnsi="Arial"/>
                <w:sz w:val="12"/>
                <w:szCs w:val="12"/>
                <w:color w:val="auto"/>
              </w:rPr>
              <w:t>Jed Reagan</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(949) 640-8780</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jreagan@greenstreetadvisors.com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Evercore ISI</w:t>
            </w:r>
          </w:p>
        </w:tc>
        <w:tc>
          <w:tcPr>
            <w:tcW w:w="1820" w:type="dxa"/>
            <w:vAlign w:val="bottom"/>
            <w:gridSpan w:val="2"/>
          </w:tcPr>
          <w:p>
            <w:pPr>
              <w:spacing w:after="0"/>
              <w:rPr>
                <w:sz w:val="20"/>
                <w:szCs w:val="20"/>
                <w:color w:val="auto"/>
              </w:rPr>
            </w:pPr>
            <w:r>
              <w:rPr>
                <w:rFonts w:ascii="Arial" w:cs="Arial" w:eastAsia="Arial" w:hAnsi="Arial"/>
                <w:sz w:val="12"/>
                <w:szCs w:val="12"/>
                <w:color w:val="auto"/>
              </w:rPr>
              <w:t>Steve Sakwa</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446-9462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ssakwa@isigrp.com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Jefferies &amp; Company</w:t>
            </w:r>
          </w:p>
        </w:tc>
        <w:tc>
          <w:tcPr>
            <w:tcW w:w="1820" w:type="dxa"/>
            <w:vAlign w:val="bottom"/>
            <w:gridSpan w:val="2"/>
          </w:tcPr>
          <w:p>
            <w:pPr>
              <w:spacing w:after="0"/>
              <w:rPr>
                <w:sz w:val="20"/>
                <w:szCs w:val="20"/>
                <w:color w:val="auto"/>
              </w:rPr>
            </w:pPr>
            <w:r>
              <w:rPr>
                <w:rFonts w:ascii="Arial" w:cs="Arial" w:eastAsia="Arial" w:hAnsi="Arial"/>
                <w:sz w:val="12"/>
                <w:szCs w:val="12"/>
                <w:color w:val="auto"/>
              </w:rPr>
              <w:t>Tayo Okusanya</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336-7076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tokusanya@jefferies.com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JMP Securities</w:t>
            </w:r>
          </w:p>
        </w:tc>
        <w:tc>
          <w:tcPr>
            <w:tcW w:w="1820" w:type="dxa"/>
            <w:vAlign w:val="bottom"/>
            <w:gridSpan w:val="2"/>
          </w:tcPr>
          <w:p>
            <w:pPr>
              <w:spacing w:after="0"/>
              <w:rPr>
                <w:sz w:val="20"/>
                <w:szCs w:val="20"/>
                <w:color w:val="auto"/>
              </w:rPr>
            </w:pPr>
            <w:r>
              <w:rPr>
                <w:rFonts w:ascii="Arial" w:cs="Arial" w:eastAsia="Arial" w:hAnsi="Arial"/>
                <w:sz w:val="12"/>
                <w:szCs w:val="12"/>
                <w:color w:val="auto"/>
              </w:rPr>
              <w:t>Mitchell Germain</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906-3546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mgermain@jmpsecurities.com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JP Morgan Securities, Inc.</w:t>
            </w:r>
          </w:p>
        </w:tc>
        <w:tc>
          <w:tcPr>
            <w:tcW w:w="1820" w:type="dxa"/>
            <w:vAlign w:val="bottom"/>
            <w:gridSpan w:val="2"/>
          </w:tcPr>
          <w:p>
            <w:pPr>
              <w:spacing w:after="0"/>
              <w:rPr>
                <w:sz w:val="20"/>
                <w:szCs w:val="20"/>
                <w:color w:val="auto"/>
              </w:rPr>
            </w:pPr>
            <w:r>
              <w:rPr>
                <w:rFonts w:ascii="Arial" w:cs="Arial" w:eastAsia="Arial" w:hAnsi="Arial"/>
                <w:sz w:val="12"/>
                <w:szCs w:val="12"/>
                <w:color w:val="auto"/>
              </w:rPr>
              <w:t>Anthony Paolone</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622-6682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anthony.paolone@jpmorgan.com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KeyBanc Capital Markets</w:t>
            </w:r>
          </w:p>
        </w:tc>
        <w:tc>
          <w:tcPr>
            <w:tcW w:w="1820" w:type="dxa"/>
            <w:vAlign w:val="bottom"/>
            <w:gridSpan w:val="2"/>
          </w:tcPr>
          <w:p>
            <w:pPr>
              <w:spacing w:after="0"/>
              <w:rPr>
                <w:sz w:val="20"/>
                <w:szCs w:val="20"/>
                <w:color w:val="auto"/>
              </w:rPr>
            </w:pPr>
            <w:r>
              <w:rPr>
                <w:rFonts w:ascii="Arial" w:cs="Arial" w:eastAsia="Arial" w:hAnsi="Arial"/>
                <w:sz w:val="12"/>
                <w:szCs w:val="12"/>
                <w:color w:val="auto"/>
              </w:rPr>
              <w:t>Craig Mailman</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(917) 368-2316</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cmailman@key.com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Morgan Stanley</w:t>
            </w:r>
          </w:p>
        </w:tc>
        <w:tc>
          <w:tcPr>
            <w:tcW w:w="1820" w:type="dxa"/>
            <w:vAlign w:val="bottom"/>
            <w:gridSpan w:val="2"/>
          </w:tcPr>
          <w:p>
            <w:pPr>
              <w:spacing w:after="0"/>
              <w:rPr>
                <w:sz w:val="20"/>
                <w:szCs w:val="20"/>
                <w:color w:val="auto"/>
              </w:rPr>
            </w:pPr>
            <w:r>
              <w:rPr>
                <w:rFonts w:ascii="Arial" w:cs="Arial" w:eastAsia="Arial" w:hAnsi="Arial"/>
                <w:sz w:val="12"/>
                <w:szCs w:val="12"/>
                <w:color w:val="auto"/>
              </w:rPr>
              <w:t>Vikram Malhotra</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761-7064</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vikram.malhotra@morganstanley.com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RW Baird</w:t>
            </w:r>
          </w:p>
        </w:tc>
        <w:tc>
          <w:tcPr>
            <w:tcW w:w="1820" w:type="dxa"/>
            <w:vAlign w:val="bottom"/>
            <w:gridSpan w:val="2"/>
          </w:tcPr>
          <w:p>
            <w:pPr>
              <w:spacing w:after="0"/>
              <w:rPr>
                <w:sz w:val="20"/>
                <w:szCs w:val="20"/>
                <w:color w:val="auto"/>
              </w:rPr>
            </w:pPr>
            <w:r>
              <w:rPr>
                <w:rFonts w:ascii="Arial" w:cs="Arial" w:eastAsia="Arial" w:hAnsi="Arial"/>
                <w:sz w:val="12"/>
                <w:szCs w:val="12"/>
                <w:color w:val="auto"/>
              </w:rPr>
              <w:t>David Rodgers</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(216) 737-7341</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drodgers@rwbaird.com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Sandler O'Neill + Partners, L.P.</w:t>
            </w:r>
          </w:p>
        </w:tc>
        <w:tc>
          <w:tcPr>
            <w:tcW w:w="1820" w:type="dxa"/>
            <w:vAlign w:val="bottom"/>
            <w:gridSpan w:val="2"/>
          </w:tcPr>
          <w:p>
            <w:pPr>
              <w:spacing w:after="0"/>
              <w:rPr>
                <w:sz w:val="20"/>
                <w:szCs w:val="20"/>
                <w:color w:val="auto"/>
              </w:rPr>
            </w:pPr>
            <w:r>
              <w:rPr>
                <w:rFonts w:ascii="Arial" w:cs="Arial" w:eastAsia="Arial" w:hAnsi="Arial"/>
                <w:sz w:val="12"/>
                <w:szCs w:val="12"/>
                <w:color w:val="auto"/>
              </w:rPr>
              <w:t>Alexander D. Goldfarb</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466-7937</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agoldfarb@sandleroneill.com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Stifel Nicolaus</w:t>
            </w:r>
          </w:p>
        </w:tc>
        <w:tc>
          <w:tcPr>
            <w:tcW w:w="1820" w:type="dxa"/>
            <w:vAlign w:val="bottom"/>
            <w:gridSpan w:val="2"/>
          </w:tcPr>
          <w:p>
            <w:pPr>
              <w:spacing w:after="0"/>
              <w:rPr>
                <w:sz w:val="20"/>
                <w:szCs w:val="20"/>
                <w:color w:val="auto"/>
              </w:rPr>
            </w:pPr>
            <w:r>
              <w:rPr>
                <w:rFonts w:ascii="Arial" w:cs="Arial" w:eastAsia="Arial" w:hAnsi="Arial"/>
                <w:sz w:val="12"/>
                <w:szCs w:val="12"/>
                <w:color w:val="auto"/>
              </w:rPr>
              <w:t>John Guinee</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(443) 224-1307</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jwguinee@stifel.com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SunTrust Robinson Humphrey</w:t>
            </w:r>
          </w:p>
        </w:tc>
        <w:tc>
          <w:tcPr>
            <w:tcW w:w="1820" w:type="dxa"/>
            <w:vAlign w:val="bottom"/>
            <w:gridSpan w:val="2"/>
          </w:tcPr>
          <w:p>
            <w:pPr>
              <w:spacing w:after="0"/>
              <w:rPr>
                <w:sz w:val="20"/>
                <w:szCs w:val="20"/>
                <w:color w:val="auto"/>
              </w:rPr>
            </w:pPr>
            <w:r>
              <w:rPr>
                <w:rFonts w:ascii="Arial" w:cs="Arial" w:eastAsia="Arial" w:hAnsi="Arial"/>
                <w:sz w:val="12"/>
                <w:szCs w:val="12"/>
                <w:color w:val="auto"/>
              </w:rPr>
              <w:t>Michael Lewis</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(404) 926-5000</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michael.lewis@suntrust.com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UBS Securities LLC</w:t>
            </w:r>
          </w:p>
        </w:tc>
        <w:tc>
          <w:tcPr>
            <w:tcW w:w="1820" w:type="dxa"/>
            <w:vAlign w:val="bottom"/>
            <w:gridSpan w:val="2"/>
          </w:tcPr>
          <w:p>
            <w:pPr>
              <w:spacing w:after="0"/>
              <w:rPr>
                <w:sz w:val="20"/>
                <w:szCs w:val="20"/>
                <w:color w:val="auto"/>
              </w:rPr>
            </w:pPr>
            <w:r>
              <w:rPr>
                <w:rFonts w:ascii="Arial" w:cs="Arial" w:eastAsia="Arial" w:hAnsi="Arial"/>
                <w:sz w:val="12"/>
                <w:szCs w:val="12"/>
                <w:color w:val="auto"/>
              </w:rPr>
              <w:t>Nicholas Yulico</w:t>
            </w:r>
          </w:p>
        </w:tc>
        <w:tc>
          <w:tcPr>
            <w:tcW w:w="3220" w:type="dxa"/>
            <w:vAlign w:val="bottom"/>
            <w:gridSpan w:val="3"/>
          </w:tcPr>
          <w:p>
            <w:pPr>
              <w:ind w:left="700"/>
              <w:spacing w:after="0"/>
              <w:rPr>
                <w:sz w:val="20"/>
                <w:szCs w:val="20"/>
                <w:color w:val="auto"/>
              </w:rPr>
            </w:pPr>
            <w:r>
              <w:rPr>
                <w:rFonts w:ascii="Arial" w:cs="Arial" w:eastAsia="Arial" w:hAnsi="Arial"/>
                <w:sz w:val="12"/>
                <w:szCs w:val="12"/>
                <w:color w:val="auto"/>
              </w:rPr>
              <w:t>(212) 713-3402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nick.yulico@ubs.com</w:t>
            </w:r>
          </w:p>
        </w:tc>
      </w:tr>
      <w:tr>
        <w:trPr>
          <w:trHeight w:val="180"/>
        </w:trPr>
        <w:tc>
          <w:tcPr>
            <w:tcW w:w="40" w:type="dxa"/>
            <w:vAlign w:val="bottom"/>
            <w:tcBorders>
              <w:left w:val="single" w:sz="8" w:color="00497F"/>
              <w:bottom w:val="single" w:sz="8" w:color="00497F"/>
            </w:tcBorders>
          </w:tcPr>
          <w:p>
            <w:pPr>
              <w:spacing w:after="0"/>
              <w:rPr>
                <w:sz w:val="15"/>
                <w:szCs w:val="15"/>
                <w:color w:val="auto"/>
              </w:rPr>
            </w:pPr>
          </w:p>
        </w:tc>
        <w:tc>
          <w:tcPr>
            <w:tcW w:w="252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Wells Fargo Securities, LLC</w:t>
            </w:r>
          </w:p>
        </w:tc>
        <w:tc>
          <w:tcPr>
            <w:tcW w:w="182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Blaine Heck</w:t>
            </w:r>
          </w:p>
        </w:tc>
        <w:tc>
          <w:tcPr>
            <w:tcW w:w="3220" w:type="dxa"/>
            <w:vAlign w:val="bottom"/>
            <w:tcBorders>
              <w:bottom w:val="single" w:sz="8" w:color="00497F"/>
            </w:tcBorders>
            <w:gridSpan w:val="3"/>
          </w:tcPr>
          <w:p>
            <w:pPr>
              <w:ind w:left="700"/>
              <w:spacing w:after="0"/>
              <w:rPr>
                <w:sz w:val="20"/>
                <w:szCs w:val="20"/>
                <w:color w:val="auto"/>
              </w:rPr>
            </w:pPr>
            <w:r>
              <w:rPr>
                <w:rFonts w:ascii="Arial" w:cs="Arial" w:eastAsia="Arial" w:hAnsi="Arial"/>
                <w:sz w:val="12"/>
                <w:szCs w:val="12"/>
                <w:color w:val="auto"/>
              </w:rPr>
              <w:t>(443) 263-6529</w:t>
            </w:r>
          </w:p>
        </w:tc>
        <w:tc>
          <w:tcPr>
            <w:tcW w:w="2520" w:type="dxa"/>
            <w:vAlign w:val="bottom"/>
            <w:tcBorders>
              <w:bottom w:val="single" w:sz="8" w:color="00497F"/>
              <w:right w:val="single" w:sz="8" w:color="00497F"/>
            </w:tcBorders>
            <w:gridSpan w:val="2"/>
          </w:tcPr>
          <w:p>
            <w:pPr>
              <w:spacing w:after="0"/>
              <w:rPr>
                <w:sz w:val="20"/>
                <w:szCs w:val="20"/>
                <w:color w:val="auto"/>
              </w:rPr>
            </w:pPr>
            <w:r>
              <w:rPr>
                <w:rFonts w:ascii="Arial" w:cs="Arial" w:eastAsia="Arial" w:hAnsi="Arial"/>
                <w:sz w:val="12"/>
                <w:szCs w:val="12"/>
                <w:color w:val="auto"/>
              </w:rPr>
              <w:t>blaine.heck@wellsfargo.com</w:t>
            </w:r>
          </w:p>
        </w:tc>
      </w:tr>
      <w:tr>
        <w:trPr>
          <w:trHeight w:val="311"/>
        </w:trPr>
        <w:tc>
          <w:tcPr>
            <w:tcW w:w="2560" w:type="dxa"/>
            <w:vAlign w:val="bottom"/>
            <w:gridSpan w:val="3"/>
          </w:tcPr>
          <w:p>
            <w:pPr>
              <w:ind w:left="20"/>
              <w:spacing w:after="0"/>
              <w:rPr>
                <w:sz w:val="20"/>
                <w:szCs w:val="20"/>
                <w:color w:val="auto"/>
              </w:rPr>
            </w:pPr>
            <w:r>
              <w:rPr>
                <w:rFonts w:ascii="Arial" w:cs="Arial" w:eastAsia="Arial" w:hAnsi="Arial"/>
                <w:sz w:val="15"/>
                <w:szCs w:val="15"/>
                <w:b w:val="1"/>
                <w:bCs w:val="1"/>
                <w:color w:val="auto"/>
              </w:rPr>
              <w:t>FIXED INCOME COVERAGE</w:t>
            </w:r>
          </w:p>
        </w:tc>
        <w:tc>
          <w:tcPr>
            <w:tcW w:w="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22" w:lineRule="exact"/>
        <w:rPr>
          <w:sz w:val="20"/>
          <w:szCs w:val="20"/>
          <w:color w:val="auto"/>
        </w:rPr>
      </w:pPr>
    </w:p>
    <w:tbl>
      <w:tblPr>
        <w:tblLayout w:type="fixed"/>
        <w:tblInd w:w="670" w:type="dxa"/>
        <w:tblCellMar>
          <w:top w:w="0" w:type="dxa"/>
          <w:left w:w="0" w:type="dxa"/>
          <w:bottom w:w="0" w:type="dxa"/>
          <w:right w:w="0" w:type="dxa"/>
        </w:tblCellMar>
      </w:tblPr>
      <w:tr>
        <w:trPr>
          <w:trHeight w:val="153"/>
        </w:trPr>
        <w:tc>
          <w:tcPr>
            <w:tcW w:w="40" w:type="dxa"/>
            <w:vAlign w:val="bottom"/>
            <w:tcBorders>
              <w:top w:val="single" w:sz="8" w:color="00497F"/>
              <w:left w:val="single" w:sz="8" w:color="00497F"/>
            </w:tcBorders>
          </w:tcPr>
          <w:p>
            <w:pPr>
              <w:spacing w:after="0"/>
              <w:rPr>
                <w:sz w:val="13"/>
                <w:szCs w:val="13"/>
                <w:color w:val="auto"/>
              </w:rPr>
            </w:pPr>
          </w:p>
        </w:tc>
        <w:tc>
          <w:tcPr>
            <w:tcW w:w="260" w:type="dxa"/>
            <w:vAlign w:val="bottom"/>
            <w:tcBorders>
              <w:top w:val="single" w:sz="8" w:color="00497F"/>
            </w:tcBorders>
          </w:tcPr>
          <w:p>
            <w:pPr>
              <w:spacing w:after="0"/>
              <w:rPr>
                <w:sz w:val="20"/>
                <w:szCs w:val="20"/>
                <w:color w:val="auto"/>
              </w:rPr>
            </w:pPr>
            <w:r>
              <w:rPr>
                <w:rFonts w:ascii="Arial" w:cs="Arial" w:eastAsia="Arial" w:hAnsi="Arial"/>
                <w:sz w:val="12"/>
                <w:szCs w:val="12"/>
                <w:b w:val="1"/>
                <w:bCs w:val="1"/>
                <w:color w:val="auto"/>
                <w:w w:val="92"/>
              </w:rPr>
              <w:t>Firm</w:t>
            </w:r>
          </w:p>
        </w:tc>
        <w:tc>
          <w:tcPr>
            <w:tcW w:w="2260" w:type="dxa"/>
            <w:vAlign w:val="bottom"/>
            <w:tcBorders>
              <w:top w:val="single" w:sz="8" w:color="00497F"/>
            </w:tcBorders>
          </w:tcPr>
          <w:p>
            <w:pPr>
              <w:spacing w:after="0"/>
              <w:rPr>
                <w:sz w:val="13"/>
                <w:szCs w:val="13"/>
                <w:color w:val="auto"/>
              </w:rPr>
            </w:pPr>
          </w:p>
        </w:tc>
        <w:tc>
          <w:tcPr>
            <w:tcW w:w="420" w:type="dxa"/>
            <w:vAlign w:val="bottom"/>
            <w:tcBorders>
              <w:top w:val="single" w:sz="8" w:color="00497F"/>
            </w:tcBorders>
          </w:tcPr>
          <w:p>
            <w:pPr>
              <w:spacing w:after="0"/>
              <w:rPr>
                <w:sz w:val="20"/>
                <w:szCs w:val="20"/>
                <w:color w:val="auto"/>
              </w:rPr>
            </w:pPr>
            <w:r>
              <w:rPr>
                <w:rFonts w:ascii="Arial" w:cs="Arial" w:eastAsia="Arial" w:hAnsi="Arial"/>
                <w:sz w:val="12"/>
                <w:szCs w:val="12"/>
                <w:b w:val="1"/>
                <w:bCs w:val="1"/>
                <w:color w:val="auto"/>
                <w:w w:val="92"/>
              </w:rPr>
              <w:t>Analyst</w:t>
            </w:r>
          </w:p>
        </w:tc>
        <w:tc>
          <w:tcPr>
            <w:tcW w:w="1280" w:type="dxa"/>
            <w:vAlign w:val="bottom"/>
            <w:tcBorders>
              <w:top w:val="single" w:sz="8" w:color="00497F"/>
            </w:tcBorders>
          </w:tcPr>
          <w:p>
            <w:pPr>
              <w:spacing w:after="0"/>
              <w:rPr>
                <w:sz w:val="13"/>
                <w:szCs w:val="13"/>
                <w:color w:val="auto"/>
              </w:rPr>
            </w:pPr>
          </w:p>
        </w:tc>
        <w:tc>
          <w:tcPr>
            <w:tcW w:w="3340" w:type="dxa"/>
            <w:vAlign w:val="bottom"/>
            <w:tcBorders>
              <w:top w:val="single" w:sz="8" w:color="00497F"/>
            </w:tcBorders>
            <w:gridSpan w:val="3"/>
          </w:tcPr>
          <w:p>
            <w:pPr>
              <w:ind w:left="820"/>
              <w:spacing w:after="0"/>
              <w:rPr>
                <w:sz w:val="20"/>
                <w:szCs w:val="20"/>
                <w:color w:val="auto"/>
              </w:rPr>
            </w:pPr>
            <w:r>
              <w:rPr>
                <w:rFonts w:ascii="Arial" w:cs="Arial" w:eastAsia="Arial" w:hAnsi="Arial"/>
                <w:sz w:val="12"/>
                <w:szCs w:val="12"/>
                <w:b w:val="1"/>
                <w:bCs w:val="1"/>
                <w:color w:val="auto"/>
              </w:rPr>
              <w:t>Phone</w:t>
            </w:r>
          </w:p>
        </w:tc>
        <w:tc>
          <w:tcPr>
            <w:tcW w:w="2520" w:type="dxa"/>
            <w:vAlign w:val="bottom"/>
            <w:tcBorders>
              <w:top w:val="single" w:sz="8" w:color="00497F"/>
              <w:right w:val="single" w:sz="8" w:color="00497F"/>
            </w:tcBorders>
            <w:gridSpan w:val="2"/>
          </w:tcPr>
          <w:p>
            <w:pPr>
              <w:spacing w:after="0"/>
              <w:rPr>
                <w:sz w:val="20"/>
                <w:szCs w:val="20"/>
                <w:color w:val="auto"/>
              </w:rPr>
            </w:pPr>
            <w:r>
              <w:rPr>
                <w:rFonts w:ascii="Arial" w:cs="Arial" w:eastAsia="Arial" w:hAnsi="Arial"/>
                <w:sz w:val="12"/>
                <w:szCs w:val="12"/>
                <w:b w:val="1"/>
                <w:bCs w:val="1"/>
                <w:color w:val="auto"/>
              </w:rPr>
              <w:t>Email</w:t>
            </w:r>
          </w:p>
        </w:tc>
      </w:tr>
      <w:tr>
        <w:trPr>
          <w:trHeight w:val="20"/>
        </w:trPr>
        <w:tc>
          <w:tcPr>
            <w:tcW w:w="40" w:type="dxa"/>
            <w:vAlign w:val="bottom"/>
            <w:tcBorders>
              <w:left w:val="single" w:sz="8" w:color="00497F"/>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0" w:type="dxa"/>
            <w:vAlign w:val="bottom"/>
            <w:tcBorders>
              <w:right w:val="single" w:sz="8" w:color="00497F"/>
            </w:tcBorders>
          </w:tcPr>
          <w:p>
            <w:pPr>
              <w:spacing w:after="0" w:line="20" w:lineRule="exact"/>
              <w:rPr>
                <w:sz w:val="1"/>
                <w:szCs w:val="1"/>
                <w:color w:val="auto"/>
              </w:rPr>
            </w:pPr>
          </w:p>
        </w:tc>
      </w:tr>
      <w:tr>
        <w:trPr>
          <w:trHeight w:val="178"/>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Citigroup</w:t>
            </w:r>
          </w:p>
        </w:tc>
        <w:tc>
          <w:tcPr>
            <w:tcW w:w="1700" w:type="dxa"/>
            <w:vAlign w:val="bottom"/>
            <w:gridSpan w:val="2"/>
          </w:tcPr>
          <w:p>
            <w:pPr>
              <w:spacing w:after="0"/>
              <w:rPr>
                <w:sz w:val="20"/>
                <w:szCs w:val="20"/>
                <w:color w:val="auto"/>
              </w:rPr>
            </w:pPr>
            <w:r>
              <w:rPr>
                <w:rFonts w:ascii="Arial" w:cs="Arial" w:eastAsia="Arial" w:hAnsi="Arial"/>
                <w:sz w:val="12"/>
                <w:szCs w:val="12"/>
                <w:color w:val="auto"/>
              </w:rPr>
              <w:t>Thomas Cook</w:t>
            </w:r>
          </w:p>
        </w:tc>
        <w:tc>
          <w:tcPr>
            <w:tcW w:w="3340" w:type="dxa"/>
            <w:vAlign w:val="bottom"/>
            <w:gridSpan w:val="3"/>
          </w:tcPr>
          <w:p>
            <w:pPr>
              <w:ind w:left="820"/>
              <w:spacing w:after="0"/>
              <w:rPr>
                <w:sz w:val="20"/>
                <w:szCs w:val="20"/>
                <w:color w:val="auto"/>
              </w:rPr>
            </w:pPr>
            <w:r>
              <w:rPr>
                <w:rFonts w:ascii="Arial" w:cs="Arial" w:eastAsia="Arial" w:hAnsi="Arial"/>
                <w:sz w:val="12"/>
                <w:szCs w:val="12"/>
                <w:color w:val="auto"/>
              </w:rPr>
              <w:t>(212) 723-1112</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thomas.n.cook@citi.com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Goldman Sachs &amp; Co.</w:t>
            </w:r>
          </w:p>
        </w:tc>
        <w:tc>
          <w:tcPr>
            <w:tcW w:w="1700" w:type="dxa"/>
            <w:vAlign w:val="bottom"/>
            <w:gridSpan w:val="2"/>
          </w:tcPr>
          <w:p>
            <w:pPr>
              <w:spacing w:after="0"/>
              <w:rPr>
                <w:sz w:val="20"/>
                <w:szCs w:val="20"/>
                <w:color w:val="auto"/>
              </w:rPr>
            </w:pPr>
            <w:r>
              <w:rPr>
                <w:rFonts w:ascii="Arial" w:cs="Arial" w:eastAsia="Arial" w:hAnsi="Arial"/>
                <w:sz w:val="12"/>
                <w:szCs w:val="12"/>
                <w:color w:val="auto"/>
              </w:rPr>
              <w:t>Louise Pitt</w:t>
            </w:r>
          </w:p>
        </w:tc>
        <w:tc>
          <w:tcPr>
            <w:tcW w:w="3340" w:type="dxa"/>
            <w:vAlign w:val="bottom"/>
            <w:gridSpan w:val="3"/>
          </w:tcPr>
          <w:p>
            <w:pPr>
              <w:ind w:left="820"/>
              <w:spacing w:after="0"/>
              <w:rPr>
                <w:sz w:val="20"/>
                <w:szCs w:val="20"/>
                <w:color w:val="auto"/>
              </w:rPr>
            </w:pPr>
            <w:r>
              <w:rPr>
                <w:rFonts w:ascii="Arial" w:cs="Arial" w:eastAsia="Arial" w:hAnsi="Arial"/>
                <w:sz w:val="12"/>
                <w:szCs w:val="12"/>
                <w:color w:val="auto"/>
              </w:rPr>
              <w:t>(212) 902-3644</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louise.pitt@gs.com</w:t>
            </w:r>
          </w:p>
        </w:tc>
      </w:tr>
      <w:tr>
        <w:trPr>
          <w:trHeight w:val="175"/>
        </w:trPr>
        <w:tc>
          <w:tcPr>
            <w:tcW w:w="40" w:type="dxa"/>
            <w:vAlign w:val="bottom"/>
            <w:tcBorders>
              <w:left w:val="single" w:sz="8" w:color="00497F"/>
            </w:tcBorders>
          </w:tcPr>
          <w:p>
            <w:pPr>
              <w:spacing w:after="0"/>
              <w:rPr>
                <w:sz w:val="15"/>
                <w:szCs w:val="15"/>
                <w:color w:val="auto"/>
              </w:rPr>
            </w:pPr>
          </w:p>
        </w:tc>
        <w:tc>
          <w:tcPr>
            <w:tcW w:w="2520" w:type="dxa"/>
            <w:vAlign w:val="bottom"/>
            <w:gridSpan w:val="2"/>
          </w:tcPr>
          <w:p>
            <w:pPr>
              <w:spacing w:after="0"/>
              <w:rPr>
                <w:sz w:val="20"/>
                <w:szCs w:val="20"/>
                <w:color w:val="auto"/>
              </w:rPr>
            </w:pPr>
            <w:r>
              <w:rPr>
                <w:rFonts w:ascii="Arial" w:cs="Arial" w:eastAsia="Arial" w:hAnsi="Arial"/>
                <w:sz w:val="12"/>
                <w:szCs w:val="12"/>
                <w:color w:val="auto"/>
              </w:rPr>
              <w:t>JP Morgan Securities, Inc.</w:t>
            </w:r>
          </w:p>
        </w:tc>
        <w:tc>
          <w:tcPr>
            <w:tcW w:w="1700" w:type="dxa"/>
            <w:vAlign w:val="bottom"/>
            <w:gridSpan w:val="2"/>
          </w:tcPr>
          <w:p>
            <w:pPr>
              <w:spacing w:after="0"/>
              <w:rPr>
                <w:sz w:val="20"/>
                <w:szCs w:val="20"/>
                <w:color w:val="auto"/>
              </w:rPr>
            </w:pPr>
            <w:r>
              <w:rPr>
                <w:rFonts w:ascii="Arial" w:cs="Arial" w:eastAsia="Arial" w:hAnsi="Arial"/>
                <w:sz w:val="12"/>
                <w:szCs w:val="12"/>
                <w:color w:val="auto"/>
              </w:rPr>
              <w:t>Mark Streeter</w:t>
            </w:r>
          </w:p>
        </w:tc>
        <w:tc>
          <w:tcPr>
            <w:tcW w:w="3340" w:type="dxa"/>
            <w:vAlign w:val="bottom"/>
            <w:gridSpan w:val="3"/>
          </w:tcPr>
          <w:p>
            <w:pPr>
              <w:ind w:left="820"/>
              <w:spacing w:after="0"/>
              <w:rPr>
                <w:sz w:val="20"/>
                <w:szCs w:val="20"/>
                <w:color w:val="auto"/>
              </w:rPr>
            </w:pPr>
            <w:r>
              <w:rPr>
                <w:rFonts w:ascii="Arial" w:cs="Arial" w:eastAsia="Arial" w:hAnsi="Arial"/>
                <w:sz w:val="12"/>
                <w:szCs w:val="12"/>
                <w:color w:val="auto"/>
              </w:rPr>
              <w:t>(212) 834-6601</w:t>
            </w:r>
          </w:p>
        </w:tc>
        <w:tc>
          <w:tcPr>
            <w:tcW w:w="2520" w:type="dxa"/>
            <w:vAlign w:val="bottom"/>
            <w:tcBorders>
              <w:right w:val="single" w:sz="8" w:color="00497F"/>
            </w:tcBorders>
            <w:gridSpan w:val="2"/>
          </w:tcPr>
          <w:p>
            <w:pPr>
              <w:spacing w:after="0"/>
              <w:rPr>
                <w:sz w:val="20"/>
                <w:szCs w:val="20"/>
                <w:color w:val="auto"/>
              </w:rPr>
            </w:pPr>
            <w:r>
              <w:rPr>
                <w:rFonts w:ascii="Arial" w:cs="Arial" w:eastAsia="Arial" w:hAnsi="Arial"/>
                <w:sz w:val="12"/>
                <w:szCs w:val="12"/>
                <w:color w:val="auto"/>
              </w:rPr>
              <w:t>mark.streeter@jpmorgan.com</w:t>
            </w:r>
          </w:p>
        </w:tc>
      </w:tr>
      <w:tr>
        <w:trPr>
          <w:trHeight w:val="180"/>
        </w:trPr>
        <w:tc>
          <w:tcPr>
            <w:tcW w:w="40" w:type="dxa"/>
            <w:vAlign w:val="bottom"/>
            <w:tcBorders>
              <w:left w:val="single" w:sz="8" w:color="00497F"/>
              <w:bottom w:val="single" w:sz="8" w:color="00497F"/>
            </w:tcBorders>
          </w:tcPr>
          <w:p>
            <w:pPr>
              <w:spacing w:after="0"/>
              <w:rPr>
                <w:sz w:val="15"/>
                <w:szCs w:val="15"/>
                <w:color w:val="auto"/>
              </w:rPr>
            </w:pPr>
          </w:p>
        </w:tc>
        <w:tc>
          <w:tcPr>
            <w:tcW w:w="252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Wells Fargo Securities, LLC</w:t>
            </w:r>
          </w:p>
        </w:tc>
        <w:tc>
          <w:tcPr>
            <w:tcW w:w="1700" w:type="dxa"/>
            <w:vAlign w:val="bottom"/>
            <w:tcBorders>
              <w:bottom w:val="single" w:sz="8" w:color="00497F"/>
            </w:tcBorders>
            <w:gridSpan w:val="2"/>
          </w:tcPr>
          <w:p>
            <w:pPr>
              <w:spacing w:after="0"/>
              <w:rPr>
                <w:sz w:val="20"/>
                <w:szCs w:val="20"/>
                <w:color w:val="auto"/>
              </w:rPr>
            </w:pPr>
            <w:r>
              <w:rPr>
                <w:rFonts w:ascii="Arial" w:cs="Arial" w:eastAsia="Arial" w:hAnsi="Arial"/>
                <w:sz w:val="12"/>
                <w:szCs w:val="12"/>
                <w:color w:val="auto"/>
              </w:rPr>
              <w:t>Thierry B. Perrein</w:t>
            </w:r>
          </w:p>
        </w:tc>
        <w:tc>
          <w:tcPr>
            <w:tcW w:w="3340" w:type="dxa"/>
            <w:vAlign w:val="bottom"/>
            <w:tcBorders>
              <w:bottom w:val="single" w:sz="8" w:color="00497F"/>
            </w:tcBorders>
            <w:gridSpan w:val="3"/>
          </w:tcPr>
          <w:p>
            <w:pPr>
              <w:ind w:left="820"/>
              <w:spacing w:after="0"/>
              <w:rPr>
                <w:sz w:val="20"/>
                <w:szCs w:val="20"/>
                <w:color w:val="auto"/>
              </w:rPr>
            </w:pPr>
            <w:r>
              <w:rPr>
                <w:rFonts w:ascii="Arial" w:cs="Arial" w:eastAsia="Arial" w:hAnsi="Arial"/>
                <w:sz w:val="12"/>
                <w:szCs w:val="12"/>
                <w:color w:val="auto"/>
              </w:rPr>
              <w:t>(704) 715-8455</w:t>
            </w:r>
          </w:p>
        </w:tc>
        <w:tc>
          <w:tcPr>
            <w:tcW w:w="2520" w:type="dxa"/>
            <w:vAlign w:val="bottom"/>
            <w:tcBorders>
              <w:bottom w:val="single" w:sz="8" w:color="00497F"/>
              <w:right w:val="single" w:sz="8" w:color="00497F"/>
            </w:tcBorders>
            <w:gridSpan w:val="2"/>
          </w:tcPr>
          <w:p>
            <w:pPr>
              <w:spacing w:after="0"/>
              <w:rPr>
                <w:sz w:val="20"/>
                <w:szCs w:val="20"/>
                <w:color w:val="auto"/>
              </w:rPr>
            </w:pPr>
            <w:r>
              <w:rPr>
                <w:rFonts w:ascii="Arial" w:cs="Arial" w:eastAsia="Arial" w:hAnsi="Arial"/>
                <w:sz w:val="12"/>
                <w:szCs w:val="12"/>
                <w:color w:val="auto"/>
              </w:rPr>
              <w:t>thierry.perrein@wellsfargo.com</w:t>
            </w:r>
          </w:p>
        </w:tc>
      </w:tr>
    </w:tbl>
    <w:p>
      <w:pPr>
        <w:spacing w:after="0" w:line="298" w:lineRule="exact"/>
        <w:rPr>
          <w:sz w:val="20"/>
          <w:szCs w:val="20"/>
          <w:color w:val="auto"/>
        </w:rPr>
      </w:pPr>
    </w:p>
    <w:p>
      <w:pPr>
        <w:spacing w:after="0" w:line="239" w:lineRule="auto"/>
        <w:rPr>
          <w:sz w:val="20"/>
          <w:szCs w:val="20"/>
          <w:color w:val="auto"/>
        </w:rPr>
      </w:pPr>
      <w:r>
        <w:rPr>
          <w:rFonts w:ascii="Arial" w:cs="Arial" w:eastAsia="Arial" w:hAnsi="Arial"/>
          <w:sz w:val="12"/>
          <w:szCs w:val="12"/>
          <w:i w:val="1"/>
          <w:iCs w:val="1"/>
          <w:color w:val="auto"/>
        </w:rPr>
        <w:t>SL Green Realty Corp. is followed by the analysts listed above. Please note that any opinions, estimates or forecasts regarding SL Green Realty Corp.'s performance made by these analysts are theirs alone and do not represent opinions, forecasts or predictions of SL Green Realty Corp. or its management. SL Green Realty Corp. does not by its reference above or distribution imply its endorsement of or concurrence with such information, conclusions or recommendations.</w:t>
      </w: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57</w:t>
      </w:r>
    </w:p>
    <w:sectPr>
      <w:pgSz w:w="11900" w:h="16838" w:orient="portrait"/>
      <w:cols w:equalWidth="0" w:num="1">
        <w:col w:w="11200"/>
      </w:cols>
      <w:pgMar w:left="240" w:top="33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1)"/>
      <w:numFmt w:val="decimal"/>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1)"/>
      <w:numFmt w:val="decimal"/>
      <w:start w:val="1"/>
    </w:lvl>
  </w:abstractNum>
  <w:abstractNum w:abstractNumId="19">
    <w:nsid w:val="836C40E"/>
    <w:multiLevelType w:val="hybridMultilevel"/>
    <w:lvl w:ilvl="0">
      <w:lvlJc w:val="left"/>
      <w:lvlText w:val="(%1)"/>
      <w:numFmt w:val="decimal"/>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1"/>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1"/>
    </w:lvl>
  </w:abstractNum>
  <w:abstractNum w:abstractNumId="25">
    <w:nsid w:val="737B8DDC"/>
    <w:multiLevelType w:val="hybridMultilevel"/>
    <w:lvl w:ilvl="0">
      <w:lvlJc w:val="left"/>
      <w:lvlText w:val="(%1)"/>
      <w:numFmt w:val="decimal"/>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decimal"/>
      <w:start w:val="1"/>
    </w:lvl>
  </w:abstractNum>
  <w:abstractNum w:abstractNumId="28">
    <w:nsid w:val="4516DDE9"/>
    <w:multiLevelType w:val="hybridMultilevel"/>
    <w:lvl w:ilvl="0">
      <w:lvlJc w:val="left"/>
      <w:lvlText w:val="(%1)"/>
      <w:numFmt w:val="decimal"/>
      <w:start w:val="1"/>
    </w:lvl>
  </w:abstractNum>
  <w:abstractNum w:abstractNumId="29">
    <w:nsid w:val="3006C83E"/>
    <w:multiLevelType w:val="hybridMultilevel"/>
    <w:lvl w:ilvl="0">
      <w:lvlJc w:val="left"/>
      <w:lvlText w:val="(%1)"/>
      <w:numFmt w:val="decimal"/>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decimal"/>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decimal"/>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2019-12-06T18:17:05Z</dcterms:created>
  <dcterms:modified xsi:type="dcterms:W3CDTF">2019-12-06T18:17:05Z</dcterms:modified>
</cp:coreProperties>
</file>